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540" w:after="480"/>
        <w:jc w:val="center"/>
        <w:outlineLvl w:val="0"/>
        <w:rPr>
          <w:rFonts w:hint="eastAsia" w:ascii="微软雅黑" w:hAnsi="微软雅黑" w:eastAsia="宋体" w:cs="宋体"/>
          <w:b/>
          <w:bCs/>
          <w:color w:val="000000"/>
          <w:kern w:val="36"/>
          <w:sz w:val="44"/>
          <w:szCs w:val="44"/>
        </w:rPr>
      </w:pPr>
    </w:p>
    <w:p>
      <w:pPr>
        <w:widowControl/>
        <w:spacing w:before="540" w:after="480"/>
        <w:jc w:val="center"/>
        <w:outlineLvl w:val="0"/>
        <w:rPr>
          <w:rFonts w:hint="eastAsia" w:ascii="微软雅黑" w:hAnsi="微软雅黑" w:eastAsia="宋体" w:cs="宋体"/>
          <w:b/>
          <w:bCs/>
          <w:color w:val="000000"/>
          <w:kern w:val="36"/>
          <w:sz w:val="44"/>
          <w:szCs w:val="44"/>
        </w:rPr>
      </w:pPr>
      <w:r>
        <w:rPr>
          <w:rFonts w:hint="eastAsia" w:ascii="微软雅黑" w:hAnsi="微软雅黑" w:eastAsia="宋体" w:cs="宋体"/>
          <w:b/>
          <w:bCs/>
          <w:color w:val="000000"/>
          <w:kern w:val="36"/>
          <w:sz w:val="44"/>
          <w:szCs w:val="44"/>
        </w:rPr>
        <w:t>伊美区农业农村局</w:t>
      </w:r>
      <w:r>
        <w:rPr>
          <w:rFonts w:ascii="微软雅黑" w:hAnsi="微软雅黑" w:eastAsia="宋体" w:cs="宋体"/>
          <w:b/>
          <w:bCs/>
          <w:color w:val="000000"/>
          <w:kern w:val="36"/>
          <w:sz w:val="44"/>
          <w:szCs w:val="44"/>
        </w:rPr>
        <w:t>关于印发涉农补贴领域基层政务公开标准指引的通知</w:t>
      </w:r>
    </w:p>
    <w:p>
      <w:pPr>
        <w:widowControl/>
        <w:spacing w:before="540" w:after="480"/>
        <w:jc w:val="center"/>
        <w:outlineLvl w:val="0"/>
        <w:rPr>
          <w:rFonts w:hint="eastAsia" w:ascii="微软雅黑" w:hAnsi="微软雅黑" w:eastAsia="宋体" w:cs="宋体"/>
          <w:b/>
          <w:bCs/>
          <w:color w:val="000000"/>
          <w:kern w:val="36"/>
          <w:sz w:val="44"/>
          <w:szCs w:val="44"/>
        </w:rPr>
      </w:pPr>
    </w:p>
    <w:p>
      <w:pPr>
        <w:widowControl/>
        <w:wordWrap w:val="0"/>
        <w:spacing w:line="480" w:lineRule="auto"/>
        <w:jc w:val="left"/>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各镇、村、场、办（社区）及各相关单位:</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为贯彻落实中共中央办公厅、国务院办公厅《关于全面推进政务公开工作的意见》和国务院办公厅《〈关于全面推进政务公开工作的意见〉实施细则》（国办发〔2016〕80号）、国务院办公厅《关于印发开展基层政务公开标准化规范化试点工作方案的通知》（国办发〔2017〕42号）精神，进一步规范涉农补贴领域基层政务公开工作，经商财政局同意，现就开展涉农补贴领域基层政务公开工作，制定《伊美区涉农补贴领域基层政务公开标准指引》（以下简称《指引》）。</w:t>
      </w:r>
    </w:p>
    <w:p>
      <w:pPr>
        <w:widowControl/>
        <w:wordWrap w:val="0"/>
        <w:spacing w:line="480" w:lineRule="auto"/>
        <w:ind w:firstLine="562"/>
        <w:rPr>
          <w:rFonts w:hint="eastAsia" w:ascii="微软雅黑" w:hAnsi="微软雅黑" w:eastAsia="宋体" w:cs="宋体"/>
          <w:color w:val="000000"/>
          <w:kern w:val="0"/>
          <w:sz w:val="32"/>
          <w:szCs w:val="32"/>
        </w:rPr>
      </w:pPr>
      <w:r>
        <w:rPr>
          <w:rFonts w:hint="eastAsia" w:ascii="宋体" w:hAnsi="宋体" w:eastAsia="宋体" w:cs="宋体"/>
          <w:b/>
          <w:bCs/>
          <w:color w:val="231916"/>
          <w:kern w:val="0"/>
          <w:sz w:val="32"/>
          <w:szCs w:val="32"/>
        </w:rPr>
        <w:t>一、总体要求</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推进涉农补贴领域基层政务公开，是落实中共中央、国务院、省、市关于全面推进政务公开工作的重要举措，对发展社会主义民主政治，提升国家治理能力，增强政府公信力执行力，保障人民群众知情权、参与权、表达权、监督权具有重要意义。</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一）指导思想。深入贯彻习近平新时代中国特色社会主义思想，全面落实党的十九大和十九届二中、三中全会精神，认真执行党中央、国务院关于全面推进政务公开的决策部署，围绕权力运行全流程、政务服务全过程，紧密联系实际，坚持以公开为常态、不公开为例外，建立涉农补贴领域“五公开”工作机制，积极推进涉农补贴领域基层政务公开标准化规范化，全面提升涉农补贴领域基层政务公开和政务服务水平。</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（二）基本原则。</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坚持需求导向。围绕人民群众最关注、与群众切身利益最相关的行政权力事项和公共服务事项，结合涉农补贴领域特点，采用高效、便捷的公开方式，及时、准确公开影响群众权利义务的行政权力事项和公共服务事项。</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坚持常态公开。按照“应公开、尽公开”的要求，依法依规全面梳理公开事项，细化公开内容，进一步 提高基层政务公开的针对性、实效性。</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坚持创新探索。在落实《指引》确定公开事项基础上，鼓励基层部门结合自身实际，拓展公开内容的深度和广度，探索高效便捷公开方式。</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三）工作目标。全面推进涉农补贴领域政务公开，建立完善工作机制，公开内容覆盖农业补贴全流程、补贴服务全过程，农业补贴政务公开工作基本实现制度化、标准化、信息化管理，政务公开标准化规范化水平显著提高。</w:t>
      </w:r>
    </w:p>
    <w:p>
      <w:pPr>
        <w:widowControl/>
        <w:wordWrap w:val="0"/>
        <w:spacing w:line="480" w:lineRule="auto"/>
        <w:ind w:firstLine="562"/>
        <w:rPr>
          <w:rFonts w:hint="eastAsia" w:ascii="微软雅黑" w:hAnsi="微软雅黑" w:eastAsia="宋体" w:cs="宋体"/>
          <w:color w:val="000000"/>
          <w:kern w:val="0"/>
          <w:sz w:val="32"/>
          <w:szCs w:val="32"/>
        </w:rPr>
      </w:pPr>
      <w:r>
        <w:rPr>
          <w:rFonts w:hint="eastAsia" w:ascii="宋体" w:hAnsi="宋体" w:eastAsia="宋体" w:cs="宋体"/>
          <w:b/>
          <w:bCs/>
          <w:color w:val="231916"/>
          <w:kern w:val="0"/>
          <w:sz w:val="32"/>
          <w:szCs w:val="32"/>
        </w:rPr>
        <w:t>二、适用范围</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（一）适用领域。区级农业农村部门会同同级财政部门管理的转移支付类项目。</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（二）适用主体。区级农业农村部门。</w:t>
      </w:r>
    </w:p>
    <w:p>
      <w:pPr>
        <w:widowControl/>
        <w:wordWrap w:val="0"/>
        <w:spacing w:line="480" w:lineRule="auto"/>
        <w:ind w:firstLine="562"/>
        <w:rPr>
          <w:rFonts w:hint="eastAsia" w:ascii="微软雅黑" w:hAnsi="微软雅黑" w:eastAsia="宋体" w:cs="宋体"/>
          <w:color w:val="000000"/>
          <w:kern w:val="0"/>
          <w:sz w:val="32"/>
          <w:szCs w:val="32"/>
        </w:rPr>
      </w:pPr>
      <w:r>
        <w:rPr>
          <w:rFonts w:hint="eastAsia" w:ascii="宋体" w:hAnsi="宋体" w:eastAsia="宋体" w:cs="宋体"/>
          <w:b/>
          <w:bCs/>
          <w:color w:val="231916"/>
          <w:kern w:val="0"/>
          <w:sz w:val="32"/>
          <w:szCs w:val="32"/>
        </w:rPr>
        <w:t>三、公开目录及事项标准</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一）公开目录。《涉农补贴领域基层政务公开标准目录》包括2个一级事项，分别是农业农村局会同财政局管理的农业生产发展资金、动物防疫等补助经费，一级事项下划分3个二级事项，分别为耕地地力保护、农机购置补贴、强制免疫和养殖环节无害化处理补助。</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区级农业农村部门会同同级财政部门管理的转移支付类项目是否列入公开事项目录，由区级农业农村部门商同级财政部门确定。</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二）公开事项标准。按照不同公开事项的特点，分别确定公开内容、公开依据、公开时限、公开主体、公开渠道和载体、公开对象、公开方式和公开层级（详见附表）。基层部门可在此基础上，结合具体工作进行细化补充和提升。公开信息应注意保护个人身份信息和隐私安全。</w:t>
      </w:r>
    </w:p>
    <w:p>
      <w:pPr>
        <w:widowControl/>
        <w:wordWrap w:val="0"/>
        <w:spacing w:line="480" w:lineRule="auto"/>
        <w:ind w:firstLine="562"/>
        <w:rPr>
          <w:rFonts w:hint="eastAsia" w:ascii="微软雅黑" w:hAnsi="微软雅黑" w:eastAsia="宋体" w:cs="宋体"/>
          <w:color w:val="000000"/>
          <w:kern w:val="0"/>
          <w:sz w:val="32"/>
          <w:szCs w:val="32"/>
        </w:rPr>
      </w:pPr>
      <w:r>
        <w:rPr>
          <w:rFonts w:hint="eastAsia" w:ascii="宋体" w:hAnsi="宋体" w:eastAsia="宋体" w:cs="宋体"/>
          <w:b/>
          <w:bCs/>
          <w:color w:val="231916"/>
          <w:kern w:val="0"/>
          <w:sz w:val="32"/>
          <w:szCs w:val="32"/>
        </w:rPr>
        <w:t>四、工作流程</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区级农业农村部门要按照事项决策、执行、管理、服务、结果“五公开”工作要求，注重全过程的信息公开。可以在达到标准目录基本要求的基础上，结合公众需求和各地实际情况，选择具有针对性的公开渠道。细化梳理并优化政务公开工作流程，明确发布、解读、回应各环节，推动各环节有序衔接，对于复杂的公开事项应编制公开工作流程图。</w:t>
      </w:r>
    </w:p>
    <w:p>
      <w:pPr>
        <w:widowControl/>
        <w:wordWrap w:val="0"/>
        <w:spacing w:line="480" w:lineRule="auto"/>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区级农业农村部门应结合实际，积极探索创新工作机制和方式方法，进一步推动政策解读、回应关切、公众参与等工作的标准化规范化，确保群众看得到、易获取、好参与、能监督。</w:t>
      </w:r>
    </w:p>
    <w:p>
      <w:pPr>
        <w:widowControl/>
        <w:wordWrap w:val="0"/>
        <w:ind w:firstLine="560"/>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附件：涉农补贴领域基层政务公开标准目录</w:t>
      </w:r>
    </w:p>
    <w:p>
      <w:pPr>
        <w:widowControl/>
        <w:wordWrap w:val="0"/>
        <w:ind w:right="285" w:firstLine="560"/>
        <w:jc w:val="right"/>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伊美区农业农村局</w:t>
      </w:r>
    </w:p>
    <w:p>
      <w:pPr>
        <w:widowControl/>
        <w:wordWrap w:val="0"/>
        <w:jc w:val="right"/>
        <w:rPr>
          <w:rFonts w:hint="eastAsia" w:ascii="宋体" w:hAnsi="宋体" w:eastAsia="宋体" w:cs="宋体"/>
          <w:color w:val="231916"/>
          <w:kern w:val="0"/>
          <w:sz w:val="32"/>
          <w:szCs w:val="32"/>
        </w:rPr>
      </w:pPr>
      <w:r>
        <w:rPr>
          <w:rFonts w:hint="eastAsia" w:ascii="宋体" w:hAnsi="宋体" w:eastAsia="宋体" w:cs="宋体"/>
          <w:color w:val="231916"/>
          <w:kern w:val="0"/>
          <w:sz w:val="32"/>
          <w:szCs w:val="32"/>
        </w:rPr>
        <w:t>                                </w:t>
      </w:r>
    </w:p>
    <w:p>
      <w:pPr>
        <w:widowControl/>
        <w:ind w:right="285"/>
        <w:jc w:val="right"/>
        <w:rPr>
          <w:rFonts w:hint="eastAsia" w:ascii="微软雅黑" w:hAnsi="微软雅黑" w:eastAsia="宋体" w:cs="宋体"/>
          <w:color w:val="000000"/>
          <w:kern w:val="0"/>
          <w:sz w:val="32"/>
          <w:szCs w:val="32"/>
        </w:rPr>
      </w:pPr>
      <w:r>
        <w:rPr>
          <w:rFonts w:hint="eastAsia" w:ascii="宋体" w:hAnsi="宋体" w:eastAsia="宋体" w:cs="宋体"/>
          <w:color w:val="231916"/>
          <w:kern w:val="0"/>
          <w:sz w:val="32"/>
          <w:szCs w:val="32"/>
        </w:rPr>
        <w:t> 2020年9月23日</w:t>
      </w:r>
    </w:p>
    <w:p/>
    <w:p/>
    <w:p>
      <w:pPr>
        <w:rPr>
          <w:rFonts w:hint="eastAsia"/>
        </w:rPr>
      </w:pPr>
    </w:p>
    <w:p>
      <w:pPr>
        <w:rPr>
          <w:rFonts w:hint="eastAsia"/>
        </w:rPr>
      </w:pPr>
    </w:p>
    <w:p>
      <w:pPr>
        <w:rPr>
          <w:rFonts w:hint="eastAsia"/>
        </w:rPr>
      </w:pPr>
    </w:p>
    <w:p>
      <w:pPr>
        <w:rPr>
          <w:rFonts w:hint="eastAsia"/>
        </w:rPr>
      </w:pPr>
    </w:p>
    <w:p/>
    <w:p>
      <w:pPr>
        <w:rPr>
          <w:rFonts w:hint="eastAsia"/>
        </w:rPr>
      </w:pPr>
    </w:p>
    <w:p/>
    <w:p>
      <w:pPr>
        <w:rPr>
          <w:rFonts w:hint="eastAsia"/>
        </w:rPr>
      </w:pPr>
    </w:p>
    <w:p>
      <w:pPr>
        <w:rPr>
          <w:rFonts w:hint="eastAsia"/>
        </w:rPr>
      </w:pPr>
    </w:p>
    <w:p/>
    <w:p/>
    <w:p/>
    <w:p/>
    <w:p>
      <w:pPr>
        <w:widowControl/>
        <w:wordWrap w:val="0"/>
        <w:rPr>
          <w:rFonts w:hint="eastAsia" w:ascii="微软雅黑" w:hAnsi="微软雅黑" w:eastAsia="宋体" w:cs="宋体"/>
          <w:color w:val="000000"/>
          <w:kern w:val="0"/>
          <w:sz w:val="19"/>
          <w:szCs w:val="19"/>
        </w:rPr>
      </w:pPr>
      <w:r>
        <w:rPr>
          <w:rFonts w:hint="eastAsia" w:ascii="宋体" w:hAnsi="宋体" w:eastAsia="宋体" w:cs="宋体"/>
          <w:color w:val="231916"/>
          <w:kern w:val="0"/>
          <w:sz w:val="19"/>
          <w:szCs w:val="19"/>
        </w:rPr>
        <w:t>附件</w:t>
      </w:r>
    </w:p>
    <w:p>
      <w:pPr>
        <w:widowControl/>
        <w:wordWrap w:val="0"/>
        <w:jc w:val="center"/>
        <w:rPr>
          <w:rFonts w:hint="eastAsia" w:ascii="微软雅黑" w:hAnsi="微软雅黑" w:eastAsia="宋体" w:cs="宋体"/>
          <w:color w:val="000000"/>
          <w:kern w:val="0"/>
          <w:sz w:val="19"/>
          <w:szCs w:val="19"/>
        </w:rPr>
      </w:pPr>
      <w:r>
        <w:rPr>
          <w:rFonts w:hint="eastAsia" w:ascii="宋体" w:hAnsi="宋体" w:eastAsia="宋体" w:cs="宋体"/>
          <w:color w:val="231916"/>
          <w:kern w:val="0"/>
          <w:sz w:val="19"/>
          <w:szCs w:val="19"/>
        </w:rPr>
        <w:t>涉农补贴领域基层政务公开标准目录</w:t>
      </w:r>
    </w:p>
    <w:tbl>
      <w:tblPr>
        <w:tblStyle w:val="5"/>
        <w:tblW w:w="11675" w:type="dxa"/>
        <w:jc w:val="center"/>
        <w:tblLayout w:type="autofit"/>
        <w:tblCellMar>
          <w:top w:w="0" w:type="dxa"/>
          <w:left w:w="0" w:type="dxa"/>
          <w:bottom w:w="0" w:type="dxa"/>
          <w:right w:w="0" w:type="dxa"/>
        </w:tblCellMar>
      </w:tblPr>
      <w:tblGrid>
        <w:gridCol w:w="324"/>
        <w:gridCol w:w="552"/>
        <w:gridCol w:w="552"/>
        <w:gridCol w:w="1788"/>
        <w:gridCol w:w="1716"/>
        <w:gridCol w:w="1032"/>
        <w:gridCol w:w="564"/>
        <w:gridCol w:w="1956"/>
        <w:gridCol w:w="534"/>
        <w:gridCol w:w="534"/>
        <w:gridCol w:w="522"/>
        <w:gridCol w:w="522"/>
        <w:gridCol w:w="539"/>
        <w:gridCol w:w="540"/>
      </w:tblGrid>
      <w:tr>
        <w:tblPrEx>
          <w:tblCellMar>
            <w:top w:w="0" w:type="dxa"/>
            <w:left w:w="0" w:type="dxa"/>
            <w:bottom w:w="0" w:type="dxa"/>
            <w:right w:w="0" w:type="dxa"/>
          </w:tblCellMar>
        </w:tblPrEx>
        <w:trPr>
          <w:trHeight w:val="90" w:hRule="atLeast"/>
          <w:jc w:val="center"/>
        </w:trPr>
        <w:tc>
          <w:tcPr>
            <w:tcW w:w="324" w:type="dxa"/>
            <w:vMerge w:val="restart"/>
            <w:tcBorders>
              <w:top w:val="single" w:color="auto" w:sz="8" w:space="0"/>
              <w:left w:val="single" w:color="231916" w:sz="8" w:space="0"/>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序号</w:t>
            </w:r>
          </w:p>
        </w:tc>
        <w:tc>
          <w:tcPr>
            <w:tcW w:w="1104" w:type="dxa"/>
            <w:gridSpan w:val="2"/>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公开事项</w:t>
            </w:r>
          </w:p>
        </w:tc>
        <w:tc>
          <w:tcPr>
            <w:tcW w:w="1788" w:type="dxa"/>
            <w:vMerge w:val="restart"/>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公开内容(要素)</w:t>
            </w:r>
          </w:p>
        </w:tc>
        <w:tc>
          <w:tcPr>
            <w:tcW w:w="1716" w:type="dxa"/>
            <w:vMerge w:val="restart"/>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公开依据</w:t>
            </w:r>
          </w:p>
        </w:tc>
        <w:tc>
          <w:tcPr>
            <w:tcW w:w="1032" w:type="dxa"/>
            <w:vMerge w:val="restart"/>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公开时限</w:t>
            </w:r>
          </w:p>
        </w:tc>
        <w:tc>
          <w:tcPr>
            <w:tcW w:w="564" w:type="dxa"/>
            <w:vMerge w:val="restart"/>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公开主体</w:t>
            </w:r>
          </w:p>
        </w:tc>
        <w:tc>
          <w:tcPr>
            <w:tcW w:w="1956" w:type="dxa"/>
            <w:vMerge w:val="restart"/>
            <w:tcBorders>
              <w:top w:val="single" w:color="auto" w:sz="8" w:space="0"/>
              <w:left w:val="nil"/>
              <w:bottom w:val="single" w:color="231916"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公开渠道和载体</w:t>
            </w:r>
          </w:p>
        </w:tc>
        <w:tc>
          <w:tcPr>
            <w:tcW w:w="1068" w:type="dxa"/>
            <w:gridSpan w:val="2"/>
            <w:tcBorders>
              <w:top w:val="single" w:color="auto" w:sz="8" w:space="0"/>
              <w:left w:val="nil"/>
              <w:bottom w:val="nil"/>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公开对象</w:t>
            </w:r>
          </w:p>
        </w:tc>
        <w:tc>
          <w:tcPr>
            <w:tcW w:w="1044" w:type="dxa"/>
            <w:gridSpan w:val="2"/>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公开方式</w:t>
            </w:r>
          </w:p>
        </w:tc>
        <w:tc>
          <w:tcPr>
            <w:tcW w:w="1079" w:type="dxa"/>
            <w:gridSpan w:val="2"/>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公开层级</w:t>
            </w:r>
          </w:p>
        </w:tc>
      </w:tr>
      <w:tr>
        <w:tblPrEx>
          <w:tblCellMar>
            <w:top w:w="0" w:type="dxa"/>
            <w:left w:w="0" w:type="dxa"/>
            <w:bottom w:w="0" w:type="dxa"/>
            <w:right w:w="0" w:type="dxa"/>
          </w:tblCellMar>
        </w:tblPrEx>
        <w:trPr>
          <w:trHeight w:val="90" w:hRule="atLeast"/>
          <w:jc w:val="center"/>
        </w:trPr>
        <w:tc>
          <w:tcPr>
            <w:tcW w:w="0" w:type="auto"/>
            <w:vMerge w:val="continue"/>
            <w:tcBorders>
              <w:top w:val="single" w:color="auto" w:sz="8" w:space="0"/>
              <w:left w:val="single" w:color="231916" w:sz="8" w:space="0"/>
              <w:bottom w:val="single" w:color="231916" w:sz="8" w:space="0"/>
              <w:right w:val="single" w:color="231916" w:sz="8" w:space="0"/>
            </w:tcBorders>
            <w:vAlign w:val="center"/>
          </w:tcPr>
          <w:p>
            <w:pPr>
              <w:widowControl/>
              <w:jc w:val="left"/>
              <w:rPr>
                <w:rFonts w:ascii="宋体" w:hAnsi="宋体" w:eastAsia="宋体" w:cs="宋体"/>
                <w:kern w:val="0"/>
                <w:sz w:val="19"/>
                <w:szCs w:val="19"/>
              </w:rPr>
            </w:pPr>
          </w:p>
        </w:tc>
        <w:tc>
          <w:tcPr>
            <w:tcW w:w="55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一级事项</w:t>
            </w:r>
          </w:p>
        </w:tc>
        <w:tc>
          <w:tcPr>
            <w:tcW w:w="55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二级事项</w:t>
            </w:r>
          </w:p>
        </w:tc>
        <w:tc>
          <w:tcPr>
            <w:tcW w:w="0" w:type="auto"/>
            <w:vMerge w:val="continue"/>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jc w:val="left"/>
              <w:rPr>
                <w:rFonts w:ascii="宋体" w:hAnsi="宋体" w:eastAsia="宋体" w:cs="宋体"/>
                <w:kern w:val="0"/>
                <w:sz w:val="19"/>
                <w:szCs w:val="19"/>
              </w:rPr>
            </w:pPr>
          </w:p>
        </w:tc>
        <w:tc>
          <w:tcPr>
            <w:tcW w:w="0" w:type="auto"/>
            <w:vMerge w:val="continue"/>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jc w:val="left"/>
              <w:rPr>
                <w:rFonts w:ascii="宋体" w:hAnsi="宋体" w:eastAsia="宋体" w:cs="宋体"/>
                <w:kern w:val="0"/>
                <w:sz w:val="19"/>
                <w:szCs w:val="19"/>
              </w:rPr>
            </w:pPr>
          </w:p>
        </w:tc>
        <w:tc>
          <w:tcPr>
            <w:tcW w:w="0" w:type="auto"/>
            <w:vMerge w:val="continue"/>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jc w:val="left"/>
              <w:rPr>
                <w:rFonts w:ascii="宋体" w:hAnsi="宋体" w:eastAsia="宋体" w:cs="宋体"/>
                <w:kern w:val="0"/>
                <w:sz w:val="19"/>
                <w:szCs w:val="19"/>
              </w:rPr>
            </w:pPr>
          </w:p>
        </w:tc>
        <w:tc>
          <w:tcPr>
            <w:tcW w:w="0" w:type="auto"/>
            <w:vMerge w:val="continue"/>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jc w:val="left"/>
              <w:rPr>
                <w:rFonts w:ascii="宋体" w:hAnsi="宋体" w:eastAsia="宋体" w:cs="宋体"/>
                <w:kern w:val="0"/>
                <w:sz w:val="19"/>
                <w:szCs w:val="19"/>
              </w:rPr>
            </w:pPr>
          </w:p>
        </w:tc>
        <w:tc>
          <w:tcPr>
            <w:tcW w:w="0" w:type="auto"/>
            <w:vMerge w:val="continue"/>
            <w:tcBorders>
              <w:top w:val="single" w:color="auto" w:sz="8" w:space="0"/>
              <w:left w:val="nil"/>
              <w:bottom w:val="single" w:color="231916" w:sz="8" w:space="0"/>
              <w:right w:val="single" w:color="auto" w:sz="8" w:space="0"/>
            </w:tcBorders>
            <w:tcMar>
              <w:top w:w="12" w:type="dxa"/>
              <w:left w:w="12" w:type="dxa"/>
              <w:bottom w:w="0" w:type="dxa"/>
              <w:right w:w="12" w:type="dxa"/>
            </w:tcMar>
            <w:vAlign w:val="center"/>
          </w:tcPr>
          <w:p>
            <w:pPr>
              <w:widowControl/>
              <w:jc w:val="left"/>
              <w:rPr>
                <w:rFonts w:ascii="宋体" w:hAnsi="宋体" w:eastAsia="宋体" w:cs="宋体"/>
                <w:kern w:val="0"/>
                <w:sz w:val="19"/>
                <w:szCs w:val="19"/>
              </w:rPr>
            </w:pPr>
          </w:p>
        </w:tc>
        <w:tc>
          <w:tcPr>
            <w:tcW w:w="534" w:type="dxa"/>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全社会</w:t>
            </w:r>
          </w:p>
        </w:tc>
        <w:tc>
          <w:tcPr>
            <w:tcW w:w="534" w:type="dxa"/>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特定群体</w:t>
            </w:r>
          </w:p>
        </w:tc>
        <w:tc>
          <w:tcPr>
            <w:tcW w:w="522" w:type="dxa"/>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主动</w:t>
            </w:r>
          </w:p>
        </w:tc>
        <w:tc>
          <w:tcPr>
            <w:tcW w:w="522" w:type="dxa"/>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依申请</w:t>
            </w:r>
          </w:p>
        </w:tc>
        <w:tc>
          <w:tcPr>
            <w:tcW w:w="539" w:type="dxa"/>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lang w:val="en-US" w:eastAsia="zh-CN"/>
              </w:rPr>
              <w:t>区</w:t>
            </w:r>
            <w:r>
              <w:rPr>
                <w:rFonts w:hint="eastAsia" w:ascii="宋体" w:hAnsi="宋体" w:eastAsia="宋体" w:cs="宋体"/>
                <w:color w:val="231916"/>
                <w:kern w:val="0"/>
                <w:sz w:val="19"/>
                <w:szCs w:val="19"/>
              </w:rPr>
              <w:t>级</w:t>
            </w:r>
          </w:p>
        </w:tc>
        <w:tc>
          <w:tcPr>
            <w:tcW w:w="540" w:type="dxa"/>
            <w:tcBorders>
              <w:top w:val="single" w:color="auto" w:sz="8" w:space="0"/>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ascii="宋体" w:hAnsi="宋体" w:eastAsia="宋体" w:cs="宋体"/>
                <w:kern w:val="0"/>
                <w:sz w:val="19"/>
                <w:szCs w:val="19"/>
              </w:rPr>
            </w:pPr>
            <w:r>
              <w:rPr>
                <w:rFonts w:hint="eastAsia" w:ascii="宋体" w:hAnsi="宋体" w:eastAsia="宋体" w:cs="宋体"/>
                <w:color w:val="231916"/>
                <w:kern w:val="0"/>
                <w:sz w:val="19"/>
                <w:szCs w:val="19"/>
                <w:lang w:val="en-US" w:eastAsia="zh-CN"/>
              </w:rPr>
              <w:t>镇</w:t>
            </w:r>
            <w:bookmarkStart w:id="0" w:name="_GoBack"/>
            <w:bookmarkEnd w:id="0"/>
            <w:r>
              <w:rPr>
                <w:rFonts w:hint="eastAsia" w:ascii="宋体" w:hAnsi="宋体" w:eastAsia="宋体" w:cs="宋体"/>
                <w:color w:val="231916"/>
                <w:kern w:val="0"/>
                <w:sz w:val="19"/>
                <w:szCs w:val="19"/>
              </w:rPr>
              <w:t>级</w:t>
            </w:r>
          </w:p>
        </w:tc>
      </w:tr>
      <w:tr>
        <w:tblPrEx>
          <w:tblCellMar>
            <w:top w:w="0" w:type="dxa"/>
            <w:left w:w="0" w:type="dxa"/>
            <w:bottom w:w="0" w:type="dxa"/>
            <w:right w:w="0" w:type="dxa"/>
          </w:tblCellMar>
        </w:tblPrEx>
        <w:trPr>
          <w:trHeight w:val="90" w:hRule="atLeast"/>
          <w:jc w:val="center"/>
        </w:trPr>
        <w:tc>
          <w:tcPr>
            <w:tcW w:w="324" w:type="dxa"/>
            <w:tcBorders>
              <w:top w:val="nil"/>
              <w:left w:val="single" w:color="231916" w:sz="8" w:space="0"/>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1</w:t>
            </w:r>
          </w:p>
        </w:tc>
        <w:tc>
          <w:tcPr>
            <w:tcW w:w="55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农业生产发展资金</w:t>
            </w:r>
          </w:p>
        </w:tc>
        <w:tc>
          <w:tcPr>
            <w:tcW w:w="55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农机购置补贴</w:t>
            </w:r>
          </w:p>
        </w:tc>
        <w:tc>
          <w:tcPr>
            <w:tcW w:w="1788"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政策依据；</w:t>
            </w:r>
          </w:p>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申请指南：</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包括补贴对象、补贴范围、补贴标准、申请程序、申请材料、咨询电话、受理单位、办理时限、联系方式等；</w:t>
            </w:r>
          </w:p>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补贴结果；</w:t>
            </w:r>
          </w:p>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监督渠道：</w:t>
            </w:r>
          </w:p>
          <w:p>
            <w:pPr>
              <w:widowControl/>
              <w:spacing w:line="90" w:lineRule="atLeast"/>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 包 括 举 报 电 话、地址等。</w:t>
            </w:r>
          </w:p>
        </w:tc>
        <w:tc>
          <w:tcPr>
            <w:tcW w:w="1716"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《中华人民共和国农业机械化促进法》（中华人民共和国主席令 第十六号）、《农业生产发展资金管理办法》（财农〔2017〕41号）、《2018—2020年农机购置补贴实施指导意见》（农办财〔2018〕13号）、《××省农机购置补贴实施方案》</w:t>
            </w:r>
          </w:p>
        </w:tc>
        <w:tc>
          <w:tcPr>
            <w:tcW w:w="103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自政府信息形成或者变更之日起20个工作日内。法律、法规对政府信息公开的期限另有规定的，从其规定</w:t>
            </w:r>
          </w:p>
        </w:tc>
        <w:tc>
          <w:tcPr>
            <w:tcW w:w="564"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县级农业农村部门</w:t>
            </w:r>
          </w:p>
        </w:tc>
        <w:tc>
          <w:tcPr>
            <w:tcW w:w="1956"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■政府网站</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□政府公报</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□两微一端</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□发布会/听证会</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□广播电视</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□纸质媒体</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□公开查阅点</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□政务服务中心</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□便民服务站</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□入户/现场</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□社区/企事业单位/村公示栏（电子屏）</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□精准推送</w:t>
            </w:r>
          </w:p>
          <w:p>
            <w:pPr>
              <w:widowControl/>
              <w:spacing w:line="90" w:lineRule="atLeast"/>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□其他</w:t>
            </w:r>
          </w:p>
        </w:tc>
        <w:tc>
          <w:tcPr>
            <w:tcW w:w="534"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w:t>
            </w:r>
          </w:p>
        </w:tc>
        <w:tc>
          <w:tcPr>
            <w:tcW w:w="534"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rPr>
                <w:rFonts w:ascii="宋体" w:hAnsi="宋体" w:eastAsia="宋体" w:cs="宋体"/>
                <w:kern w:val="0"/>
                <w:sz w:val="19"/>
                <w:szCs w:val="19"/>
              </w:rPr>
            </w:pPr>
            <w:r>
              <w:rPr>
                <w:rFonts w:hint="eastAsia" w:ascii="宋体" w:hAnsi="宋体" w:eastAsia="宋体" w:cs="宋体"/>
                <w:color w:val="000000"/>
                <w:kern w:val="0"/>
                <w:sz w:val="19"/>
                <w:szCs w:val="19"/>
              </w:rPr>
              <w:t> </w:t>
            </w:r>
          </w:p>
        </w:tc>
        <w:tc>
          <w:tcPr>
            <w:tcW w:w="52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w:t>
            </w:r>
          </w:p>
        </w:tc>
        <w:tc>
          <w:tcPr>
            <w:tcW w:w="52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rPr>
                <w:rFonts w:ascii="宋体" w:hAnsi="宋体" w:eastAsia="宋体" w:cs="宋体"/>
                <w:kern w:val="0"/>
                <w:sz w:val="19"/>
                <w:szCs w:val="19"/>
              </w:rPr>
            </w:pPr>
            <w:r>
              <w:rPr>
                <w:rFonts w:hint="eastAsia" w:ascii="宋体" w:hAnsi="宋体" w:eastAsia="宋体" w:cs="宋体"/>
                <w:color w:val="000000"/>
                <w:kern w:val="0"/>
                <w:sz w:val="19"/>
                <w:szCs w:val="19"/>
              </w:rPr>
              <w:t> </w:t>
            </w:r>
          </w:p>
        </w:tc>
        <w:tc>
          <w:tcPr>
            <w:tcW w:w="539"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w:t>
            </w:r>
          </w:p>
        </w:tc>
        <w:tc>
          <w:tcPr>
            <w:tcW w:w="540"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left"/>
              <w:rPr>
                <w:rFonts w:ascii="宋体" w:hAnsi="宋体" w:eastAsia="宋体" w:cs="宋体"/>
                <w:kern w:val="0"/>
                <w:sz w:val="19"/>
                <w:szCs w:val="19"/>
              </w:rPr>
            </w:pPr>
            <w:r>
              <w:rPr>
                <w:rFonts w:hint="eastAsia" w:ascii="宋体" w:hAnsi="宋体" w:eastAsia="宋体" w:cs="宋体"/>
                <w:color w:val="000000"/>
                <w:kern w:val="0"/>
                <w:sz w:val="19"/>
                <w:szCs w:val="19"/>
              </w:rPr>
              <w:t> </w:t>
            </w:r>
          </w:p>
        </w:tc>
      </w:tr>
      <w:tr>
        <w:tblPrEx>
          <w:tblCellMar>
            <w:top w:w="0" w:type="dxa"/>
            <w:left w:w="0" w:type="dxa"/>
            <w:bottom w:w="0" w:type="dxa"/>
            <w:right w:w="0" w:type="dxa"/>
          </w:tblCellMar>
        </w:tblPrEx>
        <w:trPr>
          <w:trHeight w:val="733" w:hRule="atLeast"/>
          <w:jc w:val="center"/>
        </w:trPr>
        <w:tc>
          <w:tcPr>
            <w:tcW w:w="324" w:type="dxa"/>
            <w:tcBorders>
              <w:top w:val="nil"/>
              <w:left w:val="single" w:color="231916" w:sz="8" w:space="0"/>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2</w:t>
            </w:r>
          </w:p>
        </w:tc>
        <w:tc>
          <w:tcPr>
            <w:tcW w:w="55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农业生产发展资金</w:t>
            </w:r>
          </w:p>
        </w:tc>
        <w:tc>
          <w:tcPr>
            <w:tcW w:w="55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耕地地力保护</w:t>
            </w:r>
          </w:p>
        </w:tc>
        <w:tc>
          <w:tcPr>
            <w:tcW w:w="1788"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政策依据；</w:t>
            </w:r>
          </w:p>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申请指南：</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 包括补贴对象、补贴范围、补贴标准、咨询电话、受理单位、办理时限、联系方式等；</w:t>
            </w:r>
          </w:p>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补贴结果；</w:t>
            </w:r>
          </w:p>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监督渠道：</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 包 括 举 报 电 话、地址等。</w:t>
            </w:r>
          </w:p>
        </w:tc>
        <w:tc>
          <w:tcPr>
            <w:tcW w:w="1716"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《农业生产发展资金管理办法》（财农〔2017〕41 号）、《财政部 农业部关于全面推 开农业“三项补贴”改革工作的通知》（财农〔2016〕26号）、《××省耕地地力保护实施方案》</w:t>
            </w:r>
          </w:p>
        </w:tc>
        <w:tc>
          <w:tcPr>
            <w:tcW w:w="103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自政府信息形成或者变更之日起20个工作日内。法律、法规对政府信息公开的期限另有规定的，从其规定</w:t>
            </w:r>
          </w:p>
        </w:tc>
        <w:tc>
          <w:tcPr>
            <w:tcW w:w="564"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县级农业农村部门</w:t>
            </w:r>
          </w:p>
        </w:tc>
        <w:tc>
          <w:tcPr>
            <w:tcW w:w="1956"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■政府网站</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□政府公报</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□两微一端</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□发布会/听证会</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□广播电视</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□纸质媒体</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□公开查阅点</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□政务服务中心</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□便民服务站</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□入户/现场</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□社区/企事业单位/村公示栏（电子屏）</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□精准推送</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□其他</w:t>
            </w:r>
          </w:p>
        </w:tc>
        <w:tc>
          <w:tcPr>
            <w:tcW w:w="534"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w:t>
            </w:r>
          </w:p>
        </w:tc>
        <w:tc>
          <w:tcPr>
            <w:tcW w:w="534"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rPr>
                <w:rFonts w:ascii="宋体" w:hAnsi="宋体" w:eastAsia="宋体" w:cs="宋体"/>
                <w:kern w:val="0"/>
                <w:sz w:val="19"/>
                <w:szCs w:val="19"/>
              </w:rPr>
            </w:pPr>
            <w:r>
              <w:rPr>
                <w:rFonts w:hint="eastAsia" w:ascii="宋体" w:hAnsi="宋体" w:eastAsia="宋体" w:cs="宋体"/>
                <w:color w:val="000000"/>
                <w:kern w:val="0"/>
                <w:sz w:val="19"/>
                <w:szCs w:val="19"/>
              </w:rPr>
              <w:t> </w:t>
            </w:r>
          </w:p>
        </w:tc>
        <w:tc>
          <w:tcPr>
            <w:tcW w:w="52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w:t>
            </w:r>
          </w:p>
        </w:tc>
        <w:tc>
          <w:tcPr>
            <w:tcW w:w="52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rPr>
                <w:rFonts w:ascii="宋体" w:hAnsi="宋体" w:eastAsia="宋体" w:cs="宋体"/>
                <w:kern w:val="0"/>
                <w:sz w:val="19"/>
                <w:szCs w:val="19"/>
              </w:rPr>
            </w:pPr>
            <w:r>
              <w:rPr>
                <w:rFonts w:hint="eastAsia" w:ascii="宋体" w:hAnsi="宋体" w:eastAsia="宋体" w:cs="宋体"/>
                <w:color w:val="000000"/>
                <w:kern w:val="0"/>
                <w:sz w:val="19"/>
                <w:szCs w:val="19"/>
              </w:rPr>
              <w:t> </w:t>
            </w:r>
          </w:p>
        </w:tc>
        <w:tc>
          <w:tcPr>
            <w:tcW w:w="539"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w:t>
            </w:r>
          </w:p>
        </w:tc>
        <w:tc>
          <w:tcPr>
            <w:tcW w:w="540"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rPr>
                <w:rFonts w:ascii="宋体" w:hAnsi="宋体" w:eastAsia="宋体" w:cs="宋体"/>
                <w:kern w:val="0"/>
                <w:sz w:val="19"/>
                <w:szCs w:val="19"/>
              </w:rPr>
            </w:pPr>
            <w:r>
              <w:rPr>
                <w:rFonts w:hint="eastAsia" w:ascii="宋体" w:hAnsi="宋体" w:eastAsia="宋体" w:cs="宋体"/>
                <w:color w:val="000000"/>
                <w:kern w:val="0"/>
                <w:sz w:val="19"/>
                <w:szCs w:val="19"/>
              </w:rPr>
              <w:t> </w:t>
            </w:r>
          </w:p>
        </w:tc>
      </w:tr>
      <w:tr>
        <w:tblPrEx>
          <w:tblCellMar>
            <w:top w:w="0" w:type="dxa"/>
            <w:left w:w="0" w:type="dxa"/>
            <w:bottom w:w="0" w:type="dxa"/>
            <w:right w:w="0" w:type="dxa"/>
          </w:tblCellMar>
        </w:tblPrEx>
        <w:trPr>
          <w:trHeight w:val="2898" w:hRule="atLeast"/>
          <w:jc w:val="center"/>
        </w:trPr>
        <w:tc>
          <w:tcPr>
            <w:tcW w:w="324" w:type="dxa"/>
            <w:tcBorders>
              <w:top w:val="nil"/>
              <w:left w:val="single" w:color="231916" w:sz="8" w:space="0"/>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3</w:t>
            </w:r>
          </w:p>
        </w:tc>
        <w:tc>
          <w:tcPr>
            <w:tcW w:w="55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动物防疫等补助经费</w:t>
            </w:r>
          </w:p>
        </w:tc>
        <w:tc>
          <w:tcPr>
            <w:tcW w:w="55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强制扑杀、强制免疫和养殖环节无害化处理补助</w:t>
            </w:r>
          </w:p>
        </w:tc>
        <w:tc>
          <w:tcPr>
            <w:tcW w:w="1788"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政策依据；</w:t>
            </w:r>
          </w:p>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申请指南：</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包括补贴对象、补贴范围、补贴标准、申请程序、申请材料、咨询电话、受理单位、办理时限、联系方式等；</w:t>
            </w:r>
          </w:p>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补贴结果；</w:t>
            </w:r>
          </w:p>
          <w:p>
            <w:pPr>
              <w:widowControl/>
              <w:ind w:left="420" w:hanging="420"/>
              <w:jc w:val="left"/>
              <w:textAlignment w:val="center"/>
              <w:rPr>
                <w:rFonts w:ascii="宋体" w:hAnsi="宋体" w:eastAsia="宋体" w:cs="宋体"/>
                <w:kern w:val="0"/>
                <w:sz w:val="19"/>
                <w:szCs w:val="19"/>
              </w:rPr>
            </w:pPr>
            <w:r>
              <w:rPr>
                <w:rFonts w:ascii="Wingdings" w:hAnsi="Wingdings" w:eastAsia="宋体" w:cs="宋体"/>
                <w:color w:val="231916"/>
                <w:kern w:val="0"/>
                <w:sz w:val="19"/>
                <w:szCs w:val="19"/>
              </w:rPr>
              <w:t></w:t>
            </w:r>
            <w:r>
              <w:rPr>
                <w:rFonts w:hint="eastAsia" w:ascii="宋体" w:hAnsi="宋体" w:eastAsia="宋体" w:cs="宋体"/>
                <w:color w:val="231916"/>
                <w:kern w:val="0"/>
                <w:sz w:val="19"/>
                <w:szCs w:val="19"/>
              </w:rPr>
              <w:t>监督渠道：</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包 括 举 报 电 话、地址等。</w:t>
            </w:r>
          </w:p>
        </w:tc>
        <w:tc>
          <w:tcPr>
            <w:tcW w:w="1716"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《中华人民共和国动物防疫法》、《动物防疫等补助经费管理办法》（财农〔2017〕43 号）、《××省动物防疫补助实施方案》</w:t>
            </w:r>
          </w:p>
        </w:tc>
        <w:tc>
          <w:tcPr>
            <w:tcW w:w="103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自政府信息形成或者变更之日起20个工作日内。法律、法规对政府信息公开的期限另有规定的，从其规定</w:t>
            </w:r>
          </w:p>
        </w:tc>
        <w:tc>
          <w:tcPr>
            <w:tcW w:w="564"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县级农业农村部门</w:t>
            </w:r>
          </w:p>
        </w:tc>
        <w:tc>
          <w:tcPr>
            <w:tcW w:w="1956"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■政府网站</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□政府公报</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□两微一端</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□发布会/听证会</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□广播电视</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□纸质媒体</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□公开查阅点</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□政务服务中心</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□便民服务站</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□入户/现场</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□社区/企事业单位/村公示栏（电子屏）</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□精准推送</w:t>
            </w:r>
          </w:p>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□其他</w:t>
            </w:r>
          </w:p>
        </w:tc>
        <w:tc>
          <w:tcPr>
            <w:tcW w:w="534"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w:t>
            </w:r>
          </w:p>
        </w:tc>
        <w:tc>
          <w:tcPr>
            <w:tcW w:w="534"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rPr>
                <w:rFonts w:ascii="宋体" w:hAnsi="宋体" w:eastAsia="宋体" w:cs="宋体"/>
                <w:kern w:val="0"/>
                <w:sz w:val="19"/>
                <w:szCs w:val="19"/>
              </w:rPr>
            </w:pPr>
            <w:r>
              <w:rPr>
                <w:rFonts w:hint="eastAsia" w:ascii="宋体" w:hAnsi="宋体" w:eastAsia="宋体" w:cs="宋体"/>
                <w:color w:val="000000"/>
                <w:kern w:val="0"/>
                <w:sz w:val="19"/>
                <w:szCs w:val="19"/>
              </w:rPr>
              <w:t> </w:t>
            </w:r>
          </w:p>
        </w:tc>
        <w:tc>
          <w:tcPr>
            <w:tcW w:w="52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w:t>
            </w:r>
          </w:p>
        </w:tc>
        <w:tc>
          <w:tcPr>
            <w:tcW w:w="522"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rPr>
                <w:rFonts w:ascii="宋体" w:hAnsi="宋体" w:eastAsia="宋体" w:cs="宋体"/>
                <w:kern w:val="0"/>
                <w:sz w:val="19"/>
                <w:szCs w:val="19"/>
              </w:rPr>
            </w:pPr>
            <w:r>
              <w:rPr>
                <w:rFonts w:hint="eastAsia" w:ascii="宋体" w:hAnsi="宋体" w:eastAsia="宋体" w:cs="宋体"/>
                <w:color w:val="000000"/>
                <w:kern w:val="0"/>
                <w:sz w:val="19"/>
                <w:szCs w:val="19"/>
              </w:rPr>
              <w:t> </w:t>
            </w:r>
          </w:p>
        </w:tc>
        <w:tc>
          <w:tcPr>
            <w:tcW w:w="539"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w:t>
            </w:r>
          </w:p>
        </w:tc>
        <w:tc>
          <w:tcPr>
            <w:tcW w:w="540" w:type="dxa"/>
            <w:tcBorders>
              <w:top w:val="nil"/>
              <w:left w:val="nil"/>
              <w:bottom w:val="single" w:color="231916" w:sz="8" w:space="0"/>
              <w:right w:val="single" w:color="231916" w:sz="8" w:space="0"/>
            </w:tcBorders>
            <w:tcMar>
              <w:top w:w="12" w:type="dxa"/>
              <w:left w:w="12" w:type="dxa"/>
              <w:bottom w:w="0" w:type="dxa"/>
              <w:right w:w="12" w:type="dxa"/>
            </w:tcMar>
            <w:vAlign w:val="center"/>
          </w:tcPr>
          <w:p>
            <w:pPr>
              <w:widowControl/>
              <w:jc w:val="left"/>
              <w:rPr>
                <w:rFonts w:ascii="宋体" w:hAnsi="宋体" w:eastAsia="宋体" w:cs="宋体"/>
                <w:kern w:val="0"/>
                <w:sz w:val="19"/>
                <w:szCs w:val="19"/>
              </w:rPr>
            </w:pPr>
            <w:r>
              <w:rPr>
                <w:rFonts w:hint="eastAsia" w:ascii="宋体" w:hAnsi="宋体" w:eastAsia="宋体" w:cs="宋体"/>
                <w:color w:val="000000"/>
                <w:kern w:val="0"/>
                <w:sz w:val="19"/>
                <w:szCs w:val="19"/>
              </w:rPr>
              <w:t> </w:t>
            </w:r>
          </w:p>
        </w:tc>
      </w:tr>
      <w:tr>
        <w:tblPrEx>
          <w:tblCellMar>
            <w:top w:w="0" w:type="dxa"/>
            <w:left w:w="0" w:type="dxa"/>
            <w:bottom w:w="0" w:type="dxa"/>
            <w:right w:w="0" w:type="dxa"/>
          </w:tblCellMar>
        </w:tblPrEx>
        <w:trPr>
          <w:trHeight w:val="342" w:hRule="atLeast"/>
          <w:jc w:val="center"/>
        </w:trPr>
        <w:tc>
          <w:tcPr>
            <w:tcW w:w="11675" w:type="dxa"/>
            <w:gridSpan w:val="14"/>
            <w:tcBorders>
              <w:top w:val="nil"/>
              <w:left w:val="single" w:color="231916" w:sz="8" w:space="0"/>
              <w:bottom w:val="single" w:color="231916" w:sz="8" w:space="0"/>
              <w:right w:val="single" w:color="231916" w:sz="8" w:space="0"/>
            </w:tcBorders>
            <w:tcMar>
              <w:top w:w="12" w:type="dxa"/>
              <w:left w:w="12" w:type="dxa"/>
              <w:bottom w:w="0" w:type="dxa"/>
              <w:right w:w="12" w:type="dxa"/>
            </w:tcMar>
            <w:vAlign w:val="center"/>
          </w:tcPr>
          <w:p>
            <w:pPr>
              <w:widowControl/>
              <w:jc w:val="left"/>
              <w:textAlignment w:val="center"/>
              <w:rPr>
                <w:rFonts w:ascii="宋体" w:hAnsi="宋体" w:eastAsia="宋体" w:cs="宋体"/>
                <w:kern w:val="0"/>
                <w:sz w:val="19"/>
                <w:szCs w:val="19"/>
              </w:rPr>
            </w:pPr>
            <w:r>
              <w:rPr>
                <w:rFonts w:hint="eastAsia" w:ascii="宋体" w:hAnsi="宋体" w:eastAsia="宋体" w:cs="宋体"/>
                <w:color w:val="231916"/>
                <w:kern w:val="0"/>
                <w:sz w:val="19"/>
                <w:szCs w:val="19"/>
              </w:rPr>
              <w:t>注：公开信息时应注意保护个人身份信息和隐私安全。</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7BE5"/>
    <w:rsid w:val="00012073"/>
    <w:rsid w:val="00064F3D"/>
    <w:rsid w:val="00066102"/>
    <w:rsid w:val="00182380"/>
    <w:rsid w:val="0023663A"/>
    <w:rsid w:val="003B1529"/>
    <w:rsid w:val="0042751C"/>
    <w:rsid w:val="008010F3"/>
    <w:rsid w:val="00806FFC"/>
    <w:rsid w:val="00867BE5"/>
    <w:rsid w:val="008F7BAF"/>
    <w:rsid w:val="00966112"/>
    <w:rsid w:val="00A03813"/>
    <w:rsid w:val="00A85354"/>
    <w:rsid w:val="00B10967"/>
    <w:rsid w:val="00B179A1"/>
    <w:rsid w:val="00C60171"/>
    <w:rsid w:val="00E87E82"/>
    <w:rsid w:val="565C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标题 1 Char"/>
    <w:basedOn w:val="6"/>
    <w:link w:val="2"/>
    <w:uiPriority w:val="9"/>
    <w:rPr>
      <w:rFonts w:ascii="宋体" w:hAnsi="宋体" w:eastAsia="宋体" w:cs="宋体"/>
      <w:b/>
      <w:bCs/>
      <w:kern w:val="36"/>
      <w:sz w:val="48"/>
      <w:szCs w:val="48"/>
    </w:rPr>
  </w:style>
  <w:style w:type="character" w:customStyle="1" w:styleId="11">
    <w:name w:val="dc_2"/>
    <w:basedOn w:val="6"/>
    <w:uiPriority w:val="0"/>
  </w:style>
  <w:style w:type="character" w:customStyle="1" w:styleId="12">
    <w:name w:val="dc_3"/>
    <w:basedOn w:val="6"/>
    <w:uiPriority w:val="0"/>
  </w:style>
  <w:style w:type="character" w:customStyle="1" w:styleId="13">
    <w:name w:val="font_size"/>
    <w:basedOn w:val="6"/>
    <w:uiPriority w:val="0"/>
  </w:style>
  <w:style w:type="paragraph" w:customStyle="1" w:styleId="14">
    <w:name w:val="p"/>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429</Words>
  <Characters>2450</Characters>
  <Lines>20</Lines>
  <Paragraphs>5</Paragraphs>
  <TotalTime>73</TotalTime>
  <ScaleCrop>false</ScaleCrop>
  <LinksUpToDate>false</LinksUpToDate>
  <CharactersWithSpaces>2874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2020-09-18T05:30:00Z</dcterms:created>
  <dc:creator>453888858@qq.com</dc:creator>
  <cp:lastModifiedBy>lenovo-pc</cp:lastModifiedBy>
  <dcterms:modified xsi:type="dcterms:W3CDTF">2021-01-11T06:00:40Z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