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E53B7D">
      <w:pPr>
        <w:rPr>
          <w:rFonts w:eastAsia="仿宋_GB2312"/>
          <w:color w:val="000000" w:themeColor="text1"/>
          <w:sz w:val="36"/>
          <w:szCs w:val="36"/>
          <w14:textFill>
            <w14:solidFill>
              <w14:schemeClr w14:val="tx1"/>
            </w14:solidFill>
          </w14:textFill>
        </w:rPr>
      </w:pPr>
    </w:p>
    <w:p w14:paraId="5F280ED0">
      <w:pPr>
        <w:rPr>
          <w:rFonts w:eastAsia="仿宋_GB2312"/>
          <w:color w:val="000000" w:themeColor="text1"/>
          <w:sz w:val="36"/>
          <w:szCs w:val="36"/>
          <w14:textFill>
            <w14:solidFill>
              <w14:schemeClr w14:val="tx1"/>
            </w14:solidFill>
          </w14:textFill>
        </w:rPr>
      </w:pPr>
    </w:p>
    <w:p w14:paraId="1ECD2AB0">
      <w:pPr>
        <w:rPr>
          <w:rFonts w:eastAsia="仿宋_GB2312"/>
          <w:color w:val="000000" w:themeColor="text1"/>
          <w:sz w:val="36"/>
          <w:szCs w:val="36"/>
          <w14:textFill>
            <w14:solidFill>
              <w14:schemeClr w14:val="tx1"/>
            </w14:solidFill>
          </w14:textFill>
        </w:rPr>
      </w:pPr>
    </w:p>
    <w:p w14:paraId="3FEB75B5">
      <w:pPr>
        <w:rPr>
          <w:rFonts w:eastAsia="仿宋_GB2312"/>
          <w:color w:val="000000" w:themeColor="text1"/>
          <w:sz w:val="36"/>
          <w:szCs w:val="36"/>
          <w14:textFill>
            <w14:solidFill>
              <w14:schemeClr w14:val="tx1"/>
            </w14:solidFill>
          </w14:textFill>
        </w:rPr>
      </w:pPr>
    </w:p>
    <w:p w14:paraId="470F7D71">
      <w:pPr>
        <w:pStyle w:val="57"/>
        <w:rPr>
          <w:rFonts w:ascii="Times New Roman" w:hAnsi="Times New Roman" w:cs="Times New Roman"/>
          <w:color w:val="000000" w:themeColor="text1"/>
          <w14:textFill>
            <w14:solidFill>
              <w14:schemeClr w14:val="tx1"/>
            </w14:solidFill>
          </w14:textFill>
        </w:rPr>
      </w:pPr>
    </w:p>
    <w:p w14:paraId="384C25FA">
      <w:pPr>
        <w:rPr>
          <w:rFonts w:eastAsia="仿宋_GB2312"/>
          <w:color w:val="000000" w:themeColor="text1"/>
          <w:sz w:val="36"/>
          <w:szCs w:val="36"/>
          <w14:textFill>
            <w14:solidFill>
              <w14:schemeClr w14:val="tx1"/>
            </w14:solidFill>
          </w14:textFill>
        </w:rPr>
      </w:pPr>
    </w:p>
    <w:p w14:paraId="5C59BE10">
      <w:pPr>
        <w:adjustRightInd w:val="0"/>
        <w:snapToGrid w:val="0"/>
        <w:jc w:val="center"/>
        <w:outlineLvl w:val="0"/>
        <w:rPr>
          <w:rFonts w:eastAsia="方正小标宋_GBK"/>
          <w:bCs/>
          <w:color w:val="000000" w:themeColor="text1"/>
          <w:sz w:val="52"/>
          <w:szCs w:val="52"/>
          <w14:textFill>
            <w14:solidFill>
              <w14:schemeClr w14:val="tx1"/>
            </w14:solidFill>
          </w14:textFill>
        </w:rPr>
      </w:pPr>
      <w:bookmarkStart w:id="0" w:name="_Toc106921713"/>
      <w:bookmarkStart w:id="1" w:name="_Toc12667"/>
      <w:bookmarkStart w:id="2" w:name="_Toc114573772"/>
      <w:bookmarkStart w:id="3" w:name="_Toc89982109"/>
      <w:bookmarkStart w:id="4" w:name="_Toc21136"/>
      <w:bookmarkStart w:id="5" w:name="_Toc87710133"/>
      <w:bookmarkStart w:id="6" w:name="_Toc112959930"/>
      <w:bookmarkStart w:id="7" w:name="_Toc107872919"/>
      <w:bookmarkStart w:id="8" w:name="_Toc4747"/>
      <w:bookmarkStart w:id="9" w:name="_Toc29833"/>
      <w:bookmarkStart w:id="10" w:name="_Toc108089434"/>
      <w:bookmarkStart w:id="11" w:name="_Toc110245006"/>
      <w:bookmarkStart w:id="12" w:name="_Toc89988891"/>
      <w:bookmarkStart w:id="13" w:name="_Toc31887"/>
      <w:bookmarkStart w:id="14" w:name="_Toc26948"/>
      <w:bookmarkStart w:id="15" w:name="_Toc21381"/>
      <w:bookmarkStart w:id="16" w:name="_Toc85407097"/>
      <w:bookmarkStart w:id="17" w:name="_Toc89981705"/>
      <w:r>
        <w:rPr>
          <w:rFonts w:eastAsia="方正小标宋_GBK"/>
          <w:bCs/>
          <w:color w:val="000000" w:themeColor="text1"/>
          <w:sz w:val="52"/>
          <w:szCs w:val="52"/>
          <w14:textFill>
            <w14:solidFill>
              <w14:schemeClr w14:val="tx1"/>
            </w14:solidFill>
          </w14:textFill>
        </w:rPr>
        <w:t>建设项目生态环境影响报告表</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14:paraId="79DD4845">
      <w:pPr>
        <w:adjustRightInd w:val="0"/>
        <w:snapToGrid w:val="0"/>
        <w:spacing w:before="192" w:beforeLines="80"/>
        <w:jc w:val="center"/>
        <w:rPr>
          <w:rFonts w:eastAsia="楷体_GB2312"/>
          <w:bCs/>
          <w:color w:val="000000" w:themeColor="text1"/>
          <w:sz w:val="48"/>
          <w:szCs w:val="48"/>
          <w14:textFill>
            <w14:solidFill>
              <w14:schemeClr w14:val="tx1"/>
            </w14:solidFill>
          </w14:textFill>
        </w:rPr>
      </w:pPr>
      <w:r>
        <w:rPr>
          <w:rFonts w:eastAsia="楷体_GB2312"/>
          <w:bCs/>
          <w:color w:val="000000" w:themeColor="text1"/>
          <w:sz w:val="48"/>
          <w:szCs w:val="48"/>
          <w14:textFill>
            <w14:solidFill>
              <w14:schemeClr w14:val="tx1"/>
            </w14:solidFill>
          </w14:textFill>
        </w:rPr>
        <w:t>（污染影响类）</w:t>
      </w:r>
    </w:p>
    <w:p w14:paraId="392A84D0">
      <w:pPr>
        <w:rPr>
          <w:color w:val="000000" w:themeColor="text1"/>
          <w14:textFill>
            <w14:solidFill>
              <w14:schemeClr w14:val="tx1"/>
            </w14:solidFill>
          </w14:textFill>
        </w:rPr>
      </w:pPr>
    </w:p>
    <w:p w14:paraId="2F36023F">
      <w:pPr>
        <w:jc w:val="center"/>
        <w:rPr>
          <w:rFonts w:eastAsia="仿宋"/>
          <w:color w:val="000000" w:themeColor="text1"/>
          <w:sz w:val="52"/>
          <w:szCs w:val="52"/>
          <w14:textFill>
            <w14:solidFill>
              <w14:schemeClr w14:val="tx1"/>
            </w14:solidFill>
          </w14:textFill>
        </w:rPr>
      </w:pPr>
    </w:p>
    <w:p w14:paraId="4600E6D4">
      <w:pPr>
        <w:ind w:firstLine="1040"/>
        <w:rPr>
          <w:rFonts w:eastAsia="仿宋"/>
          <w:color w:val="000000" w:themeColor="text1"/>
          <w:sz w:val="44"/>
          <w:szCs w:val="44"/>
          <w14:textFill>
            <w14:solidFill>
              <w14:schemeClr w14:val="tx1"/>
            </w14:solidFill>
          </w14:textFill>
        </w:rPr>
      </w:pPr>
    </w:p>
    <w:p w14:paraId="2BA438D8">
      <w:pPr>
        <w:ind w:firstLine="1040"/>
        <w:rPr>
          <w:rFonts w:eastAsia="仿宋"/>
          <w:color w:val="000000" w:themeColor="text1"/>
          <w:sz w:val="44"/>
          <w:szCs w:val="44"/>
          <w14:textFill>
            <w14:solidFill>
              <w14:schemeClr w14:val="tx1"/>
            </w14:solidFill>
          </w14:textFill>
        </w:rPr>
      </w:pPr>
    </w:p>
    <w:p w14:paraId="56258A8A">
      <w:pPr>
        <w:ind w:firstLine="1040"/>
        <w:rPr>
          <w:rFonts w:eastAsia="仿宋"/>
          <w:color w:val="000000" w:themeColor="text1"/>
          <w:sz w:val="44"/>
          <w:szCs w:val="44"/>
          <w14:textFill>
            <w14:solidFill>
              <w14:schemeClr w14:val="tx1"/>
            </w14:solidFill>
          </w14:textFill>
        </w:rPr>
      </w:pPr>
    </w:p>
    <w:p w14:paraId="7940A253">
      <w:pPr>
        <w:pStyle w:val="57"/>
        <w:rPr>
          <w:rFonts w:ascii="Times New Roman" w:hAnsi="Times New Roman" w:cs="Times New Roman"/>
          <w:color w:val="000000" w:themeColor="text1"/>
          <w14:textFill>
            <w14:solidFill>
              <w14:schemeClr w14:val="tx1"/>
            </w14:solidFill>
          </w14:textFill>
        </w:rPr>
      </w:pPr>
    </w:p>
    <w:p w14:paraId="3FA05452">
      <w:pPr>
        <w:rPr>
          <w:color w:val="000000" w:themeColor="text1"/>
          <w14:textFill>
            <w14:solidFill>
              <w14:schemeClr w14:val="tx1"/>
            </w14:solidFill>
          </w14:textFill>
        </w:rPr>
      </w:pPr>
    </w:p>
    <w:p w14:paraId="04CFA589">
      <w:pPr>
        <w:ind w:firstLine="1040"/>
        <w:rPr>
          <w:rFonts w:eastAsia="仿宋"/>
          <w:color w:val="000000" w:themeColor="text1"/>
          <w:sz w:val="44"/>
          <w:szCs w:val="44"/>
          <w14:textFill>
            <w14:solidFill>
              <w14:schemeClr w14:val="tx1"/>
            </w14:solidFill>
          </w14:textFill>
        </w:rPr>
      </w:pPr>
    </w:p>
    <w:p w14:paraId="2D0E20C8">
      <w:pPr>
        <w:adjustRightInd w:val="0"/>
        <w:snapToGrid w:val="0"/>
        <w:spacing w:line="360" w:lineRule="auto"/>
        <w:ind w:firstLine="600" w:firstLineChars="200"/>
        <w:rPr>
          <w:color w:val="000000" w:themeColor="text1"/>
          <w:sz w:val="30"/>
          <w:szCs w:val="30"/>
          <w:u w:val="single"/>
          <w14:textFill>
            <w14:solidFill>
              <w14:schemeClr w14:val="tx1"/>
            </w14:solidFill>
          </w14:textFill>
        </w:rPr>
      </w:pPr>
      <w:bookmarkStart w:id="18" w:name="_Hlk57884087"/>
      <w:r>
        <w:rPr>
          <w:color w:val="000000" w:themeColor="text1"/>
          <w:sz w:val="30"/>
          <w:szCs w:val="30"/>
          <w14:textFill>
            <w14:solidFill>
              <w14:schemeClr w14:val="tx1"/>
            </w14:solidFill>
          </w14:textFill>
        </w:rPr>
        <w:t>项目名称：</w:t>
      </w:r>
      <w:r>
        <w:rPr>
          <w:color w:val="000000" w:themeColor="text1"/>
          <w:sz w:val="30"/>
          <w:szCs w:val="30"/>
          <w:u w:val="single"/>
          <w14:textFill>
            <w14:solidFill>
              <w14:schemeClr w14:val="tx1"/>
            </w14:solidFill>
          </w14:textFill>
        </w:rPr>
        <w:t>伊美区美溪供热服务中心兰新供热站建设项目</w:t>
      </w:r>
    </w:p>
    <w:p w14:paraId="120C7259">
      <w:pPr>
        <w:adjustRightInd w:val="0"/>
        <w:snapToGrid w:val="0"/>
        <w:spacing w:line="360" w:lineRule="auto"/>
        <w:ind w:firstLine="600" w:firstLineChars="200"/>
        <w:rPr>
          <w:color w:val="000000" w:themeColor="text1"/>
          <w:sz w:val="30"/>
          <w:szCs w:val="30"/>
          <w:u w:val="single"/>
          <w14:textFill>
            <w14:solidFill>
              <w14:schemeClr w14:val="tx1"/>
            </w14:solidFill>
          </w14:textFill>
        </w:rPr>
      </w:pPr>
      <w:r>
        <w:rPr>
          <w:color w:val="000000" w:themeColor="text1"/>
          <w:sz w:val="30"/>
          <w:szCs w:val="30"/>
          <w14:textFill>
            <w14:solidFill>
              <w14:schemeClr w14:val="tx1"/>
            </w14:solidFill>
          </w14:textFill>
        </w:rPr>
        <w:t>建设单位：</w:t>
      </w:r>
      <w:r>
        <w:rPr>
          <w:color w:val="000000" w:themeColor="text1"/>
          <w:sz w:val="30"/>
          <w:szCs w:val="30"/>
          <w:u w:val="single"/>
          <w14:textFill>
            <w14:solidFill>
              <w14:schemeClr w14:val="tx1"/>
            </w14:solidFill>
          </w14:textFill>
        </w:rPr>
        <w:t xml:space="preserve">伊美区美溪供热服务中心       </w:t>
      </w:r>
    </w:p>
    <w:p w14:paraId="028B8412">
      <w:pPr>
        <w:adjustRightInd w:val="0"/>
        <w:snapToGrid w:val="0"/>
        <w:spacing w:line="360" w:lineRule="auto"/>
        <w:ind w:firstLine="600" w:firstLineChars="200"/>
        <w:rPr>
          <w:color w:val="000000" w:themeColor="text1"/>
          <w:sz w:val="30"/>
          <w:szCs w:val="30"/>
          <w:u w:val="single"/>
          <w14:textFill>
            <w14:solidFill>
              <w14:schemeClr w14:val="tx1"/>
            </w14:solidFill>
          </w14:textFill>
        </w:rPr>
      </w:pPr>
      <w:r>
        <w:rPr>
          <w:color w:val="000000" w:themeColor="text1"/>
          <w:sz w:val="30"/>
          <w:szCs w:val="30"/>
          <w14:textFill>
            <w14:solidFill>
              <w14:schemeClr w14:val="tx1"/>
            </w14:solidFill>
          </w14:textFill>
        </w:rPr>
        <w:t>编制日期：</w:t>
      </w:r>
      <w:r>
        <w:rPr>
          <w:color w:val="000000" w:themeColor="text1"/>
          <w:sz w:val="30"/>
          <w:szCs w:val="30"/>
          <w:u w:val="single"/>
          <w14:textFill>
            <w14:solidFill>
              <w14:schemeClr w14:val="tx1"/>
            </w14:solidFill>
          </w14:textFill>
        </w:rPr>
        <w:t xml:space="preserve">  2026年9月    </w:t>
      </w:r>
    </w:p>
    <w:p w14:paraId="3D5661CF">
      <w:pPr>
        <w:adjustRightInd w:val="0"/>
        <w:snapToGrid w:val="0"/>
        <w:spacing w:line="288" w:lineRule="auto"/>
        <w:ind w:firstLine="1040"/>
        <w:rPr>
          <w:rFonts w:eastAsia="仿宋_GB2312"/>
          <w:color w:val="000000" w:themeColor="text1"/>
          <w:sz w:val="36"/>
          <w:szCs w:val="36"/>
          <w:u w:val="single"/>
          <w14:textFill>
            <w14:solidFill>
              <w14:schemeClr w14:val="tx1"/>
            </w14:solidFill>
          </w14:textFill>
        </w:rPr>
      </w:pPr>
    </w:p>
    <w:p w14:paraId="35F30FAE">
      <w:pPr>
        <w:rPr>
          <w:color w:val="000000" w:themeColor="text1"/>
          <w14:textFill>
            <w14:solidFill>
              <w14:schemeClr w14:val="tx1"/>
            </w14:solidFill>
          </w14:textFill>
        </w:rPr>
      </w:pPr>
    </w:p>
    <w:p w14:paraId="48AD49A5">
      <w:pPr>
        <w:rPr>
          <w:color w:val="000000" w:themeColor="text1"/>
          <w14:textFill>
            <w14:solidFill>
              <w14:schemeClr w14:val="tx1"/>
            </w14:solidFill>
          </w14:textFill>
        </w:rPr>
      </w:pPr>
    </w:p>
    <w:p w14:paraId="3AEF2B10">
      <w:pPr>
        <w:pStyle w:val="8"/>
        <w:rPr>
          <w:color w:val="000000" w:themeColor="text1"/>
          <w14:textFill>
            <w14:solidFill>
              <w14:schemeClr w14:val="tx1"/>
            </w14:solidFill>
          </w14:textFill>
        </w:rPr>
      </w:pPr>
    </w:p>
    <w:bookmarkEnd w:id="18"/>
    <w:p w14:paraId="0453E2C7">
      <w:pPr>
        <w:adjustRightInd w:val="0"/>
        <w:snapToGrid w:val="0"/>
        <w:spacing w:line="288" w:lineRule="auto"/>
        <w:jc w:val="center"/>
        <w:rPr>
          <w:color w:val="000000" w:themeColor="text1"/>
          <w:sz w:val="32"/>
          <w:szCs w:val="32"/>
          <w14:textFill>
            <w14:solidFill>
              <w14:schemeClr w14:val="tx1"/>
            </w14:solidFill>
          </w14:textFill>
        </w:rPr>
      </w:pPr>
      <w:r>
        <w:rPr>
          <w:color w:val="000000" w:themeColor="text1"/>
          <w:sz w:val="32"/>
          <w:szCs w:val="32"/>
          <w14:textFill>
            <w14:solidFill>
              <w14:schemeClr w14:val="tx1"/>
            </w14:solidFill>
          </w14:textFill>
        </w:rPr>
        <w:t>中华人民共和国生态环境部制</w:t>
      </w:r>
    </w:p>
    <w:p w14:paraId="212F973B">
      <w:pPr>
        <w:pStyle w:val="94"/>
        <w:ind w:firstLine="480"/>
        <w:rPr>
          <w:rFonts w:ascii="Times New Roman" w:hAnsi="Times New Roman" w:cs="Times New Roman"/>
          <w:color w:val="000000" w:themeColor="text1"/>
          <w14:textFill>
            <w14:solidFill>
              <w14:schemeClr w14:val="tx1"/>
            </w14:solidFill>
          </w14:textFill>
        </w:rPr>
      </w:pPr>
    </w:p>
    <w:p w14:paraId="39C968FB">
      <w:pPr>
        <w:adjustRightInd w:val="0"/>
        <w:snapToGrid w:val="0"/>
        <w:spacing w:line="288" w:lineRule="auto"/>
        <w:ind w:firstLine="1040"/>
        <w:rPr>
          <w:color w:val="000000" w:themeColor="text1"/>
          <w14:textFill>
            <w14:solidFill>
              <w14:schemeClr w14:val="tx1"/>
            </w14:solidFill>
          </w14:textFill>
        </w:rPr>
      </w:pPr>
    </w:p>
    <w:p w14:paraId="7ECD4803">
      <w:pPr>
        <w:pStyle w:val="94"/>
        <w:ind w:firstLine="480"/>
        <w:rPr>
          <w:rFonts w:ascii="Times New Roman" w:hAnsi="Times New Roman" w:cs="Times New Roman"/>
          <w:color w:val="000000" w:themeColor="text1"/>
          <w14:textFill>
            <w14:solidFill>
              <w14:schemeClr w14:val="tx1"/>
            </w14:solidFill>
          </w14:textFill>
        </w:rPr>
      </w:pPr>
    </w:p>
    <w:p w14:paraId="24508B56">
      <w:pPr>
        <w:rPr>
          <w:color w:val="000000" w:themeColor="text1"/>
          <w14:textFill>
            <w14:solidFill>
              <w14:schemeClr w14:val="tx1"/>
            </w14:solidFill>
          </w14:textFill>
        </w:rPr>
      </w:pPr>
    </w:p>
    <w:p w14:paraId="40FE199D">
      <w:pPr>
        <w:pStyle w:val="94"/>
        <w:ind w:firstLine="0" w:firstLineChars="0"/>
        <w:jc w:val="center"/>
        <w:rPr>
          <w:rFonts w:ascii="Times New Roman" w:hAnsi="Times New Roman" w:cs="Times New Roman"/>
          <w:color w:val="000000" w:themeColor="text1"/>
          <w14:textFill>
            <w14:solidFill>
              <w14:schemeClr w14:val="tx1"/>
            </w14:solidFill>
          </w14:textFill>
        </w:rPr>
        <w:sectPr>
          <w:footerReference r:id="rId3" w:type="default"/>
          <w:footerReference r:id="rId4" w:type="even"/>
          <w:pgSz w:w="11906" w:h="16838"/>
          <w:pgMar w:top="1440" w:right="1800" w:bottom="1440" w:left="1800" w:header="851" w:footer="1077" w:gutter="0"/>
          <w:pgNumType w:start="3"/>
          <w:cols w:space="720" w:num="1"/>
          <w:docGrid w:linePitch="312" w:charSpace="0"/>
        </w:sectPr>
      </w:pPr>
    </w:p>
    <w:p w14:paraId="6F297ECA">
      <w:pPr>
        <w:rPr>
          <w:color w:val="000000" w:themeColor="text1"/>
          <w14:textFill>
            <w14:solidFill>
              <w14:schemeClr w14:val="tx1"/>
            </w14:solidFill>
          </w14:textFill>
        </w:rPr>
      </w:pPr>
    </w:p>
    <w:p w14:paraId="25F1F4A9">
      <w:pPr>
        <w:rPr>
          <w:color w:val="000000" w:themeColor="text1"/>
          <w14:textFill>
            <w14:solidFill>
              <w14:schemeClr w14:val="tx1"/>
            </w14:solidFill>
          </w14:textFill>
        </w:rPr>
        <w:sectPr>
          <w:pgSz w:w="11906" w:h="16838"/>
          <w:pgMar w:top="1440" w:right="1800" w:bottom="1440" w:left="1800" w:header="851" w:footer="1077" w:gutter="0"/>
          <w:pgNumType w:start="3"/>
          <w:cols w:space="720" w:num="1"/>
          <w:docGrid w:linePitch="312" w:charSpace="0"/>
        </w:sectPr>
      </w:pPr>
      <w:r>
        <w:rPr>
          <w:color w:val="000000" w:themeColor="text1"/>
          <w14:textFill>
            <w14:solidFill>
              <w14:schemeClr w14:val="tx1"/>
            </w14:solidFill>
          </w14:textFill>
        </w:rPr>
        <w:drawing>
          <wp:inline distT="0" distB="0" distL="114300" distR="114300">
            <wp:extent cx="5271135" cy="7446010"/>
            <wp:effectExtent l="0" t="0" r="12065" b="8890"/>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11"/>
                    <a:stretch>
                      <a:fillRect/>
                    </a:stretch>
                  </pic:blipFill>
                  <pic:spPr>
                    <a:xfrm>
                      <a:off x="0" y="0"/>
                      <a:ext cx="5271135" cy="7446010"/>
                    </a:xfrm>
                    <a:prstGeom prst="rect">
                      <a:avLst/>
                    </a:prstGeom>
                    <a:noFill/>
                    <a:ln>
                      <a:noFill/>
                    </a:ln>
                  </pic:spPr>
                </pic:pic>
              </a:graphicData>
            </a:graphic>
          </wp:inline>
        </w:drawing>
      </w:r>
    </w:p>
    <w:p w14:paraId="4E43B2D0">
      <w:pPr>
        <w:pStyle w:val="57"/>
        <w:spacing w:line="360"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b/>
          <w:bCs/>
          <w:color w:val="000000" w:themeColor="text1"/>
          <w:sz w:val="32"/>
          <w:szCs w:val="32"/>
          <w14:textFill>
            <w14:solidFill>
              <w14:schemeClr w14:val="tx1"/>
            </w14:solidFill>
          </w14:textFill>
        </w:rPr>
        <w:t>目 录</w:t>
      </w: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color w:val="000000" w:themeColor="text1"/>
          <w14:textFill>
            <w14:solidFill>
              <w14:schemeClr w14:val="tx1"/>
            </w14:solidFill>
          </w14:textFill>
        </w:rPr>
        <w:instrText xml:space="preserve">TOC \o "1-1" \h \u </w:instrText>
      </w:r>
      <w:r>
        <w:rPr>
          <w:rFonts w:ascii="Times New Roman" w:hAnsi="Times New Roman" w:cs="Times New Roman"/>
          <w:color w:val="000000" w:themeColor="text1"/>
          <w14:textFill>
            <w14:solidFill>
              <w14:schemeClr w14:val="tx1"/>
            </w14:solidFill>
          </w14:textFill>
        </w:rPr>
        <w:fldChar w:fldCharType="separate"/>
      </w:r>
    </w:p>
    <w:p w14:paraId="162FB0FA">
      <w:pPr>
        <w:pStyle w:val="17"/>
        <w:tabs>
          <w:tab w:val="right" w:leader="dot" w:pos="8306"/>
        </w:tabs>
        <w:spacing w:line="360" w:lineRule="auto"/>
        <w:rPr>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"_Toc25175" </w:instrText>
      </w:r>
      <w:r>
        <w:rPr>
          <w:color w:val="000000" w:themeColor="text1"/>
          <w14:textFill>
            <w14:solidFill>
              <w14:schemeClr w14:val="tx1"/>
            </w14:solidFill>
          </w14:textFill>
        </w:rPr>
        <w:fldChar w:fldCharType="separate"/>
      </w:r>
      <w:r>
        <w:rPr>
          <w:rFonts w:eastAsia="黑体"/>
          <w:snapToGrid w:val="0"/>
          <w:color w:val="000000" w:themeColor="text1"/>
          <w:sz w:val="24"/>
          <w14:textFill>
            <w14:solidFill>
              <w14:schemeClr w14:val="tx1"/>
            </w14:solidFill>
          </w14:textFill>
        </w:rPr>
        <w:t>一、建设项目基本情况</w:t>
      </w:r>
      <w:r>
        <w:rPr>
          <w:color w:val="000000" w:themeColor="text1"/>
          <w:sz w:val="24"/>
          <w14:textFill>
            <w14:solidFill>
              <w14:schemeClr w14:val="tx1"/>
            </w14:solidFill>
          </w14:textFill>
        </w:rPr>
        <w:tab/>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PAGEREF _Toc25175 \h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1</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fldChar w:fldCharType="end"/>
      </w:r>
    </w:p>
    <w:p w14:paraId="3EA53160">
      <w:pPr>
        <w:pStyle w:val="17"/>
        <w:tabs>
          <w:tab w:val="right" w:leader="dot" w:pos="8306"/>
        </w:tabs>
        <w:spacing w:line="360" w:lineRule="auto"/>
        <w:rPr>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"_Toc6195" </w:instrText>
      </w:r>
      <w:r>
        <w:rPr>
          <w:color w:val="000000" w:themeColor="text1"/>
          <w14:textFill>
            <w14:solidFill>
              <w14:schemeClr w14:val="tx1"/>
            </w14:solidFill>
          </w14:textFill>
        </w:rPr>
        <w:fldChar w:fldCharType="separate"/>
      </w:r>
      <w:r>
        <w:rPr>
          <w:rFonts w:eastAsia="黑体"/>
          <w:snapToGrid w:val="0"/>
          <w:color w:val="000000" w:themeColor="text1"/>
          <w:sz w:val="24"/>
          <w14:textFill>
            <w14:solidFill>
              <w14:schemeClr w14:val="tx1"/>
            </w14:solidFill>
          </w14:textFill>
        </w:rPr>
        <w:t>二、建设项目工程分析</w:t>
      </w:r>
      <w:r>
        <w:rPr>
          <w:color w:val="000000" w:themeColor="text1"/>
          <w:sz w:val="24"/>
          <w14:textFill>
            <w14:solidFill>
              <w14:schemeClr w14:val="tx1"/>
            </w14:solidFill>
          </w14:textFill>
        </w:rPr>
        <w:tab/>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PAGEREF _Toc6195 \h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12</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fldChar w:fldCharType="end"/>
      </w:r>
    </w:p>
    <w:p w14:paraId="6263FF72">
      <w:pPr>
        <w:pStyle w:val="17"/>
        <w:tabs>
          <w:tab w:val="right" w:leader="dot" w:pos="8306"/>
        </w:tabs>
        <w:spacing w:line="360" w:lineRule="auto"/>
        <w:rPr>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"_Toc24148" </w:instrText>
      </w:r>
      <w:r>
        <w:rPr>
          <w:color w:val="000000" w:themeColor="text1"/>
          <w14:textFill>
            <w14:solidFill>
              <w14:schemeClr w14:val="tx1"/>
            </w14:solidFill>
          </w14:textFill>
        </w:rPr>
        <w:fldChar w:fldCharType="separate"/>
      </w:r>
      <w:r>
        <w:rPr>
          <w:rFonts w:eastAsia="黑体"/>
          <w:snapToGrid w:val="0"/>
          <w:color w:val="000000" w:themeColor="text1"/>
          <w:sz w:val="24"/>
          <w14:textFill>
            <w14:solidFill>
              <w14:schemeClr w14:val="tx1"/>
            </w14:solidFill>
          </w14:textFill>
        </w:rPr>
        <w:t>三、区域环境质量现状、环境保护目标及评价标准</w:t>
      </w:r>
      <w:r>
        <w:rPr>
          <w:color w:val="000000" w:themeColor="text1"/>
          <w:sz w:val="24"/>
          <w14:textFill>
            <w14:solidFill>
              <w14:schemeClr w14:val="tx1"/>
            </w14:solidFill>
          </w14:textFill>
        </w:rPr>
        <w:tab/>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PAGEREF _Toc24148 \h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19</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fldChar w:fldCharType="end"/>
      </w:r>
    </w:p>
    <w:p w14:paraId="314BB4DF">
      <w:pPr>
        <w:pStyle w:val="17"/>
        <w:tabs>
          <w:tab w:val="right" w:leader="dot" w:pos="8306"/>
        </w:tabs>
        <w:spacing w:line="360" w:lineRule="auto"/>
        <w:rPr>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"_Toc26819" </w:instrText>
      </w:r>
      <w:r>
        <w:rPr>
          <w:color w:val="000000" w:themeColor="text1"/>
          <w14:textFill>
            <w14:solidFill>
              <w14:schemeClr w14:val="tx1"/>
            </w14:solidFill>
          </w14:textFill>
        </w:rPr>
        <w:fldChar w:fldCharType="separate"/>
      </w:r>
      <w:r>
        <w:rPr>
          <w:rFonts w:eastAsia="黑体"/>
          <w:snapToGrid w:val="0"/>
          <w:color w:val="000000" w:themeColor="text1"/>
          <w:sz w:val="24"/>
          <w14:textFill>
            <w14:solidFill>
              <w14:schemeClr w14:val="tx1"/>
            </w14:solidFill>
          </w14:textFill>
        </w:rPr>
        <w:t>四、主要环境影响和保护措施</w:t>
      </w:r>
      <w:r>
        <w:rPr>
          <w:color w:val="000000" w:themeColor="text1"/>
          <w:sz w:val="24"/>
          <w14:textFill>
            <w14:solidFill>
              <w14:schemeClr w14:val="tx1"/>
            </w14:solidFill>
          </w14:textFill>
        </w:rPr>
        <w:tab/>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PAGEREF _Toc26819 \h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24</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fldChar w:fldCharType="end"/>
      </w:r>
    </w:p>
    <w:p w14:paraId="40669D89">
      <w:pPr>
        <w:pStyle w:val="17"/>
        <w:tabs>
          <w:tab w:val="right" w:leader="dot" w:pos="8306"/>
        </w:tabs>
        <w:spacing w:line="360" w:lineRule="auto"/>
        <w:rPr>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"_Toc13883" </w:instrText>
      </w:r>
      <w:r>
        <w:rPr>
          <w:color w:val="000000" w:themeColor="text1"/>
          <w14:textFill>
            <w14:solidFill>
              <w14:schemeClr w14:val="tx1"/>
            </w14:solidFill>
          </w14:textFill>
        </w:rPr>
        <w:fldChar w:fldCharType="separate"/>
      </w:r>
      <w:r>
        <w:rPr>
          <w:rFonts w:eastAsia="黑体"/>
          <w:snapToGrid w:val="0"/>
          <w:color w:val="000000" w:themeColor="text1"/>
          <w:sz w:val="24"/>
          <w14:textFill>
            <w14:solidFill>
              <w14:schemeClr w14:val="tx1"/>
            </w14:solidFill>
          </w14:textFill>
        </w:rPr>
        <w:t>五、环境保护措施监督检查清单</w:t>
      </w:r>
      <w:r>
        <w:rPr>
          <w:color w:val="000000" w:themeColor="text1"/>
          <w:sz w:val="24"/>
          <w14:textFill>
            <w14:solidFill>
              <w14:schemeClr w14:val="tx1"/>
            </w14:solidFill>
          </w14:textFill>
        </w:rPr>
        <w:tab/>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PAGEREF _Toc13883 \h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45</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fldChar w:fldCharType="end"/>
      </w:r>
    </w:p>
    <w:p w14:paraId="3BB67865">
      <w:pPr>
        <w:pStyle w:val="17"/>
        <w:tabs>
          <w:tab w:val="right" w:leader="dot" w:pos="8306"/>
        </w:tabs>
        <w:spacing w:line="360" w:lineRule="auto"/>
        <w:rPr>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"_Toc8155" </w:instrText>
      </w:r>
      <w:r>
        <w:rPr>
          <w:color w:val="000000" w:themeColor="text1"/>
          <w14:textFill>
            <w14:solidFill>
              <w14:schemeClr w14:val="tx1"/>
            </w14:solidFill>
          </w14:textFill>
        </w:rPr>
        <w:fldChar w:fldCharType="separate"/>
      </w:r>
      <w:r>
        <w:rPr>
          <w:rFonts w:eastAsia="黑体"/>
          <w:snapToGrid w:val="0"/>
          <w:color w:val="000000" w:themeColor="text1"/>
          <w:sz w:val="24"/>
          <w14:textFill>
            <w14:solidFill>
              <w14:schemeClr w14:val="tx1"/>
            </w14:solidFill>
          </w14:textFill>
        </w:rPr>
        <w:t>六、结论</w:t>
      </w:r>
      <w:r>
        <w:rPr>
          <w:color w:val="000000" w:themeColor="text1"/>
          <w:sz w:val="24"/>
          <w14:textFill>
            <w14:solidFill>
              <w14:schemeClr w14:val="tx1"/>
            </w14:solidFill>
          </w14:textFill>
        </w:rPr>
        <w:tab/>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PAGEREF _Toc8155 \h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47</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fldChar w:fldCharType="end"/>
      </w:r>
    </w:p>
    <w:p w14:paraId="62359C8C">
      <w:pPr>
        <w:pStyle w:val="17"/>
        <w:tabs>
          <w:tab w:val="right" w:leader="dot" w:pos="8306"/>
        </w:tabs>
        <w:spacing w:line="360" w:lineRule="auto"/>
        <w:rPr>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"_Toc32148" </w:instrText>
      </w:r>
      <w:r>
        <w:rPr>
          <w:color w:val="000000" w:themeColor="text1"/>
          <w14:textFill>
            <w14:solidFill>
              <w14:schemeClr w14:val="tx1"/>
            </w14:solidFill>
          </w14:textFill>
        </w:rPr>
        <w:fldChar w:fldCharType="separate"/>
      </w:r>
      <w:r>
        <w:rPr>
          <w:rFonts w:eastAsia="黑体"/>
          <w:snapToGrid w:val="0"/>
          <w:color w:val="000000" w:themeColor="text1"/>
          <w:sz w:val="24"/>
          <w14:textFill>
            <w14:solidFill>
              <w14:schemeClr w14:val="tx1"/>
            </w14:solidFill>
          </w14:textFill>
        </w:rPr>
        <w:t>附表</w:t>
      </w:r>
      <w:r>
        <w:rPr>
          <w:color w:val="000000" w:themeColor="text1"/>
          <w:sz w:val="24"/>
          <w14:textFill>
            <w14:solidFill>
              <w14:schemeClr w14:val="tx1"/>
            </w14:solidFill>
          </w14:textFill>
        </w:rPr>
        <w:tab/>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PAGEREF _Toc32148 \h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48</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fldChar w:fldCharType="end"/>
      </w:r>
    </w:p>
    <w:p w14:paraId="3DC3893E">
      <w:pPr>
        <w:pStyle w:val="17"/>
        <w:tabs>
          <w:tab w:val="right" w:leader="dot" w:pos="8306"/>
        </w:tabs>
        <w:spacing w:line="360" w:lineRule="auto"/>
        <w:rPr>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"_Toc26570" </w:instrText>
      </w:r>
      <w:r>
        <w:rPr>
          <w:color w:val="000000" w:themeColor="text1"/>
          <w14:textFill>
            <w14:solidFill>
              <w14:schemeClr w14:val="tx1"/>
            </w14:solidFill>
          </w14:textFill>
        </w:rPr>
        <w:fldChar w:fldCharType="separate"/>
      </w:r>
      <w:r>
        <w:rPr>
          <w:rFonts w:eastAsia="黑体"/>
          <w:snapToGrid w:val="0"/>
          <w:color w:val="000000" w:themeColor="text1"/>
          <w:sz w:val="24"/>
          <w14:textFill>
            <w14:solidFill>
              <w14:schemeClr w14:val="tx1"/>
            </w14:solidFill>
          </w14:textFill>
        </w:rPr>
        <w:t>附图1 本项目地理位置图</w:t>
      </w:r>
      <w:r>
        <w:rPr>
          <w:color w:val="000000" w:themeColor="text1"/>
          <w:sz w:val="24"/>
          <w14:textFill>
            <w14:solidFill>
              <w14:schemeClr w14:val="tx1"/>
            </w14:solidFill>
          </w14:textFill>
        </w:rPr>
        <w:tab/>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PAGEREF _Toc26570 \h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49</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fldChar w:fldCharType="end"/>
      </w:r>
    </w:p>
    <w:p w14:paraId="1174D5F6">
      <w:pPr>
        <w:pStyle w:val="17"/>
        <w:tabs>
          <w:tab w:val="right" w:leader="dot" w:pos="8306"/>
        </w:tabs>
        <w:spacing w:line="360" w:lineRule="auto"/>
        <w:rPr>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"_Toc25979" </w:instrText>
      </w:r>
      <w:r>
        <w:rPr>
          <w:color w:val="000000" w:themeColor="text1"/>
          <w14:textFill>
            <w14:solidFill>
              <w14:schemeClr w14:val="tx1"/>
            </w14:solidFill>
          </w14:textFill>
        </w:rPr>
        <w:fldChar w:fldCharType="separate"/>
      </w:r>
      <w:r>
        <w:rPr>
          <w:rFonts w:eastAsia="黑体"/>
          <w:snapToGrid w:val="0"/>
          <w:color w:val="000000" w:themeColor="text1"/>
          <w:sz w:val="24"/>
          <w14:textFill>
            <w14:solidFill>
              <w14:schemeClr w14:val="tx1"/>
            </w14:solidFill>
          </w14:textFill>
        </w:rPr>
        <w:t>附图2 厂区总平面布置图</w:t>
      </w:r>
      <w:r>
        <w:rPr>
          <w:color w:val="000000" w:themeColor="text1"/>
          <w:sz w:val="24"/>
          <w14:textFill>
            <w14:solidFill>
              <w14:schemeClr w14:val="tx1"/>
            </w14:solidFill>
          </w14:textFill>
        </w:rPr>
        <w:tab/>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PAGEREF _Toc25979 \h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50</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fldChar w:fldCharType="end"/>
      </w:r>
    </w:p>
    <w:p w14:paraId="4A40E7F4">
      <w:pPr>
        <w:pStyle w:val="17"/>
        <w:tabs>
          <w:tab w:val="right" w:leader="dot" w:pos="8306"/>
        </w:tabs>
        <w:spacing w:line="360" w:lineRule="auto"/>
        <w:rPr>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"_Toc15105" </w:instrText>
      </w:r>
      <w:r>
        <w:rPr>
          <w:color w:val="000000" w:themeColor="text1"/>
          <w14:textFill>
            <w14:solidFill>
              <w14:schemeClr w14:val="tx1"/>
            </w14:solidFill>
          </w14:textFill>
        </w:rPr>
        <w:fldChar w:fldCharType="separate"/>
      </w:r>
      <w:r>
        <w:rPr>
          <w:rFonts w:eastAsia="黑体"/>
          <w:snapToGrid w:val="0"/>
          <w:color w:val="000000" w:themeColor="text1"/>
          <w:sz w:val="24"/>
          <w14:textFill>
            <w14:solidFill>
              <w14:schemeClr w14:val="tx1"/>
            </w14:solidFill>
          </w14:textFill>
        </w:rPr>
        <w:t>附图3</w:t>
      </w:r>
      <w:r>
        <w:rPr>
          <w:rFonts w:hint="eastAsia" w:eastAsia="黑体"/>
          <w:snapToGrid w:val="0"/>
          <w:color w:val="000000" w:themeColor="text1"/>
          <w:sz w:val="24"/>
          <w14:textFill>
            <w14:solidFill>
              <w14:schemeClr w14:val="tx1"/>
            </w14:solidFill>
          </w14:textFill>
        </w:rPr>
        <w:t>评价范围</w:t>
      </w:r>
      <w:r>
        <w:rPr>
          <w:rFonts w:eastAsia="黑体"/>
          <w:snapToGrid w:val="0"/>
          <w:color w:val="000000" w:themeColor="text1"/>
          <w:sz w:val="24"/>
          <w14:textFill>
            <w14:solidFill>
              <w14:schemeClr w14:val="tx1"/>
            </w14:solidFill>
          </w14:textFill>
        </w:rPr>
        <w:t>标图</w:t>
      </w:r>
      <w:r>
        <w:rPr>
          <w:color w:val="000000" w:themeColor="text1"/>
          <w:sz w:val="24"/>
          <w14:textFill>
            <w14:solidFill>
              <w14:schemeClr w14:val="tx1"/>
            </w14:solidFill>
          </w14:textFill>
        </w:rPr>
        <w:tab/>
      </w: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PAGEREF _Toc15105 \h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51</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fldChar w:fldCharType="end"/>
      </w:r>
    </w:p>
    <w:p w14:paraId="370F4E36">
      <w:pPr>
        <w:pStyle w:val="17"/>
        <w:tabs>
          <w:tab w:val="right" w:leader="dot" w:pos="8306"/>
        </w:tabs>
        <w:spacing w:line="360" w:lineRule="auto"/>
        <w:rPr>
          <w:rFonts w:eastAsia="黑体"/>
          <w:snapToGrid w:val="0"/>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"_Toc19698" </w:instrText>
      </w:r>
      <w:r>
        <w:rPr>
          <w:color w:val="000000" w:themeColor="text1"/>
          <w14:textFill>
            <w14:solidFill>
              <w14:schemeClr w14:val="tx1"/>
            </w14:solidFill>
          </w14:textFill>
        </w:rPr>
        <w:fldChar w:fldCharType="separate"/>
      </w:r>
      <w:r>
        <w:rPr>
          <w:rFonts w:eastAsia="黑体"/>
          <w:snapToGrid w:val="0"/>
          <w:color w:val="000000" w:themeColor="text1"/>
          <w:sz w:val="24"/>
          <w14:textFill>
            <w14:solidFill>
              <w14:schemeClr w14:val="tx1"/>
            </w14:solidFill>
          </w14:textFill>
        </w:rPr>
        <w:t xml:space="preserve">附件1 </w:t>
      </w:r>
      <w:r>
        <w:rPr>
          <w:rFonts w:hint="eastAsia" w:eastAsia="黑体"/>
          <w:snapToGrid w:val="0"/>
          <w:color w:val="000000" w:themeColor="text1"/>
          <w:sz w:val="24"/>
          <w14:textFill>
            <w14:solidFill>
              <w14:schemeClr w14:val="tx1"/>
            </w14:solidFill>
          </w14:textFill>
        </w:rPr>
        <w:t>事业单位法人证书</w:t>
      </w:r>
      <w:r>
        <w:rPr>
          <w:rFonts w:hint="eastAsia" w:eastAsia="黑体"/>
          <w:snapToGrid w:val="0"/>
          <w:color w:val="000000" w:themeColor="text1"/>
          <w:sz w:val="24"/>
          <w14:textFill>
            <w14:solidFill>
              <w14:schemeClr w14:val="tx1"/>
            </w14:solidFill>
          </w14:textFill>
        </w:rPr>
        <w:tab/>
      </w:r>
      <w:r>
        <w:rPr>
          <w:rFonts w:hint="eastAsia" w:eastAsia="黑体"/>
          <w:snapToGrid w:val="0"/>
          <w:color w:val="000000" w:themeColor="text1"/>
          <w:sz w:val="24"/>
          <w14:textFill>
            <w14:solidFill>
              <w14:schemeClr w14:val="tx1"/>
            </w14:solidFill>
          </w14:textFill>
        </w:rPr>
        <w:fldChar w:fldCharType="begin"/>
      </w:r>
      <w:r>
        <w:rPr>
          <w:rFonts w:hint="eastAsia" w:eastAsia="黑体"/>
          <w:snapToGrid w:val="0"/>
          <w:color w:val="000000" w:themeColor="text1"/>
          <w:sz w:val="24"/>
          <w14:textFill>
            <w14:solidFill>
              <w14:schemeClr w14:val="tx1"/>
            </w14:solidFill>
          </w14:textFill>
        </w:rPr>
        <w:instrText xml:space="preserve"> PAGEREF _Toc19698 \h </w:instrText>
      </w:r>
      <w:r>
        <w:rPr>
          <w:rFonts w:hint="eastAsia" w:eastAsia="黑体"/>
          <w:snapToGrid w:val="0"/>
          <w:color w:val="000000" w:themeColor="text1"/>
          <w:sz w:val="24"/>
          <w14:textFill>
            <w14:solidFill>
              <w14:schemeClr w14:val="tx1"/>
            </w14:solidFill>
          </w14:textFill>
        </w:rPr>
        <w:fldChar w:fldCharType="separate"/>
      </w:r>
      <w:r>
        <w:rPr>
          <w:rFonts w:hint="eastAsia" w:eastAsia="黑体"/>
          <w:snapToGrid w:val="0"/>
          <w:color w:val="000000" w:themeColor="text1"/>
          <w:sz w:val="24"/>
          <w14:textFill>
            <w14:solidFill>
              <w14:schemeClr w14:val="tx1"/>
            </w14:solidFill>
          </w14:textFill>
        </w:rPr>
        <w:t>52</w:t>
      </w:r>
      <w:r>
        <w:rPr>
          <w:rFonts w:hint="eastAsia" w:eastAsia="黑体"/>
          <w:snapToGrid w:val="0"/>
          <w:color w:val="000000" w:themeColor="text1"/>
          <w:sz w:val="24"/>
          <w14:textFill>
            <w14:solidFill>
              <w14:schemeClr w14:val="tx1"/>
            </w14:solidFill>
          </w14:textFill>
        </w:rPr>
        <w:fldChar w:fldCharType="end"/>
      </w:r>
      <w:r>
        <w:rPr>
          <w:rFonts w:hint="eastAsia" w:eastAsia="黑体"/>
          <w:snapToGrid w:val="0"/>
          <w:color w:val="000000" w:themeColor="text1"/>
          <w:sz w:val="24"/>
          <w14:textFill>
            <w14:solidFill>
              <w14:schemeClr w14:val="tx1"/>
            </w14:solidFill>
          </w14:textFill>
        </w:rPr>
        <w:fldChar w:fldCharType="end"/>
      </w:r>
    </w:p>
    <w:p w14:paraId="61384DE6">
      <w:pPr>
        <w:pStyle w:val="17"/>
        <w:tabs>
          <w:tab w:val="right" w:leader="dot" w:pos="8306"/>
        </w:tabs>
        <w:spacing w:line="360" w:lineRule="auto"/>
        <w:rPr>
          <w:rFonts w:eastAsia="黑体"/>
          <w:snapToGrid w:val="0"/>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"_Toc1458" </w:instrText>
      </w:r>
      <w:r>
        <w:rPr>
          <w:color w:val="000000" w:themeColor="text1"/>
          <w14:textFill>
            <w14:solidFill>
              <w14:schemeClr w14:val="tx1"/>
            </w14:solidFill>
          </w14:textFill>
        </w:rPr>
        <w:fldChar w:fldCharType="separate"/>
      </w:r>
      <w:r>
        <w:rPr>
          <w:rFonts w:eastAsia="黑体"/>
          <w:snapToGrid w:val="0"/>
          <w:color w:val="000000" w:themeColor="text1"/>
          <w:sz w:val="24"/>
          <w14:textFill>
            <w14:solidFill>
              <w14:schemeClr w14:val="tx1"/>
            </w14:solidFill>
          </w14:textFill>
        </w:rPr>
        <w:t>附件</w:t>
      </w:r>
      <w:r>
        <w:rPr>
          <w:rFonts w:hint="eastAsia" w:eastAsia="黑体"/>
          <w:snapToGrid w:val="0"/>
          <w:color w:val="000000" w:themeColor="text1"/>
          <w:sz w:val="24"/>
          <w14:textFill>
            <w14:solidFill>
              <w14:schemeClr w14:val="tx1"/>
            </w14:solidFill>
          </w14:textFill>
        </w:rPr>
        <w:t>2土地性质</w:t>
      </w:r>
      <w:r>
        <w:rPr>
          <w:rFonts w:hint="eastAsia" w:eastAsia="黑体"/>
          <w:snapToGrid w:val="0"/>
          <w:color w:val="000000" w:themeColor="text1"/>
          <w:sz w:val="24"/>
          <w14:textFill>
            <w14:solidFill>
              <w14:schemeClr w14:val="tx1"/>
            </w14:solidFill>
          </w14:textFill>
        </w:rPr>
        <w:tab/>
      </w:r>
      <w:r>
        <w:rPr>
          <w:rFonts w:hint="eastAsia" w:eastAsia="黑体"/>
          <w:snapToGrid w:val="0"/>
          <w:color w:val="000000" w:themeColor="text1"/>
          <w:sz w:val="24"/>
          <w14:textFill>
            <w14:solidFill>
              <w14:schemeClr w14:val="tx1"/>
            </w14:solidFill>
          </w14:textFill>
        </w:rPr>
        <w:fldChar w:fldCharType="begin"/>
      </w:r>
      <w:r>
        <w:rPr>
          <w:rFonts w:hint="eastAsia" w:eastAsia="黑体"/>
          <w:snapToGrid w:val="0"/>
          <w:color w:val="000000" w:themeColor="text1"/>
          <w:sz w:val="24"/>
          <w14:textFill>
            <w14:solidFill>
              <w14:schemeClr w14:val="tx1"/>
            </w14:solidFill>
          </w14:textFill>
        </w:rPr>
        <w:instrText xml:space="preserve"> PAGEREF _Toc1458 \h </w:instrText>
      </w:r>
      <w:r>
        <w:rPr>
          <w:rFonts w:hint="eastAsia" w:eastAsia="黑体"/>
          <w:snapToGrid w:val="0"/>
          <w:color w:val="000000" w:themeColor="text1"/>
          <w:sz w:val="24"/>
          <w14:textFill>
            <w14:solidFill>
              <w14:schemeClr w14:val="tx1"/>
            </w14:solidFill>
          </w14:textFill>
        </w:rPr>
        <w:fldChar w:fldCharType="separate"/>
      </w:r>
      <w:r>
        <w:rPr>
          <w:rFonts w:hint="eastAsia" w:eastAsia="黑体"/>
          <w:snapToGrid w:val="0"/>
          <w:color w:val="000000" w:themeColor="text1"/>
          <w:sz w:val="24"/>
          <w14:textFill>
            <w14:solidFill>
              <w14:schemeClr w14:val="tx1"/>
            </w14:solidFill>
          </w14:textFill>
        </w:rPr>
        <w:t>53</w:t>
      </w:r>
      <w:r>
        <w:rPr>
          <w:rFonts w:hint="eastAsia" w:eastAsia="黑体"/>
          <w:snapToGrid w:val="0"/>
          <w:color w:val="000000" w:themeColor="text1"/>
          <w:sz w:val="24"/>
          <w14:textFill>
            <w14:solidFill>
              <w14:schemeClr w14:val="tx1"/>
            </w14:solidFill>
          </w14:textFill>
        </w:rPr>
        <w:fldChar w:fldCharType="end"/>
      </w:r>
      <w:r>
        <w:rPr>
          <w:rFonts w:hint="eastAsia" w:eastAsia="黑体"/>
          <w:snapToGrid w:val="0"/>
          <w:color w:val="000000" w:themeColor="text1"/>
          <w:sz w:val="24"/>
          <w14:textFill>
            <w14:solidFill>
              <w14:schemeClr w14:val="tx1"/>
            </w14:solidFill>
          </w14:textFill>
        </w:rPr>
        <w:fldChar w:fldCharType="end"/>
      </w:r>
    </w:p>
    <w:p w14:paraId="48115A0E">
      <w:pPr>
        <w:pStyle w:val="17"/>
        <w:tabs>
          <w:tab w:val="right" w:leader="dot" w:pos="8306"/>
        </w:tabs>
        <w:spacing w:line="360" w:lineRule="auto"/>
        <w:rPr>
          <w:rFonts w:eastAsia="黑体"/>
          <w:snapToGrid w:val="0"/>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"_Toc25248" </w:instrText>
      </w:r>
      <w:r>
        <w:rPr>
          <w:color w:val="000000" w:themeColor="text1"/>
          <w14:textFill>
            <w14:solidFill>
              <w14:schemeClr w14:val="tx1"/>
            </w14:solidFill>
          </w14:textFill>
        </w:rPr>
        <w:fldChar w:fldCharType="separate"/>
      </w:r>
      <w:r>
        <w:rPr>
          <w:rFonts w:eastAsia="黑体"/>
          <w:snapToGrid w:val="0"/>
          <w:color w:val="000000" w:themeColor="text1"/>
          <w:sz w:val="24"/>
          <w14:textFill>
            <w14:solidFill>
              <w14:schemeClr w14:val="tx1"/>
            </w14:solidFill>
          </w14:textFill>
        </w:rPr>
        <w:t>附件</w:t>
      </w:r>
      <w:r>
        <w:rPr>
          <w:rFonts w:hint="eastAsia" w:eastAsia="黑体"/>
          <w:snapToGrid w:val="0"/>
          <w:color w:val="000000" w:themeColor="text1"/>
          <w:sz w:val="24"/>
          <w14:textFill>
            <w14:solidFill>
              <w14:schemeClr w14:val="tx1"/>
            </w14:solidFill>
          </w14:textFill>
        </w:rPr>
        <w:t>3</w:t>
      </w:r>
      <w:r>
        <w:rPr>
          <w:rFonts w:eastAsia="黑体"/>
          <w:snapToGrid w:val="0"/>
          <w:color w:val="000000" w:themeColor="text1"/>
          <w:sz w:val="24"/>
          <w14:textFill>
            <w14:solidFill>
              <w14:schemeClr w14:val="tx1"/>
            </w14:solidFill>
          </w14:textFill>
        </w:rPr>
        <w:t xml:space="preserve"> 燃料分析单</w:t>
      </w:r>
      <w:r>
        <w:rPr>
          <w:rFonts w:hint="eastAsia" w:eastAsia="黑体"/>
          <w:snapToGrid w:val="0"/>
          <w:color w:val="000000" w:themeColor="text1"/>
          <w:sz w:val="24"/>
          <w14:textFill>
            <w14:solidFill>
              <w14:schemeClr w14:val="tx1"/>
            </w14:solidFill>
          </w14:textFill>
        </w:rPr>
        <w:tab/>
      </w:r>
      <w:r>
        <w:rPr>
          <w:rFonts w:hint="eastAsia" w:eastAsia="黑体"/>
          <w:snapToGrid w:val="0"/>
          <w:color w:val="000000" w:themeColor="text1"/>
          <w:sz w:val="24"/>
          <w14:textFill>
            <w14:solidFill>
              <w14:schemeClr w14:val="tx1"/>
            </w14:solidFill>
          </w14:textFill>
        </w:rPr>
        <w:fldChar w:fldCharType="begin"/>
      </w:r>
      <w:r>
        <w:rPr>
          <w:rFonts w:hint="eastAsia" w:eastAsia="黑体"/>
          <w:snapToGrid w:val="0"/>
          <w:color w:val="000000" w:themeColor="text1"/>
          <w:sz w:val="24"/>
          <w14:textFill>
            <w14:solidFill>
              <w14:schemeClr w14:val="tx1"/>
            </w14:solidFill>
          </w14:textFill>
        </w:rPr>
        <w:instrText xml:space="preserve"> PAGEREF _Toc25248 \h </w:instrText>
      </w:r>
      <w:r>
        <w:rPr>
          <w:rFonts w:hint="eastAsia" w:eastAsia="黑体"/>
          <w:snapToGrid w:val="0"/>
          <w:color w:val="000000" w:themeColor="text1"/>
          <w:sz w:val="24"/>
          <w14:textFill>
            <w14:solidFill>
              <w14:schemeClr w14:val="tx1"/>
            </w14:solidFill>
          </w14:textFill>
        </w:rPr>
        <w:fldChar w:fldCharType="separate"/>
      </w:r>
      <w:r>
        <w:rPr>
          <w:rFonts w:hint="eastAsia" w:eastAsia="黑体"/>
          <w:snapToGrid w:val="0"/>
          <w:color w:val="000000" w:themeColor="text1"/>
          <w:sz w:val="24"/>
          <w14:textFill>
            <w14:solidFill>
              <w14:schemeClr w14:val="tx1"/>
            </w14:solidFill>
          </w14:textFill>
        </w:rPr>
        <w:t>54</w:t>
      </w:r>
      <w:r>
        <w:rPr>
          <w:rFonts w:hint="eastAsia" w:eastAsia="黑体"/>
          <w:snapToGrid w:val="0"/>
          <w:color w:val="000000" w:themeColor="text1"/>
          <w:sz w:val="24"/>
          <w14:textFill>
            <w14:solidFill>
              <w14:schemeClr w14:val="tx1"/>
            </w14:solidFill>
          </w14:textFill>
        </w:rPr>
        <w:fldChar w:fldCharType="end"/>
      </w:r>
      <w:r>
        <w:rPr>
          <w:rFonts w:hint="eastAsia" w:eastAsia="黑体"/>
          <w:snapToGrid w:val="0"/>
          <w:color w:val="000000" w:themeColor="text1"/>
          <w:sz w:val="24"/>
          <w14:textFill>
            <w14:solidFill>
              <w14:schemeClr w14:val="tx1"/>
            </w14:solidFill>
          </w14:textFill>
        </w:rPr>
        <w:fldChar w:fldCharType="end"/>
      </w:r>
    </w:p>
    <w:p w14:paraId="5CB89B55">
      <w:pPr>
        <w:pStyle w:val="17"/>
        <w:tabs>
          <w:tab w:val="right" w:leader="dot" w:pos="8306"/>
        </w:tabs>
        <w:spacing w:line="360" w:lineRule="auto"/>
        <w:rPr>
          <w:rFonts w:eastAsia="黑体"/>
          <w:snapToGrid w:val="0"/>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"_Toc14201" </w:instrText>
      </w:r>
      <w:r>
        <w:rPr>
          <w:color w:val="000000" w:themeColor="text1"/>
          <w14:textFill>
            <w14:solidFill>
              <w14:schemeClr w14:val="tx1"/>
            </w14:solidFill>
          </w14:textFill>
        </w:rPr>
        <w:fldChar w:fldCharType="separate"/>
      </w:r>
      <w:r>
        <w:rPr>
          <w:rFonts w:eastAsia="黑体"/>
          <w:snapToGrid w:val="0"/>
          <w:color w:val="000000" w:themeColor="text1"/>
          <w:sz w:val="24"/>
          <w14:textFill>
            <w14:solidFill>
              <w14:schemeClr w14:val="tx1"/>
            </w14:solidFill>
          </w14:textFill>
        </w:rPr>
        <w:t>附件</w:t>
      </w:r>
      <w:r>
        <w:rPr>
          <w:rFonts w:hint="eastAsia" w:eastAsia="黑体"/>
          <w:snapToGrid w:val="0"/>
          <w:color w:val="000000" w:themeColor="text1"/>
          <w:sz w:val="24"/>
          <w14:textFill>
            <w14:solidFill>
              <w14:schemeClr w14:val="tx1"/>
            </w14:solidFill>
          </w14:textFill>
        </w:rPr>
        <w:t>4 兰新经营所供热情况说明</w:t>
      </w:r>
      <w:r>
        <w:rPr>
          <w:rFonts w:hint="eastAsia" w:eastAsia="黑体"/>
          <w:snapToGrid w:val="0"/>
          <w:color w:val="000000" w:themeColor="text1"/>
          <w:sz w:val="24"/>
          <w14:textFill>
            <w14:solidFill>
              <w14:schemeClr w14:val="tx1"/>
            </w14:solidFill>
          </w14:textFill>
        </w:rPr>
        <w:tab/>
      </w:r>
      <w:r>
        <w:rPr>
          <w:rFonts w:hint="eastAsia" w:eastAsia="黑体"/>
          <w:snapToGrid w:val="0"/>
          <w:color w:val="000000" w:themeColor="text1"/>
          <w:sz w:val="24"/>
          <w14:textFill>
            <w14:solidFill>
              <w14:schemeClr w14:val="tx1"/>
            </w14:solidFill>
          </w14:textFill>
        </w:rPr>
        <w:fldChar w:fldCharType="begin"/>
      </w:r>
      <w:r>
        <w:rPr>
          <w:rFonts w:hint="eastAsia" w:eastAsia="黑体"/>
          <w:snapToGrid w:val="0"/>
          <w:color w:val="000000" w:themeColor="text1"/>
          <w:sz w:val="24"/>
          <w14:textFill>
            <w14:solidFill>
              <w14:schemeClr w14:val="tx1"/>
            </w14:solidFill>
          </w14:textFill>
        </w:rPr>
        <w:instrText xml:space="preserve"> PAGEREF _Toc14201 \h </w:instrText>
      </w:r>
      <w:r>
        <w:rPr>
          <w:rFonts w:hint="eastAsia" w:eastAsia="黑体"/>
          <w:snapToGrid w:val="0"/>
          <w:color w:val="000000" w:themeColor="text1"/>
          <w:sz w:val="24"/>
          <w14:textFill>
            <w14:solidFill>
              <w14:schemeClr w14:val="tx1"/>
            </w14:solidFill>
          </w14:textFill>
        </w:rPr>
        <w:fldChar w:fldCharType="separate"/>
      </w:r>
      <w:r>
        <w:rPr>
          <w:rFonts w:hint="eastAsia" w:eastAsia="黑体"/>
          <w:snapToGrid w:val="0"/>
          <w:color w:val="000000" w:themeColor="text1"/>
          <w:sz w:val="24"/>
          <w14:textFill>
            <w14:solidFill>
              <w14:schemeClr w14:val="tx1"/>
            </w14:solidFill>
          </w14:textFill>
        </w:rPr>
        <w:t>55</w:t>
      </w:r>
      <w:r>
        <w:rPr>
          <w:rFonts w:hint="eastAsia" w:eastAsia="黑体"/>
          <w:snapToGrid w:val="0"/>
          <w:color w:val="000000" w:themeColor="text1"/>
          <w:sz w:val="24"/>
          <w14:textFill>
            <w14:solidFill>
              <w14:schemeClr w14:val="tx1"/>
            </w14:solidFill>
          </w14:textFill>
        </w:rPr>
        <w:fldChar w:fldCharType="end"/>
      </w:r>
      <w:r>
        <w:rPr>
          <w:rFonts w:hint="eastAsia" w:eastAsia="黑体"/>
          <w:snapToGrid w:val="0"/>
          <w:color w:val="000000" w:themeColor="text1"/>
          <w:sz w:val="24"/>
          <w14:textFill>
            <w14:solidFill>
              <w14:schemeClr w14:val="tx1"/>
            </w14:solidFill>
          </w14:textFill>
        </w:rPr>
        <w:fldChar w:fldCharType="end"/>
      </w:r>
    </w:p>
    <w:p w14:paraId="312BFA53">
      <w:pPr>
        <w:pStyle w:val="17"/>
        <w:tabs>
          <w:tab w:val="right" w:leader="dot" w:pos="8306"/>
        </w:tabs>
        <w:spacing w:line="360" w:lineRule="auto"/>
        <w:rPr>
          <w:rFonts w:eastAsia="黑体"/>
          <w:snapToGrid w:val="0"/>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"_Toc12913" </w:instrText>
      </w:r>
      <w:r>
        <w:rPr>
          <w:color w:val="000000" w:themeColor="text1"/>
          <w14:textFill>
            <w14:solidFill>
              <w14:schemeClr w14:val="tx1"/>
            </w14:solidFill>
          </w14:textFill>
        </w:rPr>
        <w:fldChar w:fldCharType="separate"/>
      </w:r>
      <w:r>
        <w:rPr>
          <w:rFonts w:eastAsia="黑体"/>
          <w:snapToGrid w:val="0"/>
          <w:color w:val="000000" w:themeColor="text1"/>
          <w:sz w:val="24"/>
          <w14:textFill>
            <w14:solidFill>
              <w14:schemeClr w14:val="tx1"/>
            </w14:solidFill>
          </w14:textFill>
        </w:rPr>
        <w:t>附件</w:t>
      </w:r>
      <w:r>
        <w:rPr>
          <w:rFonts w:hint="eastAsia" w:eastAsia="黑体"/>
          <w:snapToGrid w:val="0"/>
          <w:color w:val="000000" w:themeColor="text1"/>
          <w:sz w:val="24"/>
          <w14:textFill>
            <w14:solidFill>
              <w14:schemeClr w14:val="tx1"/>
            </w14:solidFill>
          </w14:textFill>
        </w:rPr>
        <w:t>5</w:t>
      </w:r>
      <w:r>
        <w:rPr>
          <w:rFonts w:eastAsia="黑体"/>
          <w:snapToGrid w:val="0"/>
          <w:color w:val="000000" w:themeColor="text1"/>
          <w:sz w:val="24"/>
          <w14:textFill>
            <w14:solidFill>
              <w14:schemeClr w14:val="tx1"/>
            </w14:solidFill>
          </w14:textFill>
        </w:rPr>
        <w:t xml:space="preserve"> 现状监测报告</w:t>
      </w:r>
      <w:r>
        <w:rPr>
          <w:rFonts w:hint="eastAsia" w:eastAsia="黑体"/>
          <w:snapToGrid w:val="0"/>
          <w:color w:val="000000" w:themeColor="text1"/>
          <w:sz w:val="24"/>
          <w14:textFill>
            <w14:solidFill>
              <w14:schemeClr w14:val="tx1"/>
            </w14:solidFill>
          </w14:textFill>
        </w:rPr>
        <w:tab/>
      </w:r>
      <w:r>
        <w:rPr>
          <w:rFonts w:hint="eastAsia" w:eastAsia="黑体"/>
          <w:snapToGrid w:val="0"/>
          <w:color w:val="000000" w:themeColor="text1"/>
          <w:sz w:val="24"/>
          <w14:textFill>
            <w14:solidFill>
              <w14:schemeClr w14:val="tx1"/>
            </w14:solidFill>
          </w14:textFill>
        </w:rPr>
        <w:fldChar w:fldCharType="begin"/>
      </w:r>
      <w:r>
        <w:rPr>
          <w:rFonts w:hint="eastAsia" w:eastAsia="黑体"/>
          <w:snapToGrid w:val="0"/>
          <w:color w:val="000000" w:themeColor="text1"/>
          <w:sz w:val="24"/>
          <w14:textFill>
            <w14:solidFill>
              <w14:schemeClr w14:val="tx1"/>
            </w14:solidFill>
          </w14:textFill>
        </w:rPr>
        <w:instrText xml:space="preserve"> PAGEREF _Toc12913 \h </w:instrText>
      </w:r>
      <w:r>
        <w:rPr>
          <w:rFonts w:hint="eastAsia" w:eastAsia="黑体"/>
          <w:snapToGrid w:val="0"/>
          <w:color w:val="000000" w:themeColor="text1"/>
          <w:sz w:val="24"/>
          <w14:textFill>
            <w14:solidFill>
              <w14:schemeClr w14:val="tx1"/>
            </w14:solidFill>
          </w14:textFill>
        </w:rPr>
        <w:fldChar w:fldCharType="separate"/>
      </w:r>
      <w:r>
        <w:rPr>
          <w:rFonts w:hint="eastAsia" w:eastAsia="黑体"/>
          <w:snapToGrid w:val="0"/>
          <w:color w:val="000000" w:themeColor="text1"/>
          <w:sz w:val="24"/>
          <w14:textFill>
            <w14:solidFill>
              <w14:schemeClr w14:val="tx1"/>
            </w14:solidFill>
          </w14:textFill>
        </w:rPr>
        <w:t>56</w:t>
      </w:r>
      <w:r>
        <w:rPr>
          <w:rFonts w:hint="eastAsia" w:eastAsia="黑体"/>
          <w:snapToGrid w:val="0"/>
          <w:color w:val="000000" w:themeColor="text1"/>
          <w:sz w:val="24"/>
          <w14:textFill>
            <w14:solidFill>
              <w14:schemeClr w14:val="tx1"/>
            </w14:solidFill>
          </w14:textFill>
        </w:rPr>
        <w:fldChar w:fldCharType="end"/>
      </w:r>
      <w:r>
        <w:rPr>
          <w:rFonts w:hint="eastAsia" w:eastAsia="黑体"/>
          <w:snapToGrid w:val="0"/>
          <w:color w:val="000000" w:themeColor="text1"/>
          <w:sz w:val="24"/>
          <w14:textFill>
            <w14:solidFill>
              <w14:schemeClr w14:val="tx1"/>
            </w14:solidFill>
          </w14:textFill>
        </w:rPr>
        <w:fldChar w:fldCharType="end"/>
      </w:r>
    </w:p>
    <w:p w14:paraId="7F2F11F3">
      <w:pPr>
        <w:pStyle w:val="17"/>
        <w:tabs>
          <w:tab w:val="right" w:leader="dot" w:pos="8306"/>
        </w:tabs>
        <w:spacing w:line="360" w:lineRule="auto"/>
        <w:rPr>
          <w:rFonts w:eastAsia="黑体"/>
          <w:snapToGrid w:val="0"/>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"_Toc7536" </w:instrText>
      </w:r>
      <w:r>
        <w:rPr>
          <w:color w:val="000000" w:themeColor="text1"/>
          <w14:textFill>
            <w14:solidFill>
              <w14:schemeClr w14:val="tx1"/>
            </w14:solidFill>
          </w14:textFill>
        </w:rPr>
        <w:fldChar w:fldCharType="separate"/>
      </w:r>
      <w:r>
        <w:rPr>
          <w:rFonts w:eastAsia="黑体"/>
          <w:snapToGrid w:val="0"/>
          <w:color w:val="000000" w:themeColor="text1"/>
          <w:sz w:val="24"/>
          <w14:textFill>
            <w14:solidFill>
              <w14:schemeClr w14:val="tx1"/>
            </w14:solidFill>
          </w14:textFill>
        </w:rPr>
        <w:t>附件</w:t>
      </w:r>
      <w:r>
        <w:rPr>
          <w:rFonts w:hint="eastAsia" w:eastAsia="黑体"/>
          <w:snapToGrid w:val="0"/>
          <w:color w:val="000000" w:themeColor="text1"/>
          <w:sz w:val="24"/>
          <w14:textFill>
            <w14:solidFill>
              <w14:schemeClr w14:val="tx1"/>
            </w14:solidFill>
          </w14:textFill>
        </w:rPr>
        <w:t xml:space="preserve">6 </w:t>
      </w:r>
      <w:r>
        <w:rPr>
          <w:rFonts w:eastAsia="黑体"/>
          <w:snapToGrid w:val="0"/>
          <w:color w:val="000000" w:themeColor="text1"/>
          <w:sz w:val="24"/>
          <w14:textFill>
            <w14:solidFill>
              <w14:schemeClr w14:val="tx1"/>
            </w14:solidFill>
          </w14:textFill>
        </w:rPr>
        <w:t>总量计算说明</w:t>
      </w:r>
      <w:r>
        <w:rPr>
          <w:rFonts w:hint="eastAsia" w:eastAsia="黑体"/>
          <w:snapToGrid w:val="0"/>
          <w:color w:val="000000" w:themeColor="text1"/>
          <w:sz w:val="24"/>
          <w14:textFill>
            <w14:solidFill>
              <w14:schemeClr w14:val="tx1"/>
            </w14:solidFill>
          </w14:textFill>
        </w:rPr>
        <w:tab/>
      </w:r>
      <w:r>
        <w:rPr>
          <w:rFonts w:hint="eastAsia" w:eastAsia="黑体"/>
          <w:snapToGrid w:val="0"/>
          <w:color w:val="000000" w:themeColor="text1"/>
          <w:sz w:val="24"/>
          <w14:textFill>
            <w14:solidFill>
              <w14:schemeClr w14:val="tx1"/>
            </w14:solidFill>
          </w14:textFill>
        </w:rPr>
        <w:fldChar w:fldCharType="begin"/>
      </w:r>
      <w:r>
        <w:rPr>
          <w:rFonts w:hint="eastAsia" w:eastAsia="黑体"/>
          <w:snapToGrid w:val="0"/>
          <w:color w:val="000000" w:themeColor="text1"/>
          <w:sz w:val="24"/>
          <w14:textFill>
            <w14:solidFill>
              <w14:schemeClr w14:val="tx1"/>
            </w14:solidFill>
          </w14:textFill>
        </w:rPr>
        <w:instrText xml:space="preserve"> PAGEREF _Toc7536 \h </w:instrText>
      </w:r>
      <w:r>
        <w:rPr>
          <w:rFonts w:hint="eastAsia" w:eastAsia="黑体"/>
          <w:snapToGrid w:val="0"/>
          <w:color w:val="000000" w:themeColor="text1"/>
          <w:sz w:val="24"/>
          <w14:textFill>
            <w14:solidFill>
              <w14:schemeClr w14:val="tx1"/>
            </w14:solidFill>
          </w14:textFill>
        </w:rPr>
        <w:fldChar w:fldCharType="separate"/>
      </w:r>
      <w:r>
        <w:rPr>
          <w:rFonts w:hint="eastAsia" w:eastAsia="黑体"/>
          <w:snapToGrid w:val="0"/>
          <w:color w:val="000000" w:themeColor="text1"/>
          <w:sz w:val="24"/>
          <w14:textFill>
            <w14:solidFill>
              <w14:schemeClr w14:val="tx1"/>
            </w14:solidFill>
          </w14:textFill>
        </w:rPr>
        <w:t>60</w:t>
      </w:r>
      <w:r>
        <w:rPr>
          <w:rFonts w:hint="eastAsia" w:eastAsia="黑体"/>
          <w:snapToGrid w:val="0"/>
          <w:color w:val="000000" w:themeColor="text1"/>
          <w:sz w:val="24"/>
          <w14:textFill>
            <w14:solidFill>
              <w14:schemeClr w14:val="tx1"/>
            </w14:solidFill>
          </w14:textFill>
        </w:rPr>
        <w:fldChar w:fldCharType="end"/>
      </w:r>
      <w:r>
        <w:rPr>
          <w:rFonts w:hint="eastAsia" w:eastAsia="黑体"/>
          <w:snapToGrid w:val="0"/>
          <w:color w:val="000000" w:themeColor="text1"/>
          <w:sz w:val="24"/>
          <w14:textFill>
            <w14:solidFill>
              <w14:schemeClr w14:val="tx1"/>
            </w14:solidFill>
          </w14:textFill>
        </w:rPr>
        <w:fldChar w:fldCharType="end"/>
      </w:r>
    </w:p>
    <w:p w14:paraId="4BD08246">
      <w:pPr>
        <w:pStyle w:val="17"/>
        <w:tabs>
          <w:tab w:val="right" w:leader="dot" w:pos="8306"/>
        </w:tabs>
        <w:spacing w:line="360" w:lineRule="auto"/>
        <w:rPr>
          <w:rFonts w:eastAsia="黑体"/>
          <w:snapToGrid w:val="0"/>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"_Toc29677" </w:instrText>
      </w:r>
      <w:r>
        <w:rPr>
          <w:color w:val="000000" w:themeColor="text1"/>
          <w14:textFill>
            <w14:solidFill>
              <w14:schemeClr w14:val="tx1"/>
            </w14:solidFill>
          </w14:textFill>
        </w:rPr>
        <w:fldChar w:fldCharType="separate"/>
      </w:r>
      <w:r>
        <w:rPr>
          <w:rFonts w:eastAsia="黑体"/>
          <w:snapToGrid w:val="0"/>
          <w:color w:val="000000" w:themeColor="text1"/>
          <w:sz w:val="24"/>
          <w14:textFill>
            <w14:solidFill>
              <w14:schemeClr w14:val="tx1"/>
            </w14:solidFill>
          </w14:textFill>
        </w:rPr>
        <w:t>附件</w:t>
      </w:r>
      <w:r>
        <w:rPr>
          <w:rFonts w:hint="eastAsia" w:eastAsia="黑体"/>
          <w:snapToGrid w:val="0"/>
          <w:color w:val="000000" w:themeColor="text1"/>
          <w:sz w:val="24"/>
          <w14:textFill>
            <w14:solidFill>
              <w14:schemeClr w14:val="tx1"/>
            </w14:solidFill>
          </w14:textFill>
        </w:rPr>
        <w:t>7 炉渣处置协议</w:t>
      </w:r>
      <w:r>
        <w:rPr>
          <w:rFonts w:hint="eastAsia" w:eastAsia="黑体"/>
          <w:snapToGrid w:val="0"/>
          <w:color w:val="000000" w:themeColor="text1"/>
          <w:sz w:val="24"/>
          <w14:textFill>
            <w14:solidFill>
              <w14:schemeClr w14:val="tx1"/>
            </w14:solidFill>
          </w14:textFill>
        </w:rPr>
        <w:tab/>
      </w:r>
      <w:r>
        <w:rPr>
          <w:rFonts w:hint="eastAsia" w:eastAsia="黑体"/>
          <w:snapToGrid w:val="0"/>
          <w:color w:val="000000" w:themeColor="text1"/>
          <w:sz w:val="24"/>
          <w14:textFill>
            <w14:solidFill>
              <w14:schemeClr w14:val="tx1"/>
            </w14:solidFill>
          </w14:textFill>
        </w:rPr>
        <w:fldChar w:fldCharType="begin"/>
      </w:r>
      <w:r>
        <w:rPr>
          <w:rFonts w:hint="eastAsia" w:eastAsia="黑体"/>
          <w:snapToGrid w:val="0"/>
          <w:color w:val="000000" w:themeColor="text1"/>
          <w:sz w:val="24"/>
          <w14:textFill>
            <w14:solidFill>
              <w14:schemeClr w14:val="tx1"/>
            </w14:solidFill>
          </w14:textFill>
        </w:rPr>
        <w:instrText xml:space="preserve"> PAGEREF _Toc29677 \h </w:instrText>
      </w:r>
      <w:r>
        <w:rPr>
          <w:rFonts w:hint="eastAsia" w:eastAsia="黑体"/>
          <w:snapToGrid w:val="0"/>
          <w:color w:val="000000" w:themeColor="text1"/>
          <w:sz w:val="24"/>
          <w14:textFill>
            <w14:solidFill>
              <w14:schemeClr w14:val="tx1"/>
            </w14:solidFill>
          </w14:textFill>
        </w:rPr>
        <w:fldChar w:fldCharType="separate"/>
      </w:r>
      <w:r>
        <w:rPr>
          <w:rFonts w:hint="eastAsia" w:eastAsia="黑体"/>
          <w:snapToGrid w:val="0"/>
          <w:color w:val="000000" w:themeColor="text1"/>
          <w:sz w:val="24"/>
          <w14:textFill>
            <w14:solidFill>
              <w14:schemeClr w14:val="tx1"/>
            </w14:solidFill>
          </w14:textFill>
        </w:rPr>
        <w:t>61</w:t>
      </w:r>
      <w:r>
        <w:rPr>
          <w:rFonts w:hint="eastAsia" w:eastAsia="黑体"/>
          <w:snapToGrid w:val="0"/>
          <w:color w:val="000000" w:themeColor="text1"/>
          <w:sz w:val="24"/>
          <w14:textFill>
            <w14:solidFill>
              <w14:schemeClr w14:val="tx1"/>
            </w14:solidFill>
          </w14:textFill>
        </w:rPr>
        <w:fldChar w:fldCharType="end"/>
      </w:r>
      <w:r>
        <w:rPr>
          <w:rFonts w:hint="eastAsia" w:eastAsia="黑体"/>
          <w:snapToGrid w:val="0"/>
          <w:color w:val="000000" w:themeColor="text1"/>
          <w:sz w:val="24"/>
          <w14:textFill>
            <w14:solidFill>
              <w14:schemeClr w14:val="tx1"/>
            </w14:solidFill>
          </w14:textFill>
        </w:rPr>
        <w:fldChar w:fldCharType="end"/>
      </w:r>
    </w:p>
    <w:p w14:paraId="19229FF5">
      <w:pPr>
        <w:pStyle w:val="17"/>
        <w:tabs>
          <w:tab w:val="right" w:leader="dot" w:pos="8306"/>
        </w:tabs>
        <w:spacing w:line="360" w:lineRule="auto"/>
        <w:rPr>
          <w:rFonts w:eastAsia="黑体"/>
          <w:snapToGrid w:val="0"/>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"_Toc24739" </w:instrText>
      </w:r>
      <w:r>
        <w:rPr>
          <w:color w:val="000000" w:themeColor="text1"/>
          <w14:textFill>
            <w14:solidFill>
              <w14:schemeClr w14:val="tx1"/>
            </w14:solidFill>
          </w14:textFill>
        </w:rPr>
        <w:fldChar w:fldCharType="separate"/>
      </w:r>
      <w:r>
        <w:rPr>
          <w:rFonts w:eastAsia="黑体"/>
          <w:snapToGrid w:val="0"/>
          <w:color w:val="000000" w:themeColor="text1"/>
          <w:sz w:val="24"/>
          <w14:textFill>
            <w14:solidFill>
              <w14:schemeClr w14:val="tx1"/>
            </w14:solidFill>
          </w14:textFill>
        </w:rPr>
        <w:t>附件</w:t>
      </w:r>
      <w:r>
        <w:rPr>
          <w:rFonts w:hint="eastAsia" w:eastAsia="黑体"/>
          <w:snapToGrid w:val="0"/>
          <w:color w:val="000000" w:themeColor="text1"/>
          <w:sz w:val="24"/>
          <w14:textFill>
            <w14:solidFill>
              <w14:schemeClr w14:val="tx1"/>
            </w14:solidFill>
          </w14:textFill>
        </w:rPr>
        <w:t xml:space="preserve">8 </w:t>
      </w:r>
      <w:r>
        <w:rPr>
          <w:rFonts w:eastAsia="黑体"/>
          <w:snapToGrid w:val="0"/>
          <w:color w:val="000000" w:themeColor="text1"/>
          <w:sz w:val="24"/>
          <w14:textFill>
            <w14:solidFill>
              <w14:schemeClr w14:val="tx1"/>
            </w14:solidFill>
          </w14:textFill>
        </w:rPr>
        <w:t>生态分区管控分析报告</w:t>
      </w:r>
      <w:r>
        <w:rPr>
          <w:rFonts w:hint="eastAsia" w:eastAsia="黑体"/>
          <w:snapToGrid w:val="0"/>
          <w:color w:val="000000" w:themeColor="text1"/>
          <w:sz w:val="24"/>
          <w14:textFill>
            <w14:solidFill>
              <w14:schemeClr w14:val="tx1"/>
            </w14:solidFill>
          </w14:textFill>
        </w:rPr>
        <w:tab/>
      </w:r>
      <w:r>
        <w:rPr>
          <w:rFonts w:hint="eastAsia" w:eastAsia="黑体"/>
          <w:snapToGrid w:val="0"/>
          <w:color w:val="000000" w:themeColor="text1"/>
          <w:sz w:val="24"/>
          <w14:textFill>
            <w14:solidFill>
              <w14:schemeClr w14:val="tx1"/>
            </w14:solidFill>
          </w14:textFill>
        </w:rPr>
        <w:fldChar w:fldCharType="begin"/>
      </w:r>
      <w:r>
        <w:rPr>
          <w:rFonts w:hint="eastAsia" w:eastAsia="黑体"/>
          <w:snapToGrid w:val="0"/>
          <w:color w:val="000000" w:themeColor="text1"/>
          <w:sz w:val="24"/>
          <w14:textFill>
            <w14:solidFill>
              <w14:schemeClr w14:val="tx1"/>
            </w14:solidFill>
          </w14:textFill>
        </w:rPr>
        <w:instrText xml:space="preserve"> PAGEREF _Toc24739 \h </w:instrText>
      </w:r>
      <w:r>
        <w:rPr>
          <w:rFonts w:hint="eastAsia" w:eastAsia="黑体"/>
          <w:snapToGrid w:val="0"/>
          <w:color w:val="000000" w:themeColor="text1"/>
          <w:sz w:val="24"/>
          <w14:textFill>
            <w14:solidFill>
              <w14:schemeClr w14:val="tx1"/>
            </w14:solidFill>
          </w14:textFill>
        </w:rPr>
        <w:fldChar w:fldCharType="separate"/>
      </w:r>
      <w:r>
        <w:rPr>
          <w:rFonts w:hint="eastAsia" w:eastAsia="黑体"/>
          <w:snapToGrid w:val="0"/>
          <w:color w:val="000000" w:themeColor="text1"/>
          <w:sz w:val="24"/>
          <w14:textFill>
            <w14:solidFill>
              <w14:schemeClr w14:val="tx1"/>
            </w14:solidFill>
          </w14:textFill>
        </w:rPr>
        <w:t>63</w:t>
      </w:r>
      <w:r>
        <w:rPr>
          <w:rFonts w:hint="eastAsia" w:eastAsia="黑体"/>
          <w:snapToGrid w:val="0"/>
          <w:color w:val="000000" w:themeColor="text1"/>
          <w:sz w:val="24"/>
          <w14:textFill>
            <w14:solidFill>
              <w14:schemeClr w14:val="tx1"/>
            </w14:solidFill>
          </w14:textFill>
        </w:rPr>
        <w:fldChar w:fldCharType="end"/>
      </w:r>
      <w:r>
        <w:rPr>
          <w:rFonts w:hint="eastAsia" w:eastAsia="黑体"/>
          <w:snapToGrid w:val="0"/>
          <w:color w:val="000000" w:themeColor="text1"/>
          <w:sz w:val="24"/>
          <w14:textFill>
            <w14:solidFill>
              <w14:schemeClr w14:val="tx1"/>
            </w14:solidFill>
          </w14:textFill>
        </w:rPr>
        <w:fldChar w:fldCharType="end"/>
      </w:r>
    </w:p>
    <w:p w14:paraId="605F3C64">
      <w:pPr>
        <w:spacing w:line="360" w:lineRule="auto"/>
        <w:jc w:val="center"/>
        <w:rPr>
          <w:color w:val="000000" w:themeColor="text1"/>
          <w14:textFill>
            <w14:solidFill>
              <w14:schemeClr w14:val="tx1"/>
            </w14:solidFill>
          </w14:textFill>
        </w:rPr>
        <w:sectPr>
          <w:pgSz w:w="11906" w:h="16838"/>
          <w:pgMar w:top="1440" w:right="1800" w:bottom="1440" w:left="1800" w:header="851" w:footer="1077" w:gutter="0"/>
          <w:pgNumType w:start="3"/>
          <w:cols w:space="720" w:num="1"/>
          <w:docGrid w:linePitch="312" w:charSpace="0"/>
        </w:sectPr>
      </w:pPr>
      <w:r>
        <w:rPr>
          <w:color w:val="000000" w:themeColor="text1"/>
          <w14:textFill>
            <w14:solidFill>
              <w14:schemeClr w14:val="tx1"/>
            </w14:solidFill>
          </w14:textFill>
        </w:rPr>
        <w:fldChar w:fldCharType="end"/>
      </w:r>
    </w:p>
    <w:p w14:paraId="409C9F9F">
      <w:pPr>
        <w:pStyle w:val="20"/>
        <w:snapToGrid w:val="0"/>
        <w:spacing w:before="0" w:beforeAutospacing="0" w:after="0" w:afterAutospacing="0" w:line="360" w:lineRule="auto"/>
        <w:jc w:val="center"/>
        <w:outlineLvl w:val="0"/>
        <w:rPr>
          <w:rFonts w:ascii="Times New Roman" w:hAnsi="Times New Roman" w:eastAsia="黑体"/>
          <w:snapToGrid w:val="0"/>
          <w:color w:val="000000" w:themeColor="text1"/>
          <w:sz w:val="30"/>
          <w:szCs w:val="30"/>
          <w14:textFill>
            <w14:solidFill>
              <w14:schemeClr w14:val="tx1"/>
            </w14:solidFill>
          </w14:textFill>
        </w:rPr>
      </w:pPr>
      <w:bookmarkStart w:id="19" w:name="_Toc25175"/>
      <w:bookmarkStart w:id="20" w:name="_Toc15523"/>
      <w:r>
        <w:rPr>
          <w:rFonts w:ascii="Times New Roman" w:hAnsi="Times New Roman" w:eastAsia="黑体"/>
          <w:snapToGrid w:val="0"/>
          <w:color w:val="000000" w:themeColor="text1"/>
          <w:sz w:val="30"/>
          <w:szCs w:val="30"/>
          <w14:textFill>
            <w14:solidFill>
              <w14:schemeClr w14:val="tx1"/>
            </w14:solidFill>
          </w14:textFill>
        </w:rPr>
        <w:t>一、建设项目基本情况</w:t>
      </w:r>
      <w:bookmarkEnd w:id="19"/>
      <w:bookmarkEnd w:id="20"/>
    </w:p>
    <w:tbl>
      <w:tblPr>
        <w:tblStyle w:val="2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714"/>
        <w:gridCol w:w="2305"/>
        <w:gridCol w:w="2212"/>
        <w:gridCol w:w="2639"/>
      </w:tblGrid>
      <w:tr w14:paraId="353C57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14" w:type="dxa"/>
            <w:tcMar>
              <w:top w:w="16" w:type="dxa"/>
              <w:left w:w="16" w:type="dxa"/>
              <w:right w:w="16" w:type="dxa"/>
            </w:tcMar>
            <w:vAlign w:val="center"/>
          </w:tcPr>
          <w:p w14:paraId="53A461B0">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建设项目名称</w:t>
            </w:r>
          </w:p>
        </w:tc>
        <w:tc>
          <w:tcPr>
            <w:tcW w:w="7156" w:type="dxa"/>
            <w:gridSpan w:val="3"/>
            <w:vAlign w:val="center"/>
          </w:tcPr>
          <w:p w14:paraId="64448F5A">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伊美区美溪供热服务中心兰新供热站建设项目</w:t>
            </w:r>
          </w:p>
        </w:tc>
      </w:tr>
      <w:tr w14:paraId="6A7749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14" w:type="dxa"/>
            <w:tcMar>
              <w:top w:w="16" w:type="dxa"/>
              <w:left w:w="16" w:type="dxa"/>
              <w:right w:w="16" w:type="dxa"/>
            </w:tcMar>
            <w:vAlign w:val="center"/>
          </w:tcPr>
          <w:p w14:paraId="66F76641">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项目代码</w:t>
            </w:r>
          </w:p>
        </w:tc>
        <w:tc>
          <w:tcPr>
            <w:tcW w:w="7156" w:type="dxa"/>
            <w:gridSpan w:val="3"/>
            <w:vAlign w:val="center"/>
          </w:tcPr>
          <w:p w14:paraId="3C1AC7FF">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无</w:t>
            </w:r>
          </w:p>
        </w:tc>
      </w:tr>
      <w:tr w14:paraId="28C3E1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14" w:type="dxa"/>
            <w:tcMar>
              <w:top w:w="16" w:type="dxa"/>
              <w:left w:w="16" w:type="dxa"/>
              <w:right w:w="16" w:type="dxa"/>
            </w:tcMar>
            <w:vAlign w:val="center"/>
          </w:tcPr>
          <w:p w14:paraId="7D3FC88B">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建设单位联系人</w:t>
            </w:r>
          </w:p>
        </w:tc>
        <w:tc>
          <w:tcPr>
            <w:tcW w:w="2305" w:type="dxa"/>
            <w:vAlign w:val="center"/>
          </w:tcPr>
          <w:p w14:paraId="12FD8458">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霍树鹏</w:t>
            </w:r>
          </w:p>
        </w:tc>
        <w:tc>
          <w:tcPr>
            <w:tcW w:w="2212" w:type="dxa"/>
            <w:vAlign w:val="center"/>
          </w:tcPr>
          <w:p w14:paraId="22CAE396">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联系方式</w:t>
            </w:r>
          </w:p>
        </w:tc>
        <w:tc>
          <w:tcPr>
            <w:tcW w:w="2639" w:type="dxa"/>
            <w:vAlign w:val="center"/>
          </w:tcPr>
          <w:p w14:paraId="5C89AD22">
            <w:pPr>
              <w:adjustRightInd w:val="0"/>
              <w:snapToGrid w:val="0"/>
              <w:jc w:val="center"/>
              <w:rPr>
                <w:color w:val="000000" w:themeColor="text1"/>
                <w:sz w:val="24"/>
                <w14:textFill>
                  <w14:solidFill>
                    <w14:schemeClr w14:val="tx1"/>
                  </w14:solidFill>
                </w14:textFill>
              </w:rPr>
            </w:pPr>
            <w:bookmarkStart w:id="72" w:name="_GoBack"/>
            <w:bookmarkEnd w:id="72"/>
          </w:p>
        </w:tc>
      </w:tr>
      <w:tr w14:paraId="3B8F78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14" w:type="dxa"/>
            <w:tcMar>
              <w:top w:w="16" w:type="dxa"/>
              <w:left w:w="16" w:type="dxa"/>
              <w:right w:w="16" w:type="dxa"/>
            </w:tcMar>
            <w:vAlign w:val="center"/>
          </w:tcPr>
          <w:p w14:paraId="7DB541AC">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建设地点</w:t>
            </w:r>
          </w:p>
        </w:tc>
        <w:tc>
          <w:tcPr>
            <w:tcW w:w="7156" w:type="dxa"/>
            <w:gridSpan w:val="3"/>
            <w:vAlign w:val="center"/>
          </w:tcPr>
          <w:p w14:paraId="2DA55A8C">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黑龙江省伊春市伊美区兰新经营所</w:t>
            </w:r>
          </w:p>
        </w:tc>
      </w:tr>
      <w:tr w14:paraId="014ACD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14" w:type="dxa"/>
            <w:tcMar>
              <w:top w:w="16" w:type="dxa"/>
              <w:left w:w="16" w:type="dxa"/>
              <w:right w:w="16" w:type="dxa"/>
            </w:tcMar>
            <w:vAlign w:val="center"/>
          </w:tcPr>
          <w:p w14:paraId="5737255D">
            <w:pPr>
              <w:adjustRightInd w:val="0"/>
              <w:snapToGrid w:val="0"/>
              <w:jc w:val="center"/>
              <w:rPr>
                <w:color w:val="000000" w:themeColor="text1"/>
                <w:sz w:val="24"/>
                <w14:textFill>
                  <w14:solidFill>
                    <w14:schemeClr w14:val="tx1"/>
                  </w14:solidFill>
                </w14:textFill>
              </w:rPr>
            </w:pPr>
          </w:p>
        </w:tc>
        <w:tc>
          <w:tcPr>
            <w:tcW w:w="7156" w:type="dxa"/>
            <w:gridSpan w:val="3"/>
            <w:vAlign w:val="center"/>
          </w:tcPr>
          <w:p w14:paraId="00F253C3">
            <w:pPr>
              <w:adjustRightInd w:val="0"/>
              <w:snapToGrid w:val="0"/>
              <w:jc w:val="center"/>
              <w:rPr>
                <w:color w:val="000000" w:themeColor="text1"/>
                <w:sz w:val="24"/>
                <w14:textFill>
                  <w14:solidFill>
                    <w14:schemeClr w14:val="tx1"/>
                  </w14:solidFill>
                </w14:textFill>
              </w:rPr>
            </w:pPr>
          </w:p>
        </w:tc>
      </w:tr>
      <w:tr w14:paraId="181C2E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14" w:type="dxa"/>
            <w:tcMar>
              <w:top w:w="16" w:type="dxa"/>
              <w:left w:w="16" w:type="dxa"/>
              <w:right w:w="16" w:type="dxa"/>
            </w:tcMar>
            <w:vAlign w:val="center"/>
          </w:tcPr>
          <w:p w14:paraId="0A0D2B46">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地理坐标</w:t>
            </w:r>
          </w:p>
        </w:tc>
        <w:tc>
          <w:tcPr>
            <w:tcW w:w="7156" w:type="dxa"/>
            <w:gridSpan w:val="3"/>
            <w:vAlign w:val="center"/>
          </w:tcPr>
          <w:p w14:paraId="3641DF31">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 1</w:t>
            </w:r>
            <w:r>
              <w:rPr>
                <w:rFonts w:hint="eastAsia"/>
                <w:color w:val="000000" w:themeColor="text1"/>
                <w:sz w:val="24"/>
                <w14:textFill>
                  <w14:solidFill>
                    <w14:schemeClr w14:val="tx1"/>
                  </w14:solidFill>
                </w14:textFill>
              </w:rPr>
              <w:t>29</w:t>
            </w:r>
            <w:r>
              <w:rPr>
                <w:color w:val="000000" w:themeColor="text1"/>
                <w:sz w:val="24"/>
                <w14:textFill>
                  <w14:solidFill>
                    <w14:schemeClr w14:val="tx1"/>
                  </w14:solidFill>
                </w14:textFill>
              </w:rPr>
              <w:t>度</w:t>
            </w:r>
            <w:r>
              <w:rPr>
                <w:rFonts w:hint="eastAsia"/>
                <w:color w:val="000000" w:themeColor="text1"/>
                <w:sz w:val="24"/>
                <w14:textFill>
                  <w14:solidFill>
                    <w14:schemeClr w14:val="tx1"/>
                  </w14:solidFill>
                </w14:textFill>
              </w:rPr>
              <w:t>06</w:t>
            </w:r>
            <w:r>
              <w:rPr>
                <w:color w:val="000000" w:themeColor="text1"/>
                <w:sz w:val="24"/>
                <w14:textFill>
                  <w14:solidFill>
                    <w14:schemeClr w14:val="tx1"/>
                  </w14:solidFill>
                </w14:textFill>
              </w:rPr>
              <w:t>分</w:t>
            </w:r>
            <w:r>
              <w:rPr>
                <w:rFonts w:hint="eastAsia"/>
                <w:color w:val="000000" w:themeColor="text1"/>
                <w:sz w:val="24"/>
                <w14:textFill>
                  <w14:solidFill>
                    <w14:schemeClr w14:val="tx1"/>
                  </w14:solidFill>
                </w14:textFill>
              </w:rPr>
              <w:t>10.331</w:t>
            </w:r>
            <w:r>
              <w:rPr>
                <w:color w:val="000000" w:themeColor="text1"/>
                <w:sz w:val="24"/>
                <w14:textFill>
                  <w14:solidFill>
                    <w14:schemeClr w14:val="tx1"/>
                  </w14:solidFill>
                </w14:textFill>
              </w:rPr>
              <w:t>秒，4</w:t>
            </w:r>
            <w:r>
              <w:rPr>
                <w:rFonts w:hint="eastAsia"/>
                <w:color w:val="000000" w:themeColor="text1"/>
                <w:sz w:val="24"/>
                <w14:textFill>
                  <w14:solidFill>
                    <w14:schemeClr w14:val="tx1"/>
                  </w14:solidFill>
                </w14:textFill>
              </w:rPr>
              <w:t>7</w:t>
            </w:r>
            <w:r>
              <w:rPr>
                <w:color w:val="000000" w:themeColor="text1"/>
                <w:sz w:val="24"/>
                <w14:textFill>
                  <w14:solidFill>
                    <w14:schemeClr w14:val="tx1"/>
                  </w14:solidFill>
                </w14:textFill>
              </w:rPr>
              <w:t>度</w:t>
            </w:r>
            <w:r>
              <w:rPr>
                <w:rFonts w:hint="eastAsia"/>
                <w:color w:val="000000" w:themeColor="text1"/>
                <w:sz w:val="24"/>
                <w14:textFill>
                  <w14:solidFill>
                    <w14:schemeClr w14:val="tx1"/>
                  </w14:solidFill>
                </w14:textFill>
              </w:rPr>
              <w:t>36</w:t>
            </w:r>
            <w:r>
              <w:rPr>
                <w:color w:val="000000" w:themeColor="text1"/>
                <w:sz w:val="24"/>
                <w14:textFill>
                  <w14:solidFill>
                    <w14:schemeClr w14:val="tx1"/>
                  </w14:solidFill>
                </w14:textFill>
              </w:rPr>
              <w:t>分</w:t>
            </w:r>
            <w:r>
              <w:rPr>
                <w:rFonts w:hint="eastAsia"/>
                <w:color w:val="000000" w:themeColor="text1"/>
                <w:sz w:val="24"/>
                <w14:textFill>
                  <w14:solidFill>
                    <w14:schemeClr w14:val="tx1"/>
                  </w14:solidFill>
                </w14:textFill>
              </w:rPr>
              <w:t>35.622</w:t>
            </w:r>
            <w:r>
              <w:rPr>
                <w:color w:val="000000" w:themeColor="text1"/>
                <w:sz w:val="24"/>
                <w14:textFill>
                  <w14:solidFill>
                    <w14:schemeClr w14:val="tx1"/>
                  </w14:solidFill>
                </w14:textFill>
              </w:rPr>
              <w:t>秒）</w:t>
            </w:r>
          </w:p>
        </w:tc>
      </w:tr>
      <w:tr w14:paraId="5E8964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714" w:type="dxa"/>
            <w:tcMar>
              <w:top w:w="16" w:type="dxa"/>
              <w:left w:w="16" w:type="dxa"/>
              <w:right w:w="16" w:type="dxa"/>
            </w:tcMar>
            <w:vAlign w:val="center"/>
          </w:tcPr>
          <w:p w14:paraId="0C3373BB">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国民经济</w:t>
            </w:r>
          </w:p>
          <w:p w14:paraId="2CEB747F">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行业类别</w:t>
            </w:r>
          </w:p>
        </w:tc>
        <w:tc>
          <w:tcPr>
            <w:tcW w:w="2305" w:type="dxa"/>
            <w:vAlign w:val="center"/>
          </w:tcPr>
          <w:p w14:paraId="5FE10261">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D4430热力生产和供应</w:t>
            </w:r>
          </w:p>
        </w:tc>
        <w:tc>
          <w:tcPr>
            <w:tcW w:w="2212" w:type="dxa"/>
            <w:vAlign w:val="center"/>
          </w:tcPr>
          <w:p w14:paraId="56251FB3">
            <w:pPr>
              <w:adjustRightInd w:val="0"/>
              <w:snapToGrid w:val="0"/>
              <w:jc w:val="center"/>
              <w:rPr>
                <w:color w:val="000000" w:themeColor="text1"/>
                <w:sz w:val="24"/>
                <w14:textFill>
                  <w14:solidFill>
                    <w14:schemeClr w14:val="tx1"/>
                  </w14:solidFill>
                </w14:textFill>
              </w:rPr>
            </w:pPr>
            <w:bookmarkStart w:id="21" w:name="_Hlk49843745"/>
            <w:r>
              <w:rPr>
                <w:color w:val="000000" w:themeColor="text1"/>
                <w:sz w:val="24"/>
                <w14:textFill>
                  <w14:solidFill>
                    <w14:schemeClr w14:val="tx1"/>
                  </w14:solidFill>
                </w14:textFill>
              </w:rPr>
              <w:t>建设项目</w:t>
            </w:r>
          </w:p>
          <w:p w14:paraId="693DF569">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行业类别</w:t>
            </w:r>
            <w:bookmarkEnd w:id="21"/>
          </w:p>
        </w:tc>
        <w:tc>
          <w:tcPr>
            <w:tcW w:w="2639" w:type="dxa"/>
            <w:vAlign w:val="center"/>
          </w:tcPr>
          <w:p w14:paraId="08FC9FC1">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四十一--91热力生产和供应工程 （包括建设单位自建 自用的供热工程）</w:t>
            </w:r>
          </w:p>
        </w:tc>
      </w:tr>
      <w:tr w14:paraId="375DF9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714" w:type="dxa"/>
            <w:tcMar>
              <w:top w:w="16" w:type="dxa"/>
              <w:left w:w="16" w:type="dxa"/>
              <w:right w:w="16" w:type="dxa"/>
            </w:tcMar>
            <w:vAlign w:val="center"/>
          </w:tcPr>
          <w:p w14:paraId="57D189F1">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建设性质</w:t>
            </w:r>
          </w:p>
        </w:tc>
        <w:tc>
          <w:tcPr>
            <w:tcW w:w="2305" w:type="dxa"/>
            <w:vAlign w:val="center"/>
          </w:tcPr>
          <w:p w14:paraId="1CA5B640">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☑新建（迁建）</w:t>
            </w:r>
          </w:p>
          <w:p w14:paraId="1C4D649B">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□改建</w:t>
            </w:r>
          </w:p>
          <w:p w14:paraId="6019605A">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□扩建</w:t>
            </w:r>
          </w:p>
          <w:p w14:paraId="489258ED">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□技术改造</w:t>
            </w:r>
          </w:p>
        </w:tc>
        <w:tc>
          <w:tcPr>
            <w:tcW w:w="2212" w:type="dxa"/>
            <w:vAlign w:val="center"/>
          </w:tcPr>
          <w:p w14:paraId="316A5C15">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建设项目</w:t>
            </w:r>
          </w:p>
          <w:p w14:paraId="585B5F41">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申报情形</w:t>
            </w:r>
          </w:p>
        </w:tc>
        <w:tc>
          <w:tcPr>
            <w:tcW w:w="2639" w:type="dxa"/>
            <w:vAlign w:val="center"/>
          </w:tcPr>
          <w:p w14:paraId="44622159">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☑首次申报项目             </w:t>
            </w:r>
          </w:p>
          <w:p w14:paraId="03A619EB">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□不予批准后再次申报项目</w:t>
            </w:r>
          </w:p>
          <w:p w14:paraId="163D03E5">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□超五年重新审核项目     </w:t>
            </w:r>
          </w:p>
          <w:p w14:paraId="3DCB3285">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□重大变动重新报批项目</w:t>
            </w:r>
          </w:p>
        </w:tc>
      </w:tr>
      <w:tr w14:paraId="04403B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714" w:type="dxa"/>
            <w:tcMar>
              <w:top w:w="16" w:type="dxa"/>
              <w:left w:w="16" w:type="dxa"/>
              <w:right w:w="16" w:type="dxa"/>
            </w:tcMar>
            <w:vAlign w:val="center"/>
          </w:tcPr>
          <w:p w14:paraId="2B33ADCA">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项目审批（核准/</w:t>
            </w:r>
          </w:p>
          <w:p w14:paraId="789EEBC8">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备案）部门（选填）</w:t>
            </w:r>
          </w:p>
        </w:tc>
        <w:tc>
          <w:tcPr>
            <w:tcW w:w="2305" w:type="dxa"/>
            <w:vAlign w:val="center"/>
          </w:tcPr>
          <w:p w14:paraId="03C849DA">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无</w:t>
            </w:r>
          </w:p>
        </w:tc>
        <w:tc>
          <w:tcPr>
            <w:tcW w:w="2212" w:type="dxa"/>
            <w:vAlign w:val="center"/>
          </w:tcPr>
          <w:p w14:paraId="35C5DCC7">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项目审批（核准/</w:t>
            </w:r>
          </w:p>
          <w:p w14:paraId="02B39B0F">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备案）文号（选填）</w:t>
            </w:r>
          </w:p>
        </w:tc>
        <w:tc>
          <w:tcPr>
            <w:tcW w:w="2639" w:type="dxa"/>
            <w:vAlign w:val="center"/>
          </w:tcPr>
          <w:p w14:paraId="3F503CFB">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无</w:t>
            </w:r>
          </w:p>
        </w:tc>
      </w:tr>
      <w:tr w14:paraId="63E3C4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14" w:type="dxa"/>
            <w:tcMar>
              <w:top w:w="16" w:type="dxa"/>
              <w:left w:w="16" w:type="dxa"/>
              <w:right w:w="16" w:type="dxa"/>
            </w:tcMar>
            <w:vAlign w:val="center"/>
          </w:tcPr>
          <w:p w14:paraId="2F30132D">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总投资（万元）</w:t>
            </w:r>
          </w:p>
        </w:tc>
        <w:tc>
          <w:tcPr>
            <w:tcW w:w="2305" w:type="dxa"/>
            <w:vAlign w:val="center"/>
          </w:tcPr>
          <w:p w14:paraId="625C7824">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100</w:t>
            </w:r>
          </w:p>
        </w:tc>
        <w:tc>
          <w:tcPr>
            <w:tcW w:w="2212" w:type="dxa"/>
            <w:tcMar>
              <w:top w:w="16" w:type="dxa"/>
              <w:left w:w="16" w:type="dxa"/>
              <w:right w:w="16" w:type="dxa"/>
            </w:tcMar>
            <w:vAlign w:val="center"/>
          </w:tcPr>
          <w:p w14:paraId="1079F245">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环保投资（万元）</w:t>
            </w:r>
          </w:p>
        </w:tc>
        <w:tc>
          <w:tcPr>
            <w:tcW w:w="2639" w:type="dxa"/>
            <w:vAlign w:val="center"/>
          </w:tcPr>
          <w:p w14:paraId="314FF7D7">
            <w:pPr>
              <w:adjustRightInd w:val="0"/>
              <w:snapToGrid w:val="0"/>
              <w:jc w:val="center"/>
              <w:rPr>
                <w:color w:val="000000" w:themeColor="text1"/>
                <w:sz w:val="24"/>
                <w14:textFill>
                  <w14:solidFill>
                    <w14:schemeClr w14:val="tx1"/>
                  </w14:solidFill>
                </w14:textFill>
              </w:rPr>
            </w:pPr>
            <w:r>
              <w:rPr>
                <w:bCs/>
                <w:color w:val="000000" w:themeColor="text1"/>
                <w:kern w:val="0"/>
                <w:sz w:val="24"/>
                <w14:textFill>
                  <w14:solidFill>
                    <w14:schemeClr w14:val="tx1"/>
                  </w14:solidFill>
                </w14:textFill>
              </w:rPr>
              <w:t>20</w:t>
            </w:r>
          </w:p>
        </w:tc>
      </w:tr>
      <w:tr w14:paraId="6B1AE0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14" w:type="dxa"/>
            <w:tcMar>
              <w:top w:w="16" w:type="dxa"/>
              <w:left w:w="16" w:type="dxa"/>
              <w:right w:w="16" w:type="dxa"/>
            </w:tcMar>
            <w:vAlign w:val="center"/>
          </w:tcPr>
          <w:p w14:paraId="33F56033">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环保投资占比（%）</w:t>
            </w:r>
          </w:p>
        </w:tc>
        <w:tc>
          <w:tcPr>
            <w:tcW w:w="2305" w:type="dxa"/>
            <w:vAlign w:val="center"/>
          </w:tcPr>
          <w:p w14:paraId="6778633C">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20</w:t>
            </w:r>
          </w:p>
        </w:tc>
        <w:tc>
          <w:tcPr>
            <w:tcW w:w="2212" w:type="dxa"/>
            <w:tcMar>
              <w:top w:w="16" w:type="dxa"/>
              <w:left w:w="16" w:type="dxa"/>
              <w:right w:w="16" w:type="dxa"/>
            </w:tcMar>
            <w:vAlign w:val="center"/>
          </w:tcPr>
          <w:p w14:paraId="1083E56B">
            <w:pPr>
              <w:adjustRightInd w:val="0"/>
              <w:snapToGrid w:val="0"/>
              <w:jc w:val="center"/>
              <w:rPr>
                <w:color w:val="000000" w:themeColor="text1"/>
                <w:sz w:val="24"/>
                <w14:textFill>
                  <w14:solidFill>
                    <w14:schemeClr w14:val="tx1"/>
                  </w14:solidFill>
                </w14:textFill>
              </w:rPr>
            </w:pPr>
            <w:r>
              <w:rPr>
                <w:bCs/>
                <w:color w:val="000000" w:themeColor="text1"/>
                <w:kern w:val="0"/>
                <w:sz w:val="24"/>
                <w14:textFill>
                  <w14:solidFill>
                    <w14:schemeClr w14:val="tx1"/>
                  </w14:solidFill>
                </w14:textFill>
              </w:rPr>
              <w:t>施工工期</w:t>
            </w:r>
          </w:p>
        </w:tc>
        <w:tc>
          <w:tcPr>
            <w:tcW w:w="2639" w:type="dxa"/>
            <w:vAlign w:val="center"/>
          </w:tcPr>
          <w:p w14:paraId="2F04ED93">
            <w:pPr>
              <w:adjustRightInd w:val="0"/>
              <w:snapToGrid w:val="0"/>
              <w:jc w:val="center"/>
              <w:rPr>
                <w:color w:val="000000" w:themeColor="text1"/>
                <w:sz w:val="24"/>
                <w14:textFill>
                  <w14:solidFill>
                    <w14:schemeClr w14:val="tx1"/>
                  </w14:solidFill>
                </w14:textFill>
              </w:rPr>
            </w:pPr>
            <w:r>
              <w:rPr>
                <w:bCs/>
                <w:color w:val="000000" w:themeColor="text1"/>
                <w:kern w:val="0"/>
                <w:sz w:val="24"/>
                <w14:textFill>
                  <w14:solidFill>
                    <w14:schemeClr w14:val="tx1"/>
                  </w14:solidFill>
                </w14:textFill>
              </w:rPr>
              <w:t>2026.10-2026.10</w:t>
            </w:r>
          </w:p>
        </w:tc>
      </w:tr>
      <w:tr w14:paraId="385712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14" w:type="dxa"/>
            <w:tcMar>
              <w:top w:w="16" w:type="dxa"/>
              <w:left w:w="16" w:type="dxa"/>
              <w:right w:w="16" w:type="dxa"/>
            </w:tcMar>
            <w:vAlign w:val="center"/>
          </w:tcPr>
          <w:p w14:paraId="0127DA6E">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是否开工建设</w:t>
            </w:r>
          </w:p>
        </w:tc>
        <w:tc>
          <w:tcPr>
            <w:tcW w:w="2305" w:type="dxa"/>
            <w:vAlign w:val="center"/>
          </w:tcPr>
          <w:p w14:paraId="70F356F2">
            <w:pPr>
              <w:adjustRightInd w:val="0"/>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☑否</w:t>
            </w:r>
          </w:p>
          <w:p w14:paraId="425B6977">
            <w:pPr>
              <w:adjustRightInd w:val="0"/>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□是：</w:t>
            </w:r>
          </w:p>
        </w:tc>
        <w:tc>
          <w:tcPr>
            <w:tcW w:w="2212" w:type="dxa"/>
            <w:tcMar>
              <w:top w:w="16" w:type="dxa"/>
              <w:left w:w="16" w:type="dxa"/>
              <w:right w:w="16" w:type="dxa"/>
            </w:tcMar>
            <w:vAlign w:val="center"/>
          </w:tcPr>
          <w:p w14:paraId="47E9E0A8">
            <w:pPr>
              <w:adjustRightInd w:val="0"/>
              <w:snapToGrid w:val="0"/>
              <w:jc w:val="cente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用地（用海）</w:t>
            </w:r>
          </w:p>
          <w:p w14:paraId="725C727B">
            <w:pPr>
              <w:adjustRightInd w:val="0"/>
              <w:snapToGrid w:val="0"/>
              <w:jc w:val="center"/>
              <w:rPr>
                <w:color w:val="000000" w:themeColor="text1"/>
                <w:sz w:val="24"/>
                <w14:textFill>
                  <w14:solidFill>
                    <w14:schemeClr w14:val="tx1"/>
                  </w14:solidFill>
                </w14:textFill>
              </w:rPr>
            </w:pPr>
            <w:r>
              <w:rPr>
                <w:color w:val="000000" w:themeColor="text1"/>
                <w:spacing w:val="-6"/>
                <w:sz w:val="24"/>
                <w14:textFill>
                  <w14:solidFill>
                    <w14:schemeClr w14:val="tx1"/>
                  </w14:solidFill>
                </w14:textFill>
              </w:rPr>
              <w:t>面积（m</w:t>
            </w:r>
            <w:r>
              <w:rPr>
                <w:color w:val="000000" w:themeColor="text1"/>
                <w:spacing w:val="-6"/>
                <w:sz w:val="24"/>
                <w:vertAlign w:val="superscript"/>
                <w14:textFill>
                  <w14:solidFill>
                    <w14:schemeClr w14:val="tx1"/>
                  </w14:solidFill>
                </w14:textFill>
              </w:rPr>
              <w:t>2</w:t>
            </w:r>
            <w:r>
              <w:rPr>
                <w:color w:val="000000" w:themeColor="text1"/>
                <w:spacing w:val="-6"/>
                <w:sz w:val="24"/>
                <w14:textFill>
                  <w14:solidFill>
                    <w14:schemeClr w14:val="tx1"/>
                  </w14:solidFill>
                </w14:textFill>
              </w:rPr>
              <w:t>）</w:t>
            </w:r>
          </w:p>
        </w:tc>
        <w:tc>
          <w:tcPr>
            <w:tcW w:w="2639" w:type="dxa"/>
            <w:vAlign w:val="center"/>
          </w:tcPr>
          <w:p w14:paraId="5FA0D6A3">
            <w:pPr>
              <w:adjustRightInd w:val="0"/>
              <w:snapToGrid w:val="0"/>
              <w:jc w:val="center"/>
              <w:rPr>
                <w:rFonts w:hint="default" w:eastAsia="宋体"/>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792</w:t>
            </w:r>
          </w:p>
        </w:tc>
      </w:tr>
      <w:tr w14:paraId="5A98C3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714" w:type="dxa"/>
            <w:vAlign w:val="center"/>
          </w:tcPr>
          <w:p w14:paraId="7F5DE540">
            <w:pPr>
              <w:autoSpaceDE w:val="0"/>
              <w:autoSpaceDN w:val="0"/>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专项评价设置情况</w:t>
            </w:r>
          </w:p>
        </w:tc>
        <w:tc>
          <w:tcPr>
            <w:tcW w:w="7156" w:type="dxa"/>
            <w:gridSpan w:val="3"/>
            <w:vAlign w:val="center"/>
          </w:tcPr>
          <w:p w14:paraId="5030D3D7">
            <w:pPr>
              <w:widowControl/>
              <w:snapToGrid w:val="0"/>
              <w:jc w:val="center"/>
              <w:rPr>
                <w:b/>
                <w:bCs/>
                <w:color w:val="000000" w:themeColor="text1"/>
                <w:szCs w:val="21"/>
                <w14:textFill>
                  <w14:solidFill>
                    <w14:schemeClr w14:val="tx1"/>
                  </w14:solidFill>
                </w14:textFill>
              </w:rPr>
            </w:pPr>
            <w:r>
              <w:rPr>
                <w:b/>
                <w:bCs/>
                <w:color w:val="000000" w:themeColor="text1"/>
                <w:sz w:val="24"/>
                <w14:textFill>
                  <w14:solidFill>
                    <w14:schemeClr w14:val="tx1"/>
                  </w14:solidFill>
                </w14:textFill>
              </w:rPr>
              <w:t>表1-1 专项设置</w:t>
            </w:r>
          </w:p>
          <w:tbl>
            <w:tblPr>
              <w:tblStyle w:val="24"/>
              <w:tblW w:w="4997"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971"/>
              <w:gridCol w:w="3129"/>
              <w:gridCol w:w="2836"/>
            </w:tblGrid>
            <w:tr w14:paraId="5420916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78" w:type="dxa"/>
                  <w:tcBorders>
                    <w:tl2br w:val="nil"/>
                    <w:tr2bl w:val="nil"/>
                  </w:tcBorders>
                  <w:vAlign w:val="center"/>
                </w:tcPr>
                <w:p w14:paraId="7C3BC83A">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专项评价的类别</w:t>
                  </w:r>
                </w:p>
              </w:tc>
              <w:tc>
                <w:tcPr>
                  <w:tcW w:w="2828" w:type="dxa"/>
                  <w:tcBorders>
                    <w:tl2br w:val="nil"/>
                    <w:tr2bl w:val="nil"/>
                  </w:tcBorders>
                  <w:vAlign w:val="center"/>
                </w:tcPr>
                <w:p w14:paraId="1C7D5335">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设置原则</w:t>
                  </w:r>
                </w:p>
              </w:tc>
              <w:tc>
                <w:tcPr>
                  <w:tcW w:w="2563" w:type="dxa"/>
                  <w:tcBorders>
                    <w:tl2br w:val="nil"/>
                    <w:tr2bl w:val="nil"/>
                  </w:tcBorders>
                  <w:vAlign w:val="center"/>
                </w:tcPr>
                <w:p w14:paraId="0EEDCEBB">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是否设置</w:t>
                  </w:r>
                </w:p>
              </w:tc>
            </w:tr>
            <w:tr w14:paraId="6FB21FC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78" w:type="dxa"/>
                  <w:tcBorders>
                    <w:tl2br w:val="nil"/>
                    <w:tr2bl w:val="nil"/>
                  </w:tcBorders>
                  <w:vAlign w:val="center"/>
                </w:tcPr>
                <w:p w14:paraId="00781D54">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大气</w:t>
                  </w:r>
                </w:p>
              </w:tc>
              <w:tc>
                <w:tcPr>
                  <w:tcW w:w="2828" w:type="dxa"/>
                  <w:tcBorders>
                    <w:tl2br w:val="nil"/>
                    <w:tr2bl w:val="nil"/>
                  </w:tcBorders>
                  <w:vAlign w:val="center"/>
                </w:tcPr>
                <w:p w14:paraId="1B09D65E">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排放废气含有毒有害污染物、二噁英、苯并[</w:t>
                  </w:r>
                  <w:r>
                    <w:rPr>
                      <w:i/>
                      <w:iCs/>
                      <w:color w:val="000000" w:themeColor="text1"/>
                      <w:kern w:val="21"/>
                      <w:szCs w:val="21"/>
                      <w14:textFill>
                        <w14:solidFill>
                          <w14:schemeClr w14:val="tx1"/>
                        </w14:solidFill>
                      </w14:textFill>
                    </w:rPr>
                    <w:t>a</w:t>
                  </w:r>
                  <w:r>
                    <w:rPr>
                      <w:color w:val="000000" w:themeColor="text1"/>
                      <w:kern w:val="21"/>
                      <w:szCs w:val="21"/>
                      <w14:textFill>
                        <w14:solidFill>
                          <w14:schemeClr w14:val="tx1"/>
                        </w14:solidFill>
                      </w14:textFill>
                    </w:rPr>
                    <w:t>]芘、氰化物、氯气且厂界外500米范围内有环境空气保护目标的建设项目</w:t>
                  </w:r>
                </w:p>
              </w:tc>
              <w:tc>
                <w:tcPr>
                  <w:tcW w:w="2563" w:type="dxa"/>
                  <w:tcBorders>
                    <w:tl2br w:val="nil"/>
                    <w:tr2bl w:val="nil"/>
                  </w:tcBorders>
                  <w:vAlign w:val="center"/>
                </w:tcPr>
                <w:p w14:paraId="63718620">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根据《直接法测定固体生物质燃料中汞的试验研究》（煤质技术，2020年）可知，生物质汞含量为15.47ng/g，由于生物质汞含量极低的特点，本项目不考虑汞的排放。</w:t>
                  </w:r>
                </w:p>
                <w:p w14:paraId="153364E3">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由此，本项目不设置大气专题评价</w:t>
                  </w:r>
                </w:p>
              </w:tc>
            </w:tr>
            <w:tr w14:paraId="4CE3602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78" w:type="dxa"/>
                  <w:tcBorders>
                    <w:tl2br w:val="nil"/>
                    <w:tr2bl w:val="nil"/>
                  </w:tcBorders>
                  <w:vAlign w:val="center"/>
                </w:tcPr>
                <w:p w14:paraId="1F7AABF4">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地表水</w:t>
                  </w:r>
                </w:p>
              </w:tc>
              <w:tc>
                <w:tcPr>
                  <w:tcW w:w="2828" w:type="dxa"/>
                  <w:tcBorders>
                    <w:tl2br w:val="nil"/>
                    <w:tr2bl w:val="nil"/>
                  </w:tcBorders>
                  <w:vAlign w:val="center"/>
                </w:tcPr>
                <w:p w14:paraId="40237733">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新增工业废水直排建设项目（槽罐车外送污水处理厂的除外）；新增废水直排的污水集中处理厂</w:t>
                  </w:r>
                </w:p>
              </w:tc>
              <w:tc>
                <w:tcPr>
                  <w:tcW w:w="2563" w:type="dxa"/>
                  <w:tcBorders>
                    <w:tl2br w:val="nil"/>
                    <w:tr2bl w:val="nil"/>
                  </w:tcBorders>
                  <w:vAlign w:val="center"/>
                </w:tcPr>
                <w:p w14:paraId="2BA0A4EA">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不设置，项目不新增工业废水直排</w:t>
                  </w:r>
                </w:p>
              </w:tc>
            </w:tr>
            <w:tr w14:paraId="701F3FB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78" w:type="dxa"/>
                  <w:tcBorders>
                    <w:tl2br w:val="nil"/>
                    <w:tr2bl w:val="nil"/>
                  </w:tcBorders>
                  <w:vAlign w:val="center"/>
                </w:tcPr>
                <w:p w14:paraId="49EB9187">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环境风险</w:t>
                  </w:r>
                </w:p>
              </w:tc>
              <w:tc>
                <w:tcPr>
                  <w:tcW w:w="2828" w:type="dxa"/>
                  <w:tcBorders>
                    <w:tl2br w:val="nil"/>
                    <w:tr2bl w:val="nil"/>
                  </w:tcBorders>
                  <w:vAlign w:val="center"/>
                </w:tcPr>
                <w:p w14:paraId="6D3AC314">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有毒有害和易燃易爆危险物质存储量超过临界量的建设项目</w:t>
                  </w:r>
                </w:p>
              </w:tc>
              <w:tc>
                <w:tcPr>
                  <w:tcW w:w="2563" w:type="dxa"/>
                  <w:tcBorders>
                    <w:tl2br w:val="nil"/>
                    <w:tr2bl w:val="nil"/>
                  </w:tcBorders>
                  <w:vAlign w:val="center"/>
                </w:tcPr>
                <w:p w14:paraId="025ACAB5">
                  <w:pPr>
                    <w:autoSpaceDE w:val="0"/>
                    <w:autoSpaceDN w:val="0"/>
                    <w:adjustRightInd w:val="0"/>
                    <w:snapToGrid w:val="0"/>
                    <w:jc w:val="center"/>
                    <w:rPr>
                      <w:color w:val="000000" w:themeColor="text1"/>
                      <w:kern w:val="21"/>
                      <w:szCs w:val="21"/>
                      <w14:textFill>
                        <w14:solidFill>
                          <w14:schemeClr w14:val="tx1"/>
                        </w14:solidFill>
                      </w14:textFill>
                    </w:rPr>
                  </w:pPr>
                  <w:r>
                    <w:rPr>
                      <w:rFonts w:hint="default" w:ascii="Times New Roman" w:hAnsi="Times New Roman" w:eastAsia="宋体" w:cs="Times New Roman"/>
                      <w:smallCaps w:val="0"/>
                      <w:snapToGrid w:val="0"/>
                      <w:color w:val="000000" w:themeColor="text1"/>
                      <w:kern w:val="0"/>
                      <w:sz w:val="21"/>
                      <w:szCs w:val="21"/>
                      <w:highlight w:val="none"/>
                      <w14:textFill>
                        <w14:solidFill>
                          <w14:schemeClr w14:val="tx1"/>
                        </w14:solidFill>
                      </w14:textFill>
                    </w:rPr>
                    <w:t>本项目有毒有害和易燃易爆危险物质存储量</w:t>
                  </w:r>
                  <w:r>
                    <w:rPr>
                      <w:rFonts w:hint="default" w:ascii="Times New Roman" w:hAnsi="Times New Roman" w:eastAsia="宋体" w:cs="Times New Roman"/>
                      <w:smallCaps w:val="0"/>
                      <w:snapToGrid w:val="0"/>
                      <w:color w:val="000000" w:themeColor="text1"/>
                      <w:kern w:val="0"/>
                      <w:sz w:val="21"/>
                      <w:szCs w:val="21"/>
                      <w:highlight w:val="none"/>
                      <w:lang w:eastAsia="zh-CN"/>
                      <w14:textFill>
                        <w14:solidFill>
                          <w14:schemeClr w14:val="tx1"/>
                        </w14:solidFill>
                      </w14:textFill>
                    </w:rPr>
                    <w:t>未</w:t>
                  </w:r>
                  <w:r>
                    <w:rPr>
                      <w:rFonts w:hint="default" w:ascii="Times New Roman" w:hAnsi="Times New Roman" w:eastAsia="宋体" w:cs="Times New Roman"/>
                      <w:smallCaps w:val="0"/>
                      <w:snapToGrid w:val="0"/>
                      <w:color w:val="000000" w:themeColor="text1"/>
                      <w:kern w:val="0"/>
                      <w:sz w:val="21"/>
                      <w:szCs w:val="21"/>
                      <w:highlight w:val="none"/>
                      <w14:textFill>
                        <w14:solidFill>
                          <w14:schemeClr w14:val="tx1"/>
                        </w14:solidFill>
                      </w14:textFill>
                    </w:rPr>
                    <w:t>超过临界量，因此不需设置环境风险专项评价。</w:t>
                  </w:r>
                </w:p>
              </w:tc>
            </w:tr>
            <w:tr w14:paraId="51C98EB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78" w:type="dxa"/>
                  <w:tcBorders>
                    <w:tl2br w:val="nil"/>
                    <w:tr2bl w:val="nil"/>
                  </w:tcBorders>
                  <w:vAlign w:val="center"/>
                </w:tcPr>
                <w:p w14:paraId="79DC5800">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生态</w:t>
                  </w:r>
                </w:p>
              </w:tc>
              <w:tc>
                <w:tcPr>
                  <w:tcW w:w="2828" w:type="dxa"/>
                  <w:tcBorders>
                    <w:tl2br w:val="nil"/>
                    <w:tr2bl w:val="nil"/>
                  </w:tcBorders>
                  <w:vAlign w:val="center"/>
                </w:tcPr>
                <w:p w14:paraId="1528E6F9">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取水口下游500米范围内有重要水生生物的自然产卵场、索饵场、越冬场和洄游通道的新增河道取水的污染类建设项目</w:t>
                  </w:r>
                </w:p>
              </w:tc>
              <w:tc>
                <w:tcPr>
                  <w:tcW w:w="2563" w:type="dxa"/>
                  <w:tcBorders>
                    <w:tl2br w:val="nil"/>
                    <w:tr2bl w:val="nil"/>
                  </w:tcBorders>
                  <w:vAlign w:val="center"/>
                </w:tcPr>
                <w:p w14:paraId="5D319262">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不设置</w:t>
                  </w:r>
                </w:p>
              </w:tc>
            </w:tr>
            <w:tr w14:paraId="1D4324C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78" w:type="dxa"/>
                  <w:tcBorders>
                    <w:tl2br w:val="nil"/>
                    <w:tr2bl w:val="nil"/>
                  </w:tcBorders>
                  <w:vAlign w:val="center"/>
                </w:tcPr>
                <w:p w14:paraId="3C750FDF">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海洋</w:t>
                  </w:r>
                </w:p>
              </w:tc>
              <w:tc>
                <w:tcPr>
                  <w:tcW w:w="2828" w:type="dxa"/>
                  <w:tcBorders>
                    <w:tl2br w:val="nil"/>
                    <w:tr2bl w:val="nil"/>
                  </w:tcBorders>
                  <w:vAlign w:val="center"/>
                </w:tcPr>
                <w:p w14:paraId="71EEAE7B">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直接向海排放污染物的海洋工程建设项目</w:t>
                  </w:r>
                </w:p>
              </w:tc>
              <w:tc>
                <w:tcPr>
                  <w:tcW w:w="2563" w:type="dxa"/>
                  <w:tcBorders>
                    <w:tl2br w:val="nil"/>
                    <w:tr2bl w:val="nil"/>
                  </w:tcBorders>
                  <w:vAlign w:val="center"/>
                </w:tcPr>
                <w:p w14:paraId="6CA8A808">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不设置</w:t>
                  </w:r>
                </w:p>
              </w:tc>
            </w:tr>
            <w:tr w14:paraId="6E9170C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878" w:type="dxa"/>
                  <w:tcBorders>
                    <w:tl2br w:val="nil"/>
                    <w:tr2bl w:val="nil"/>
                  </w:tcBorders>
                  <w:vAlign w:val="center"/>
                </w:tcPr>
                <w:p w14:paraId="33E6D975">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地下水</w:t>
                  </w:r>
                </w:p>
              </w:tc>
              <w:tc>
                <w:tcPr>
                  <w:tcW w:w="2828" w:type="dxa"/>
                  <w:tcBorders>
                    <w:tl2br w:val="nil"/>
                    <w:tr2bl w:val="nil"/>
                  </w:tcBorders>
                  <w:vAlign w:val="center"/>
                </w:tcPr>
                <w:p w14:paraId="3A313E50">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地下水原则上不开展专项评价，涉及集中式饮用水水源和热水、矿泉水、温泉等特殊地下水资源保护区的开展地下水专项评价工作</w:t>
                  </w:r>
                </w:p>
              </w:tc>
              <w:tc>
                <w:tcPr>
                  <w:tcW w:w="2563" w:type="dxa"/>
                  <w:tcBorders>
                    <w:tl2br w:val="nil"/>
                    <w:tr2bl w:val="nil"/>
                  </w:tcBorders>
                  <w:vAlign w:val="center"/>
                </w:tcPr>
                <w:p w14:paraId="0E30509E">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不设置，本项目不涉及集中式饮用水水源和热水、矿泉水、温泉等</w:t>
                  </w:r>
                </w:p>
              </w:tc>
            </w:tr>
            <w:tr w14:paraId="5D21281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78" w:type="dxa"/>
                  <w:tcBorders>
                    <w:tl2br w:val="nil"/>
                    <w:tr2bl w:val="nil"/>
                  </w:tcBorders>
                  <w:vAlign w:val="center"/>
                </w:tcPr>
                <w:p w14:paraId="5CA1332D">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土壤</w:t>
                  </w:r>
                </w:p>
              </w:tc>
              <w:tc>
                <w:tcPr>
                  <w:tcW w:w="2828" w:type="dxa"/>
                  <w:vMerge w:val="restart"/>
                  <w:tcBorders>
                    <w:tl2br w:val="nil"/>
                    <w:tr2bl w:val="nil"/>
                  </w:tcBorders>
                  <w:vAlign w:val="center"/>
                </w:tcPr>
                <w:p w14:paraId="2F3522EF">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土壤、声环境不开展专项评价</w:t>
                  </w:r>
                </w:p>
              </w:tc>
              <w:tc>
                <w:tcPr>
                  <w:tcW w:w="2563" w:type="dxa"/>
                  <w:tcBorders>
                    <w:tl2br w:val="nil"/>
                    <w:tr2bl w:val="nil"/>
                  </w:tcBorders>
                  <w:vAlign w:val="center"/>
                </w:tcPr>
                <w:p w14:paraId="2489FFA5">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不设置</w:t>
                  </w:r>
                </w:p>
              </w:tc>
            </w:tr>
            <w:tr w14:paraId="6F579BA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78" w:type="dxa"/>
                  <w:tcBorders>
                    <w:tl2br w:val="nil"/>
                    <w:tr2bl w:val="nil"/>
                  </w:tcBorders>
                  <w:vAlign w:val="center"/>
                </w:tcPr>
                <w:p w14:paraId="5C0C01AD">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声环境</w:t>
                  </w:r>
                </w:p>
              </w:tc>
              <w:tc>
                <w:tcPr>
                  <w:tcW w:w="2828" w:type="dxa"/>
                  <w:vMerge w:val="continue"/>
                  <w:tcBorders>
                    <w:tl2br w:val="nil"/>
                    <w:tr2bl w:val="nil"/>
                  </w:tcBorders>
                  <w:vAlign w:val="center"/>
                </w:tcPr>
                <w:p w14:paraId="53A92556">
                  <w:pPr>
                    <w:autoSpaceDE w:val="0"/>
                    <w:autoSpaceDN w:val="0"/>
                    <w:adjustRightInd w:val="0"/>
                    <w:snapToGrid w:val="0"/>
                    <w:jc w:val="center"/>
                    <w:rPr>
                      <w:color w:val="000000" w:themeColor="text1"/>
                      <w:kern w:val="21"/>
                      <w:szCs w:val="21"/>
                      <w14:textFill>
                        <w14:solidFill>
                          <w14:schemeClr w14:val="tx1"/>
                        </w14:solidFill>
                      </w14:textFill>
                    </w:rPr>
                  </w:pPr>
                </w:p>
              </w:tc>
              <w:tc>
                <w:tcPr>
                  <w:tcW w:w="2563" w:type="dxa"/>
                  <w:tcBorders>
                    <w:tl2br w:val="nil"/>
                    <w:tr2bl w:val="nil"/>
                  </w:tcBorders>
                  <w:vAlign w:val="center"/>
                </w:tcPr>
                <w:p w14:paraId="1B0A25C4">
                  <w:pPr>
                    <w:autoSpaceDE w:val="0"/>
                    <w:autoSpaceDN w:val="0"/>
                    <w:adjustRightInd w:val="0"/>
                    <w:snapToGrid w:val="0"/>
                    <w:jc w:val="center"/>
                    <w:rPr>
                      <w:color w:val="000000" w:themeColor="text1"/>
                      <w:kern w:val="21"/>
                      <w:szCs w:val="21"/>
                      <w14:textFill>
                        <w14:solidFill>
                          <w14:schemeClr w14:val="tx1"/>
                        </w14:solidFill>
                      </w14:textFill>
                    </w:rPr>
                  </w:pPr>
                  <w:r>
                    <w:rPr>
                      <w:color w:val="000000" w:themeColor="text1"/>
                      <w:kern w:val="21"/>
                      <w:szCs w:val="21"/>
                      <w14:textFill>
                        <w14:solidFill>
                          <w14:schemeClr w14:val="tx1"/>
                        </w14:solidFill>
                      </w14:textFill>
                    </w:rPr>
                    <w:t>不设置</w:t>
                  </w:r>
                </w:p>
              </w:tc>
            </w:tr>
          </w:tbl>
          <w:p w14:paraId="0EFB5280">
            <w:pPr>
              <w:autoSpaceDE w:val="0"/>
              <w:autoSpaceDN w:val="0"/>
              <w:adjustRightInd w:val="0"/>
              <w:snapToGrid w:val="0"/>
              <w:jc w:val="center"/>
              <w:rPr>
                <w:color w:val="000000" w:themeColor="text1"/>
                <w:kern w:val="0"/>
                <w:sz w:val="24"/>
                <w14:textFill>
                  <w14:solidFill>
                    <w14:schemeClr w14:val="tx1"/>
                  </w14:solidFill>
                </w14:textFill>
              </w:rPr>
            </w:pPr>
          </w:p>
        </w:tc>
      </w:tr>
      <w:tr w14:paraId="6AC4E7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1714" w:type="dxa"/>
            <w:vAlign w:val="center"/>
          </w:tcPr>
          <w:p w14:paraId="3196BEA0">
            <w:pPr>
              <w:autoSpaceDE w:val="0"/>
              <w:autoSpaceDN w:val="0"/>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规划情况</w:t>
            </w:r>
          </w:p>
        </w:tc>
        <w:tc>
          <w:tcPr>
            <w:tcW w:w="7156" w:type="dxa"/>
            <w:gridSpan w:val="3"/>
            <w:vAlign w:val="center"/>
          </w:tcPr>
          <w:p w14:paraId="7F1BDB9C">
            <w:pPr>
              <w:autoSpaceDE w:val="0"/>
              <w:autoSpaceDN w:val="0"/>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无</w:t>
            </w:r>
          </w:p>
        </w:tc>
      </w:tr>
      <w:tr w14:paraId="02284C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714" w:type="dxa"/>
            <w:vAlign w:val="center"/>
          </w:tcPr>
          <w:p w14:paraId="1EF42468">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规划环境影响</w:t>
            </w:r>
          </w:p>
          <w:p w14:paraId="172559F7">
            <w:pPr>
              <w:adjustRightInd w:val="0"/>
              <w:snapToGrid w:val="0"/>
              <w:jc w:val="center"/>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评价情况</w:t>
            </w:r>
          </w:p>
        </w:tc>
        <w:tc>
          <w:tcPr>
            <w:tcW w:w="7156" w:type="dxa"/>
            <w:gridSpan w:val="3"/>
            <w:vAlign w:val="center"/>
          </w:tcPr>
          <w:p w14:paraId="0EF90458">
            <w:pPr>
              <w:autoSpaceDE w:val="0"/>
              <w:autoSpaceDN w:val="0"/>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无</w:t>
            </w:r>
          </w:p>
        </w:tc>
      </w:tr>
      <w:tr w14:paraId="6EB85A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714" w:type="dxa"/>
            <w:vAlign w:val="center"/>
          </w:tcPr>
          <w:p w14:paraId="5F0BD4F7">
            <w:pPr>
              <w:autoSpaceDE w:val="0"/>
              <w:autoSpaceDN w:val="0"/>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规划及规划环境影响评价符合性分析</w:t>
            </w:r>
          </w:p>
        </w:tc>
        <w:tc>
          <w:tcPr>
            <w:tcW w:w="7156" w:type="dxa"/>
            <w:gridSpan w:val="3"/>
            <w:vAlign w:val="center"/>
          </w:tcPr>
          <w:p w14:paraId="63F5FB58">
            <w:pPr>
              <w:autoSpaceDE w:val="0"/>
              <w:autoSpaceDN w:val="0"/>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无</w:t>
            </w:r>
          </w:p>
        </w:tc>
      </w:tr>
      <w:tr w14:paraId="736DCC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714" w:type="dxa"/>
            <w:vAlign w:val="center"/>
          </w:tcPr>
          <w:p w14:paraId="316A3531">
            <w:pPr>
              <w:autoSpaceDE w:val="0"/>
              <w:autoSpaceDN w:val="0"/>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其他符合性分析</w:t>
            </w:r>
          </w:p>
        </w:tc>
        <w:tc>
          <w:tcPr>
            <w:tcW w:w="7156" w:type="dxa"/>
            <w:gridSpan w:val="3"/>
            <w:vAlign w:val="center"/>
          </w:tcPr>
          <w:p w14:paraId="528775A3">
            <w:pPr>
              <w:autoSpaceDE w:val="0"/>
              <w:autoSpaceDN w:val="0"/>
              <w:adjustRightInd w:val="0"/>
              <w:snapToGrid w:val="0"/>
              <w:spacing w:line="360" w:lineRule="auto"/>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1.产业政策符合性分析</w:t>
            </w:r>
          </w:p>
          <w:p w14:paraId="31B8CA14">
            <w:pPr>
              <w:autoSpaceDE w:val="0"/>
              <w:autoSpaceDN w:val="0"/>
              <w:adjustRightInd w:val="0"/>
              <w:snapToGrid w:val="0"/>
              <w:spacing w:line="360" w:lineRule="auto"/>
              <w:ind w:firstLine="480" w:firstLineChars="200"/>
              <w:rPr>
                <w:b/>
                <w:bCs/>
                <w:color w:val="000000" w:themeColor="text1"/>
                <w:kern w:val="0"/>
                <w:sz w:val="24"/>
                <w14:textFill>
                  <w14:solidFill>
                    <w14:schemeClr w14:val="tx1"/>
                  </w14:solidFill>
                </w14:textFill>
              </w:rPr>
            </w:pPr>
            <w:r>
              <w:rPr>
                <w:color w:val="000000" w:themeColor="text1"/>
                <w:sz w:val="24"/>
                <w14:textFill>
                  <w14:solidFill>
                    <w14:schemeClr w14:val="tx1"/>
                  </w14:solidFill>
                </w14:textFill>
              </w:rPr>
              <w:t>根据《产业结构调整指导目录（2024年本）》（国家发展改革委令第7号公布，自2024年2月1日起施行）的规定，该目录由鼓励类、限制类和淘汰类三类项目组成，未列入上述三类目录的项目为允许类项目。经对照，本项目为链条炉排燃生物质锅炉，用于区域集中供热，不属于该目录中的</w:t>
            </w:r>
            <w:r>
              <w:rPr>
                <w:rFonts w:hint="eastAsia"/>
                <w:color w:val="000000" w:themeColor="text1"/>
                <w:sz w:val="24"/>
                <w:lang w:val="en-US" w:eastAsia="zh-CN"/>
                <w14:textFill>
                  <w14:solidFill>
                    <w14:schemeClr w14:val="tx1"/>
                  </w14:solidFill>
                </w14:textFill>
              </w:rPr>
              <w:t>鼓励类、</w:t>
            </w:r>
            <w:r>
              <w:rPr>
                <w:color w:val="000000" w:themeColor="text1"/>
                <w:sz w:val="24"/>
                <w14:textFill>
                  <w14:solidFill>
                    <w14:schemeClr w14:val="tx1"/>
                  </w14:solidFill>
                </w14:textFill>
              </w:rPr>
              <w:t>限制类和淘汰类项目，属于允许类项目。综上，本项目建设符合国家产业政策。</w:t>
            </w:r>
          </w:p>
          <w:p w14:paraId="192D2F45">
            <w:pPr>
              <w:autoSpaceDE w:val="0"/>
              <w:autoSpaceDN w:val="0"/>
              <w:adjustRightInd w:val="0"/>
              <w:snapToGrid w:val="0"/>
              <w:spacing w:line="360" w:lineRule="auto"/>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2.生态环境分区管控符合性分析</w:t>
            </w:r>
          </w:p>
          <w:p w14:paraId="757B20E9">
            <w:pPr>
              <w:widowControl/>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本项目位于</w:t>
            </w:r>
            <w:r>
              <w:rPr>
                <w:color w:val="000000" w:themeColor="text1"/>
                <w:sz w:val="24"/>
                <w14:textFill>
                  <w14:solidFill>
                    <w14:schemeClr w14:val="tx1"/>
                  </w14:solidFill>
                </w14:textFill>
              </w:rPr>
              <w:t>黑龙江省伊春市伊美区兰新经营所</w:t>
            </w:r>
            <w:r>
              <w:rPr>
                <w:color w:val="000000" w:themeColor="text1"/>
                <w:kern w:val="0"/>
                <w:sz w:val="24"/>
                <w14:textFill>
                  <w14:solidFill>
                    <w14:schemeClr w14:val="tx1"/>
                  </w14:solidFill>
                </w14:textFill>
              </w:rPr>
              <w:t>，</w:t>
            </w:r>
            <w:r>
              <w:rPr>
                <w:color w:val="000000" w:themeColor="text1"/>
                <w:sz w:val="24"/>
                <w14:textFill>
                  <w14:solidFill>
                    <w14:schemeClr w14:val="tx1"/>
                  </w14:solidFill>
                </w14:textFill>
              </w:rPr>
              <w:t>根据</w:t>
            </w:r>
            <w:r>
              <w:rPr>
                <w:color w:val="000000" w:themeColor="text1"/>
                <w:kern w:val="0"/>
                <w:sz w:val="24"/>
                <w:lang w:bidi="ar"/>
                <w14:textFill>
                  <w14:solidFill>
                    <w14:schemeClr w14:val="tx1"/>
                  </w14:solidFill>
                </w14:textFill>
              </w:rPr>
              <w:t>《黑龙江省人民政府关于实施“三线一单”生态环境分区管控的意见》（黑政发〔2020〕14号）、</w:t>
            </w:r>
            <w:r>
              <w:rPr>
                <w:color w:val="000000" w:themeColor="text1"/>
                <w:kern w:val="0"/>
                <w:sz w:val="24"/>
                <w14:textFill>
                  <w14:solidFill>
                    <w14:schemeClr w14:val="tx1"/>
                  </w14:solidFill>
                </w14:textFill>
              </w:rPr>
              <w:t>《伊春市人民政府关于实施“三线一单”生态环境分区管控意见》（伊政规〔2022〕5号）</w:t>
            </w:r>
            <w:r>
              <w:rPr>
                <w:color w:val="000000" w:themeColor="text1"/>
                <w:sz w:val="24"/>
                <w:lang w:bidi="ar"/>
                <w14:textFill>
                  <w14:solidFill>
                    <w14:schemeClr w14:val="tx1"/>
                  </w14:solidFill>
                </w14:textFill>
              </w:rPr>
              <w:t>及黑龙江省生态环境分区管控数据应用平台出具的《生态环境分区管控分析报告》</w:t>
            </w:r>
            <w:r>
              <w:rPr>
                <w:color w:val="000000" w:themeColor="text1"/>
                <w:kern w:val="0"/>
                <w:sz w:val="24"/>
                <w14:textFill>
                  <w14:solidFill>
                    <w14:schemeClr w14:val="tx1"/>
                  </w14:solidFill>
                </w14:textFill>
              </w:rPr>
              <w:t>，</w:t>
            </w:r>
            <w:r>
              <w:rPr>
                <w:color w:val="000000" w:themeColor="text1"/>
                <w:kern w:val="0"/>
                <w:sz w:val="24"/>
                <w:lang w:bidi="ar"/>
                <w14:textFill>
                  <w14:solidFill>
                    <w14:schemeClr w14:val="tx1"/>
                  </w14:solidFill>
                </w14:textFill>
              </w:rPr>
              <w:t>本项目与“生态环境分区管控”符合性如下：</w:t>
            </w:r>
          </w:p>
          <w:p w14:paraId="0FAA895A">
            <w:pPr>
              <w:pStyle w:val="18"/>
              <w:tabs>
                <w:tab w:val="right" w:leader="dot" w:pos="8190"/>
              </w:tabs>
              <w:spacing w:line="360" w:lineRule="auto"/>
              <w:ind w:left="0" w:leftChars="0"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（1）“一图”</w:t>
            </w:r>
          </w:p>
          <w:p w14:paraId="1C63FB2B">
            <w:pPr>
              <w:pStyle w:val="8"/>
              <w:spacing w:before="0" w:after="0" w:line="360" w:lineRule="auto"/>
              <w:ind w:firstLine="480"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根据</w:t>
            </w:r>
            <w:r>
              <w:rPr>
                <w:color w:val="000000" w:themeColor="text1"/>
                <w:sz w:val="24"/>
                <w:szCs w:val="24"/>
                <w:lang w:bidi="ar"/>
                <w14:textFill>
                  <w14:solidFill>
                    <w14:schemeClr w14:val="tx1"/>
                  </w14:solidFill>
                </w14:textFill>
              </w:rPr>
              <w:t>《</w:t>
            </w:r>
            <w:r>
              <w:rPr>
                <w:color w:val="000000" w:themeColor="text1"/>
                <w:sz w:val="24"/>
                <w:szCs w:val="24"/>
                <w14:textFill>
                  <w14:solidFill>
                    <w14:schemeClr w14:val="tx1"/>
                  </w14:solidFill>
                </w14:textFill>
              </w:rPr>
              <w:t>伊美区美溪供热服务中心兰新供热站建设项目</w:t>
            </w:r>
            <w:r>
              <w:rPr>
                <w:color w:val="000000" w:themeColor="text1"/>
                <w:sz w:val="24"/>
                <w:szCs w:val="24"/>
                <w:lang w:bidi="ar"/>
                <w14:textFill>
                  <w14:solidFill>
                    <w14:schemeClr w14:val="tx1"/>
                  </w14:solidFill>
                </w14:textFill>
              </w:rPr>
              <w:t>生态环境分区管控分析报告》，项目与环境管控单元叠加图见图1-1。</w:t>
            </w:r>
          </w:p>
          <w:p w14:paraId="42A7604F">
            <w:pPr>
              <w:spacing w:line="360" w:lineRule="auto"/>
              <w:jc w:val="center"/>
              <w:rPr>
                <w:b/>
                <w:bCs/>
                <w:color w:val="000000" w:themeColor="text1"/>
                <w:sz w:val="24"/>
                <w14:textFill>
                  <w14:solidFill>
                    <w14:schemeClr w14:val="tx1"/>
                  </w14:solidFill>
                </w14:textFill>
              </w:rPr>
            </w:pPr>
            <w:r>
              <w:rPr>
                <w:color w:val="000000" w:themeColor="text1"/>
                <w14:textFill>
                  <w14:solidFill>
                    <w14:schemeClr w14:val="tx1"/>
                  </w14:solidFill>
                </w14:textFill>
              </w:rPr>
              <w:drawing>
                <wp:inline distT="0" distB="0" distL="114300" distR="114300">
                  <wp:extent cx="4398645" cy="2209165"/>
                  <wp:effectExtent l="0" t="0" r="1905" b="635"/>
                  <wp:docPr id="24"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13"/>
                          <pic:cNvPicPr>
                            <a:picLocks noChangeAspect="1"/>
                          </pic:cNvPicPr>
                        </pic:nvPicPr>
                        <pic:blipFill>
                          <a:blip r:embed="rId12"/>
                          <a:stretch>
                            <a:fillRect/>
                          </a:stretch>
                        </pic:blipFill>
                        <pic:spPr>
                          <a:xfrm>
                            <a:off x="0" y="0"/>
                            <a:ext cx="4398645" cy="2209165"/>
                          </a:xfrm>
                          <a:prstGeom prst="rect">
                            <a:avLst/>
                          </a:prstGeom>
                          <a:noFill/>
                          <a:ln>
                            <a:noFill/>
                          </a:ln>
                        </pic:spPr>
                      </pic:pic>
                    </a:graphicData>
                  </a:graphic>
                </wp:inline>
              </w:drawing>
            </w:r>
          </w:p>
          <w:p w14:paraId="2A269FAD">
            <w:pPr>
              <w:spacing w:line="360" w:lineRule="auto"/>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图1-1本项目与环境管控单元叠加图</w:t>
            </w:r>
          </w:p>
          <w:p w14:paraId="26C875AF">
            <w:pPr>
              <w:pStyle w:val="46"/>
              <w:snapToGrid w:val="0"/>
              <w:spacing w:line="360" w:lineRule="auto"/>
              <w:ind w:firstLine="480"/>
              <w:rPr>
                <w:color w:val="000000" w:themeColor="text1"/>
                <w14:textFill>
                  <w14:solidFill>
                    <w14:schemeClr w14:val="tx1"/>
                  </w14:solidFill>
                </w14:textFill>
              </w:rPr>
            </w:pPr>
            <w:r>
              <w:rPr>
                <w:color w:val="000000" w:themeColor="text1"/>
                <w14:textFill>
                  <w14:solidFill>
                    <w14:schemeClr w14:val="tx1"/>
                  </w14:solidFill>
                </w14:textFill>
              </w:rPr>
              <w:t>（2）“一表”</w:t>
            </w:r>
          </w:p>
          <w:p w14:paraId="73577923">
            <w:pPr>
              <w:pStyle w:val="46"/>
              <w:snapToGrid w:val="0"/>
              <w:spacing w:line="360" w:lineRule="auto"/>
              <w:ind w:firstLine="480"/>
              <w:rPr>
                <w:color w:val="000000" w:themeColor="text1"/>
                <w14:textFill>
                  <w14:solidFill>
                    <w14:schemeClr w14:val="tx1"/>
                  </w14:solidFill>
                </w14:textFill>
              </w:rPr>
            </w:pPr>
            <w:r>
              <w:rPr>
                <w:color w:val="000000" w:themeColor="text1"/>
                <w14:textFill>
                  <w14:solidFill>
                    <w14:schemeClr w14:val="tx1"/>
                  </w14:solidFill>
                </w14:textFill>
              </w:rPr>
              <w:t>本项目与生态环境准入清单符合性情况见表1-2。</w:t>
            </w:r>
          </w:p>
          <w:p w14:paraId="7DCF2740">
            <w:pPr>
              <w:snapToGrid w:val="0"/>
              <w:spacing w:line="360" w:lineRule="auto"/>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表1-2生态环境准入清单符合性分析</w:t>
            </w:r>
          </w:p>
          <w:tbl>
            <w:tblPr>
              <w:tblStyle w:val="2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15"/>
              <w:gridCol w:w="357"/>
              <w:gridCol w:w="3392"/>
              <w:gridCol w:w="2676"/>
            </w:tblGrid>
            <w:tr w14:paraId="1DB7A7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4"/>
                  <w:tcBorders>
                    <w:bottom w:val="single" w:color="auto" w:sz="4" w:space="0"/>
                  </w:tcBorders>
                  <w:vAlign w:val="center"/>
                </w:tcPr>
                <w:p w14:paraId="0F21C60D">
                  <w:pPr>
                    <w:adjustRightInd w:val="0"/>
                    <w:jc w:val="center"/>
                    <w:textAlignment w:val="baseline"/>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一、生态保护红线</w:t>
                  </w:r>
                </w:p>
              </w:tc>
            </w:tr>
            <w:tr w14:paraId="43F21B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4"/>
                  <w:tcBorders>
                    <w:top w:val="single" w:color="auto" w:sz="4" w:space="0"/>
                    <w:bottom w:val="single" w:color="auto" w:sz="4" w:space="0"/>
                  </w:tcBorders>
                  <w:vAlign w:val="center"/>
                </w:tcPr>
                <w:p w14:paraId="29A89893">
                  <w:pPr>
                    <w:widowControl/>
                    <w:spacing w:line="360" w:lineRule="auto"/>
                    <w:ind w:firstLine="420" w:firstLineChars="200"/>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生态保护红线：根据</w:t>
                  </w:r>
                  <w:r>
                    <w:rPr>
                      <w:color w:val="000000" w:themeColor="text1"/>
                      <w:szCs w:val="21"/>
                      <w:lang w:bidi="ar"/>
                      <w14:textFill>
                        <w14:solidFill>
                          <w14:schemeClr w14:val="tx1"/>
                        </w14:solidFill>
                      </w14:textFill>
                    </w:rPr>
                    <w:t>黑龙江省生态环境分区管控数据应用平台出具的《生态环境分区管控分析报告》</w:t>
                  </w:r>
                  <w:r>
                    <w:rPr>
                      <w:color w:val="000000" w:themeColor="text1"/>
                      <w:kern w:val="0"/>
                      <w:szCs w:val="21"/>
                      <w14:textFill>
                        <w14:solidFill>
                          <w14:schemeClr w14:val="tx1"/>
                        </w14:solidFill>
                      </w14:textFill>
                    </w:rPr>
                    <w:t>，本项目不涉及生态保护红线。</w:t>
                  </w:r>
                </w:p>
              </w:tc>
            </w:tr>
            <w:tr w14:paraId="630F8D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4"/>
                  <w:tcBorders>
                    <w:top w:val="single" w:color="auto" w:sz="4" w:space="0"/>
                    <w:bottom w:val="single" w:color="auto" w:sz="4" w:space="0"/>
                  </w:tcBorders>
                  <w:vAlign w:val="center"/>
                </w:tcPr>
                <w:p w14:paraId="3A156D51">
                  <w:pPr>
                    <w:adjustRightInd w:val="0"/>
                    <w:jc w:val="center"/>
                    <w:textAlignment w:val="baseline"/>
                    <w:rPr>
                      <w:color w:val="000000" w:themeColor="text1"/>
                      <w:szCs w:val="21"/>
                      <w14:textFill>
                        <w14:solidFill>
                          <w14:schemeClr w14:val="tx1"/>
                        </w14:solidFill>
                      </w14:textFill>
                    </w:rPr>
                  </w:pPr>
                  <w:r>
                    <w:rPr>
                      <w:b/>
                      <w:bCs/>
                      <w:color w:val="000000" w:themeColor="text1"/>
                      <w:szCs w:val="21"/>
                      <w14:textFill>
                        <w14:solidFill>
                          <w14:schemeClr w14:val="tx1"/>
                        </w14:solidFill>
                      </w14:textFill>
                    </w:rPr>
                    <w:t>二、环境质量底线</w:t>
                  </w:r>
                </w:p>
              </w:tc>
            </w:tr>
            <w:tr w14:paraId="576D63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4"/>
                  <w:tcBorders>
                    <w:top w:val="single" w:color="auto" w:sz="4" w:space="0"/>
                    <w:bottom w:val="single" w:color="auto" w:sz="4" w:space="0"/>
                  </w:tcBorders>
                  <w:vAlign w:val="center"/>
                </w:tcPr>
                <w:p w14:paraId="66AB8FE4">
                  <w:pPr>
                    <w:pStyle w:val="145"/>
                    <w:ind w:firstLine="420"/>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环境质量底线是国家和地方设置的大气、水和土壤环境质量目标，也是改善环境质量的基准线。项目环境影响评价应对照区域环境质量目标，深入分析预测项目建设对环境质量的影响，强化污染防治措施和污染物排放控制要求。</w:t>
                  </w:r>
                </w:p>
                <w:p w14:paraId="5EBC1962">
                  <w:pPr>
                    <w:pStyle w:val="145"/>
                    <w:ind w:firstLine="420"/>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1.大气环境</w:t>
                  </w:r>
                </w:p>
                <w:p w14:paraId="7126B298">
                  <w:pPr>
                    <w:pStyle w:val="145"/>
                    <w:ind w:firstLine="420"/>
                    <w:rPr>
                      <w:color w:val="000000" w:themeColor="text1"/>
                      <w:kern w:val="0"/>
                      <w:sz w:val="21"/>
                      <w:szCs w:val="21"/>
                      <w14:textFill>
                        <w14:solidFill>
                          <w14:schemeClr w14:val="tx1"/>
                        </w14:solidFill>
                      </w14:textFill>
                    </w:rPr>
                  </w:pPr>
                  <w:r>
                    <w:rPr>
                      <w:color w:val="000000" w:themeColor="text1"/>
                      <w:sz w:val="21"/>
                      <w:szCs w:val="21"/>
                      <w14:textFill>
                        <w14:solidFill>
                          <w14:schemeClr w14:val="tx1"/>
                        </w14:solidFill>
                      </w14:textFill>
                    </w:rPr>
                    <w:t>根据《2024年伊春市生态环境质量状况》（2025年6月），伊春市空气质量级别达二级标准，PM</w:t>
                  </w:r>
                  <w:r>
                    <w:rPr>
                      <w:color w:val="000000" w:themeColor="text1"/>
                      <w:sz w:val="21"/>
                      <w:szCs w:val="21"/>
                      <w:vertAlign w:val="subscript"/>
                      <w14:textFill>
                        <w14:solidFill>
                          <w14:schemeClr w14:val="tx1"/>
                        </w14:solidFill>
                      </w14:textFill>
                    </w:rPr>
                    <w:t>2.5</w:t>
                  </w:r>
                  <w:r>
                    <w:rPr>
                      <w:color w:val="000000" w:themeColor="text1"/>
                      <w:sz w:val="21"/>
                      <w:szCs w:val="21"/>
                      <w14:textFill>
                        <w14:solidFill>
                          <w14:schemeClr w14:val="tx1"/>
                        </w14:solidFill>
                      </w14:textFill>
                    </w:rPr>
                    <w:t>、PM</w:t>
                  </w:r>
                  <w:r>
                    <w:rPr>
                      <w:color w:val="000000" w:themeColor="text1"/>
                      <w:sz w:val="21"/>
                      <w:szCs w:val="21"/>
                      <w:vertAlign w:val="subscript"/>
                      <w14:textFill>
                        <w14:solidFill>
                          <w14:schemeClr w14:val="tx1"/>
                        </w14:solidFill>
                      </w14:textFill>
                    </w:rPr>
                    <w:t>10</w:t>
                  </w:r>
                  <w:r>
                    <w:rPr>
                      <w:color w:val="000000" w:themeColor="text1"/>
                      <w:sz w:val="21"/>
                      <w:szCs w:val="21"/>
                      <w14:textFill>
                        <w14:solidFill>
                          <w14:schemeClr w14:val="tx1"/>
                        </w14:solidFill>
                      </w14:textFill>
                    </w:rPr>
                    <w:t>、SO</w:t>
                  </w:r>
                  <w:r>
                    <w:rPr>
                      <w:color w:val="000000" w:themeColor="text1"/>
                      <w:sz w:val="21"/>
                      <w:szCs w:val="21"/>
                      <w:vertAlign w:val="subscript"/>
                      <w14:textFill>
                        <w14:solidFill>
                          <w14:schemeClr w14:val="tx1"/>
                        </w14:solidFill>
                      </w14:textFill>
                    </w:rPr>
                    <w:t>2</w:t>
                  </w:r>
                  <w:r>
                    <w:rPr>
                      <w:color w:val="000000" w:themeColor="text1"/>
                      <w:sz w:val="21"/>
                      <w:szCs w:val="21"/>
                      <w14:textFill>
                        <w14:solidFill>
                          <w14:schemeClr w14:val="tx1"/>
                        </w14:solidFill>
                      </w14:textFill>
                    </w:rPr>
                    <w:t>、NO</w:t>
                  </w:r>
                  <w:r>
                    <w:rPr>
                      <w:color w:val="000000" w:themeColor="text1"/>
                      <w:sz w:val="21"/>
                      <w:szCs w:val="21"/>
                      <w:vertAlign w:val="subscript"/>
                      <w14:textFill>
                        <w14:solidFill>
                          <w14:schemeClr w14:val="tx1"/>
                        </w14:solidFill>
                      </w14:textFill>
                    </w:rPr>
                    <w:t>2</w:t>
                  </w:r>
                  <w:r>
                    <w:rPr>
                      <w:color w:val="000000" w:themeColor="text1"/>
                      <w:sz w:val="21"/>
                      <w:szCs w:val="21"/>
                      <w14:textFill>
                        <w14:solidFill>
                          <w14:schemeClr w14:val="tx1"/>
                        </w14:solidFill>
                      </w14:textFill>
                    </w:rPr>
                    <w:t>、CO-95per、O</w:t>
                  </w:r>
                  <w:r>
                    <w:rPr>
                      <w:color w:val="000000" w:themeColor="text1"/>
                      <w:sz w:val="21"/>
                      <w:szCs w:val="21"/>
                      <w:vertAlign w:val="subscript"/>
                      <w14:textFill>
                        <w14:solidFill>
                          <w14:schemeClr w14:val="tx1"/>
                        </w14:solidFill>
                      </w14:textFill>
                    </w:rPr>
                    <w:t>3</w:t>
                  </w:r>
                  <w:r>
                    <w:rPr>
                      <w:color w:val="000000" w:themeColor="text1"/>
                      <w:sz w:val="21"/>
                      <w:szCs w:val="21"/>
                      <w14:textFill>
                        <w14:solidFill>
                          <w14:schemeClr w14:val="tx1"/>
                        </w14:solidFill>
                      </w14:textFill>
                    </w:rPr>
                    <w:t>-8h-90per年均浓度分别为24μg/m</w:t>
                  </w:r>
                  <w:r>
                    <w:rPr>
                      <w:color w:val="000000" w:themeColor="text1"/>
                      <w:sz w:val="21"/>
                      <w:szCs w:val="21"/>
                      <w:vertAlign w:val="superscript"/>
                      <w14:textFill>
                        <w14:solidFill>
                          <w14:schemeClr w14:val="tx1"/>
                        </w14:solidFill>
                      </w14:textFill>
                    </w:rPr>
                    <w:t>3</w:t>
                  </w:r>
                  <w:r>
                    <w:rPr>
                      <w:color w:val="000000" w:themeColor="text1"/>
                      <w:sz w:val="21"/>
                      <w:szCs w:val="21"/>
                      <w14:textFill>
                        <w14:solidFill>
                          <w14:schemeClr w14:val="tx1"/>
                        </w14:solidFill>
                      </w14:textFill>
                    </w:rPr>
                    <w:t>、34μg/m</w:t>
                  </w:r>
                  <w:r>
                    <w:rPr>
                      <w:color w:val="000000" w:themeColor="text1"/>
                      <w:sz w:val="21"/>
                      <w:szCs w:val="21"/>
                      <w:vertAlign w:val="superscript"/>
                      <w14:textFill>
                        <w14:solidFill>
                          <w14:schemeClr w14:val="tx1"/>
                        </w14:solidFill>
                      </w14:textFill>
                    </w:rPr>
                    <w:t>3</w:t>
                  </w:r>
                  <w:r>
                    <w:rPr>
                      <w:color w:val="000000" w:themeColor="text1"/>
                      <w:sz w:val="21"/>
                      <w:szCs w:val="21"/>
                      <w14:textFill>
                        <w14:solidFill>
                          <w14:schemeClr w14:val="tx1"/>
                        </w14:solidFill>
                      </w14:textFill>
                    </w:rPr>
                    <w:t>、7μg/m</w:t>
                  </w:r>
                  <w:r>
                    <w:rPr>
                      <w:color w:val="000000" w:themeColor="text1"/>
                      <w:sz w:val="21"/>
                      <w:szCs w:val="21"/>
                      <w:vertAlign w:val="superscript"/>
                      <w14:textFill>
                        <w14:solidFill>
                          <w14:schemeClr w14:val="tx1"/>
                        </w14:solidFill>
                      </w14:textFill>
                    </w:rPr>
                    <w:t>3</w:t>
                  </w:r>
                  <w:r>
                    <w:rPr>
                      <w:color w:val="000000" w:themeColor="text1"/>
                      <w:sz w:val="21"/>
                      <w:szCs w:val="21"/>
                      <w14:textFill>
                        <w14:solidFill>
                          <w14:schemeClr w14:val="tx1"/>
                        </w14:solidFill>
                      </w14:textFill>
                    </w:rPr>
                    <w:t>、13μg/m</w:t>
                  </w:r>
                  <w:r>
                    <w:rPr>
                      <w:color w:val="000000" w:themeColor="text1"/>
                      <w:sz w:val="21"/>
                      <w:szCs w:val="21"/>
                      <w:vertAlign w:val="superscript"/>
                      <w14:textFill>
                        <w14:solidFill>
                          <w14:schemeClr w14:val="tx1"/>
                        </w14:solidFill>
                      </w14:textFill>
                    </w:rPr>
                    <w:t>3</w:t>
                  </w:r>
                  <w:r>
                    <w:rPr>
                      <w:color w:val="000000" w:themeColor="text1"/>
                      <w:sz w:val="21"/>
                      <w:szCs w:val="21"/>
                      <w14:textFill>
                        <w14:solidFill>
                          <w14:schemeClr w14:val="tx1"/>
                        </w14:solidFill>
                      </w14:textFill>
                    </w:rPr>
                    <w:t>、0.8μg/m</w:t>
                  </w:r>
                  <w:r>
                    <w:rPr>
                      <w:color w:val="000000" w:themeColor="text1"/>
                      <w:sz w:val="21"/>
                      <w:szCs w:val="21"/>
                      <w:vertAlign w:val="superscript"/>
                      <w14:textFill>
                        <w14:solidFill>
                          <w14:schemeClr w14:val="tx1"/>
                        </w14:solidFill>
                      </w14:textFill>
                    </w:rPr>
                    <w:t>3、</w:t>
                  </w:r>
                  <w:r>
                    <w:rPr>
                      <w:color w:val="000000" w:themeColor="text1"/>
                      <w:sz w:val="21"/>
                      <w:szCs w:val="21"/>
                      <w14:textFill>
                        <w14:solidFill>
                          <w14:schemeClr w14:val="tx1"/>
                        </w14:solidFill>
                      </w14:textFill>
                    </w:rPr>
                    <w:t>104μg/m</w:t>
                  </w:r>
                  <w:r>
                    <w:rPr>
                      <w:color w:val="000000" w:themeColor="text1"/>
                      <w:sz w:val="21"/>
                      <w:szCs w:val="21"/>
                      <w:vertAlign w:val="superscript"/>
                      <w14:textFill>
                        <w14:solidFill>
                          <w14:schemeClr w14:val="tx1"/>
                        </w14:solidFill>
                      </w14:textFill>
                    </w:rPr>
                    <w:t>3</w:t>
                  </w:r>
                  <w:r>
                    <w:rPr>
                      <w:color w:val="000000" w:themeColor="text1"/>
                      <w:sz w:val="21"/>
                      <w:szCs w:val="21"/>
                      <w14:textFill>
                        <w14:solidFill>
                          <w14:schemeClr w14:val="tx1"/>
                        </w14:solidFill>
                      </w14:textFill>
                    </w:rPr>
                    <w:t>，</w:t>
                  </w:r>
                  <w:r>
                    <w:rPr>
                      <w:color w:val="000000" w:themeColor="text1"/>
                      <w:kern w:val="21"/>
                      <w:sz w:val="21"/>
                      <w:szCs w:val="21"/>
                      <w14:textFill>
                        <w14:solidFill>
                          <w14:schemeClr w14:val="tx1"/>
                        </w14:solidFill>
                      </w14:textFill>
                    </w:rPr>
                    <w:t>均满足《环境空气质量标准》（GB3095-20</w:t>
                  </w:r>
                  <w:r>
                    <w:rPr>
                      <w:rFonts w:hint="eastAsia"/>
                      <w:color w:val="000000" w:themeColor="text1"/>
                      <w:kern w:val="21"/>
                      <w:sz w:val="21"/>
                      <w:szCs w:val="21"/>
                      <w14:textFill>
                        <w14:solidFill>
                          <w14:schemeClr w14:val="tx1"/>
                        </w14:solidFill>
                      </w14:textFill>
                    </w:rPr>
                    <w:t>26</w:t>
                  </w:r>
                  <w:r>
                    <w:rPr>
                      <w:color w:val="000000" w:themeColor="text1"/>
                      <w:kern w:val="21"/>
                      <w:sz w:val="21"/>
                      <w:szCs w:val="21"/>
                      <w14:textFill>
                        <w14:solidFill>
                          <w14:schemeClr w14:val="tx1"/>
                        </w14:solidFill>
                      </w14:textFill>
                    </w:rPr>
                    <w:t>）中的二级标准，项目所在区域为达标区。</w:t>
                  </w:r>
                </w:p>
                <w:p w14:paraId="749E63EE">
                  <w:pPr>
                    <w:adjustRightInd w:val="0"/>
                    <w:snapToGrid w:val="0"/>
                    <w:spacing w:line="360" w:lineRule="auto"/>
                    <w:ind w:firstLine="420" w:firstLineChars="20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本项目投产后锅炉烟气满足《锅炉大气污染物排放标准》（GB13271-2014）表2标准要求。</w:t>
                  </w:r>
                </w:p>
                <w:p w14:paraId="7B6CA542">
                  <w:pPr>
                    <w:pStyle w:val="145"/>
                    <w:ind w:firstLine="420"/>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2.水环境</w:t>
                  </w:r>
                </w:p>
                <w:p w14:paraId="120CC24D">
                  <w:pPr>
                    <w:spacing w:before="29" w:line="360" w:lineRule="auto"/>
                    <w:ind w:left="4" w:firstLine="479"/>
                    <w:rPr>
                      <w:color w:val="000000" w:themeColor="text1"/>
                      <w:spacing w:val="-3"/>
                      <w:szCs w:val="21"/>
                      <w14:textFill>
                        <w14:solidFill>
                          <w14:schemeClr w14:val="tx1"/>
                        </w14:solidFill>
                      </w14:textFill>
                    </w:rPr>
                  </w:pPr>
                  <w:r>
                    <w:rPr>
                      <w:color w:val="000000" w:themeColor="text1"/>
                      <w:spacing w:val="-3"/>
                      <w:szCs w:val="21"/>
                      <w14:textFill>
                        <w14:solidFill>
                          <w14:schemeClr w14:val="tx1"/>
                        </w14:solidFill>
                      </w14:textFill>
                    </w:rPr>
                    <w:t>本项目位于黑龙江省伊春市伊美区兰新经营所，本项目北侧2.1km为汤旺河。</w:t>
                  </w:r>
                </w:p>
                <w:p w14:paraId="0E86B80D">
                  <w:pPr>
                    <w:spacing w:before="29" w:line="360" w:lineRule="auto"/>
                    <w:ind w:left="4" w:firstLine="479"/>
                    <w:rPr>
                      <w:color w:val="000000" w:themeColor="text1"/>
                      <w:spacing w:val="-3"/>
                      <w:szCs w:val="21"/>
                      <w14:textFill>
                        <w14:solidFill>
                          <w14:schemeClr w14:val="tx1"/>
                        </w14:solidFill>
                      </w14:textFill>
                    </w:rPr>
                  </w:pPr>
                  <w:r>
                    <w:rPr>
                      <w:color w:val="000000" w:themeColor="text1"/>
                      <w:spacing w:val="-3"/>
                      <w:szCs w:val="21"/>
                      <w14:textFill>
                        <w14:solidFill>
                          <w14:schemeClr w14:val="tx1"/>
                        </w14:solidFill>
                      </w14:textFill>
                    </w:rPr>
                    <w:t>根据《全国重要江河湖泊水功能区划（2011-2030年）》，本项目所在区域为汤旺河美溪过渡区，规划水体类别为</w:t>
                  </w:r>
                  <w:r>
                    <w:rPr>
                      <w:rFonts w:hint="eastAsia"/>
                      <w:color w:val="000000" w:themeColor="text1"/>
                      <w:spacing w:val="-3"/>
                      <w:szCs w:val="21"/>
                      <w14:textFill>
                        <w14:solidFill>
                          <w14:schemeClr w14:val="tx1"/>
                        </w14:solidFill>
                      </w14:textFill>
                    </w:rPr>
                    <w:t>Ⅲ</w:t>
                  </w:r>
                  <w:r>
                    <w:rPr>
                      <w:color w:val="000000" w:themeColor="text1"/>
                      <w:spacing w:val="-3"/>
                      <w:szCs w:val="21"/>
                      <w14:textFill>
                        <w14:solidFill>
                          <w14:schemeClr w14:val="tx1"/>
                        </w14:solidFill>
                      </w14:textFill>
                    </w:rPr>
                    <w:t>类水体，执行《地表水环境质量标准》（GB3838-2002）</w:t>
                  </w:r>
                  <w:r>
                    <w:rPr>
                      <w:rFonts w:hint="eastAsia"/>
                      <w:color w:val="000000" w:themeColor="text1"/>
                      <w:spacing w:val="-3"/>
                      <w:szCs w:val="21"/>
                      <w14:textFill>
                        <w14:solidFill>
                          <w14:schemeClr w14:val="tx1"/>
                        </w14:solidFill>
                      </w14:textFill>
                    </w:rPr>
                    <w:t>Ⅲ</w:t>
                  </w:r>
                  <w:r>
                    <w:rPr>
                      <w:color w:val="000000" w:themeColor="text1"/>
                      <w:spacing w:val="-3"/>
                      <w:szCs w:val="21"/>
                      <w14:textFill>
                        <w14:solidFill>
                          <w14:schemeClr w14:val="tx1"/>
                        </w14:solidFill>
                      </w14:textFill>
                    </w:rPr>
                    <w:t>类标准。</w:t>
                  </w:r>
                </w:p>
                <w:p w14:paraId="614F876A">
                  <w:pPr>
                    <w:adjustRightInd w:val="0"/>
                    <w:snapToGrid w:val="0"/>
                    <w:spacing w:line="360" w:lineRule="auto"/>
                    <w:ind w:firstLine="420" w:firstLineChars="200"/>
                    <w:rPr>
                      <w:color w:val="000000" w:themeColor="text1"/>
                      <w:szCs w:val="21"/>
                      <w14:textFill>
                        <w14:solidFill>
                          <w14:schemeClr w14:val="tx1"/>
                        </w14:solidFill>
                      </w14:textFill>
                    </w:rPr>
                  </w:pPr>
                  <w:r>
                    <w:rPr>
                      <w:color w:val="000000" w:themeColor="text1"/>
                      <w:szCs w:val="21"/>
                      <w14:textFill>
                        <w14:solidFill>
                          <w14:schemeClr w14:val="tx1"/>
                        </w14:solidFill>
                      </w14:textFill>
                    </w:rPr>
                    <w:t>根据伊春市人民政府发布的《2024年1-12月地表水国控考核断面水质信息公开》，汤旺河</w:t>
                  </w:r>
                  <w:r>
                    <w:rPr>
                      <w:color w:val="000000" w:themeColor="text1"/>
                      <w:spacing w:val="-3"/>
                      <w:szCs w:val="21"/>
                      <w14:textFill>
                        <w14:solidFill>
                          <w14:schemeClr w14:val="tx1"/>
                        </w14:solidFill>
                      </w14:textFill>
                    </w:rPr>
                    <w:t>美溪过渡区</w:t>
                  </w:r>
                  <w:r>
                    <w:rPr>
                      <w:color w:val="000000" w:themeColor="text1"/>
                      <w:szCs w:val="21"/>
                      <w14:textFill>
                        <w14:solidFill>
                          <w14:schemeClr w14:val="tx1"/>
                        </w14:solidFill>
                      </w14:textFill>
                    </w:rPr>
                    <w:t>达到</w:t>
                  </w:r>
                  <w:r>
                    <w:rPr>
                      <w:rFonts w:hint="eastAsia"/>
                      <w:color w:val="000000" w:themeColor="text1"/>
                      <w:spacing w:val="-3"/>
                      <w:szCs w:val="21"/>
                      <w14:textFill>
                        <w14:solidFill>
                          <w14:schemeClr w14:val="tx1"/>
                        </w14:solidFill>
                      </w14:textFill>
                    </w:rPr>
                    <w:t>Ⅲ</w:t>
                  </w:r>
                  <w:r>
                    <w:rPr>
                      <w:color w:val="000000" w:themeColor="text1"/>
                      <w:szCs w:val="21"/>
                      <w14:textFill>
                        <w14:solidFill>
                          <w14:schemeClr w14:val="tx1"/>
                        </w14:solidFill>
                      </w14:textFill>
                    </w:rPr>
                    <w:t>类水质类别标准，因此，本项目所在河段符合《地表水环境质量标准》（GB3838-2002）</w:t>
                  </w:r>
                  <w:r>
                    <w:rPr>
                      <w:rFonts w:hint="eastAsia"/>
                      <w:color w:val="000000" w:themeColor="text1"/>
                      <w:spacing w:val="-3"/>
                      <w:szCs w:val="21"/>
                      <w14:textFill>
                        <w14:solidFill>
                          <w14:schemeClr w14:val="tx1"/>
                        </w14:solidFill>
                      </w14:textFill>
                    </w:rPr>
                    <w:t>Ⅲ</w:t>
                  </w:r>
                  <w:r>
                    <w:rPr>
                      <w:color w:val="000000" w:themeColor="text1"/>
                      <w:szCs w:val="21"/>
                      <w14:textFill>
                        <w14:solidFill>
                          <w14:schemeClr w14:val="tx1"/>
                        </w14:solidFill>
                      </w14:textFill>
                    </w:rPr>
                    <w:t>类标准。</w:t>
                  </w:r>
                </w:p>
                <w:p w14:paraId="430ACC4B">
                  <w:pPr>
                    <w:adjustRightInd w:val="0"/>
                    <w:snapToGrid w:val="0"/>
                    <w:spacing w:line="360" w:lineRule="auto"/>
                    <w:ind w:firstLine="420" w:firstLineChars="200"/>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本项目锅炉软化水废水及锅炉排污水用于锅炉炉渣拌湿降尘，对周围环境影响不大。</w:t>
                  </w:r>
                </w:p>
                <w:p w14:paraId="104C2A79">
                  <w:pPr>
                    <w:widowControl/>
                    <w:spacing w:line="360" w:lineRule="auto"/>
                    <w:ind w:firstLine="420" w:firstLineChars="20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3.声环境</w:t>
                  </w:r>
                </w:p>
                <w:p w14:paraId="55061389">
                  <w:pPr>
                    <w:widowControl/>
                    <w:spacing w:line="360" w:lineRule="auto"/>
                    <w:ind w:firstLine="420" w:firstLineChars="200"/>
                    <w:rPr>
                      <w:color w:val="000000" w:themeColor="text1"/>
                      <w:kern w:val="0"/>
                      <w:szCs w:val="21"/>
                      <w:lang w:bidi="ar"/>
                      <w14:textFill>
                        <w14:solidFill>
                          <w14:schemeClr w14:val="tx1"/>
                        </w14:solidFill>
                      </w14:textFill>
                    </w:rPr>
                  </w:pPr>
                  <w:r>
                    <w:rPr>
                      <w:color w:val="000000" w:themeColor="text1"/>
                      <w:kern w:val="0"/>
                      <w:szCs w:val="21"/>
                      <w14:textFill>
                        <w14:solidFill>
                          <w14:schemeClr w14:val="tx1"/>
                        </w14:solidFill>
                      </w14:textFill>
                    </w:rPr>
                    <w:t>本项目选取低噪声设备，采取减振、隔声等措施，厂界噪声满足《工业企业厂界环境噪声排放标准》（GB12348-2008）表1中2类标准。</w:t>
                  </w:r>
                </w:p>
                <w:p w14:paraId="652855B8">
                  <w:pPr>
                    <w:widowControl/>
                    <w:spacing w:line="360" w:lineRule="auto"/>
                    <w:ind w:firstLine="420" w:firstLineChars="200"/>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本项目运营期各类污染物经环境保护措施治理后均可达标排放，对区域环境造成的不利影响较小，不会改变区域环境质量现状，因此，本项目符合环境质量底线要求。</w:t>
                  </w:r>
                </w:p>
              </w:tc>
            </w:tr>
            <w:tr w14:paraId="326F5A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4"/>
                  <w:tcBorders>
                    <w:top w:val="single" w:color="auto" w:sz="4" w:space="0"/>
                    <w:bottom w:val="single" w:color="auto" w:sz="4" w:space="0"/>
                  </w:tcBorders>
                  <w:vAlign w:val="center"/>
                </w:tcPr>
                <w:p w14:paraId="1A971E3A">
                  <w:pPr>
                    <w:adjustRightInd w:val="0"/>
                    <w:jc w:val="center"/>
                    <w:textAlignment w:val="baseline"/>
                    <w:rPr>
                      <w:color w:val="000000" w:themeColor="text1"/>
                      <w:szCs w:val="21"/>
                      <w14:textFill>
                        <w14:solidFill>
                          <w14:schemeClr w14:val="tx1"/>
                        </w14:solidFill>
                      </w14:textFill>
                    </w:rPr>
                  </w:pPr>
                  <w:r>
                    <w:rPr>
                      <w:b/>
                      <w:bCs/>
                      <w:color w:val="000000" w:themeColor="text1"/>
                      <w:szCs w:val="21"/>
                      <w14:textFill>
                        <w14:solidFill>
                          <w14:schemeClr w14:val="tx1"/>
                        </w14:solidFill>
                      </w14:textFill>
                    </w:rPr>
                    <w:t>三、资源利用上线</w:t>
                  </w:r>
                </w:p>
              </w:tc>
            </w:tr>
            <w:tr w14:paraId="0CE97A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4"/>
                  <w:tcBorders>
                    <w:top w:val="single" w:color="auto" w:sz="4" w:space="0"/>
                    <w:bottom w:val="single" w:color="auto" w:sz="4" w:space="0"/>
                  </w:tcBorders>
                  <w:vAlign w:val="center"/>
                </w:tcPr>
                <w:p w14:paraId="74E193A1">
                  <w:pPr>
                    <w:widowControl/>
                    <w:spacing w:line="360" w:lineRule="auto"/>
                    <w:ind w:firstLine="420" w:firstLineChars="200"/>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本项目生活污水排入防渗旱厕，定期清掏堆肥；本项目用地性质为</w:t>
                  </w:r>
                  <w:r>
                    <w:rPr>
                      <w:rFonts w:hint="eastAsia"/>
                      <w:color w:val="000000" w:themeColor="text1"/>
                      <w:kern w:val="0"/>
                      <w:szCs w:val="21"/>
                      <w:lang w:eastAsia="zh-CN"/>
                      <w14:textFill>
                        <w14:solidFill>
                          <w14:schemeClr w14:val="tx1"/>
                        </w14:solidFill>
                      </w14:textFill>
                    </w:rPr>
                    <w:t>公用设施用地</w:t>
                  </w:r>
                  <w:r>
                    <w:rPr>
                      <w:color w:val="000000" w:themeColor="text1"/>
                      <w:kern w:val="0"/>
                      <w:szCs w:val="21"/>
                      <w14:textFill>
                        <w14:solidFill>
                          <w14:schemeClr w14:val="tx1"/>
                        </w14:solidFill>
                      </w14:textFill>
                    </w:rPr>
                    <w:t>；电源依托市政设施。综上，本项目不会突破资源利用上线。</w:t>
                  </w:r>
                </w:p>
              </w:tc>
            </w:tr>
            <w:tr w14:paraId="2E605B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4"/>
                  <w:tcBorders>
                    <w:top w:val="single" w:color="auto" w:sz="4" w:space="0"/>
                    <w:bottom w:val="single" w:color="auto" w:sz="4" w:space="0"/>
                  </w:tcBorders>
                  <w:vAlign w:val="center"/>
                </w:tcPr>
                <w:p w14:paraId="73FC3A95">
                  <w:pPr>
                    <w:adjustRightInd w:val="0"/>
                    <w:jc w:val="center"/>
                    <w:textAlignment w:val="baseline"/>
                    <w:rPr>
                      <w:color w:val="000000" w:themeColor="text1"/>
                      <w:szCs w:val="21"/>
                      <w14:textFill>
                        <w14:solidFill>
                          <w14:schemeClr w14:val="tx1"/>
                        </w14:solidFill>
                      </w14:textFill>
                    </w:rPr>
                  </w:pPr>
                  <w:r>
                    <w:rPr>
                      <w:b/>
                      <w:bCs/>
                      <w:color w:val="000000" w:themeColor="text1"/>
                      <w:szCs w:val="21"/>
                      <w14:textFill>
                        <w14:solidFill>
                          <w14:schemeClr w14:val="tx1"/>
                        </w14:solidFill>
                      </w14:textFill>
                    </w:rPr>
                    <w:t>四、环境准入清单</w:t>
                  </w:r>
                </w:p>
              </w:tc>
            </w:tr>
            <w:tr w14:paraId="0A6FD6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72" w:type="pct"/>
                  <w:gridSpan w:val="3"/>
                  <w:tcBorders>
                    <w:top w:val="single" w:color="auto" w:sz="4" w:space="0"/>
                    <w:bottom w:val="single" w:color="auto" w:sz="4" w:space="0"/>
                    <w:right w:val="single" w:color="auto" w:sz="4" w:space="0"/>
                  </w:tcBorders>
                  <w:vAlign w:val="center"/>
                </w:tcPr>
                <w:p w14:paraId="41A78F0B">
                  <w:pPr>
                    <w:autoSpaceDE w:val="0"/>
                    <w:autoSpaceDN w:val="0"/>
                    <w:adjustRightInd w:val="0"/>
                    <w:snapToGrid w:val="0"/>
                    <w:jc w:val="center"/>
                    <w:rPr>
                      <w:b/>
                      <w:bCs/>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环境管控单元编码</w:t>
                  </w:r>
                </w:p>
              </w:tc>
              <w:tc>
                <w:tcPr>
                  <w:tcW w:w="1927" w:type="pct"/>
                  <w:tcBorders>
                    <w:top w:val="single" w:color="auto" w:sz="4" w:space="0"/>
                    <w:left w:val="single" w:color="auto" w:sz="4" w:space="0"/>
                    <w:bottom w:val="single" w:color="auto" w:sz="4" w:space="0"/>
                  </w:tcBorders>
                  <w:vAlign w:val="center"/>
                </w:tcPr>
                <w:p w14:paraId="5427803F">
                  <w:pPr>
                    <w:autoSpaceDE w:val="0"/>
                    <w:autoSpaceDN w:val="0"/>
                    <w:adjustRightInd w:val="0"/>
                    <w:snapToGrid w:val="0"/>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YS2307176310001</w:t>
                  </w:r>
                </w:p>
              </w:tc>
            </w:tr>
            <w:tr w14:paraId="2BF3C0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72" w:type="pct"/>
                  <w:gridSpan w:val="3"/>
                  <w:tcBorders>
                    <w:top w:val="single" w:color="auto" w:sz="4" w:space="0"/>
                    <w:bottom w:val="single" w:color="auto" w:sz="4" w:space="0"/>
                    <w:right w:val="single" w:color="auto" w:sz="4" w:space="0"/>
                  </w:tcBorders>
                  <w:vAlign w:val="center"/>
                </w:tcPr>
                <w:p w14:paraId="7F7BBF53">
                  <w:pPr>
                    <w:autoSpaceDE w:val="0"/>
                    <w:autoSpaceDN w:val="0"/>
                    <w:adjustRightInd w:val="0"/>
                    <w:snapToGrid w:val="0"/>
                    <w:jc w:val="center"/>
                    <w:rPr>
                      <w:b/>
                      <w:bCs/>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环境管控单元名称</w:t>
                  </w:r>
                </w:p>
              </w:tc>
              <w:tc>
                <w:tcPr>
                  <w:tcW w:w="1927" w:type="pct"/>
                  <w:tcBorders>
                    <w:top w:val="single" w:color="auto" w:sz="4" w:space="0"/>
                    <w:left w:val="single" w:color="auto" w:sz="4" w:space="0"/>
                    <w:bottom w:val="single" w:color="auto" w:sz="4" w:space="0"/>
                  </w:tcBorders>
                  <w:vAlign w:val="center"/>
                </w:tcPr>
                <w:p w14:paraId="4967BE13">
                  <w:pPr>
                    <w:autoSpaceDE w:val="0"/>
                    <w:autoSpaceDN w:val="0"/>
                    <w:adjustRightInd w:val="0"/>
                    <w:snapToGrid w:val="0"/>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伊美区地下水环境一般管控区</w:t>
                  </w:r>
                </w:p>
              </w:tc>
            </w:tr>
            <w:tr w14:paraId="1DDEDC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72" w:type="pct"/>
                  <w:gridSpan w:val="3"/>
                  <w:tcBorders>
                    <w:top w:val="single" w:color="auto" w:sz="4" w:space="0"/>
                    <w:bottom w:val="single" w:color="auto" w:sz="4" w:space="0"/>
                    <w:right w:val="single" w:color="auto" w:sz="4" w:space="0"/>
                  </w:tcBorders>
                  <w:vAlign w:val="center"/>
                </w:tcPr>
                <w:p w14:paraId="412E153F">
                  <w:pPr>
                    <w:autoSpaceDE w:val="0"/>
                    <w:autoSpaceDN w:val="0"/>
                    <w:adjustRightInd w:val="0"/>
                    <w:snapToGrid w:val="0"/>
                    <w:jc w:val="center"/>
                    <w:rPr>
                      <w:b/>
                      <w:bCs/>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管控单元类别</w:t>
                  </w:r>
                </w:p>
              </w:tc>
              <w:tc>
                <w:tcPr>
                  <w:tcW w:w="1927" w:type="pct"/>
                  <w:tcBorders>
                    <w:top w:val="single" w:color="auto" w:sz="4" w:space="0"/>
                    <w:left w:val="single" w:color="auto" w:sz="4" w:space="0"/>
                    <w:bottom w:val="single" w:color="auto" w:sz="4" w:space="0"/>
                  </w:tcBorders>
                  <w:vAlign w:val="center"/>
                </w:tcPr>
                <w:p w14:paraId="1FF1E4AF">
                  <w:pPr>
                    <w:autoSpaceDE w:val="0"/>
                    <w:autoSpaceDN w:val="0"/>
                    <w:adjustRightInd w:val="0"/>
                    <w:snapToGrid w:val="0"/>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一般管控单元</w:t>
                  </w:r>
                </w:p>
              </w:tc>
            </w:tr>
            <w:tr w14:paraId="5FDE82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72" w:type="pct"/>
                  <w:gridSpan w:val="3"/>
                  <w:tcBorders>
                    <w:top w:val="single" w:color="auto" w:sz="4" w:space="0"/>
                    <w:bottom w:val="single" w:color="auto" w:sz="4" w:space="0"/>
                    <w:right w:val="single" w:color="auto" w:sz="4" w:space="0"/>
                  </w:tcBorders>
                  <w:vAlign w:val="center"/>
                </w:tcPr>
                <w:p w14:paraId="09BA1232">
                  <w:pPr>
                    <w:autoSpaceDE w:val="0"/>
                    <w:autoSpaceDN w:val="0"/>
                    <w:adjustRightInd w:val="0"/>
                    <w:snapToGrid w:val="0"/>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管控要求</w:t>
                  </w:r>
                </w:p>
              </w:tc>
              <w:tc>
                <w:tcPr>
                  <w:tcW w:w="1927" w:type="pct"/>
                  <w:tcBorders>
                    <w:top w:val="single" w:color="auto" w:sz="4" w:space="0"/>
                    <w:left w:val="single" w:color="auto" w:sz="4" w:space="0"/>
                    <w:bottom w:val="single" w:color="auto" w:sz="4" w:space="0"/>
                  </w:tcBorders>
                  <w:vAlign w:val="center"/>
                </w:tcPr>
                <w:p w14:paraId="4258B32C">
                  <w:pPr>
                    <w:autoSpaceDE w:val="0"/>
                    <w:autoSpaceDN w:val="0"/>
                    <w:adjustRightInd w:val="0"/>
                    <w:snapToGrid w:val="0"/>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符合性分析</w:t>
                  </w:r>
                </w:p>
              </w:tc>
            </w:tr>
            <w:tr w14:paraId="58305B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28" w:type="pct"/>
                  <w:gridSpan w:val="2"/>
                  <w:tcBorders>
                    <w:top w:val="single" w:color="auto" w:sz="4" w:space="0"/>
                    <w:bottom w:val="single" w:color="auto" w:sz="4" w:space="0"/>
                    <w:right w:val="single" w:color="auto" w:sz="4" w:space="0"/>
                  </w:tcBorders>
                  <w:vAlign w:val="center"/>
                </w:tcPr>
                <w:p w14:paraId="764F36FE">
                  <w:pPr>
                    <w:widowControl/>
                    <w:jc w:val="left"/>
                    <w:rPr>
                      <w:b/>
                      <w:bCs/>
                      <w:color w:val="000000" w:themeColor="text1"/>
                      <w:szCs w:val="21"/>
                      <w14:textFill>
                        <w14:solidFill>
                          <w14:schemeClr w14:val="tx1"/>
                        </w14:solidFill>
                      </w14:textFill>
                    </w:rPr>
                  </w:pPr>
                  <w:r>
                    <w:rPr>
                      <w:b/>
                      <w:bCs/>
                      <w:color w:val="000000" w:themeColor="text1"/>
                      <w:kern w:val="0"/>
                      <w:szCs w:val="21"/>
                      <w:lang w:bidi="ar"/>
                      <w14:textFill>
                        <w14:solidFill>
                          <w14:schemeClr w14:val="tx1"/>
                        </w14:solidFill>
                      </w14:textFill>
                    </w:rPr>
                    <w:t>环境风险管控</w:t>
                  </w:r>
                </w:p>
              </w:tc>
              <w:tc>
                <w:tcPr>
                  <w:tcW w:w="2443" w:type="pct"/>
                  <w:tcBorders>
                    <w:top w:val="single" w:color="auto" w:sz="4" w:space="0"/>
                    <w:bottom w:val="single" w:color="auto" w:sz="4" w:space="0"/>
                    <w:right w:val="single" w:color="auto" w:sz="4" w:space="0"/>
                  </w:tcBorders>
                  <w:vAlign w:val="center"/>
                </w:tcPr>
                <w:p w14:paraId="57FD9EE4">
                  <w:pPr>
                    <w:widowControl/>
                    <w:jc w:val="left"/>
                    <w:rPr>
                      <w:color w:val="000000" w:themeColor="text1"/>
                      <w14:textFill>
                        <w14:solidFill>
                          <w14:schemeClr w14:val="tx1"/>
                        </w14:solidFill>
                      </w14:textFill>
                    </w:rPr>
                  </w:pPr>
                  <w:r>
                    <w:rPr>
                      <w:color w:val="000000" w:themeColor="text1"/>
                      <w:kern w:val="0"/>
                      <w:szCs w:val="21"/>
                      <w:lang w:bidi="ar"/>
                      <w14:textFill>
                        <w14:solidFill>
                          <w14:schemeClr w14:val="tx1"/>
                        </w14:solidFill>
                      </w14:textFill>
                    </w:rPr>
                    <w:t xml:space="preserve">1.土壤污染重点监管单位应当履行下列义务：（一）严格控制有毒有害物质排放，并按年度向生态环境主管部门报告排放情况；（二）建立土壤污染隐患排查制度，保证持续有效防止有毒有害物质渗漏、流失、扬散；（三）制定、实施自 </w:t>
                  </w:r>
                </w:p>
                <w:p w14:paraId="37C56AF8">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 xml:space="preserve">行监测方案，并将监测数据报生态环境主管部门。 </w:t>
                  </w:r>
                </w:p>
                <w:p w14:paraId="2BA57347">
                  <w:pPr>
                    <w:widowControl/>
                    <w:jc w:val="left"/>
                    <w:rPr>
                      <w:color w:val="000000" w:themeColor="text1"/>
                      <w14:textFill>
                        <w14:solidFill>
                          <w14:schemeClr w14:val="tx1"/>
                        </w14:solidFill>
                      </w14:textFill>
                    </w:rPr>
                  </w:pPr>
                  <w:r>
                    <w:rPr>
                      <w:color w:val="000000" w:themeColor="text1"/>
                      <w:kern w:val="0"/>
                      <w:szCs w:val="21"/>
                      <w:lang w:bidi="ar"/>
                      <w14:textFill>
                        <w14:solidFill>
                          <w14:schemeClr w14:val="tx1"/>
                        </w14:solidFill>
                      </w14:textFill>
                    </w:rPr>
                    <w:t>2.重点单位新、改、扩建项目地下储罐储存有毒有害物质的，应当在</w:t>
                  </w:r>
                </w:p>
                <w:p w14:paraId="054433B4">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 xml:space="preserve">项目投入生产或者使用之前，将地下储罐的信息报所在地设区的市级生态环境主管部门备案。 </w:t>
                  </w:r>
                </w:p>
                <w:p w14:paraId="248029C1">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3.重点单位应当建立土壤和地下水污染隐患排查治理制度，定期对重点区域、重点设施开展隐患排查。发现污染隐患的，应当制定整改方案，及时采取技术、管理措施消除隐患。隐患排查、治理情况应当如实记录并建立档案。重点区域包括涉及有毒有害物质的生产区，原材料及固体废物的堆存区、储放区和转运区等；重点设施包括涉及有毒有害物质的地下储罐、地下管线，以及污染治理设施等。</w:t>
                  </w:r>
                </w:p>
                <w:p w14:paraId="63CE8EC7">
                  <w:pPr>
                    <w:widowControl/>
                    <w:jc w:val="left"/>
                    <w:rPr>
                      <w:color w:val="000000" w:themeColor="text1"/>
                      <w14:textFill>
                        <w14:solidFill>
                          <w14:schemeClr w14:val="tx1"/>
                        </w14:solidFill>
                      </w14:textFill>
                    </w:rPr>
                  </w:pPr>
                  <w:r>
                    <w:rPr>
                      <w:color w:val="000000" w:themeColor="text1"/>
                      <w:kern w:val="0"/>
                      <w:szCs w:val="21"/>
                      <w:lang w:bidi="ar"/>
                      <w14:textFill>
                        <w14:solidFill>
                          <w14:schemeClr w14:val="tx1"/>
                        </w14:solidFill>
                      </w14:textFill>
                    </w:rPr>
                    <w:t xml:space="preserve">4.化学品生产企业以及工业集聚区、矿山开采区、尾矿库、危险废物处置场、垃圾填埋场等的运营、 </w:t>
                  </w:r>
                </w:p>
                <w:p w14:paraId="064854F1">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管理单位，应当采取防渗漏等措施，并建设地下水水质监测井进行监测，防止地下水污染。</w:t>
                  </w:r>
                </w:p>
                <w:p w14:paraId="1FEF6391">
                  <w:pPr>
                    <w:widowControl/>
                    <w:jc w:val="left"/>
                    <w:rPr>
                      <w:color w:val="000000" w:themeColor="text1"/>
                      <w14:textFill>
                        <w14:solidFill>
                          <w14:schemeClr w14:val="tx1"/>
                        </w14:solidFill>
                      </w14:textFill>
                    </w:rPr>
                  </w:pPr>
                  <w:r>
                    <w:rPr>
                      <w:color w:val="000000" w:themeColor="text1"/>
                      <w:kern w:val="0"/>
                      <w:szCs w:val="21"/>
                      <w:lang w:bidi="ar"/>
                      <w14:textFill>
                        <w14:solidFill>
                          <w14:schemeClr w14:val="tx1"/>
                        </w14:solidFill>
                      </w14:textFill>
                    </w:rPr>
                    <w:t xml:space="preserve">5.重点单位通过新、改、扩建项目的土壤和地下水环境现状调查，发现项目用地污染物含量超过国家或者地方有关建设用地土壤污染风险管控标准的，土地使用权人或者污染责任人应当参照污染地块土壤环 </w:t>
                  </w:r>
                </w:p>
                <w:p w14:paraId="3DCB6620">
                  <w:pPr>
                    <w:widowControl/>
                    <w:jc w:val="left"/>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境管理有关规定开展详细调查、风险评估、风险管控、治理与修复等活动。</w:t>
                  </w:r>
                </w:p>
              </w:tc>
              <w:tc>
                <w:tcPr>
                  <w:tcW w:w="1927" w:type="pct"/>
                  <w:tcBorders>
                    <w:top w:val="single" w:color="auto" w:sz="4" w:space="0"/>
                    <w:left w:val="single" w:color="auto" w:sz="4" w:space="0"/>
                    <w:bottom w:val="single" w:color="auto" w:sz="4" w:space="0"/>
                  </w:tcBorders>
                  <w:vAlign w:val="center"/>
                </w:tcPr>
                <w:p w14:paraId="3F19B929">
                  <w:pPr>
                    <w:autoSpaceDE w:val="0"/>
                    <w:autoSpaceDN w:val="0"/>
                    <w:adjustRightInd w:val="0"/>
                    <w:snapToGrid w:val="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1.本项目不属于</w:t>
                  </w:r>
                  <w:r>
                    <w:rPr>
                      <w:color w:val="000000" w:themeColor="text1"/>
                      <w:kern w:val="0"/>
                      <w:szCs w:val="21"/>
                      <w:lang w:bidi="ar"/>
                      <w14:textFill>
                        <w14:solidFill>
                          <w14:schemeClr w14:val="tx1"/>
                        </w14:solidFill>
                      </w14:textFill>
                    </w:rPr>
                    <w:t>土壤污染重点监管单位</w:t>
                  </w:r>
                  <w:r>
                    <w:rPr>
                      <w:color w:val="000000" w:themeColor="text1"/>
                      <w:kern w:val="0"/>
                      <w:szCs w:val="21"/>
                      <w14:textFill>
                        <w14:solidFill>
                          <w14:schemeClr w14:val="tx1"/>
                        </w14:solidFill>
                      </w14:textFill>
                    </w:rPr>
                    <w:t>。</w:t>
                  </w:r>
                </w:p>
                <w:p w14:paraId="58E12413">
                  <w:pPr>
                    <w:autoSpaceDE w:val="0"/>
                    <w:autoSpaceDN w:val="0"/>
                    <w:adjustRightInd w:val="0"/>
                    <w:snapToGrid w:val="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2.本项目不属于新建</w:t>
                  </w:r>
                  <w:r>
                    <w:rPr>
                      <w:color w:val="000000" w:themeColor="text1"/>
                      <w:kern w:val="0"/>
                      <w:szCs w:val="21"/>
                      <w:lang w:bidi="ar"/>
                      <w14:textFill>
                        <w14:solidFill>
                          <w14:schemeClr w14:val="tx1"/>
                        </w14:solidFill>
                      </w14:textFill>
                    </w:rPr>
                    <w:t>、改、扩建项目地下储罐储存有毒有害物质的</w:t>
                  </w:r>
                  <w:r>
                    <w:rPr>
                      <w:color w:val="000000" w:themeColor="text1"/>
                      <w:kern w:val="0"/>
                      <w:szCs w:val="21"/>
                      <w14:textFill>
                        <w14:solidFill>
                          <w14:schemeClr w14:val="tx1"/>
                        </w14:solidFill>
                      </w14:textFill>
                    </w:rPr>
                    <w:t>。</w:t>
                  </w:r>
                </w:p>
                <w:p w14:paraId="5031BFFF">
                  <w:pPr>
                    <w:autoSpaceDE w:val="0"/>
                    <w:autoSpaceDN w:val="0"/>
                    <w:adjustRightInd w:val="0"/>
                    <w:snapToGrid w:val="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3.本项目不属于</w:t>
                  </w:r>
                  <w:r>
                    <w:rPr>
                      <w:color w:val="000000" w:themeColor="text1"/>
                      <w:kern w:val="0"/>
                      <w:szCs w:val="21"/>
                      <w:lang w:bidi="ar"/>
                      <w14:textFill>
                        <w14:solidFill>
                          <w14:schemeClr w14:val="tx1"/>
                        </w14:solidFill>
                      </w14:textFill>
                    </w:rPr>
                    <w:t>重点监管单位</w:t>
                  </w:r>
                  <w:r>
                    <w:rPr>
                      <w:color w:val="000000" w:themeColor="text1"/>
                      <w:kern w:val="0"/>
                      <w:szCs w:val="21"/>
                      <w14:textFill>
                        <w14:solidFill>
                          <w14:schemeClr w14:val="tx1"/>
                        </w14:solidFill>
                      </w14:textFill>
                    </w:rPr>
                    <w:t>。</w:t>
                  </w:r>
                </w:p>
                <w:p w14:paraId="1F9F8456">
                  <w:pPr>
                    <w:autoSpaceDE w:val="0"/>
                    <w:autoSpaceDN w:val="0"/>
                    <w:adjustRightInd w:val="0"/>
                    <w:snapToGrid w:val="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4.本项目不属于</w:t>
                  </w:r>
                  <w:r>
                    <w:rPr>
                      <w:color w:val="000000" w:themeColor="text1"/>
                      <w:kern w:val="0"/>
                      <w:szCs w:val="21"/>
                      <w:lang w:bidi="ar"/>
                      <w14:textFill>
                        <w14:solidFill>
                          <w14:schemeClr w14:val="tx1"/>
                        </w14:solidFill>
                      </w14:textFill>
                    </w:rPr>
                    <w:t>化学品生产企业以及工业集聚区、矿山开采区、尾矿库、危险废物处置场、垃圾填埋场等的运营、管理单位</w:t>
                  </w:r>
                  <w:r>
                    <w:rPr>
                      <w:color w:val="000000" w:themeColor="text1"/>
                      <w:kern w:val="0"/>
                      <w:szCs w:val="21"/>
                      <w14:textFill>
                        <w14:solidFill>
                          <w14:schemeClr w14:val="tx1"/>
                        </w14:solidFill>
                      </w14:textFill>
                    </w:rPr>
                    <w:t>。</w:t>
                  </w:r>
                </w:p>
                <w:p w14:paraId="45A4A3E5">
                  <w:pPr>
                    <w:autoSpaceDE w:val="0"/>
                    <w:autoSpaceDN w:val="0"/>
                    <w:adjustRightInd w:val="0"/>
                    <w:snapToGrid w:val="0"/>
                    <w:rPr>
                      <w:color w:val="000000" w:themeColor="text1"/>
                      <w:kern w:val="0"/>
                      <w:szCs w:val="21"/>
                      <w:lang w:bidi="ar"/>
                      <w14:textFill>
                        <w14:solidFill>
                          <w14:schemeClr w14:val="tx1"/>
                        </w14:solidFill>
                      </w14:textFill>
                    </w:rPr>
                  </w:pPr>
                  <w:r>
                    <w:rPr>
                      <w:color w:val="000000" w:themeColor="text1"/>
                      <w:kern w:val="0"/>
                      <w:szCs w:val="21"/>
                      <w14:textFill>
                        <w14:solidFill>
                          <w14:schemeClr w14:val="tx1"/>
                        </w14:solidFill>
                      </w14:textFill>
                    </w:rPr>
                    <w:t>5.本项目不属于</w:t>
                  </w:r>
                  <w:r>
                    <w:rPr>
                      <w:color w:val="000000" w:themeColor="text1"/>
                      <w:kern w:val="0"/>
                      <w:szCs w:val="21"/>
                      <w:lang w:bidi="ar"/>
                      <w14:textFill>
                        <w14:solidFill>
                          <w14:schemeClr w14:val="tx1"/>
                        </w14:solidFill>
                      </w14:textFill>
                    </w:rPr>
                    <w:t>重点监管单位</w:t>
                  </w:r>
                  <w:r>
                    <w:rPr>
                      <w:color w:val="000000" w:themeColor="text1"/>
                      <w:kern w:val="0"/>
                      <w:szCs w:val="21"/>
                      <w14:textFill>
                        <w14:solidFill>
                          <w14:schemeClr w14:val="tx1"/>
                        </w14:solidFill>
                      </w14:textFill>
                    </w:rPr>
                    <w:t>。</w:t>
                  </w:r>
                </w:p>
              </w:tc>
            </w:tr>
            <w:tr w14:paraId="559442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72" w:type="pct"/>
                  <w:gridSpan w:val="3"/>
                  <w:tcBorders>
                    <w:top w:val="single" w:color="auto" w:sz="4" w:space="0"/>
                    <w:bottom w:val="single" w:color="auto" w:sz="4" w:space="0"/>
                    <w:right w:val="single" w:color="auto" w:sz="4" w:space="0"/>
                  </w:tcBorders>
                  <w:vAlign w:val="center"/>
                </w:tcPr>
                <w:p w14:paraId="52224A9B">
                  <w:pPr>
                    <w:autoSpaceDE w:val="0"/>
                    <w:autoSpaceDN w:val="0"/>
                    <w:adjustRightInd w:val="0"/>
                    <w:snapToGrid w:val="0"/>
                    <w:jc w:val="center"/>
                    <w:rPr>
                      <w:b/>
                      <w:bCs/>
                      <w:color w:val="000000" w:themeColor="text1"/>
                      <w:kern w:val="0"/>
                      <w:szCs w:val="21"/>
                      <w:lang w:bidi="ar"/>
                      <w14:textFill>
                        <w14:solidFill>
                          <w14:schemeClr w14:val="tx1"/>
                        </w14:solidFill>
                      </w14:textFill>
                    </w:rPr>
                  </w:pPr>
                  <w:r>
                    <w:rPr>
                      <w:color w:val="000000" w:themeColor="text1"/>
                      <w:kern w:val="0"/>
                      <w:szCs w:val="21"/>
                      <w14:textFill>
                        <w14:solidFill>
                          <w14:schemeClr w14:val="tx1"/>
                        </w14:solidFill>
                      </w14:textFill>
                    </w:rPr>
                    <w:t>环境管控单元编码</w:t>
                  </w:r>
                </w:p>
              </w:tc>
              <w:tc>
                <w:tcPr>
                  <w:tcW w:w="1927" w:type="pct"/>
                  <w:tcBorders>
                    <w:top w:val="single" w:color="auto" w:sz="4" w:space="0"/>
                    <w:left w:val="single" w:color="auto" w:sz="4" w:space="0"/>
                    <w:bottom w:val="single" w:color="auto" w:sz="4" w:space="0"/>
                  </w:tcBorders>
                  <w:vAlign w:val="center"/>
                </w:tcPr>
                <w:p w14:paraId="0894F554">
                  <w:pPr>
                    <w:autoSpaceDE w:val="0"/>
                    <w:autoSpaceDN w:val="0"/>
                    <w:adjustRightInd w:val="0"/>
                    <w:snapToGrid w:val="0"/>
                    <w:jc w:val="center"/>
                    <w:rPr>
                      <w:color w:val="000000" w:themeColor="text1"/>
                      <w:kern w:val="0"/>
                      <w:szCs w:val="21"/>
                      <w:lang w:bidi="ar"/>
                      <w14:textFill>
                        <w14:solidFill>
                          <w14:schemeClr w14:val="tx1"/>
                        </w14:solidFill>
                      </w14:textFill>
                    </w:rPr>
                  </w:pPr>
                  <w:r>
                    <w:rPr>
                      <w:color w:val="000000" w:themeColor="text1"/>
                      <w:kern w:val="0"/>
                      <w:szCs w:val="21"/>
                      <w14:textFill>
                        <w14:solidFill>
                          <w14:schemeClr w14:val="tx1"/>
                        </w14:solidFill>
                      </w14:textFill>
                    </w:rPr>
                    <w:t>ZH23071710002</w:t>
                  </w:r>
                </w:p>
              </w:tc>
            </w:tr>
            <w:tr w14:paraId="2FD14C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72" w:type="pct"/>
                  <w:gridSpan w:val="3"/>
                  <w:tcBorders>
                    <w:top w:val="single" w:color="auto" w:sz="4" w:space="0"/>
                    <w:bottom w:val="single" w:color="auto" w:sz="4" w:space="0"/>
                    <w:right w:val="single" w:color="auto" w:sz="4" w:space="0"/>
                  </w:tcBorders>
                  <w:vAlign w:val="center"/>
                </w:tcPr>
                <w:p w14:paraId="33D751EA">
                  <w:pPr>
                    <w:autoSpaceDE w:val="0"/>
                    <w:autoSpaceDN w:val="0"/>
                    <w:adjustRightInd w:val="0"/>
                    <w:snapToGrid w:val="0"/>
                    <w:jc w:val="center"/>
                    <w:rPr>
                      <w:b/>
                      <w:bCs/>
                      <w:color w:val="000000" w:themeColor="text1"/>
                      <w:kern w:val="0"/>
                      <w:szCs w:val="21"/>
                      <w:lang w:bidi="ar"/>
                      <w14:textFill>
                        <w14:solidFill>
                          <w14:schemeClr w14:val="tx1"/>
                        </w14:solidFill>
                      </w14:textFill>
                    </w:rPr>
                  </w:pPr>
                  <w:r>
                    <w:rPr>
                      <w:color w:val="000000" w:themeColor="text1"/>
                      <w:kern w:val="0"/>
                      <w:szCs w:val="21"/>
                      <w14:textFill>
                        <w14:solidFill>
                          <w14:schemeClr w14:val="tx1"/>
                        </w14:solidFill>
                      </w14:textFill>
                    </w:rPr>
                    <w:t>环境管控单元名称</w:t>
                  </w:r>
                </w:p>
              </w:tc>
              <w:tc>
                <w:tcPr>
                  <w:tcW w:w="1927" w:type="pct"/>
                  <w:tcBorders>
                    <w:top w:val="single" w:color="auto" w:sz="4" w:space="0"/>
                    <w:left w:val="single" w:color="auto" w:sz="4" w:space="0"/>
                    <w:bottom w:val="single" w:color="auto" w:sz="4" w:space="0"/>
                  </w:tcBorders>
                  <w:vAlign w:val="center"/>
                </w:tcPr>
                <w:p w14:paraId="666E481C">
                  <w:pPr>
                    <w:autoSpaceDE w:val="0"/>
                    <w:autoSpaceDN w:val="0"/>
                    <w:adjustRightInd w:val="0"/>
                    <w:snapToGrid w:val="0"/>
                    <w:jc w:val="center"/>
                    <w:rPr>
                      <w:color w:val="000000" w:themeColor="text1"/>
                      <w:kern w:val="0"/>
                      <w:szCs w:val="21"/>
                      <w:lang w:bidi="ar"/>
                      <w14:textFill>
                        <w14:solidFill>
                          <w14:schemeClr w14:val="tx1"/>
                        </w14:solidFill>
                      </w14:textFill>
                    </w:rPr>
                  </w:pPr>
                  <w:r>
                    <w:rPr>
                      <w:color w:val="000000" w:themeColor="text1"/>
                      <w:kern w:val="0"/>
                      <w:szCs w:val="21"/>
                      <w14:textFill>
                        <w14:solidFill>
                          <w14:schemeClr w14:val="tx1"/>
                        </w14:solidFill>
                      </w14:textFill>
                    </w:rPr>
                    <w:t>伊美区一般生态空间</w:t>
                  </w:r>
                </w:p>
              </w:tc>
            </w:tr>
            <w:tr w14:paraId="7571AA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72" w:type="pct"/>
                  <w:gridSpan w:val="3"/>
                  <w:tcBorders>
                    <w:top w:val="single" w:color="auto" w:sz="4" w:space="0"/>
                    <w:bottom w:val="single" w:color="auto" w:sz="4" w:space="0"/>
                    <w:right w:val="single" w:color="auto" w:sz="4" w:space="0"/>
                  </w:tcBorders>
                  <w:vAlign w:val="center"/>
                </w:tcPr>
                <w:p w14:paraId="0B76DE38">
                  <w:pPr>
                    <w:autoSpaceDE w:val="0"/>
                    <w:autoSpaceDN w:val="0"/>
                    <w:adjustRightInd w:val="0"/>
                    <w:snapToGrid w:val="0"/>
                    <w:jc w:val="center"/>
                    <w:rPr>
                      <w:b/>
                      <w:bCs/>
                      <w:color w:val="000000" w:themeColor="text1"/>
                      <w:kern w:val="0"/>
                      <w:szCs w:val="21"/>
                      <w:lang w:bidi="ar"/>
                      <w14:textFill>
                        <w14:solidFill>
                          <w14:schemeClr w14:val="tx1"/>
                        </w14:solidFill>
                      </w14:textFill>
                    </w:rPr>
                  </w:pPr>
                  <w:r>
                    <w:rPr>
                      <w:color w:val="000000" w:themeColor="text1"/>
                      <w:kern w:val="0"/>
                      <w:szCs w:val="21"/>
                      <w14:textFill>
                        <w14:solidFill>
                          <w14:schemeClr w14:val="tx1"/>
                        </w14:solidFill>
                      </w14:textFill>
                    </w:rPr>
                    <w:t>管控单元类别</w:t>
                  </w:r>
                </w:p>
              </w:tc>
              <w:tc>
                <w:tcPr>
                  <w:tcW w:w="1927" w:type="pct"/>
                  <w:tcBorders>
                    <w:top w:val="single" w:color="auto" w:sz="4" w:space="0"/>
                    <w:left w:val="single" w:color="auto" w:sz="4" w:space="0"/>
                    <w:bottom w:val="single" w:color="auto" w:sz="4" w:space="0"/>
                  </w:tcBorders>
                  <w:vAlign w:val="center"/>
                </w:tcPr>
                <w:p w14:paraId="6A37B041">
                  <w:pPr>
                    <w:autoSpaceDE w:val="0"/>
                    <w:autoSpaceDN w:val="0"/>
                    <w:adjustRightInd w:val="0"/>
                    <w:snapToGrid w:val="0"/>
                    <w:jc w:val="center"/>
                    <w:rPr>
                      <w:color w:val="000000" w:themeColor="text1"/>
                      <w:kern w:val="0"/>
                      <w:szCs w:val="21"/>
                      <w:lang w:bidi="ar"/>
                      <w14:textFill>
                        <w14:solidFill>
                          <w14:schemeClr w14:val="tx1"/>
                        </w14:solidFill>
                      </w14:textFill>
                    </w:rPr>
                  </w:pPr>
                  <w:r>
                    <w:rPr>
                      <w:color w:val="000000" w:themeColor="text1"/>
                      <w:kern w:val="0"/>
                      <w:szCs w:val="21"/>
                      <w14:textFill>
                        <w14:solidFill>
                          <w14:schemeClr w14:val="tx1"/>
                        </w14:solidFill>
                      </w14:textFill>
                    </w:rPr>
                    <w:t>伊美区一般生态空间</w:t>
                  </w:r>
                </w:p>
              </w:tc>
            </w:tr>
            <w:tr w14:paraId="68BD7F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72" w:type="pct"/>
                  <w:gridSpan w:val="3"/>
                  <w:tcBorders>
                    <w:top w:val="single" w:color="auto" w:sz="4" w:space="0"/>
                    <w:bottom w:val="single" w:color="auto" w:sz="4" w:space="0"/>
                    <w:right w:val="single" w:color="auto" w:sz="4" w:space="0"/>
                  </w:tcBorders>
                  <w:vAlign w:val="center"/>
                </w:tcPr>
                <w:p w14:paraId="24A1C28C">
                  <w:pPr>
                    <w:autoSpaceDE w:val="0"/>
                    <w:autoSpaceDN w:val="0"/>
                    <w:adjustRightInd w:val="0"/>
                    <w:snapToGrid w:val="0"/>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管控要求</w:t>
                  </w:r>
                </w:p>
              </w:tc>
              <w:tc>
                <w:tcPr>
                  <w:tcW w:w="1927" w:type="pct"/>
                  <w:tcBorders>
                    <w:top w:val="single" w:color="auto" w:sz="4" w:space="0"/>
                    <w:left w:val="single" w:color="auto" w:sz="4" w:space="0"/>
                    <w:bottom w:val="single" w:color="auto" w:sz="4" w:space="0"/>
                  </w:tcBorders>
                  <w:vAlign w:val="center"/>
                </w:tcPr>
                <w:p w14:paraId="6CB14C00">
                  <w:pPr>
                    <w:autoSpaceDE w:val="0"/>
                    <w:autoSpaceDN w:val="0"/>
                    <w:adjustRightInd w:val="0"/>
                    <w:snapToGrid w:val="0"/>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符合性分析</w:t>
                  </w:r>
                </w:p>
              </w:tc>
            </w:tr>
            <w:tr w14:paraId="7F0C54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71" w:type="pct"/>
                  <w:tcBorders>
                    <w:top w:val="single" w:color="auto" w:sz="4" w:space="0"/>
                    <w:bottom w:val="single" w:color="auto" w:sz="4" w:space="0"/>
                    <w:right w:val="single" w:color="auto" w:sz="4" w:space="0"/>
                  </w:tcBorders>
                  <w:vAlign w:val="center"/>
                </w:tcPr>
                <w:p w14:paraId="48CB9A81">
                  <w:pPr>
                    <w:widowControl/>
                    <w:jc w:val="left"/>
                    <w:rPr>
                      <w:b/>
                      <w:bCs/>
                      <w:color w:val="000000" w:themeColor="text1"/>
                      <w:kern w:val="0"/>
                      <w:szCs w:val="21"/>
                      <w:lang w:bidi="ar"/>
                      <w14:textFill>
                        <w14:solidFill>
                          <w14:schemeClr w14:val="tx1"/>
                        </w14:solidFill>
                      </w14:textFill>
                    </w:rPr>
                  </w:pPr>
                  <w:r>
                    <w:rPr>
                      <w:b/>
                      <w:bCs/>
                      <w:color w:val="000000" w:themeColor="text1"/>
                      <w:kern w:val="0"/>
                      <w:szCs w:val="21"/>
                      <w:lang w:bidi="ar"/>
                      <w14:textFill>
                        <w14:solidFill>
                          <w14:schemeClr w14:val="tx1"/>
                        </w14:solidFill>
                      </w14:textFill>
                    </w:rPr>
                    <w:t>空间布局约束</w:t>
                  </w:r>
                </w:p>
                <w:p w14:paraId="45F3158A">
                  <w:pPr>
                    <w:widowControl/>
                    <w:jc w:val="center"/>
                    <w:rPr>
                      <w:b/>
                      <w:bCs/>
                      <w:color w:val="000000" w:themeColor="text1"/>
                      <w:kern w:val="0"/>
                      <w:szCs w:val="21"/>
                      <w:lang w:bidi="ar"/>
                      <w14:textFill>
                        <w14:solidFill>
                          <w14:schemeClr w14:val="tx1"/>
                        </w14:solidFill>
                      </w14:textFill>
                    </w:rPr>
                  </w:pPr>
                </w:p>
              </w:tc>
              <w:tc>
                <w:tcPr>
                  <w:tcW w:w="2701" w:type="pct"/>
                  <w:gridSpan w:val="2"/>
                  <w:tcBorders>
                    <w:top w:val="single" w:color="auto" w:sz="4" w:space="0"/>
                    <w:left w:val="single" w:color="auto" w:sz="4" w:space="0"/>
                    <w:bottom w:val="single" w:color="auto" w:sz="4" w:space="0"/>
                    <w:right w:val="single" w:color="auto" w:sz="4" w:space="0"/>
                  </w:tcBorders>
                  <w:vAlign w:val="center"/>
                </w:tcPr>
                <w:p w14:paraId="198E1E56">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 xml:space="preserve">1.原则上按限制开发区域的要求进行管理。严格限制与生态功能不一致的开发建设活动。符合区域准入条件的新增建设项目，涉及占用生态空间中的林地、草原等，按有关法律法规规定办理；涉及占用生态空间中其他未作明确规定的用地，应当加强论证和管理。符合条件的农业开发项目，须依法由市县级及以上地方人民政府统筹安排。除符合国家生态退耕条件的耕地，并纳入国家生态退耕总体安排，或因国家重大生态工程建设需要外，不得随意转用。 </w:t>
                  </w:r>
                </w:p>
                <w:p w14:paraId="7C2E7C7D">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 xml:space="preserve">2.对依法保护的生态空间实行承载力控制，防止过度垦殖、放牧、采伐、取水、渔猎、旅游等对生态功能造成损害，确保自然生态系统的稳定。 </w:t>
                  </w:r>
                </w:p>
                <w:p w14:paraId="1E6AD0E8">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 xml:space="preserve">3.避免开发建设活动损害其生态服务功能和生态产品质量。 </w:t>
                  </w:r>
                </w:p>
                <w:p w14:paraId="02DD13C0">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 xml:space="preserve">4.已经侵占生态空间的，应建立退出机制、制定治理方案及时间表。 </w:t>
                  </w:r>
                </w:p>
                <w:p w14:paraId="764B5A74">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 xml:space="preserve">5.其中西林区地表水饮用水水源、南岔区地表水饮用水水源同时执行以下准入要求： </w:t>
                  </w:r>
                </w:p>
                <w:p w14:paraId="43DA0CB4">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 xml:space="preserve">（1）饮用水地表水源各级保护区及准保护区内均必须遵守下列规定：1）禁止一切破坏水环境生态平衡的活动以及破坏水源林、护岸林、与水源保护相关植被的活动。2）禁止向水域倾倒工业废渣、城市垃圾、粪便及其它废弃物。 3）运输有毒有害物质、油类、粪便的船舶和车辆一般不准进入保护区，必须进入者应事先申请并经有关部门批准、登记并设置防渗、防溢、防漏设施。4）禁止使用剧毒和高残留农药，不得滥用化肥，不得使用炸药、毒品捕杀鱼类。 5）禁止建设畜禽养殖场、养殖小区。 6）禁止设置排污口。（2）饮用水地表水源各级保护区及准保护区内必须分别遵守下列规定：1）一级保护区内：禁止新建、扩建与供水设施和保护水源无关的建设项目，已建成的与供水设施和保护水源无关的建设项目，由县级以上人民政府责令拆除或者关闭；禁止向水域排放污水，已设置的排污口必须拆除；不得设置与供水需要无关的码头，禁止停靠船舶；禁止堆置和存放工业废渣、城市垃圾、粪便和其他废弃物；禁止设置油库；禁止从事种植、放养畜禽和网箱养殖活动；禁止可能污染水源的旅游活动和其他活动。2）二级保护区内：禁止新建、改建、扩建排放污染物 </w:t>
                  </w:r>
                </w:p>
                <w:p w14:paraId="1F2629D6">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 xml:space="preserve">的建设项目，已建成的排放污染物的建设项目，由县级以上人民政府责令拆除或者关闭；原有排污口依法拆除或者关闭；禁止设立装卸垃圾、粪便、油类和有毒物品的码头。3）准保护区内：禁止新建、扩建对水体污染严重的建设项目；改建建设项目，不得增加排污量。 </w:t>
                  </w:r>
                </w:p>
                <w:p w14:paraId="161FC56B">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 xml:space="preserve">（3）国务院和省、自治区、直辖市人民政府根据水环境保护的需要，可以规定在饮用水水源保护区内，采取禁止或者限制使用含磷洗涤剂、化肥、农药以及限制种植养殖等措施。（4） 饮用水地下水源各级保护区及准保护区内均必须遵守下列规定：禁止利用渗坑、渗 </w:t>
                  </w:r>
                </w:p>
                <w:p w14:paraId="5BE56912">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 xml:space="preserve">井、裂隙、溶洞等排放污水和其它有害废弃物；禁止利用透水层孔隙、裂隙、溶洞及废弃矿坑储存石油、天然气、放射性物质、有毒有害化工原料、农药等；实行人工回灌地下水时不得污染当地地下水源。1）一级保护区内：禁止建设与取水设施无关的建筑物；禁止从事农牧业活动；禁止倾倒、堆放工业废渣及城市垃圾、粪便和其它有害废弃物；禁止输送污水的渠道、管道及输油管道通过本区；禁止建设油库；禁止建立墓地。2）二级保护区内：①对于潜水含水层地下水水源地：禁止建设化工、电镀、皮革、造纸、制浆、冶炼、放射性、印染、染料、炼焦、炼油及其它有严重污染的企业，已建成的要限期治理，转产或搬迁；禁止设置城市垃圾、粪便和易溶、有毒有害废弃物堆放场和转运站，已有的上述场站要限期搬迁；禁止利用未经净化的污水灌溉农田，已有的污灌农田要限期改用清水灌溉；化工原料、矿物油类及有毒有害矿产品的堆放场所必须有防雨、防渗措施。 ②对于承压含水层地下水水源地：禁止承压水和潜水的混合开采，作好潜水的止水措施。 3）准保护区内：禁止建设城市垃圾、粪便和易溶、有毒有害废弃物的堆放场站，因特殊需要设立转运站的，必须经有关部门批准，并采取防渗漏措施；当补给源为地表水体时，该地表水体水质不应低于《地表水环境质量标准》Ⅲ类标准；不得使用不符合《农田灌溉水质标准》的污水进行灌溉，合理 </w:t>
                  </w:r>
                </w:p>
                <w:p w14:paraId="0AFCB128">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使用化肥；保护水源林，禁止毁林开荒，禁止非更新砍伐水源林。</w:t>
                  </w:r>
                </w:p>
              </w:tc>
              <w:tc>
                <w:tcPr>
                  <w:tcW w:w="1927" w:type="pct"/>
                  <w:tcBorders>
                    <w:top w:val="single" w:color="auto" w:sz="4" w:space="0"/>
                    <w:left w:val="single" w:color="auto" w:sz="4" w:space="0"/>
                    <w:bottom w:val="single" w:color="auto" w:sz="4" w:space="0"/>
                  </w:tcBorders>
                  <w:vAlign w:val="center"/>
                </w:tcPr>
                <w:p w14:paraId="1B25084D">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1.本项目为热力生产与供应项目，用地为</w:t>
                  </w:r>
                  <w:r>
                    <w:rPr>
                      <w:rFonts w:hint="eastAsia"/>
                      <w:color w:val="000000" w:themeColor="text1"/>
                      <w:kern w:val="0"/>
                      <w:szCs w:val="21"/>
                      <w:lang w:eastAsia="zh-CN" w:bidi="ar"/>
                      <w14:textFill>
                        <w14:solidFill>
                          <w14:schemeClr w14:val="tx1"/>
                        </w14:solidFill>
                      </w14:textFill>
                    </w:rPr>
                    <w:t>公用设施用地</w:t>
                  </w:r>
                  <w:r>
                    <w:rPr>
                      <w:color w:val="000000" w:themeColor="text1"/>
                      <w:kern w:val="0"/>
                      <w:szCs w:val="21"/>
                      <w:lang w:bidi="ar"/>
                      <w14:textFill>
                        <w14:solidFill>
                          <w14:schemeClr w14:val="tx1"/>
                        </w14:solidFill>
                      </w14:textFill>
                    </w:rPr>
                    <w:t>，未占用生态空间中的林地、草原等。</w:t>
                  </w:r>
                </w:p>
                <w:p w14:paraId="76BC315C">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2.本项目为热力生产与供应项目，无垦殖、放牧、采伐、取水、渔猎、旅游等行为。</w:t>
                  </w:r>
                </w:p>
                <w:p w14:paraId="2CBE89E3">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3.本项目为热力生产与供应项目，未涉及损害其生态服务功能和生态产品质量的行为。</w:t>
                  </w:r>
                </w:p>
                <w:p w14:paraId="24BC9FDC">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4.本项用地为</w:t>
                  </w:r>
                  <w:r>
                    <w:rPr>
                      <w:rFonts w:hint="eastAsia"/>
                      <w:color w:val="000000" w:themeColor="text1"/>
                      <w:kern w:val="0"/>
                      <w:szCs w:val="21"/>
                      <w:lang w:eastAsia="zh-CN" w:bidi="ar"/>
                      <w14:textFill>
                        <w14:solidFill>
                          <w14:schemeClr w14:val="tx1"/>
                        </w14:solidFill>
                      </w14:textFill>
                    </w:rPr>
                    <w:t>公用设施用地</w:t>
                  </w:r>
                  <w:r>
                    <w:rPr>
                      <w:color w:val="000000" w:themeColor="text1"/>
                      <w:kern w:val="0"/>
                      <w:szCs w:val="21"/>
                      <w:lang w:bidi="ar"/>
                      <w14:textFill>
                        <w14:solidFill>
                          <w14:schemeClr w14:val="tx1"/>
                        </w14:solidFill>
                      </w14:textFill>
                    </w:rPr>
                    <w:t>，未侵占生态空间。</w:t>
                  </w:r>
                </w:p>
                <w:p w14:paraId="734D7EF4">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5.本项目位于伊春市伊美区兰新经营所，未涉及西林区地表水饮用水水源、南岔区地表水饮用水水源。</w:t>
                  </w:r>
                </w:p>
              </w:tc>
            </w:tr>
            <w:tr w14:paraId="20D9B0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72" w:type="pct"/>
                  <w:gridSpan w:val="3"/>
                  <w:tcBorders>
                    <w:top w:val="single" w:color="auto" w:sz="4" w:space="0"/>
                    <w:bottom w:val="single" w:color="auto" w:sz="4" w:space="0"/>
                    <w:right w:val="single" w:color="auto" w:sz="4" w:space="0"/>
                  </w:tcBorders>
                  <w:vAlign w:val="center"/>
                </w:tcPr>
                <w:p w14:paraId="1704F2E0">
                  <w:pPr>
                    <w:autoSpaceDE w:val="0"/>
                    <w:autoSpaceDN w:val="0"/>
                    <w:adjustRightInd w:val="0"/>
                    <w:snapToGrid w:val="0"/>
                    <w:jc w:val="center"/>
                    <w:rPr>
                      <w:b/>
                      <w:bCs/>
                      <w:color w:val="000000" w:themeColor="text1"/>
                      <w:kern w:val="0"/>
                      <w:szCs w:val="21"/>
                      <w:lang w:bidi="ar"/>
                      <w14:textFill>
                        <w14:solidFill>
                          <w14:schemeClr w14:val="tx1"/>
                        </w14:solidFill>
                      </w14:textFill>
                    </w:rPr>
                  </w:pPr>
                  <w:r>
                    <w:rPr>
                      <w:color w:val="000000" w:themeColor="text1"/>
                      <w:kern w:val="0"/>
                      <w:szCs w:val="21"/>
                      <w14:textFill>
                        <w14:solidFill>
                          <w14:schemeClr w14:val="tx1"/>
                        </w14:solidFill>
                      </w14:textFill>
                    </w:rPr>
                    <w:t>环境管控单元编码</w:t>
                  </w:r>
                </w:p>
              </w:tc>
              <w:tc>
                <w:tcPr>
                  <w:tcW w:w="1927" w:type="pct"/>
                  <w:tcBorders>
                    <w:top w:val="single" w:color="auto" w:sz="4" w:space="0"/>
                    <w:left w:val="single" w:color="auto" w:sz="4" w:space="0"/>
                    <w:bottom w:val="single" w:color="auto" w:sz="4" w:space="0"/>
                  </w:tcBorders>
                  <w:vAlign w:val="center"/>
                </w:tcPr>
                <w:p w14:paraId="33E6305A">
                  <w:pPr>
                    <w:autoSpaceDE w:val="0"/>
                    <w:autoSpaceDN w:val="0"/>
                    <w:adjustRightInd w:val="0"/>
                    <w:snapToGrid w:val="0"/>
                    <w:jc w:val="center"/>
                    <w:rPr>
                      <w:color w:val="000000" w:themeColor="text1"/>
                      <w:kern w:val="0"/>
                      <w:szCs w:val="21"/>
                      <w:lang w:bidi="ar"/>
                      <w14:textFill>
                        <w14:solidFill>
                          <w14:schemeClr w14:val="tx1"/>
                        </w14:solidFill>
                      </w14:textFill>
                    </w:rPr>
                  </w:pPr>
                  <w:r>
                    <w:rPr>
                      <w:color w:val="000000" w:themeColor="text1"/>
                      <w:kern w:val="0"/>
                      <w:szCs w:val="21"/>
                      <w14:textFill>
                        <w14:solidFill>
                          <w14:schemeClr w14:val="tx1"/>
                        </w14:solidFill>
                      </w14:textFill>
                    </w:rPr>
                    <w:t>ZH23071720002</w:t>
                  </w:r>
                </w:p>
              </w:tc>
            </w:tr>
            <w:tr w14:paraId="58EB18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72" w:type="pct"/>
                  <w:gridSpan w:val="3"/>
                  <w:tcBorders>
                    <w:top w:val="single" w:color="auto" w:sz="4" w:space="0"/>
                    <w:bottom w:val="single" w:color="auto" w:sz="4" w:space="0"/>
                    <w:right w:val="single" w:color="auto" w:sz="4" w:space="0"/>
                  </w:tcBorders>
                  <w:vAlign w:val="center"/>
                </w:tcPr>
                <w:p w14:paraId="5A4C8DDA">
                  <w:pPr>
                    <w:autoSpaceDE w:val="0"/>
                    <w:autoSpaceDN w:val="0"/>
                    <w:adjustRightInd w:val="0"/>
                    <w:snapToGrid w:val="0"/>
                    <w:jc w:val="center"/>
                    <w:rPr>
                      <w:b/>
                      <w:bCs/>
                      <w:color w:val="000000" w:themeColor="text1"/>
                      <w:kern w:val="0"/>
                      <w:szCs w:val="21"/>
                      <w:lang w:bidi="ar"/>
                      <w14:textFill>
                        <w14:solidFill>
                          <w14:schemeClr w14:val="tx1"/>
                        </w14:solidFill>
                      </w14:textFill>
                    </w:rPr>
                  </w:pPr>
                  <w:r>
                    <w:rPr>
                      <w:color w:val="000000" w:themeColor="text1"/>
                      <w:kern w:val="0"/>
                      <w:szCs w:val="21"/>
                      <w14:textFill>
                        <w14:solidFill>
                          <w14:schemeClr w14:val="tx1"/>
                        </w14:solidFill>
                      </w14:textFill>
                    </w:rPr>
                    <w:t>环境管控单元名称</w:t>
                  </w:r>
                </w:p>
              </w:tc>
              <w:tc>
                <w:tcPr>
                  <w:tcW w:w="1927" w:type="pct"/>
                  <w:tcBorders>
                    <w:top w:val="single" w:color="auto" w:sz="4" w:space="0"/>
                    <w:left w:val="single" w:color="auto" w:sz="4" w:space="0"/>
                    <w:bottom w:val="single" w:color="auto" w:sz="4" w:space="0"/>
                  </w:tcBorders>
                  <w:vAlign w:val="center"/>
                </w:tcPr>
                <w:p w14:paraId="45EAB9EA">
                  <w:pPr>
                    <w:widowControl/>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伊美区大气环境布局敏感重点管控区</w:t>
                  </w:r>
                </w:p>
              </w:tc>
            </w:tr>
            <w:tr w14:paraId="5880CD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72" w:type="pct"/>
                  <w:gridSpan w:val="3"/>
                  <w:tcBorders>
                    <w:top w:val="single" w:color="auto" w:sz="4" w:space="0"/>
                    <w:bottom w:val="single" w:color="auto" w:sz="4" w:space="0"/>
                    <w:right w:val="single" w:color="auto" w:sz="4" w:space="0"/>
                  </w:tcBorders>
                  <w:vAlign w:val="center"/>
                </w:tcPr>
                <w:p w14:paraId="4E06A6F4">
                  <w:pPr>
                    <w:autoSpaceDE w:val="0"/>
                    <w:autoSpaceDN w:val="0"/>
                    <w:adjustRightInd w:val="0"/>
                    <w:snapToGrid w:val="0"/>
                    <w:jc w:val="center"/>
                    <w:rPr>
                      <w:b/>
                      <w:bCs/>
                      <w:color w:val="000000" w:themeColor="text1"/>
                      <w:kern w:val="0"/>
                      <w:szCs w:val="21"/>
                      <w:lang w:bidi="ar"/>
                      <w14:textFill>
                        <w14:solidFill>
                          <w14:schemeClr w14:val="tx1"/>
                        </w14:solidFill>
                      </w14:textFill>
                    </w:rPr>
                  </w:pPr>
                  <w:r>
                    <w:rPr>
                      <w:color w:val="000000" w:themeColor="text1"/>
                      <w:kern w:val="0"/>
                      <w:szCs w:val="21"/>
                      <w14:textFill>
                        <w14:solidFill>
                          <w14:schemeClr w14:val="tx1"/>
                        </w14:solidFill>
                      </w14:textFill>
                    </w:rPr>
                    <w:t>管控单元类别</w:t>
                  </w:r>
                </w:p>
              </w:tc>
              <w:tc>
                <w:tcPr>
                  <w:tcW w:w="1927" w:type="pct"/>
                  <w:tcBorders>
                    <w:top w:val="single" w:color="auto" w:sz="4" w:space="0"/>
                    <w:left w:val="single" w:color="auto" w:sz="4" w:space="0"/>
                    <w:bottom w:val="single" w:color="auto" w:sz="4" w:space="0"/>
                  </w:tcBorders>
                  <w:vAlign w:val="center"/>
                </w:tcPr>
                <w:p w14:paraId="703FBE9F">
                  <w:pPr>
                    <w:autoSpaceDE w:val="0"/>
                    <w:autoSpaceDN w:val="0"/>
                    <w:adjustRightInd w:val="0"/>
                    <w:snapToGrid w:val="0"/>
                    <w:jc w:val="center"/>
                    <w:rPr>
                      <w:color w:val="000000" w:themeColor="text1"/>
                      <w:kern w:val="0"/>
                      <w:szCs w:val="21"/>
                      <w:lang w:bidi="ar"/>
                      <w14:textFill>
                        <w14:solidFill>
                          <w14:schemeClr w14:val="tx1"/>
                        </w14:solidFill>
                      </w14:textFill>
                    </w:rPr>
                  </w:pPr>
                  <w:r>
                    <w:rPr>
                      <w:color w:val="000000" w:themeColor="text1"/>
                      <w:kern w:val="0"/>
                      <w:szCs w:val="21"/>
                      <w14:textFill>
                        <w14:solidFill>
                          <w14:schemeClr w14:val="tx1"/>
                        </w14:solidFill>
                      </w14:textFill>
                    </w:rPr>
                    <w:t>伊美区一般生态空间</w:t>
                  </w:r>
                </w:p>
              </w:tc>
            </w:tr>
            <w:tr w14:paraId="5BF864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72" w:type="pct"/>
                  <w:gridSpan w:val="3"/>
                  <w:tcBorders>
                    <w:top w:val="single" w:color="auto" w:sz="4" w:space="0"/>
                    <w:bottom w:val="single" w:color="auto" w:sz="4" w:space="0"/>
                    <w:right w:val="single" w:color="auto" w:sz="4" w:space="0"/>
                  </w:tcBorders>
                  <w:vAlign w:val="center"/>
                </w:tcPr>
                <w:p w14:paraId="60621F7B">
                  <w:pPr>
                    <w:autoSpaceDE w:val="0"/>
                    <w:autoSpaceDN w:val="0"/>
                    <w:adjustRightInd w:val="0"/>
                    <w:snapToGrid w:val="0"/>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管控要求</w:t>
                  </w:r>
                </w:p>
              </w:tc>
              <w:tc>
                <w:tcPr>
                  <w:tcW w:w="1927" w:type="pct"/>
                  <w:tcBorders>
                    <w:top w:val="single" w:color="auto" w:sz="4" w:space="0"/>
                    <w:left w:val="single" w:color="auto" w:sz="4" w:space="0"/>
                    <w:bottom w:val="single" w:color="auto" w:sz="4" w:space="0"/>
                  </w:tcBorders>
                  <w:vAlign w:val="center"/>
                </w:tcPr>
                <w:p w14:paraId="2F5E9EA1">
                  <w:pPr>
                    <w:autoSpaceDE w:val="0"/>
                    <w:autoSpaceDN w:val="0"/>
                    <w:adjustRightInd w:val="0"/>
                    <w:snapToGrid w:val="0"/>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符合性分析</w:t>
                  </w:r>
                </w:p>
              </w:tc>
            </w:tr>
            <w:tr w14:paraId="675D38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71" w:type="pct"/>
                  <w:tcBorders>
                    <w:top w:val="single" w:color="auto" w:sz="4" w:space="0"/>
                    <w:bottom w:val="single" w:color="auto" w:sz="4" w:space="0"/>
                    <w:right w:val="single" w:color="auto" w:sz="4" w:space="0"/>
                  </w:tcBorders>
                  <w:vAlign w:val="center"/>
                </w:tcPr>
                <w:p w14:paraId="632F8134">
                  <w:pPr>
                    <w:autoSpaceDE w:val="0"/>
                    <w:autoSpaceDN w:val="0"/>
                    <w:adjustRightInd w:val="0"/>
                    <w:snapToGrid w:val="0"/>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空间布局约束</w:t>
                  </w:r>
                </w:p>
              </w:tc>
              <w:tc>
                <w:tcPr>
                  <w:tcW w:w="2701" w:type="pct"/>
                  <w:gridSpan w:val="2"/>
                  <w:tcBorders>
                    <w:top w:val="single" w:color="auto" w:sz="4" w:space="0"/>
                    <w:left w:val="single" w:color="auto" w:sz="4" w:space="0"/>
                    <w:bottom w:val="single" w:color="auto" w:sz="4" w:space="0"/>
                    <w:right w:val="single" w:color="auto" w:sz="4" w:space="0"/>
                  </w:tcBorders>
                  <w:vAlign w:val="center"/>
                </w:tcPr>
                <w:p w14:paraId="307C88ED">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 xml:space="preserve">1.严控“两高”行业产能。严格执行钢铁、水泥、平板玻璃等行业产能置换实施办法。 </w:t>
                  </w:r>
                </w:p>
                <w:p w14:paraId="349DA831">
                  <w:pPr>
                    <w:widowControl/>
                    <w:jc w:val="left"/>
                    <w:rPr>
                      <w:color w:val="000000" w:themeColor="text1"/>
                      <w:kern w:val="0"/>
                      <w:szCs w:val="21"/>
                      <w14:textFill>
                        <w14:solidFill>
                          <w14:schemeClr w14:val="tx1"/>
                        </w14:solidFill>
                      </w14:textFill>
                    </w:rPr>
                  </w:pPr>
                  <w:r>
                    <w:rPr>
                      <w:color w:val="000000" w:themeColor="text1"/>
                      <w:kern w:val="0"/>
                      <w:szCs w:val="21"/>
                      <w:lang w:bidi="ar"/>
                      <w14:textFill>
                        <w14:solidFill>
                          <w14:schemeClr w14:val="tx1"/>
                        </w14:solidFill>
                      </w14:textFill>
                    </w:rPr>
                    <w:t>2.利用水泥窑协同处置城市生活垃圾、危险废弃物、电石渣等固废伴生水泥项目，必须依托现有新型干法水泥熟料生产线进行不扩产能改造。</w:t>
                  </w:r>
                </w:p>
              </w:tc>
              <w:tc>
                <w:tcPr>
                  <w:tcW w:w="1927" w:type="pct"/>
                  <w:tcBorders>
                    <w:top w:val="single" w:color="auto" w:sz="4" w:space="0"/>
                    <w:left w:val="single" w:color="auto" w:sz="4" w:space="0"/>
                    <w:bottom w:val="single" w:color="auto" w:sz="4" w:space="0"/>
                  </w:tcBorders>
                  <w:vAlign w:val="center"/>
                </w:tcPr>
                <w:p w14:paraId="1F4A2D34">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1.本项目不属于“两高”行业。</w:t>
                  </w:r>
                </w:p>
                <w:p w14:paraId="7BB4EFB7">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2.本项目不属于利用水泥窑协同处置城市生活垃圾、危险废弃物、电石渣等固废伴生水泥项目。</w:t>
                  </w:r>
                </w:p>
              </w:tc>
            </w:tr>
            <w:tr w14:paraId="252145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71" w:type="pct"/>
                  <w:tcBorders>
                    <w:top w:val="single" w:color="auto" w:sz="4" w:space="0"/>
                    <w:bottom w:val="single" w:color="auto" w:sz="4" w:space="0"/>
                    <w:right w:val="single" w:color="auto" w:sz="4" w:space="0"/>
                  </w:tcBorders>
                  <w:vAlign w:val="center"/>
                </w:tcPr>
                <w:p w14:paraId="7E587A37">
                  <w:pPr>
                    <w:autoSpaceDE w:val="0"/>
                    <w:autoSpaceDN w:val="0"/>
                    <w:adjustRightInd w:val="0"/>
                    <w:snapToGrid w:val="0"/>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污染物排放管控</w:t>
                  </w:r>
                </w:p>
              </w:tc>
              <w:tc>
                <w:tcPr>
                  <w:tcW w:w="2701" w:type="pct"/>
                  <w:gridSpan w:val="2"/>
                  <w:tcBorders>
                    <w:top w:val="single" w:color="auto" w:sz="4" w:space="0"/>
                    <w:left w:val="single" w:color="auto" w:sz="4" w:space="0"/>
                    <w:bottom w:val="single" w:color="auto" w:sz="4" w:space="0"/>
                    <w:right w:val="single" w:color="auto" w:sz="4" w:space="0"/>
                  </w:tcBorders>
                  <w:vAlign w:val="center"/>
                </w:tcPr>
                <w:p w14:paraId="23559235">
                  <w:pPr>
                    <w:widowControl/>
                    <w:jc w:val="left"/>
                    <w:rPr>
                      <w:color w:val="000000" w:themeColor="text1"/>
                      <w14:textFill>
                        <w14:solidFill>
                          <w14:schemeClr w14:val="tx1"/>
                        </w14:solidFill>
                      </w14:textFill>
                    </w:rPr>
                  </w:pPr>
                  <w:r>
                    <w:rPr>
                      <w:color w:val="000000" w:themeColor="text1"/>
                      <w:kern w:val="0"/>
                      <w:szCs w:val="21"/>
                      <w:lang w:bidi="ar"/>
                      <w14:textFill>
                        <w14:solidFill>
                          <w14:schemeClr w14:val="tx1"/>
                        </w14:solidFill>
                      </w14:textFill>
                    </w:rPr>
                    <w:t xml:space="preserve">1.对以煤、石焦油、渣油、重油等为燃料的锅炉和工业炉窑，加快使用清洁低碳能源以及工 厂余热、电力热力等进行替代。 </w:t>
                  </w:r>
                </w:p>
                <w:p w14:paraId="24D6C968">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2.到2025年，在用65蒸吨/小时以上的燃煤锅炉（含电力）实现超低排放，钢铁企业基本实现超低排放。</w:t>
                  </w:r>
                </w:p>
              </w:tc>
              <w:tc>
                <w:tcPr>
                  <w:tcW w:w="1927" w:type="pct"/>
                  <w:tcBorders>
                    <w:top w:val="single" w:color="auto" w:sz="4" w:space="0"/>
                    <w:left w:val="single" w:color="auto" w:sz="4" w:space="0"/>
                    <w:bottom w:val="single" w:color="auto" w:sz="4" w:space="0"/>
                  </w:tcBorders>
                  <w:vAlign w:val="center"/>
                </w:tcPr>
                <w:p w14:paraId="5EF95F90">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1.本项目燃料为</w:t>
                  </w:r>
                  <w:r>
                    <w:rPr>
                      <w:rFonts w:hint="eastAsia"/>
                      <w:color w:val="000000" w:themeColor="text1"/>
                      <w:kern w:val="0"/>
                      <w:szCs w:val="21"/>
                      <w:lang w:eastAsia="zh-CN" w:bidi="ar"/>
                      <w14:textFill>
                        <w14:solidFill>
                          <w14:schemeClr w14:val="tx1"/>
                        </w14:solidFill>
                      </w14:textFill>
                    </w:rPr>
                    <w:t>生物质成型颗粒</w:t>
                  </w:r>
                  <w:r>
                    <w:rPr>
                      <w:color w:val="000000" w:themeColor="text1"/>
                      <w:kern w:val="0"/>
                      <w:szCs w:val="21"/>
                      <w:lang w:bidi="ar"/>
                      <w14:textFill>
                        <w14:solidFill>
                          <w14:schemeClr w14:val="tx1"/>
                        </w14:solidFill>
                      </w14:textFill>
                    </w:rPr>
                    <w:t>，不采用煤、石焦油、渣油、重油等为燃料。</w:t>
                  </w:r>
                </w:p>
                <w:p w14:paraId="1FD40DC7">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2.本项目建设1.75MW燃生物质锅炉，不属于65蒸吨/小时以上的燃煤锅炉。</w:t>
                  </w:r>
                </w:p>
              </w:tc>
            </w:tr>
            <w:tr w14:paraId="51C4B0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71" w:type="pct"/>
                  <w:tcBorders>
                    <w:top w:val="single" w:color="auto" w:sz="4" w:space="0"/>
                    <w:bottom w:val="single" w:color="auto" w:sz="4" w:space="0"/>
                    <w:right w:val="single" w:color="auto" w:sz="4" w:space="0"/>
                  </w:tcBorders>
                  <w:vAlign w:val="center"/>
                </w:tcPr>
                <w:p w14:paraId="0871B1BB">
                  <w:pPr>
                    <w:autoSpaceDE w:val="0"/>
                    <w:autoSpaceDN w:val="0"/>
                    <w:adjustRightInd w:val="0"/>
                    <w:snapToGrid w:val="0"/>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环境风险防控</w:t>
                  </w:r>
                </w:p>
              </w:tc>
              <w:tc>
                <w:tcPr>
                  <w:tcW w:w="2701" w:type="pct"/>
                  <w:gridSpan w:val="2"/>
                  <w:tcBorders>
                    <w:top w:val="single" w:color="auto" w:sz="4" w:space="0"/>
                    <w:left w:val="single" w:color="auto" w:sz="4" w:space="0"/>
                    <w:bottom w:val="single" w:color="auto" w:sz="4" w:space="0"/>
                    <w:right w:val="single" w:color="auto" w:sz="4" w:space="0"/>
                  </w:tcBorders>
                  <w:vAlign w:val="center"/>
                </w:tcPr>
                <w:p w14:paraId="0CBC16D2">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禁止在居民区、学校、医疗和养老机构等周边新建有色金属冶炼、焦化等行业企业。</w:t>
                  </w:r>
                </w:p>
              </w:tc>
              <w:tc>
                <w:tcPr>
                  <w:tcW w:w="1927" w:type="pct"/>
                  <w:tcBorders>
                    <w:top w:val="single" w:color="auto" w:sz="4" w:space="0"/>
                    <w:left w:val="single" w:color="auto" w:sz="4" w:space="0"/>
                    <w:bottom w:val="single" w:color="auto" w:sz="4" w:space="0"/>
                  </w:tcBorders>
                  <w:vAlign w:val="center"/>
                </w:tcPr>
                <w:p w14:paraId="26C43F7F">
                  <w:pPr>
                    <w:widowControl/>
                    <w:jc w:val="left"/>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本项目为热力生产与供应项目，不属于有色金属冶炼、焦化等行业。</w:t>
                  </w:r>
                </w:p>
              </w:tc>
            </w:tr>
          </w:tbl>
          <w:p w14:paraId="01AF0010">
            <w:pPr>
              <w:autoSpaceDE w:val="0"/>
              <w:autoSpaceDN w:val="0"/>
              <w:adjustRightInd w:val="0"/>
              <w:snapToGrid w:val="0"/>
              <w:spacing w:line="360" w:lineRule="auto"/>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伊美区美溪供热服务中心兰新供热站建设项目位置涉及伊春市伊美区；项目占地总面积小于</w:t>
            </w:r>
            <w:r>
              <w:rPr>
                <w:color w:val="000000" w:themeColor="text1"/>
                <w:kern w:val="0"/>
                <w:sz w:val="24"/>
                <w14:textFill>
                  <w14:solidFill>
                    <w14:schemeClr w14:val="tx1"/>
                  </w14:solidFill>
                </w14:textFill>
              </w:rPr>
              <w:t>0.01</w:t>
            </w:r>
            <w:r>
              <w:rPr>
                <w:rFonts w:hint="eastAsia"/>
                <w:color w:val="000000" w:themeColor="text1"/>
                <w:kern w:val="0"/>
                <w:sz w:val="24"/>
                <w14:textFill>
                  <w14:solidFill>
                    <w14:schemeClr w14:val="tx1"/>
                  </w14:solidFill>
                </w14:textFill>
              </w:rPr>
              <w:t xml:space="preserve">平方公里。 </w:t>
            </w:r>
          </w:p>
          <w:p w14:paraId="31A2073B">
            <w:pPr>
              <w:autoSpaceDE w:val="0"/>
              <w:autoSpaceDN w:val="0"/>
              <w:adjustRightInd w:val="0"/>
              <w:snapToGrid w:val="0"/>
              <w:spacing w:line="360" w:lineRule="auto"/>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与生态保护红线交集面积为</w:t>
            </w:r>
            <w:r>
              <w:rPr>
                <w:color w:val="000000" w:themeColor="text1"/>
                <w:kern w:val="0"/>
                <w:sz w:val="24"/>
                <w14:textFill>
                  <w14:solidFill>
                    <w14:schemeClr w14:val="tx1"/>
                  </w14:solidFill>
                </w14:textFill>
              </w:rPr>
              <w:t>0.00</w:t>
            </w:r>
            <w:r>
              <w:rPr>
                <w:rFonts w:hint="eastAsia"/>
                <w:color w:val="000000" w:themeColor="text1"/>
                <w:kern w:val="0"/>
                <w:sz w:val="24"/>
                <w14:textFill>
                  <w14:solidFill>
                    <w14:schemeClr w14:val="tx1"/>
                  </w14:solidFill>
                </w14:textFill>
              </w:rPr>
              <w:t>平方公里，占项目占地面积的</w:t>
            </w:r>
            <w:r>
              <w:rPr>
                <w:color w:val="000000" w:themeColor="text1"/>
                <w:kern w:val="0"/>
                <w:sz w:val="24"/>
                <w14:textFill>
                  <w14:solidFill>
                    <w14:schemeClr w14:val="tx1"/>
                  </w14:solidFill>
                </w14:textFill>
              </w:rPr>
              <w:t>0.00%</w:t>
            </w:r>
            <w:r>
              <w:rPr>
                <w:rFonts w:hint="eastAsia"/>
                <w:color w:val="000000" w:themeColor="text1"/>
                <w:kern w:val="0"/>
                <w:sz w:val="24"/>
                <w14:textFill>
                  <w14:solidFill>
                    <w14:schemeClr w14:val="tx1"/>
                  </w14:solidFill>
                </w14:textFill>
              </w:rPr>
              <w:t xml:space="preserve">。 </w:t>
            </w:r>
          </w:p>
          <w:p w14:paraId="2FFC3CBA">
            <w:pPr>
              <w:autoSpaceDE w:val="0"/>
              <w:autoSpaceDN w:val="0"/>
              <w:adjustRightInd w:val="0"/>
              <w:snapToGrid w:val="0"/>
              <w:spacing w:line="360" w:lineRule="auto"/>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与自然保护地整合优化方案数据交集面积为</w:t>
            </w:r>
            <w:r>
              <w:rPr>
                <w:color w:val="000000" w:themeColor="text1"/>
                <w:kern w:val="0"/>
                <w:sz w:val="24"/>
                <w14:textFill>
                  <w14:solidFill>
                    <w14:schemeClr w14:val="tx1"/>
                  </w14:solidFill>
                </w14:textFill>
              </w:rPr>
              <w:t>0.00</w:t>
            </w:r>
            <w:r>
              <w:rPr>
                <w:rFonts w:hint="eastAsia"/>
                <w:color w:val="000000" w:themeColor="text1"/>
                <w:kern w:val="0"/>
                <w:sz w:val="24"/>
                <w14:textFill>
                  <w14:solidFill>
                    <w14:schemeClr w14:val="tx1"/>
                  </w14:solidFill>
                </w14:textFill>
              </w:rPr>
              <w:t>平方公里，占项目占地面积的</w:t>
            </w:r>
            <w:r>
              <w:rPr>
                <w:color w:val="000000" w:themeColor="text1"/>
                <w:kern w:val="0"/>
                <w:sz w:val="24"/>
                <w14:textFill>
                  <w14:solidFill>
                    <w14:schemeClr w14:val="tx1"/>
                  </w14:solidFill>
                </w14:textFill>
              </w:rPr>
              <w:t>0.00%</w:t>
            </w:r>
            <w:r>
              <w:rPr>
                <w:rFonts w:hint="eastAsia"/>
                <w:color w:val="000000" w:themeColor="text1"/>
                <w:kern w:val="0"/>
                <w:sz w:val="24"/>
                <w14:textFill>
                  <w14:solidFill>
                    <w14:schemeClr w14:val="tx1"/>
                  </w14:solidFill>
                </w14:textFill>
              </w:rPr>
              <w:t>。保护地涉及等类型。与自然保护地（现状管理数据）交集面积为</w:t>
            </w:r>
            <w:r>
              <w:rPr>
                <w:color w:val="000000" w:themeColor="text1"/>
                <w:kern w:val="0"/>
                <w:sz w:val="24"/>
                <w14:textFill>
                  <w14:solidFill>
                    <w14:schemeClr w14:val="tx1"/>
                  </w14:solidFill>
                </w14:textFill>
              </w:rPr>
              <w:t>0.00</w:t>
            </w:r>
            <w:r>
              <w:rPr>
                <w:rFonts w:hint="eastAsia"/>
                <w:color w:val="000000" w:themeColor="text1"/>
                <w:kern w:val="0"/>
                <w:sz w:val="24"/>
                <w14:textFill>
                  <w14:solidFill>
                    <w14:schemeClr w14:val="tx1"/>
                  </w14:solidFill>
                </w14:textFill>
              </w:rPr>
              <w:t>平方公里，占项目占地面积的</w:t>
            </w:r>
            <w:r>
              <w:rPr>
                <w:color w:val="000000" w:themeColor="text1"/>
                <w:kern w:val="0"/>
                <w:sz w:val="24"/>
                <w14:textFill>
                  <w14:solidFill>
                    <w14:schemeClr w14:val="tx1"/>
                  </w14:solidFill>
                </w14:textFill>
              </w:rPr>
              <w:t>0.00%</w:t>
            </w:r>
            <w:r>
              <w:rPr>
                <w:rFonts w:hint="eastAsia"/>
                <w:color w:val="000000" w:themeColor="text1"/>
                <w:kern w:val="0"/>
                <w:sz w:val="24"/>
                <w14:textFill>
                  <w14:solidFill>
                    <w14:schemeClr w14:val="tx1"/>
                  </w14:solidFill>
                </w14:textFill>
              </w:rPr>
              <w:t xml:space="preserve">。保护地涉及等类型。 </w:t>
            </w:r>
          </w:p>
          <w:p w14:paraId="7AB27153">
            <w:pPr>
              <w:autoSpaceDE w:val="0"/>
              <w:autoSpaceDN w:val="0"/>
              <w:adjustRightInd w:val="0"/>
              <w:snapToGrid w:val="0"/>
              <w:spacing w:line="360" w:lineRule="auto"/>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与饮用水水源保护区交集面积为</w:t>
            </w:r>
            <w:r>
              <w:rPr>
                <w:color w:val="000000" w:themeColor="text1"/>
                <w:kern w:val="0"/>
                <w:sz w:val="24"/>
                <w14:textFill>
                  <w14:solidFill>
                    <w14:schemeClr w14:val="tx1"/>
                  </w14:solidFill>
                </w14:textFill>
              </w:rPr>
              <w:t>0.00</w:t>
            </w:r>
            <w:r>
              <w:rPr>
                <w:rFonts w:hint="eastAsia"/>
                <w:color w:val="000000" w:themeColor="text1"/>
                <w:kern w:val="0"/>
                <w:sz w:val="24"/>
                <w14:textFill>
                  <w14:solidFill>
                    <w14:schemeClr w14:val="tx1"/>
                  </w14:solidFill>
                </w14:textFill>
              </w:rPr>
              <w:t>平方公里，占项目占地面积的</w:t>
            </w:r>
            <w:r>
              <w:rPr>
                <w:color w:val="000000" w:themeColor="text1"/>
                <w:kern w:val="0"/>
                <w:sz w:val="24"/>
                <w14:textFill>
                  <w14:solidFill>
                    <w14:schemeClr w14:val="tx1"/>
                  </w14:solidFill>
                </w14:textFill>
              </w:rPr>
              <w:t>0.00%</w:t>
            </w:r>
            <w:r>
              <w:rPr>
                <w:rFonts w:hint="eastAsia"/>
                <w:color w:val="000000" w:themeColor="text1"/>
                <w:kern w:val="0"/>
                <w:sz w:val="24"/>
                <w14:textFill>
                  <w14:solidFill>
                    <w14:schemeClr w14:val="tx1"/>
                  </w14:solidFill>
                </w14:textFill>
              </w:rPr>
              <w:t>。与国家级水产种质资源保护区交集面积为</w:t>
            </w:r>
            <w:r>
              <w:rPr>
                <w:color w:val="000000" w:themeColor="text1"/>
                <w:kern w:val="0"/>
                <w:sz w:val="24"/>
                <w14:textFill>
                  <w14:solidFill>
                    <w14:schemeClr w14:val="tx1"/>
                  </w14:solidFill>
                </w14:textFill>
              </w:rPr>
              <w:t>0.00</w:t>
            </w:r>
            <w:r>
              <w:rPr>
                <w:rFonts w:hint="eastAsia"/>
                <w:color w:val="000000" w:themeColor="text1"/>
                <w:kern w:val="0"/>
                <w:sz w:val="24"/>
                <w14:textFill>
                  <w14:solidFill>
                    <w14:schemeClr w14:val="tx1"/>
                  </w14:solidFill>
                </w14:textFill>
              </w:rPr>
              <w:t>平方公里，占项目占地面积的</w:t>
            </w:r>
            <w:r>
              <w:rPr>
                <w:color w:val="000000" w:themeColor="text1"/>
                <w:kern w:val="0"/>
                <w:sz w:val="24"/>
                <w14:textFill>
                  <w14:solidFill>
                    <w14:schemeClr w14:val="tx1"/>
                  </w14:solidFill>
                </w14:textFill>
              </w:rPr>
              <w:t>0.00%</w:t>
            </w:r>
            <w:r>
              <w:rPr>
                <w:rFonts w:hint="eastAsia"/>
                <w:color w:val="000000" w:themeColor="text1"/>
                <w:kern w:val="0"/>
                <w:sz w:val="24"/>
                <w14:textFill>
                  <w14:solidFill>
                    <w14:schemeClr w14:val="tx1"/>
                  </w14:solidFill>
                </w14:textFill>
              </w:rPr>
              <w:t xml:space="preserve">。 </w:t>
            </w:r>
          </w:p>
          <w:p w14:paraId="2AB2817A">
            <w:pPr>
              <w:autoSpaceDE w:val="0"/>
              <w:autoSpaceDN w:val="0"/>
              <w:adjustRightInd w:val="0"/>
              <w:snapToGrid w:val="0"/>
              <w:spacing w:line="360" w:lineRule="auto"/>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与环境管控单元优先保护单元交集面积为小于</w:t>
            </w:r>
            <w:r>
              <w:rPr>
                <w:color w:val="000000" w:themeColor="text1"/>
                <w:kern w:val="0"/>
                <w:sz w:val="24"/>
                <w14:textFill>
                  <w14:solidFill>
                    <w14:schemeClr w14:val="tx1"/>
                  </w14:solidFill>
                </w14:textFill>
              </w:rPr>
              <w:t>0.01</w:t>
            </w:r>
            <w:r>
              <w:rPr>
                <w:rFonts w:hint="eastAsia"/>
                <w:color w:val="000000" w:themeColor="text1"/>
                <w:kern w:val="0"/>
                <w:sz w:val="24"/>
                <w14:textFill>
                  <w14:solidFill>
                    <w14:schemeClr w14:val="tx1"/>
                  </w14:solidFill>
                </w14:textFill>
              </w:rPr>
              <w:t>平方公里，占项目占地面积的</w:t>
            </w:r>
            <w:r>
              <w:rPr>
                <w:color w:val="000000" w:themeColor="text1"/>
                <w:kern w:val="0"/>
                <w:sz w:val="24"/>
                <w14:textFill>
                  <w14:solidFill>
                    <w14:schemeClr w14:val="tx1"/>
                  </w14:solidFill>
                </w14:textFill>
              </w:rPr>
              <w:t>29.32%</w:t>
            </w:r>
            <w:r>
              <w:rPr>
                <w:rFonts w:hint="eastAsia"/>
                <w:color w:val="000000" w:themeColor="text1"/>
                <w:kern w:val="0"/>
                <w:sz w:val="24"/>
                <w14:textFill>
                  <w14:solidFill>
                    <w14:schemeClr w14:val="tx1"/>
                  </w14:solidFill>
                </w14:textFill>
              </w:rPr>
              <w:t>；与重点管控单元交集面积为小于</w:t>
            </w:r>
            <w:r>
              <w:rPr>
                <w:color w:val="000000" w:themeColor="text1"/>
                <w:kern w:val="0"/>
                <w:sz w:val="24"/>
                <w14:textFill>
                  <w14:solidFill>
                    <w14:schemeClr w14:val="tx1"/>
                  </w14:solidFill>
                </w14:textFill>
              </w:rPr>
              <w:t>0.01</w:t>
            </w:r>
            <w:r>
              <w:rPr>
                <w:rFonts w:hint="eastAsia"/>
                <w:color w:val="000000" w:themeColor="text1"/>
                <w:kern w:val="0"/>
                <w:sz w:val="24"/>
                <w14:textFill>
                  <w14:solidFill>
                    <w14:schemeClr w14:val="tx1"/>
                  </w14:solidFill>
                </w14:textFill>
              </w:rPr>
              <w:t>平方公里，占项目占地面积的</w:t>
            </w:r>
            <w:r>
              <w:rPr>
                <w:color w:val="000000" w:themeColor="text1"/>
                <w:kern w:val="0"/>
                <w:sz w:val="24"/>
                <w14:textFill>
                  <w14:solidFill>
                    <w14:schemeClr w14:val="tx1"/>
                  </w14:solidFill>
                </w14:textFill>
              </w:rPr>
              <w:t>70.68%</w:t>
            </w:r>
            <w:r>
              <w:rPr>
                <w:rFonts w:hint="eastAsia"/>
                <w:color w:val="000000" w:themeColor="text1"/>
                <w:kern w:val="0"/>
                <w:sz w:val="24"/>
                <w14:textFill>
                  <w14:solidFill>
                    <w14:schemeClr w14:val="tx1"/>
                  </w14:solidFill>
                </w14:textFill>
              </w:rPr>
              <w:t>；一般管控单元交集面积为</w:t>
            </w:r>
            <w:r>
              <w:rPr>
                <w:color w:val="000000" w:themeColor="text1"/>
                <w:kern w:val="0"/>
                <w:sz w:val="24"/>
                <w14:textFill>
                  <w14:solidFill>
                    <w14:schemeClr w14:val="tx1"/>
                  </w14:solidFill>
                </w14:textFill>
              </w:rPr>
              <w:t xml:space="preserve">0.00 </w:t>
            </w:r>
            <w:r>
              <w:rPr>
                <w:rFonts w:hint="eastAsia"/>
                <w:color w:val="000000" w:themeColor="text1"/>
                <w:kern w:val="0"/>
                <w:sz w:val="24"/>
                <w14:textFill>
                  <w14:solidFill>
                    <w14:schemeClr w14:val="tx1"/>
                  </w14:solidFill>
                </w14:textFill>
              </w:rPr>
              <w:t>平方公里，占项目占地面积的</w:t>
            </w:r>
            <w:r>
              <w:rPr>
                <w:color w:val="000000" w:themeColor="text1"/>
                <w:kern w:val="0"/>
                <w:sz w:val="24"/>
                <w14:textFill>
                  <w14:solidFill>
                    <w14:schemeClr w14:val="tx1"/>
                  </w14:solidFill>
                </w14:textFill>
              </w:rPr>
              <w:t>0.00%</w:t>
            </w:r>
            <w:r>
              <w:rPr>
                <w:rFonts w:hint="eastAsia"/>
                <w:color w:val="000000" w:themeColor="text1"/>
                <w:kern w:val="0"/>
                <w:sz w:val="24"/>
                <w14:textFill>
                  <w14:solidFill>
                    <w14:schemeClr w14:val="tx1"/>
                  </w14:solidFill>
                </w14:textFill>
              </w:rPr>
              <w:t xml:space="preserve">。 </w:t>
            </w:r>
          </w:p>
          <w:p w14:paraId="1D1DF6C5">
            <w:pPr>
              <w:autoSpaceDE w:val="0"/>
              <w:autoSpaceDN w:val="0"/>
              <w:adjustRightInd w:val="0"/>
              <w:snapToGrid w:val="0"/>
              <w:spacing w:line="360" w:lineRule="auto"/>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与地下水环境优先保护区交集面积为</w:t>
            </w:r>
            <w:r>
              <w:rPr>
                <w:color w:val="000000" w:themeColor="text1"/>
                <w:kern w:val="0"/>
                <w:sz w:val="24"/>
                <w14:textFill>
                  <w14:solidFill>
                    <w14:schemeClr w14:val="tx1"/>
                  </w14:solidFill>
                </w14:textFill>
              </w:rPr>
              <w:t>0.00</w:t>
            </w:r>
            <w:r>
              <w:rPr>
                <w:rFonts w:hint="eastAsia"/>
                <w:color w:val="000000" w:themeColor="text1"/>
                <w:kern w:val="0"/>
                <w:sz w:val="24"/>
                <w14:textFill>
                  <w14:solidFill>
                    <w14:schemeClr w14:val="tx1"/>
                  </w14:solidFill>
                </w14:textFill>
              </w:rPr>
              <w:t>平方公里，占项目占地面积的</w:t>
            </w:r>
            <w:r>
              <w:rPr>
                <w:color w:val="000000" w:themeColor="text1"/>
                <w:kern w:val="0"/>
                <w:sz w:val="24"/>
                <w14:textFill>
                  <w14:solidFill>
                    <w14:schemeClr w14:val="tx1"/>
                  </w14:solidFill>
                </w14:textFill>
              </w:rPr>
              <w:t>0.00%</w:t>
            </w:r>
            <w:r>
              <w:rPr>
                <w:rFonts w:hint="eastAsia"/>
                <w:color w:val="000000" w:themeColor="text1"/>
                <w:kern w:val="0"/>
                <w:sz w:val="24"/>
                <w14:textFill>
                  <w14:solidFill>
                    <w14:schemeClr w14:val="tx1"/>
                  </w14:solidFill>
                </w14:textFill>
              </w:rPr>
              <w:t>；与地下水环境重点管控区交集面积为</w:t>
            </w:r>
            <w:r>
              <w:rPr>
                <w:color w:val="000000" w:themeColor="text1"/>
                <w:kern w:val="0"/>
                <w:sz w:val="24"/>
                <w14:textFill>
                  <w14:solidFill>
                    <w14:schemeClr w14:val="tx1"/>
                  </w14:solidFill>
                </w14:textFill>
              </w:rPr>
              <w:t>0.00</w:t>
            </w:r>
            <w:r>
              <w:rPr>
                <w:rFonts w:hint="eastAsia"/>
                <w:color w:val="000000" w:themeColor="text1"/>
                <w:kern w:val="0"/>
                <w:sz w:val="24"/>
                <w14:textFill>
                  <w14:solidFill>
                    <w14:schemeClr w14:val="tx1"/>
                  </w14:solidFill>
                </w14:textFill>
              </w:rPr>
              <w:t>平方公里，占项目占地面积的</w:t>
            </w:r>
            <w:r>
              <w:rPr>
                <w:color w:val="000000" w:themeColor="text1"/>
                <w:kern w:val="0"/>
                <w:sz w:val="24"/>
                <w14:textFill>
                  <w14:solidFill>
                    <w14:schemeClr w14:val="tx1"/>
                  </w14:solidFill>
                </w14:textFill>
              </w:rPr>
              <w:t>0.00%</w:t>
            </w:r>
            <w:r>
              <w:rPr>
                <w:rFonts w:hint="eastAsia"/>
                <w:color w:val="000000" w:themeColor="text1"/>
                <w:kern w:val="0"/>
                <w:sz w:val="24"/>
                <w14:textFill>
                  <w14:solidFill>
                    <w14:schemeClr w14:val="tx1"/>
                  </w14:solidFill>
                </w14:textFill>
              </w:rPr>
              <w:t>，与地下水环境一般管控区交集面积为小于</w:t>
            </w:r>
            <w:r>
              <w:rPr>
                <w:color w:val="000000" w:themeColor="text1"/>
                <w:kern w:val="0"/>
                <w:sz w:val="24"/>
                <w14:textFill>
                  <w14:solidFill>
                    <w14:schemeClr w14:val="tx1"/>
                  </w14:solidFill>
                </w14:textFill>
              </w:rPr>
              <w:t>0.01</w:t>
            </w:r>
            <w:r>
              <w:rPr>
                <w:rFonts w:hint="eastAsia"/>
                <w:color w:val="000000" w:themeColor="text1"/>
                <w:kern w:val="0"/>
                <w:sz w:val="24"/>
                <w14:textFill>
                  <w14:solidFill>
                    <w14:schemeClr w14:val="tx1"/>
                  </w14:solidFill>
                </w14:textFill>
              </w:rPr>
              <w:t>平方公里，占项目占地面积的</w:t>
            </w:r>
            <w:r>
              <w:rPr>
                <w:color w:val="000000" w:themeColor="text1"/>
                <w:kern w:val="0"/>
                <w:sz w:val="24"/>
                <w14:textFill>
                  <w14:solidFill>
                    <w14:schemeClr w14:val="tx1"/>
                  </w14:solidFill>
                </w14:textFill>
              </w:rPr>
              <w:t>100.00%</w:t>
            </w:r>
            <w:r>
              <w:rPr>
                <w:rFonts w:hint="eastAsia"/>
                <w:color w:val="000000" w:themeColor="text1"/>
                <w:kern w:val="0"/>
                <w:sz w:val="24"/>
                <w14:textFill>
                  <w14:solidFill>
                    <w14:schemeClr w14:val="tx1"/>
                  </w14:solidFill>
                </w14:textFill>
              </w:rPr>
              <w:t>。</w:t>
            </w:r>
          </w:p>
          <w:p w14:paraId="2190A80E">
            <w:pPr>
              <w:autoSpaceDE w:val="0"/>
              <w:autoSpaceDN w:val="0"/>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因此，本项目符合生态环境分区管控相关要求。</w:t>
            </w:r>
          </w:p>
          <w:p w14:paraId="458BD550">
            <w:pPr>
              <w:autoSpaceDE w:val="0"/>
              <w:autoSpaceDN w:val="0"/>
              <w:adjustRightInd w:val="0"/>
              <w:snapToGrid w:val="0"/>
              <w:spacing w:line="360" w:lineRule="auto"/>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3.选址合理性分析</w:t>
            </w:r>
          </w:p>
          <w:p w14:paraId="208328B1">
            <w:pPr>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本项目位于伊春市伊美区兰新经营所</w:t>
            </w:r>
            <w:r>
              <w:rPr>
                <w:color w:val="000000" w:themeColor="text1"/>
                <w:sz w:val="24"/>
                <w:lang w:bidi="ar"/>
                <w14:textFill>
                  <w14:solidFill>
                    <w14:schemeClr w14:val="tx1"/>
                  </w14:solidFill>
                </w14:textFill>
              </w:rPr>
              <w:t>，在锅炉房内进行建设，不新增占地。本项目北侧和东侧为空地，南侧为废弃厂房，西侧隔兰新路为居民住宅</w:t>
            </w:r>
            <w:r>
              <w:rPr>
                <w:color w:val="000000" w:themeColor="text1"/>
                <w:sz w:val="24"/>
                <w14:textFill>
                  <w14:solidFill>
                    <w14:schemeClr w14:val="tx1"/>
                  </w14:solidFill>
                </w14:textFill>
              </w:rPr>
              <w:t>。本项目为附近兰新经营所集中供热工程，本项目评价范围内没有自然保护区、风景名胜区、饮用水水源保护区等环境敏感目标；本项目有良好的经营条件，给排水、供电等公用设施齐备；项目建设通过采取严格的环境保护措施后，所排放的污染物对评价区周围环境影响较小，并对环境敏感点影响较小，其影响能够被周围环境所接受</w:t>
            </w:r>
            <w:r>
              <w:rPr>
                <w:rFonts w:hint="eastAsia"/>
                <w:color w:val="000000" w:themeColor="text1"/>
                <w:sz w:val="24"/>
                <w14:textFill>
                  <w14:solidFill>
                    <w14:schemeClr w14:val="tx1"/>
                  </w14:solidFill>
                </w14:textFill>
              </w:rPr>
              <w:t>，根</w:t>
            </w:r>
            <w:r>
              <w:rPr>
                <w:color w:val="000000" w:themeColor="text1"/>
                <w:sz w:val="24"/>
                <w14:textFill>
                  <w14:solidFill>
                    <w14:schemeClr w14:val="tx1"/>
                  </w14:solidFill>
                </w14:textFill>
              </w:rPr>
              <w:t>据以上分析可知，本项目选址基本合理。</w:t>
            </w:r>
          </w:p>
          <w:p w14:paraId="62BCE4D7">
            <w:pPr>
              <w:autoSpaceDE w:val="0"/>
              <w:autoSpaceDN w:val="0"/>
              <w:adjustRightInd w:val="0"/>
              <w:snapToGrid w:val="0"/>
              <w:spacing w:line="360" w:lineRule="auto"/>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 xml:space="preserve">4.与《黑龙江省大气污染防治行动计划实施细则》符合性分析 </w:t>
            </w:r>
          </w:p>
          <w:p w14:paraId="03A40472">
            <w:pPr>
              <w:autoSpaceDE w:val="0"/>
              <w:autoSpaceDN w:val="0"/>
              <w:adjustRightInd w:val="0"/>
              <w:snapToGrid w:val="0"/>
              <w:jc w:val="center"/>
              <w:rPr>
                <w:b/>
                <w:bCs/>
                <w:color w:val="000000" w:themeColor="text1"/>
                <w:sz w:val="24"/>
                <w:szCs w:val="32"/>
                <w14:textFill>
                  <w14:solidFill>
                    <w14:schemeClr w14:val="tx1"/>
                  </w14:solidFill>
                </w14:textFill>
              </w:rPr>
            </w:pPr>
          </w:p>
          <w:p w14:paraId="464B31F3">
            <w:pPr>
              <w:autoSpaceDE w:val="0"/>
              <w:autoSpaceDN w:val="0"/>
              <w:adjustRightInd w:val="0"/>
              <w:snapToGrid w:val="0"/>
              <w:jc w:val="center"/>
              <w:rPr>
                <w:b/>
                <w:bCs/>
                <w:color w:val="000000" w:themeColor="text1"/>
                <w:sz w:val="24"/>
                <w:szCs w:val="32"/>
                <w14:textFill>
                  <w14:solidFill>
                    <w14:schemeClr w14:val="tx1"/>
                  </w14:solidFill>
                </w14:textFill>
              </w:rPr>
            </w:pPr>
            <w:r>
              <w:rPr>
                <w:b/>
                <w:bCs/>
                <w:color w:val="000000" w:themeColor="text1"/>
                <w:sz w:val="24"/>
                <w:szCs w:val="32"/>
                <w14:textFill>
                  <w14:solidFill>
                    <w14:schemeClr w14:val="tx1"/>
                  </w14:solidFill>
                </w14:textFill>
              </w:rPr>
              <w:t>表1-3 与《黑龙江省大气污染防治行动计划实施细则》符合性分析</w:t>
            </w:r>
          </w:p>
          <w:tbl>
            <w:tblPr>
              <w:tblStyle w:val="24"/>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075"/>
              <w:gridCol w:w="1796"/>
              <w:gridCol w:w="1069"/>
            </w:tblGrid>
            <w:tr w14:paraId="7005EC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4075" w:type="dxa"/>
                  <w:vAlign w:val="center"/>
                </w:tcPr>
                <w:p w14:paraId="4DC81B62">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文件要求</w:t>
                  </w:r>
                </w:p>
              </w:tc>
              <w:tc>
                <w:tcPr>
                  <w:tcW w:w="1796" w:type="dxa"/>
                  <w:vAlign w:val="center"/>
                </w:tcPr>
                <w:p w14:paraId="10CF4BDB">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本项目</w:t>
                  </w:r>
                </w:p>
              </w:tc>
              <w:tc>
                <w:tcPr>
                  <w:tcW w:w="1069" w:type="dxa"/>
                  <w:vAlign w:val="center"/>
                </w:tcPr>
                <w:p w14:paraId="7B9DCE72">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符合性</w:t>
                  </w:r>
                </w:p>
              </w:tc>
            </w:tr>
            <w:tr w14:paraId="72981B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4075" w:type="dxa"/>
                  <w:vAlign w:val="center"/>
                </w:tcPr>
                <w:p w14:paraId="2E609BD2">
                  <w:pPr>
                    <w:adjustRightInd w:val="0"/>
                    <w:snapToGrid w:val="0"/>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加大集中供热工程建设，淘汰分散燃煤小锅炉。积极推进“三供两治”工程项目建设，加大城市及周边现有燃煤发电机组的供热改造力度，推进大型集中供热企业接收分散供热小锅炉，拔除小烟筒。</w:t>
                  </w:r>
                </w:p>
              </w:tc>
              <w:tc>
                <w:tcPr>
                  <w:tcW w:w="1796" w:type="dxa"/>
                  <w:vAlign w:val="center"/>
                </w:tcPr>
                <w:p w14:paraId="4B4683E8">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本项目建设1.75MW燃生物质热水锅炉作为供暖锅炉。</w:t>
                  </w:r>
                </w:p>
              </w:tc>
              <w:tc>
                <w:tcPr>
                  <w:tcW w:w="1069" w:type="dxa"/>
                  <w:vAlign w:val="center"/>
                </w:tcPr>
                <w:p w14:paraId="6B3F3318">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符合</w:t>
                  </w:r>
                </w:p>
              </w:tc>
            </w:tr>
            <w:tr w14:paraId="5ABE92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4075" w:type="dxa"/>
                  <w:vAlign w:val="center"/>
                </w:tcPr>
                <w:p w14:paraId="5060FA3D">
                  <w:pPr>
                    <w:adjustRightInd w:val="0"/>
                    <w:snapToGrid w:val="0"/>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加强扬尘控制，深化面源污染治理。各地要大力推进园林城市建设，提高街道两侧硬化率、绿化率，减少市区、</w:t>
                  </w:r>
                  <w:r>
                    <w:rPr>
                      <w:rFonts w:hint="eastAsia"/>
                      <w:snapToGrid w:val="0"/>
                      <w:color w:val="000000" w:themeColor="text1"/>
                      <w:kern w:val="0"/>
                      <w:szCs w:val="21"/>
                      <w14:textFill>
                        <w14:solidFill>
                          <w14:schemeClr w14:val="tx1"/>
                        </w14:solidFill>
                      </w14:textFill>
                    </w:rPr>
                    <w:t>城乡接合部</w:t>
                  </w:r>
                  <w:r>
                    <w:rPr>
                      <w:snapToGrid w:val="0"/>
                      <w:color w:val="000000" w:themeColor="text1"/>
                      <w:kern w:val="0"/>
                      <w:szCs w:val="21"/>
                      <w14:textFill>
                        <w14:solidFill>
                          <w14:schemeClr w14:val="tx1"/>
                        </w14:solidFill>
                      </w14:textFill>
                    </w:rPr>
                    <w:t>街路裸露地面。</w:t>
                  </w:r>
                </w:p>
              </w:tc>
              <w:tc>
                <w:tcPr>
                  <w:tcW w:w="1796" w:type="dxa"/>
                  <w:vAlign w:val="center"/>
                </w:tcPr>
                <w:p w14:paraId="336CE7AD">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本项目地面全部硬化。</w:t>
                  </w:r>
                </w:p>
              </w:tc>
              <w:tc>
                <w:tcPr>
                  <w:tcW w:w="1069" w:type="dxa"/>
                  <w:vAlign w:val="center"/>
                </w:tcPr>
                <w:p w14:paraId="7400B8CD">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符合</w:t>
                  </w:r>
                </w:p>
              </w:tc>
            </w:tr>
            <w:tr w14:paraId="1B5CD9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4075" w:type="dxa"/>
                  <w:vAlign w:val="center"/>
                </w:tcPr>
                <w:p w14:paraId="5C004BBF">
                  <w:pPr>
                    <w:adjustRightInd w:val="0"/>
                    <w:snapToGrid w:val="0"/>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加强对燃煤锅炉及窑炉等治理。循环硫化床锅炉要全部安装静电、布袋等高效除尘设施，实现达标排放。</w:t>
                  </w:r>
                </w:p>
              </w:tc>
              <w:tc>
                <w:tcPr>
                  <w:tcW w:w="1796" w:type="dxa"/>
                  <w:vAlign w:val="center"/>
                </w:tcPr>
                <w:p w14:paraId="1266D72D">
                  <w:pPr>
                    <w:adjustRightInd w:val="0"/>
                    <w:snapToGrid w:val="0"/>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营运期1.75MW燃生物质热水锅炉，锅炉烟气经除尘效率为</w:t>
                  </w:r>
                  <w:r>
                    <w:rPr>
                      <w:rFonts w:hint="eastAsia"/>
                      <w:snapToGrid w:val="0"/>
                      <w:color w:val="000000" w:themeColor="text1"/>
                      <w:kern w:val="0"/>
                      <w:szCs w:val="21"/>
                      <w14:textFill>
                        <w14:solidFill>
                          <w14:schemeClr w14:val="tx1"/>
                        </w14:solidFill>
                      </w14:textFill>
                    </w:rPr>
                    <w:t>99.5</w:t>
                  </w:r>
                  <w:r>
                    <w:rPr>
                      <w:snapToGrid w:val="0"/>
                      <w:color w:val="000000" w:themeColor="text1"/>
                      <w:kern w:val="0"/>
                      <w:szCs w:val="21"/>
                      <w14:textFill>
                        <w14:solidFill>
                          <w14:schemeClr w14:val="tx1"/>
                        </w14:solidFill>
                      </w14:textFill>
                    </w:rPr>
                    <w:t>%的干式+布袋除尘器处理后，通过30m高烟囱排放。</w:t>
                  </w:r>
                </w:p>
              </w:tc>
              <w:tc>
                <w:tcPr>
                  <w:tcW w:w="1069" w:type="dxa"/>
                  <w:vAlign w:val="center"/>
                </w:tcPr>
                <w:p w14:paraId="0E598555">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符合</w:t>
                  </w:r>
                </w:p>
              </w:tc>
            </w:tr>
          </w:tbl>
          <w:p w14:paraId="54078879">
            <w:pPr>
              <w:autoSpaceDE w:val="0"/>
              <w:autoSpaceDN w:val="0"/>
              <w:adjustRightInd w:val="0"/>
              <w:snapToGrid w:val="0"/>
              <w:spacing w:line="360" w:lineRule="auto"/>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5.与《黑龙江省人民代表大会常务委员会关于修改〈黑龙江省大气污染防治条例〉的决定》（2018年12月27日）符合性分析</w:t>
            </w:r>
          </w:p>
          <w:p w14:paraId="400B7F72">
            <w:pPr>
              <w:autoSpaceDE w:val="0"/>
              <w:autoSpaceDN w:val="0"/>
              <w:adjustRightInd w:val="0"/>
              <w:snapToGrid w:val="0"/>
              <w:spacing w:line="360" w:lineRule="auto"/>
              <w:ind w:firstLine="480" w:firstLineChars="200"/>
              <w:rPr>
                <w:bCs/>
                <w:color w:val="000000" w:themeColor="text1"/>
                <w:kern w:val="0"/>
                <w:sz w:val="24"/>
                <w:szCs w:val="21"/>
                <w14:textFill>
                  <w14:solidFill>
                    <w14:schemeClr w14:val="tx1"/>
                  </w14:solidFill>
                </w14:textFill>
              </w:rPr>
            </w:pPr>
            <w:r>
              <w:rPr>
                <w:bCs/>
                <w:color w:val="000000" w:themeColor="text1"/>
                <w:kern w:val="0"/>
                <w:sz w:val="24"/>
                <w:szCs w:val="21"/>
                <w14:textFill>
                  <w14:solidFill>
                    <w14:schemeClr w14:val="tx1"/>
                  </w14:solidFill>
                </w14:textFill>
              </w:rPr>
              <w:t>在条例中“第三章 大气污染防治措施，第一节 燃煤污染防治”中“第三十二条要求燃煤电厂、燃煤供热锅炉以及其他燃煤单位，应当采用清洁生产工艺，配套建设除尘、脱硫、脱硝等装置或者采用技术改造等措施，减少大气污染物的产生和排放，排放的大气污染物应当达到规定标准。”“第三十三条要求设区的市级城市建成区内，禁止新建额定蒸发量低于每小时二十吨或者额定功率低于十四兆瓦的燃煤锅炉；已经建成的额定蒸发量每小时十吨以下或者额定功率七兆瓦以下的燃煤锅炉，应当在国家规定的期限内淘汰。国家对新建和淘汰燃煤锅炉另有规定的，从其规定。”，“第三十五条要求设区的市级人民政府和县级人民政府应当积极推进棚户区改造，推行热电联产和区域锅炉等集中供热方式，逐步提高集中供热比例，</w:t>
            </w:r>
            <w:r>
              <w:rPr>
                <w:rFonts w:hint="eastAsia"/>
                <w:bCs/>
                <w:color w:val="000000" w:themeColor="text1"/>
                <w:kern w:val="0"/>
                <w:sz w:val="24"/>
                <w:szCs w:val="21"/>
                <w14:textFill>
                  <w14:solidFill>
                    <w14:schemeClr w14:val="tx1"/>
                  </w14:solidFill>
                </w14:textFill>
              </w:rPr>
              <w:t>制订计划</w:t>
            </w:r>
            <w:r>
              <w:rPr>
                <w:bCs/>
                <w:color w:val="000000" w:themeColor="text1"/>
                <w:kern w:val="0"/>
                <w:sz w:val="24"/>
                <w:szCs w:val="21"/>
                <w14:textFill>
                  <w14:solidFill>
                    <w14:schemeClr w14:val="tx1"/>
                  </w14:solidFill>
                </w14:textFill>
              </w:rPr>
              <w:t>将应当淘汰的分散燃煤锅炉供热区域纳入集中供热管网覆盖范围，并负责组织实施。在集中供热管网未覆盖的区域，推广使用高效节能环保型锅炉或者进行锅炉高效除尘改造，或者使用新能源、清洁能源供热。”</w:t>
            </w:r>
          </w:p>
          <w:p w14:paraId="14250B10">
            <w:pPr>
              <w:autoSpaceDE w:val="0"/>
              <w:autoSpaceDN w:val="0"/>
              <w:adjustRightInd w:val="0"/>
              <w:snapToGrid w:val="0"/>
              <w:spacing w:line="360" w:lineRule="auto"/>
              <w:ind w:firstLine="480" w:firstLineChars="200"/>
              <w:rPr>
                <w:bCs/>
                <w:color w:val="000000" w:themeColor="text1"/>
                <w:kern w:val="0"/>
                <w:sz w:val="24"/>
                <w:szCs w:val="21"/>
                <w14:textFill>
                  <w14:solidFill>
                    <w14:schemeClr w14:val="tx1"/>
                  </w14:solidFill>
                </w14:textFill>
              </w:rPr>
            </w:pPr>
            <w:r>
              <w:rPr>
                <w:bCs/>
                <w:color w:val="000000" w:themeColor="text1"/>
                <w:kern w:val="0"/>
                <w:sz w:val="24"/>
                <w:szCs w:val="21"/>
                <w14:textFill>
                  <w14:solidFill>
                    <w14:schemeClr w14:val="tx1"/>
                  </w14:solidFill>
                </w14:textFill>
              </w:rPr>
              <w:t>本项目建设1.75MW燃生物质热水锅炉，锅炉烟气经除尘效率为</w:t>
            </w:r>
            <w:r>
              <w:rPr>
                <w:rFonts w:hint="eastAsia"/>
                <w:bCs/>
                <w:color w:val="000000" w:themeColor="text1"/>
                <w:kern w:val="0"/>
                <w:sz w:val="24"/>
                <w:szCs w:val="21"/>
                <w14:textFill>
                  <w14:solidFill>
                    <w14:schemeClr w14:val="tx1"/>
                  </w14:solidFill>
                </w14:textFill>
              </w:rPr>
              <w:t>99.5</w:t>
            </w:r>
            <w:r>
              <w:rPr>
                <w:bCs/>
                <w:color w:val="000000" w:themeColor="text1"/>
                <w:kern w:val="0"/>
                <w:sz w:val="24"/>
                <w:szCs w:val="21"/>
                <w14:textFill>
                  <w14:solidFill>
                    <w14:schemeClr w14:val="tx1"/>
                  </w14:solidFill>
                </w14:textFill>
              </w:rPr>
              <w:t>%的干式+布袋除尘器处理后，通过30m高烟囱排放。减少烟气排放量。</w:t>
            </w:r>
          </w:p>
          <w:p w14:paraId="6C2625B3">
            <w:pPr>
              <w:autoSpaceDE w:val="0"/>
              <w:autoSpaceDN w:val="0"/>
              <w:adjustRightInd w:val="0"/>
              <w:snapToGrid w:val="0"/>
              <w:spacing w:line="360" w:lineRule="auto"/>
              <w:ind w:firstLine="480" w:firstLineChars="200"/>
              <w:rPr>
                <w:bCs/>
                <w:color w:val="000000" w:themeColor="text1"/>
                <w:kern w:val="0"/>
                <w:sz w:val="24"/>
                <w:szCs w:val="21"/>
                <w14:textFill>
                  <w14:solidFill>
                    <w14:schemeClr w14:val="tx1"/>
                  </w14:solidFill>
                </w14:textFill>
              </w:rPr>
            </w:pPr>
            <w:r>
              <w:rPr>
                <w:bCs/>
                <w:color w:val="000000" w:themeColor="text1"/>
                <w:kern w:val="0"/>
                <w:sz w:val="24"/>
                <w:szCs w:val="21"/>
                <w14:textFill>
                  <w14:solidFill>
                    <w14:schemeClr w14:val="tx1"/>
                  </w14:solidFill>
                </w14:textFill>
              </w:rPr>
              <w:t>综上，本项目的建设符合《黑龙江省人民代表大会常务委员会关于修改〈黑龙江省大气污染防治条例〉的决定》（2018年12月27日）的环境管理要求。</w:t>
            </w:r>
          </w:p>
          <w:p w14:paraId="0E812969">
            <w:pPr>
              <w:autoSpaceDE w:val="0"/>
              <w:autoSpaceDN w:val="0"/>
              <w:adjustRightInd w:val="0"/>
              <w:snapToGrid w:val="0"/>
              <w:spacing w:line="360" w:lineRule="auto"/>
              <w:rPr>
                <w:b/>
                <w:bCs/>
                <w:color w:val="000000" w:themeColor="text1"/>
                <w:kern w:val="0"/>
                <w:sz w:val="24"/>
                <w14:textFill>
                  <w14:solidFill>
                    <w14:schemeClr w14:val="tx1"/>
                  </w14:solidFill>
                </w14:textFill>
              </w:rPr>
            </w:pPr>
            <w:bookmarkStart w:id="22" w:name="_Toc107238077"/>
            <w:r>
              <w:rPr>
                <w:b/>
                <w:bCs/>
                <w:color w:val="000000" w:themeColor="text1"/>
                <w:kern w:val="0"/>
                <w:sz w:val="24"/>
                <w14:textFill>
                  <w14:solidFill>
                    <w14:schemeClr w14:val="tx1"/>
                  </w14:solidFill>
                </w14:textFill>
              </w:rPr>
              <w:t>6.与《黑龙江省“十四五”生态环境保护规划》合理性分析</w:t>
            </w:r>
            <w:bookmarkEnd w:id="22"/>
          </w:p>
          <w:p w14:paraId="0C1E4B7C">
            <w:pPr>
              <w:autoSpaceDE w:val="0"/>
              <w:autoSpaceDN w:val="0"/>
              <w:adjustRightInd w:val="0"/>
              <w:snapToGrid w:val="0"/>
              <w:spacing w:line="360" w:lineRule="auto"/>
              <w:ind w:firstLine="480" w:firstLineChars="200"/>
              <w:rPr>
                <w:bCs/>
                <w:color w:val="000000" w:themeColor="text1"/>
                <w:kern w:val="0"/>
                <w:sz w:val="24"/>
                <w:szCs w:val="21"/>
                <w14:textFill>
                  <w14:solidFill>
                    <w14:schemeClr w14:val="tx1"/>
                  </w14:solidFill>
                </w14:textFill>
              </w:rPr>
            </w:pPr>
            <w:r>
              <w:rPr>
                <w:bCs/>
                <w:color w:val="000000" w:themeColor="text1"/>
                <w:kern w:val="0"/>
                <w:sz w:val="24"/>
                <w:szCs w:val="21"/>
                <w14:textFill>
                  <w14:solidFill>
                    <w14:schemeClr w14:val="tx1"/>
                  </w14:solidFill>
                </w14:textFill>
              </w:rPr>
              <w:t>加大燃煤污染治理力度。深入实施散煤污染治理“三重一改”攻坚行动，统筹城市棚户区、城中村、</w:t>
            </w:r>
            <w:r>
              <w:rPr>
                <w:rFonts w:hint="eastAsia"/>
                <w:bCs/>
                <w:color w:val="000000" w:themeColor="text1"/>
                <w:kern w:val="0"/>
                <w:sz w:val="24"/>
                <w:szCs w:val="21"/>
                <w14:textFill>
                  <w14:solidFill>
                    <w14:schemeClr w14:val="tx1"/>
                  </w14:solidFill>
                </w14:textFill>
              </w:rPr>
              <w:t>城乡接合部</w:t>
            </w:r>
            <w:r>
              <w:rPr>
                <w:bCs/>
                <w:color w:val="000000" w:themeColor="text1"/>
                <w:kern w:val="0"/>
                <w:sz w:val="24"/>
                <w:szCs w:val="21"/>
                <w14:textFill>
                  <w14:solidFill>
                    <w14:schemeClr w14:val="tx1"/>
                  </w14:solidFill>
                </w14:textFill>
              </w:rPr>
              <w:t>、商户和农村地区散煤污染治理，到2022年，“两市两县两景区”等重点地区散煤用量大幅下降。各地持续推进散煤污染治理，到2025年，哈尔滨市、齐齐哈尔市、大庆市、绥化市散煤用量分别减少50%，哈尔滨市主城区建成区基本实现散煤清零。加快淘汰地级城市建成区10—35蒸吨/小时燃煤锅炉，推进65蒸吨/小时及以上燃煤锅炉（含电力）超低排放改造。实现20蒸吨/小时及以上锅炉稳定达标排放全覆盖。</w:t>
            </w:r>
          </w:p>
          <w:p w14:paraId="01427937">
            <w:pPr>
              <w:autoSpaceDE w:val="0"/>
              <w:autoSpaceDN w:val="0"/>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本项目1.75MW燃生物质热水</w:t>
            </w:r>
            <w:r>
              <w:rPr>
                <w:rFonts w:hint="eastAsia"/>
                <w:color w:val="000000" w:themeColor="text1"/>
                <w:kern w:val="0"/>
                <w:sz w:val="24"/>
                <w14:textFill>
                  <w14:solidFill>
                    <w14:schemeClr w14:val="tx1"/>
                  </w14:solidFill>
                </w14:textFill>
              </w:rPr>
              <w:t>锅炉</w:t>
            </w:r>
            <w:r>
              <w:rPr>
                <w:color w:val="000000" w:themeColor="text1"/>
                <w:kern w:val="0"/>
                <w:sz w:val="24"/>
                <w14:textFill>
                  <w14:solidFill>
                    <w14:schemeClr w14:val="tx1"/>
                  </w14:solidFill>
                </w14:textFill>
              </w:rPr>
              <w:t>烟气经除尘效率为</w:t>
            </w:r>
            <w:r>
              <w:rPr>
                <w:rFonts w:hint="eastAsia"/>
                <w:color w:val="000000" w:themeColor="text1"/>
                <w:kern w:val="0"/>
                <w:sz w:val="24"/>
                <w14:textFill>
                  <w14:solidFill>
                    <w14:schemeClr w14:val="tx1"/>
                  </w14:solidFill>
                </w14:textFill>
              </w:rPr>
              <w:t>99.5</w:t>
            </w:r>
            <w:r>
              <w:rPr>
                <w:color w:val="000000" w:themeColor="text1"/>
                <w:kern w:val="0"/>
                <w:sz w:val="24"/>
                <w14:textFill>
                  <w14:solidFill>
                    <w14:schemeClr w14:val="tx1"/>
                  </w14:solidFill>
                </w14:textFill>
              </w:rPr>
              <w:t>%的</w:t>
            </w:r>
            <w:r>
              <w:rPr>
                <w:bCs/>
                <w:color w:val="000000" w:themeColor="text1"/>
                <w:kern w:val="0"/>
                <w:sz w:val="24"/>
                <w:szCs w:val="21"/>
                <w14:textFill>
                  <w14:solidFill>
                    <w14:schemeClr w14:val="tx1"/>
                  </w14:solidFill>
                </w14:textFill>
              </w:rPr>
              <w:t>干式+</w:t>
            </w:r>
            <w:r>
              <w:rPr>
                <w:color w:val="000000" w:themeColor="text1"/>
                <w:kern w:val="0"/>
                <w:sz w:val="24"/>
                <w14:textFill>
                  <w14:solidFill>
                    <w14:schemeClr w14:val="tx1"/>
                  </w14:solidFill>
                </w14:textFill>
              </w:rPr>
              <w:t>布袋除尘器处理后，通过30m高烟囱排放，减少烟气排放量。符合《黑龙江省“十四五”生态环境保护规划》</w:t>
            </w:r>
          </w:p>
          <w:p w14:paraId="6E30EA0D">
            <w:pPr>
              <w:autoSpaceDE w:val="0"/>
              <w:autoSpaceDN w:val="0"/>
              <w:adjustRightInd w:val="0"/>
              <w:snapToGrid w:val="0"/>
              <w:spacing w:line="360" w:lineRule="auto"/>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7.与《伊春市空气质量持续改善行动计划实施方案》合理性分析</w:t>
            </w:r>
          </w:p>
          <w:p w14:paraId="658FE1F8">
            <w:pPr>
              <w:pStyle w:val="94"/>
              <w:ind w:firstLine="48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kern w:val="0"/>
                <w14:textFill>
                  <w14:solidFill>
                    <w14:schemeClr w14:val="tx1"/>
                  </w14:solidFill>
                </w14:textFill>
              </w:rPr>
              <w:t>实施方案中提出</w:t>
            </w:r>
            <w:r>
              <w:rPr>
                <w:rFonts w:ascii="Times New Roman" w:hAnsi="Times New Roman" w:cs="Times New Roman"/>
                <w:color w:val="000000" w:themeColor="text1"/>
                <w14:textFill>
                  <w14:solidFill>
                    <w14:schemeClr w14:val="tx1"/>
                  </w14:solidFill>
                </w14:textFill>
              </w:rPr>
              <w:t>积极推进燃煤锅炉淘汰改造。各县</w:t>
            </w:r>
            <w:r>
              <w:rPr>
                <w:rFonts w:hint="eastAsia" w:ascii="Times New Roman" w:hAnsi="Times New Roman" w:cs="Times New Roman"/>
                <w:color w:val="000000" w:themeColor="text1"/>
                <w14:textFill>
                  <w14:solidFill>
                    <w14:schemeClr w14:val="tx1"/>
                  </w14:solidFill>
                </w14:textFill>
              </w:rPr>
              <w:t>（</w:t>
            </w:r>
            <w:r>
              <w:rPr>
                <w:rFonts w:ascii="Times New Roman" w:hAnsi="Times New Roman" w:cs="Times New Roman"/>
                <w:color w:val="000000" w:themeColor="text1"/>
                <w14:textFill>
                  <w14:solidFill>
                    <w14:schemeClr w14:val="tx1"/>
                  </w14:solidFill>
                </w14:textFill>
              </w:rPr>
              <w:t>市</w:t>
            </w:r>
            <w:r>
              <w:rPr>
                <w:rFonts w:hint="eastAsia" w:ascii="Times New Roman" w:hAnsi="Times New Roman" w:cs="Times New Roman"/>
                <w:color w:val="000000" w:themeColor="text1"/>
                <w14:textFill>
                  <w14:solidFill>
                    <w14:schemeClr w14:val="tx1"/>
                  </w14:solidFill>
                </w14:textFill>
              </w:rPr>
              <w:t>）</w:t>
            </w:r>
            <w:r>
              <w:rPr>
                <w:rFonts w:ascii="Times New Roman" w:hAnsi="Times New Roman" w:cs="Times New Roman"/>
                <w:color w:val="000000" w:themeColor="text1"/>
                <w14:textFill>
                  <w14:solidFill>
                    <w14:schemeClr w14:val="tx1"/>
                  </w14:solidFill>
                </w14:textFill>
              </w:rPr>
              <w:t>区要将燃煤供热锅炉替代项目纳入城镇供热规划。县级及以上城市建成区原则上不再新建35蒸吨/小时及以下燃煤锅炉</w:t>
            </w:r>
            <w:r>
              <w:rPr>
                <w:rFonts w:hint="eastAsia" w:ascii="Times New Roman" w:hAnsi="Times New Roman" w:cs="Times New Roman"/>
                <w:color w:val="000000" w:themeColor="text1"/>
                <w14:textFill>
                  <w14:solidFill>
                    <w14:schemeClr w14:val="tx1"/>
                  </w14:solidFill>
                </w14:textFill>
              </w:rPr>
              <w:t>，</w:t>
            </w:r>
            <w:r>
              <w:rPr>
                <w:rFonts w:ascii="Times New Roman" w:hAnsi="Times New Roman" w:cs="Times New Roman"/>
                <w:color w:val="000000" w:themeColor="text1"/>
                <w14:textFill>
                  <w14:solidFill>
                    <w14:schemeClr w14:val="tx1"/>
                  </w14:solidFill>
                </w14:textFill>
              </w:rPr>
              <w:t>其他地区原则上不再新建10蒸吨/小时及以下燃煤锅炉。加快热力管网建设，依托电厂、大型工业企业开展远距离供热示范，充分释放热电联产、工业余热等供热能力，淘汰管网覆盖范围内的供热燃煤锅炉和散煤。</w:t>
            </w:r>
          </w:p>
          <w:p w14:paraId="5BDCC607">
            <w:pPr>
              <w:pStyle w:val="94"/>
              <w:ind w:firstLine="48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本项目建设1.75MW燃生物质热水锅炉，锅炉烟气经除尘效率为</w:t>
            </w:r>
            <w:r>
              <w:rPr>
                <w:rFonts w:hint="eastAsia" w:ascii="Times New Roman" w:hAnsi="Times New Roman" w:cs="Times New Roman"/>
                <w:color w:val="000000" w:themeColor="text1"/>
                <w14:textFill>
                  <w14:solidFill>
                    <w14:schemeClr w14:val="tx1"/>
                  </w14:solidFill>
                </w14:textFill>
              </w:rPr>
              <w:t>99.5</w:t>
            </w:r>
            <w:r>
              <w:rPr>
                <w:rFonts w:ascii="Times New Roman" w:hAnsi="Times New Roman" w:cs="Times New Roman"/>
                <w:color w:val="000000" w:themeColor="text1"/>
                <w14:textFill>
                  <w14:solidFill>
                    <w14:schemeClr w14:val="tx1"/>
                  </w14:solidFill>
                </w14:textFill>
              </w:rPr>
              <w:t>%的</w:t>
            </w:r>
            <w:r>
              <w:rPr>
                <w:rFonts w:ascii="Times New Roman" w:hAnsi="Times New Roman" w:cs="Times New Roman"/>
                <w:bCs/>
                <w:color w:val="000000" w:themeColor="text1"/>
                <w:kern w:val="0"/>
                <w:szCs w:val="21"/>
                <w14:textFill>
                  <w14:solidFill>
                    <w14:schemeClr w14:val="tx1"/>
                  </w14:solidFill>
                </w14:textFill>
              </w:rPr>
              <w:t>干式+</w:t>
            </w:r>
            <w:r>
              <w:rPr>
                <w:rFonts w:ascii="Times New Roman" w:hAnsi="Times New Roman" w:cs="Times New Roman"/>
                <w:color w:val="000000" w:themeColor="text1"/>
                <w14:textFill>
                  <w14:solidFill>
                    <w14:schemeClr w14:val="tx1"/>
                  </w14:solidFill>
                </w14:textFill>
              </w:rPr>
              <w:t>布袋除尘器处理后，通过30m高烟囱排放。</w:t>
            </w:r>
          </w:p>
          <w:p w14:paraId="3FA5D9B4">
            <w:pPr>
              <w:autoSpaceDE w:val="0"/>
              <w:autoSpaceDN w:val="0"/>
              <w:adjustRightInd w:val="0"/>
              <w:snapToGrid w:val="0"/>
              <w:spacing w:line="360" w:lineRule="auto"/>
              <w:rPr>
                <w:color w:val="000000" w:themeColor="text1"/>
                <w14:textFill>
                  <w14:solidFill>
                    <w14:schemeClr w14:val="tx1"/>
                  </w14:solidFill>
                </w14:textFill>
              </w:rPr>
            </w:pPr>
            <w:r>
              <w:rPr>
                <w:rFonts w:hint="eastAsia"/>
                <w:b/>
                <w:bCs/>
                <w:color w:val="000000" w:themeColor="text1"/>
                <w:kern w:val="0"/>
                <w:sz w:val="24"/>
                <w14:textFill>
                  <w14:solidFill>
                    <w14:schemeClr w14:val="tx1"/>
                  </w14:solidFill>
                </w14:textFill>
              </w:rPr>
              <w:t>8.</w:t>
            </w:r>
            <w:r>
              <w:rPr>
                <w:b/>
                <w:bCs/>
                <w:color w:val="000000" w:themeColor="text1"/>
                <w:kern w:val="0"/>
                <w:sz w:val="24"/>
                <w14:textFill>
                  <w14:solidFill>
                    <w14:schemeClr w14:val="tx1"/>
                  </w14:solidFill>
                </w14:textFill>
              </w:rPr>
              <w:t>与《伊春市城市总体规划（2011-2030年）》符合性分析</w:t>
            </w:r>
          </w:p>
          <w:p w14:paraId="589D9C17">
            <w:pPr>
              <w:pStyle w:val="94"/>
              <w:ind w:firstLine="48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根据《伊春市城市总体规划（2011-2030年）》，伊春市城市发展目标为建设生态园林城市，优化城市供热结构，推进集中供热，淘汰分散燃煤小锅炉。本项目位于伊春市伊美区兰新经营所，建设1.75MW燃生物质热水锅炉，用于兰新经营所居民区集中供热，替代原有分散式取暖方式，符合伊春市城市总体规划中推进集中供热、改善大气环境质量的要求。</w:t>
            </w:r>
          </w:p>
          <w:p w14:paraId="317A060F">
            <w:pPr>
              <w:pStyle w:val="94"/>
              <w:ind w:firstLine="0" w:firstLineChars="0"/>
              <w:rPr>
                <w:rFonts w:ascii="Times New Roman" w:hAnsi="Times New Roman" w:cs="Times New Roman"/>
                <w:b/>
                <w:bCs/>
                <w:color w:val="000000" w:themeColor="text1"/>
                <w14:textFill>
                  <w14:solidFill>
                    <w14:schemeClr w14:val="tx1"/>
                  </w14:solidFill>
                </w14:textFill>
              </w:rPr>
            </w:pPr>
            <w:r>
              <w:rPr>
                <w:rFonts w:hint="eastAsia" w:ascii="Times New Roman" w:hAnsi="Times New Roman" w:cs="Times New Roman"/>
                <w:b/>
                <w:bCs/>
                <w:color w:val="000000" w:themeColor="text1"/>
                <w14:textFill>
                  <w14:solidFill>
                    <w14:schemeClr w14:val="tx1"/>
                  </w14:solidFill>
                </w14:textFill>
              </w:rPr>
              <w:t>9.</w:t>
            </w:r>
            <w:r>
              <w:rPr>
                <w:rFonts w:ascii="Times New Roman" w:hAnsi="Times New Roman" w:cs="Times New Roman"/>
                <w:b/>
                <w:bCs/>
                <w:color w:val="000000" w:themeColor="text1"/>
                <w14:textFill>
                  <w14:solidFill>
                    <w14:schemeClr w14:val="tx1"/>
                  </w14:solidFill>
                </w14:textFill>
              </w:rPr>
              <w:t>与《伊美区供热专项规划》符合性分析</w:t>
            </w:r>
          </w:p>
          <w:p w14:paraId="31472FE9">
            <w:pPr>
              <w:pStyle w:val="94"/>
              <w:ind w:firstLine="48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根据《伊美区供热专项规划》，伊美区供热发展方向为优化热源布局，推进区域集中供热，逐步淘汰分散燃煤锅炉，推广清洁能源供热。本项目建设燃生物质热水锅炉，以生物质成型颗粒为燃料，属于清洁能源供热方式，替代兰新经营所原有分散式取暖，符合伊美区供热专项规划中推进集中供热、推广清洁能源的发展方向。</w:t>
            </w:r>
          </w:p>
          <w:p w14:paraId="1305DBE8">
            <w:pPr>
              <w:pStyle w:val="94"/>
              <w:ind w:firstLine="0" w:firstLineChars="0"/>
              <w:rPr>
                <w:rFonts w:ascii="Times New Roman" w:hAnsi="Times New Roman" w:cs="Times New Roman"/>
                <w:b/>
                <w:bCs/>
                <w:color w:val="000000" w:themeColor="text1"/>
                <w14:textFill>
                  <w14:solidFill>
                    <w14:schemeClr w14:val="tx1"/>
                  </w14:solidFill>
                </w14:textFill>
              </w:rPr>
            </w:pPr>
            <w:r>
              <w:rPr>
                <w:rFonts w:hint="eastAsia" w:ascii="Times New Roman" w:hAnsi="Times New Roman" w:cs="Times New Roman"/>
                <w:b/>
                <w:bCs/>
                <w:color w:val="000000" w:themeColor="text1"/>
                <w14:textFill>
                  <w14:solidFill>
                    <w14:schemeClr w14:val="tx1"/>
                  </w14:solidFill>
                </w14:textFill>
              </w:rPr>
              <w:t>10.</w:t>
            </w:r>
            <w:r>
              <w:rPr>
                <w:rFonts w:ascii="Times New Roman" w:hAnsi="Times New Roman" w:cs="Times New Roman"/>
                <w:b/>
                <w:bCs/>
                <w:color w:val="000000" w:themeColor="text1"/>
                <w14:textFill>
                  <w14:solidFill>
                    <w14:schemeClr w14:val="tx1"/>
                  </w14:solidFill>
                </w14:textFill>
              </w:rPr>
              <w:t>与《伊春市空气质量持续改善行动计划实施方案》符合性分析</w:t>
            </w:r>
          </w:p>
          <w:p w14:paraId="62D21A16">
            <w:pPr>
              <w:pStyle w:val="94"/>
              <w:ind w:firstLine="48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根据《伊春市空气质量持续改善行动计划实施方案》，伊春市将积极推进燃煤锅炉淘汰改造，加快热力管网建设，推广使用新能源、清洁能源供热。本项目建设1.75MW燃生物质热水锅炉，以生物质成型颗粒为燃料，不使用燃煤，属于清洁能源供热，符合伊春市空气质量持续改善行动计划的要求。</w:t>
            </w:r>
          </w:p>
          <w:p w14:paraId="313FB0C9">
            <w:pPr>
              <w:rPr>
                <w:color w:val="000000" w:themeColor="text1"/>
                <w14:textFill>
                  <w14:solidFill>
                    <w14:schemeClr w14:val="tx1"/>
                  </w14:solidFill>
                </w14:textFill>
              </w:rPr>
            </w:pPr>
          </w:p>
        </w:tc>
      </w:tr>
    </w:tbl>
    <w:p w14:paraId="565DC1B4">
      <w:pPr>
        <w:pStyle w:val="94"/>
        <w:ind w:firstLine="480"/>
        <w:rPr>
          <w:rFonts w:ascii="Times New Roman" w:hAnsi="Times New Roman" w:cs="Times New Roman"/>
          <w:color w:val="000000" w:themeColor="text1"/>
          <w14:textFill>
            <w14:solidFill>
              <w14:schemeClr w14:val="tx1"/>
            </w14:solidFill>
          </w14:textFill>
        </w:rPr>
        <w:sectPr>
          <w:footerReference r:id="rId5" w:type="default"/>
          <w:pgSz w:w="11906" w:h="16838"/>
          <w:pgMar w:top="1440" w:right="1800" w:bottom="1440" w:left="1800" w:header="851" w:footer="1077" w:gutter="0"/>
          <w:pgNumType w:start="1"/>
          <w:cols w:space="720" w:num="1"/>
          <w:docGrid w:linePitch="312" w:charSpace="0"/>
        </w:sectPr>
      </w:pPr>
    </w:p>
    <w:p w14:paraId="65DCEE6E">
      <w:pPr>
        <w:pStyle w:val="20"/>
        <w:snapToGrid w:val="0"/>
        <w:spacing w:before="0" w:beforeAutospacing="0" w:after="0" w:afterAutospacing="0" w:line="360" w:lineRule="auto"/>
        <w:jc w:val="center"/>
        <w:outlineLvl w:val="0"/>
        <w:rPr>
          <w:rFonts w:ascii="Times New Roman" w:hAnsi="Times New Roman" w:eastAsia="黑体"/>
          <w:snapToGrid w:val="0"/>
          <w:color w:val="000000" w:themeColor="text1"/>
          <w:sz w:val="30"/>
          <w:szCs w:val="30"/>
          <w14:textFill>
            <w14:solidFill>
              <w14:schemeClr w14:val="tx1"/>
            </w14:solidFill>
          </w14:textFill>
        </w:rPr>
      </w:pPr>
      <w:bookmarkStart w:id="23" w:name="_Toc3913"/>
      <w:bookmarkStart w:id="24" w:name="_Toc6195"/>
      <w:r>
        <w:rPr>
          <w:rFonts w:ascii="Times New Roman" w:hAnsi="Times New Roman" w:eastAsia="黑体"/>
          <w:snapToGrid w:val="0"/>
          <w:color w:val="000000" w:themeColor="text1"/>
          <w:sz w:val="30"/>
          <w:szCs w:val="30"/>
          <w14:textFill>
            <w14:solidFill>
              <w14:schemeClr w14:val="tx1"/>
            </w14:solidFill>
          </w14:textFill>
        </w:rPr>
        <w:t>二、建设项目工程分析</w:t>
      </w:r>
      <w:bookmarkEnd w:id="23"/>
      <w:bookmarkEnd w:id="24"/>
    </w:p>
    <w:tbl>
      <w:tblPr>
        <w:tblStyle w:val="2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06"/>
        <w:gridCol w:w="8554"/>
      </w:tblGrid>
      <w:tr w14:paraId="546AAF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241" w:hRule="atLeast"/>
          <w:jc w:val="center"/>
        </w:trPr>
        <w:tc>
          <w:tcPr>
            <w:tcW w:w="506" w:type="dxa"/>
            <w:vAlign w:val="center"/>
          </w:tcPr>
          <w:p w14:paraId="67B3DC35">
            <w:pPr>
              <w:pStyle w:val="20"/>
              <w:adjustRightInd w:val="0"/>
              <w:snapToGrid w:val="0"/>
              <w:spacing w:before="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建设内容</w:t>
            </w:r>
          </w:p>
        </w:tc>
        <w:tc>
          <w:tcPr>
            <w:tcW w:w="8554" w:type="dxa"/>
            <w:vAlign w:val="center"/>
          </w:tcPr>
          <w:p w14:paraId="7A13CCD2">
            <w:pPr>
              <w:spacing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1.项目来源</w:t>
            </w:r>
          </w:p>
          <w:p w14:paraId="64A57FE2">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兰新经营所原集中供热热源取自山东大学能源学院生产碳过程中产生的余热。2016年山东大学能源学院搬迁后，兰新经营所失去集中供热热源，区域内各户居民改为分散式单独取暖。为切实保障和改善民生，满足居民冬季采暖需求，同时减少分散式取暖造成的大气污染，伊美区美溪供热服务中心拟建设伊美区美溪供热服务中心兰新供热站建设项目，实施集中供热改造，替代现有分散式取暖方式。</w:t>
            </w:r>
          </w:p>
          <w:p w14:paraId="3C27FB03">
            <w:pPr>
              <w:spacing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2.项目组成</w:t>
            </w:r>
          </w:p>
          <w:p w14:paraId="64D569DF">
            <w:pPr>
              <w:spacing w:line="360" w:lineRule="auto"/>
              <w:ind w:firstLine="480" w:firstLineChars="200"/>
              <w:contextualSpacing/>
              <w:rPr>
                <w:color w:val="000000" w:themeColor="text1"/>
                <w:kern w:val="0"/>
                <w:sz w:val="24"/>
                <w14:textFill>
                  <w14:solidFill>
                    <w14:schemeClr w14:val="tx1"/>
                  </w14:solidFill>
                </w14:textFill>
              </w:rPr>
            </w:pPr>
            <w:bookmarkStart w:id="25" w:name="_Hlk108069045"/>
            <w:r>
              <w:rPr>
                <w:color w:val="000000" w:themeColor="text1"/>
                <w:kern w:val="0"/>
                <w:sz w:val="24"/>
                <w14:textFill>
                  <w14:solidFill>
                    <w14:schemeClr w14:val="tx1"/>
                  </w14:solidFill>
                </w14:textFill>
              </w:rPr>
              <w:t>本项目</w:t>
            </w:r>
            <w:r>
              <w:rPr>
                <w:rFonts w:hint="eastAsia"/>
                <w:color w:val="000000" w:themeColor="text1"/>
                <w:kern w:val="0"/>
                <w:sz w:val="24"/>
                <w:lang w:val="en-US" w:eastAsia="zh-CN"/>
                <w14:textFill>
                  <w14:solidFill>
                    <w14:schemeClr w14:val="tx1"/>
                  </w14:solidFill>
                </w14:textFill>
              </w:rPr>
              <w:t>利用原有废弃库房，</w:t>
            </w:r>
            <w:r>
              <w:rPr>
                <w:color w:val="000000" w:themeColor="text1"/>
                <w:kern w:val="0"/>
                <w:sz w:val="24"/>
                <w14:textFill>
                  <w14:solidFill>
                    <w14:schemeClr w14:val="tx1"/>
                  </w14:solidFill>
                </w14:textFill>
              </w:rPr>
              <w:t>新建1台1.75MW燃生物质热水锅炉，用于兰</w:t>
            </w:r>
            <w:r>
              <w:rPr>
                <w:rFonts w:hint="eastAsia"/>
                <w:color w:val="000000" w:themeColor="text1"/>
                <w:kern w:val="0"/>
                <w:sz w:val="24"/>
                <w14:textFill>
                  <w14:solidFill>
                    <w14:schemeClr w14:val="tx1"/>
                  </w14:solidFill>
                </w14:textFill>
              </w:rPr>
              <w:t>新</w:t>
            </w:r>
            <w:r>
              <w:rPr>
                <w:color w:val="000000" w:themeColor="text1"/>
                <w:kern w:val="0"/>
                <w:sz w:val="24"/>
                <w14:textFill>
                  <w14:solidFill>
                    <w14:schemeClr w14:val="tx1"/>
                  </w14:solidFill>
                </w14:textFill>
              </w:rPr>
              <w:t>经营所居民区集中生活供暖用锅炉，锅炉配备</w:t>
            </w:r>
            <w:r>
              <w:rPr>
                <w:bCs/>
                <w:color w:val="000000" w:themeColor="text1"/>
                <w:kern w:val="0"/>
                <w:sz w:val="24"/>
                <w:szCs w:val="21"/>
                <w14:textFill>
                  <w14:solidFill>
                    <w14:schemeClr w14:val="tx1"/>
                  </w14:solidFill>
                </w14:textFill>
              </w:rPr>
              <w:t>干式除尘+</w:t>
            </w:r>
            <w:r>
              <w:rPr>
                <w:color w:val="000000" w:themeColor="text1"/>
                <w:kern w:val="0"/>
                <w:sz w:val="24"/>
                <w14:textFill>
                  <w14:solidFill>
                    <w14:schemeClr w14:val="tx1"/>
                  </w14:solidFill>
                </w14:textFill>
              </w:rPr>
              <w:t>布袋除尘器，通过锅炉房30m高烟囱集中排放，以成型的</w:t>
            </w:r>
            <w:r>
              <w:rPr>
                <w:rFonts w:hint="eastAsia"/>
                <w:color w:val="000000" w:themeColor="text1"/>
                <w:kern w:val="0"/>
                <w:sz w:val="24"/>
                <w:lang w:eastAsia="zh-CN"/>
                <w14:textFill>
                  <w14:solidFill>
                    <w14:schemeClr w14:val="tx1"/>
                  </w14:solidFill>
                </w14:textFill>
              </w:rPr>
              <w:t>生物质压块</w:t>
            </w:r>
            <w:r>
              <w:rPr>
                <w:color w:val="000000" w:themeColor="text1"/>
                <w:kern w:val="0"/>
                <w:sz w:val="24"/>
                <w14:textFill>
                  <w14:solidFill>
                    <w14:schemeClr w14:val="tx1"/>
                  </w14:solidFill>
                </w14:textFill>
              </w:rPr>
              <w:t>为燃料。</w:t>
            </w:r>
          </w:p>
          <w:p w14:paraId="6A4B6A4C">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本项目不设备用锅炉。锅炉检修期内，供热负荷由区域内其他供热方式调剂解决，或安排在非采暖期进行检修，确保采暖期锅炉正常运行。</w:t>
            </w:r>
          </w:p>
          <w:bookmarkEnd w:id="25"/>
          <w:p w14:paraId="6A39E117">
            <w:pPr>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本项目具体组成内容详见下表2-1。</w:t>
            </w:r>
          </w:p>
          <w:p w14:paraId="497D1662">
            <w:pPr>
              <w:autoSpaceDE w:val="0"/>
              <w:autoSpaceDN w:val="0"/>
              <w:adjustRightInd w:val="0"/>
              <w:snapToGrid w:val="0"/>
              <w:jc w:val="center"/>
              <w:rPr>
                <w:b/>
                <w:bCs/>
                <w:color w:val="000000" w:themeColor="text1"/>
                <w:sz w:val="24"/>
                <w:szCs w:val="32"/>
                <w14:textFill>
                  <w14:solidFill>
                    <w14:schemeClr w14:val="tx1"/>
                  </w14:solidFill>
                </w14:textFill>
              </w:rPr>
            </w:pPr>
            <w:r>
              <w:rPr>
                <w:b/>
                <w:bCs/>
                <w:color w:val="000000" w:themeColor="text1"/>
                <w:sz w:val="24"/>
                <w:szCs w:val="32"/>
                <w14:textFill>
                  <w14:solidFill>
                    <w14:schemeClr w14:val="tx1"/>
                  </w14:solidFill>
                </w14:textFill>
              </w:rPr>
              <w:t>表2-1 建设项目组成一览表</w:t>
            </w:r>
          </w:p>
          <w:tbl>
            <w:tblPr>
              <w:tblStyle w:val="24"/>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53"/>
              <w:gridCol w:w="5432"/>
              <w:gridCol w:w="653"/>
            </w:tblGrid>
            <w:tr w14:paraId="6BEFFF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228" w:type="dxa"/>
                  <w:gridSpan w:val="2"/>
                  <w:vAlign w:val="center"/>
                </w:tcPr>
                <w:p w14:paraId="5ED07E13">
                  <w:pPr>
                    <w:spacing w:line="0" w:lineRule="atLeast"/>
                    <w:jc w:val="center"/>
                    <w:rPr>
                      <w:color w:val="000000" w:themeColor="text1"/>
                      <w:szCs w:val="21"/>
                      <w14:textFill>
                        <w14:solidFill>
                          <w14:schemeClr w14:val="tx1"/>
                        </w14:solidFill>
                      </w14:textFill>
                    </w:rPr>
                  </w:pPr>
                  <w:bookmarkStart w:id="26" w:name="_Hlk108069065"/>
                  <w:r>
                    <w:rPr>
                      <w:color w:val="000000" w:themeColor="text1"/>
                      <w:szCs w:val="21"/>
                      <w14:textFill>
                        <w14:solidFill>
                          <w14:schemeClr w14:val="tx1"/>
                        </w14:solidFill>
                      </w14:textFill>
                    </w:rPr>
                    <w:t>建设内容</w:t>
                  </w:r>
                </w:p>
              </w:tc>
              <w:tc>
                <w:tcPr>
                  <w:tcW w:w="5432" w:type="dxa"/>
                  <w:vAlign w:val="center"/>
                </w:tcPr>
                <w:p w14:paraId="7F817BE3">
                  <w:pPr>
                    <w:spacing w:line="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工程内容</w:t>
                  </w:r>
                </w:p>
              </w:tc>
              <w:tc>
                <w:tcPr>
                  <w:tcW w:w="653" w:type="dxa"/>
                  <w:vAlign w:val="center"/>
                </w:tcPr>
                <w:p w14:paraId="257A9D44">
                  <w:pPr>
                    <w:spacing w:line="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备注</w:t>
                  </w:r>
                </w:p>
              </w:tc>
            </w:tr>
            <w:tr w14:paraId="564320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775" w:type="dxa"/>
                  <w:vAlign w:val="center"/>
                </w:tcPr>
                <w:p w14:paraId="71282FD3">
                  <w:pPr>
                    <w:spacing w:line="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主体工程</w:t>
                  </w:r>
                </w:p>
              </w:tc>
              <w:tc>
                <w:tcPr>
                  <w:tcW w:w="1453" w:type="dxa"/>
                  <w:vAlign w:val="center"/>
                </w:tcPr>
                <w:p w14:paraId="2DBFA977">
                  <w:pPr>
                    <w:spacing w:line="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锅炉房</w:t>
                  </w:r>
                </w:p>
              </w:tc>
              <w:tc>
                <w:tcPr>
                  <w:tcW w:w="5432" w:type="dxa"/>
                  <w:vAlign w:val="center"/>
                </w:tcPr>
                <w:p w14:paraId="2CD4FECB">
                  <w:pPr>
                    <w:spacing w:line="0" w:lineRule="atLeast"/>
                    <w:rPr>
                      <w:color w:val="000000" w:themeColor="text1"/>
                      <w14:textFill>
                        <w14:solidFill>
                          <w14:schemeClr w14:val="tx1"/>
                        </w14:solidFill>
                      </w14:textFill>
                    </w:rPr>
                  </w:pPr>
                  <w:r>
                    <w:rPr>
                      <w:color w:val="000000" w:themeColor="text1"/>
                      <w:szCs w:val="21"/>
                      <w14:textFill>
                        <w14:solidFill>
                          <w14:schemeClr w14:val="tx1"/>
                        </w14:solidFill>
                      </w14:textFill>
                    </w:rPr>
                    <w:t>建筑面积315m</w:t>
                  </w:r>
                  <w:r>
                    <w:rPr>
                      <w:color w:val="000000" w:themeColor="text1"/>
                      <w:szCs w:val="21"/>
                      <w:vertAlign w:val="superscript"/>
                      <w14:textFill>
                        <w14:solidFill>
                          <w14:schemeClr w14:val="tx1"/>
                        </w14:solidFill>
                      </w14:textFill>
                    </w:rPr>
                    <w:t>2</w:t>
                  </w:r>
                  <w:r>
                    <w:rPr>
                      <w:color w:val="000000" w:themeColor="text1"/>
                      <w:szCs w:val="21"/>
                      <w14:textFill>
                        <w14:solidFill>
                          <w14:schemeClr w14:val="tx1"/>
                        </w14:solidFill>
                      </w14:textFill>
                    </w:rPr>
                    <w:t>，新建1台1.75MW燃生物质热水锅炉，锅炉配备干式+布袋除尘器，通过锅炉房30m高烟囱排放，以成型的</w:t>
                  </w:r>
                  <w:r>
                    <w:rPr>
                      <w:rFonts w:hint="eastAsia"/>
                      <w:color w:val="000000" w:themeColor="text1"/>
                      <w:szCs w:val="21"/>
                      <w:lang w:eastAsia="zh-CN"/>
                      <w14:textFill>
                        <w14:solidFill>
                          <w14:schemeClr w14:val="tx1"/>
                        </w14:solidFill>
                      </w14:textFill>
                    </w:rPr>
                    <w:t>生物质压块</w:t>
                  </w:r>
                  <w:r>
                    <w:rPr>
                      <w:color w:val="000000" w:themeColor="text1"/>
                      <w:szCs w:val="21"/>
                      <w14:textFill>
                        <w14:solidFill>
                          <w14:schemeClr w14:val="tx1"/>
                        </w14:solidFill>
                      </w14:textFill>
                    </w:rPr>
                    <w:t>为燃料。</w:t>
                  </w:r>
                </w:p>
              </w:tc>
              <w:tc>
                <w:tcPr>
                  <w:tcW w:w="653" w:type="dxa"/>
                  <w:vAlign w:val="center"/>
                </w:tcPr>
                <w:p w14:paraId="023F6CF2">
                  <w:pPr>
                    <w:spacing w:line="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依托原有建筑</w:t>
                  </w:r>
                </w:p>
              </w:tc>
            </w:tr>
            <w:tr w14:paraId="62BCB8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775" w:type="dxa"/>
                  <w:vMerge w:val="restart"/>
                  <w:vAlign w:val="center"/>
                </w:tcPr>
                <w:p w14:paraId="6831B65E">
                  <w:pPr>
                    <w:spacing w:line="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辅助工程</w:t>
                  </w:r>
                </w:p>
              </w:tc>
              <w:tc>
                <w:tcPr>
                  <w:tcW w:w="1453" w:type="dxa"/>
                  <w:vAlign w:val="center"/>
                </w:tcPr>
                <w:p w14:paraId="562E199A">
                  <w:pPr>
                    <w:spacing w:line="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生物质燃料储存</w:t>
                  </w:r>
                </w:p>
              </w:tc>
              <w:tc>
                <w:tcPr>
                  <w:tcW w:w="5432" w:type="dxa"/>
                  <w:vAlign w:val="center"/>
                </w:tcPr>
                <w:p w14:paraId="41990089">
                  <w:pPr>
                    <w:spacing w:line="0" w:lineRule="atLeast"/>
                    <w:rPr>
                      <w:color w:val="000000" w:themeColor="text1"/>
                      <w:szCs w:val="21"/>
                      <w14:textFill>
                        <w14:solidFill>
                          <w14:schemeClr w14:val="tx1"/>
                        </w14:solidFill>
                      </w14:textFill>
                    </w:rPr>
                  </w:pPr>
                  <w:r>
                    <w:rPr>
                      <w:color w:val="000000" w:themeColor="text1"/>
                      <w:szCs w:val="21"/>
                      <w14:textFill>
                        <w14:solidFill>
                          <w14:schemeClr w14:val="tx1"/>
                        </w14:solidFill>
                      </w14:textFill>
                    </w:rPr>
                    <w:t>建筑面积</w:t>
                  </w:r>
                  <w:r>
                    <w:rPr>
                      <w:color w:val="000000" w:themeColor="text1"/>
                      <w14:textFill>
                        <w14:solidFill>
                          <w14:schemeClr w14:val="tx1"/>
                        </w14:solidFill>
                      </w14:textFill>
                    </w:rPr>
                    <w:t>100m</w:t>
                  </w:r>
                  <w:r>
                    <w:rPr>
                      <w:color w:val="000000" w:themeColor="text1"/>
                      <w:vertAlign w:val="superscript"/>
                      <w14:textFill>
                        <w14:solidFill>
                          <w14:schemeClr w14:val="tx1"/>
                        </w14:solidFill>
                      </w14:textFill>
                    </w:rPr>
                    <w:t>2</w:t>
                  </w:r>
                  <w:r>
                    <w:rPr>
                      <w:color w:val="000000" w:themeColor="text1"/>
                      <w:szCs w:val="21"/>
                      <w14:textFill>
                        <w14:solidFill>
                          <w14:schemeClr w14:val="tx1"/>
                        </w14:solidFill>
                      </w14:textFill>
                    </w:rPr>
                    <w:t>。</w:t>
                  </w:r>
                  <w:r>
                    <w:rPr>
                      <w:rFonts w:hint="eastAsia"/>
                      <w:color w:val="000000" w:themeColor="text1"/>
                      <w:szCs w:val="21"/>
                      <w:lang w:eastAsia="zh-CN"/>
                      <w14:textFill>
                        <w14:solidFill>
                          <w14:schemeClr w14:val="tx1"/>
                        </w14:solidFill>
                      </w14:textFill>
                    </w:rPr>
                    <w:t>生物质压块</w:t>
                  </w:r>
                  <w:r>
                    <w:rPr>
                      <w:color w:val="000000" w:themeColor="text1"/>
                      <w:szCs w:val="21"/>
                      <w14:textFill>
                        <w14:solidFill>
                          <w14:schemeClr w14:val="tx1"/>
                        </w14:solidFill>
                      </w14:textFill>
                    </w:rPr>
                    <w:t>料根据企业的锅炉运行状况有计划</w:t>
                  </w:r>
                  <w:r>
                    <w:rPr>
                      <w:rFonts w:hint="eastAsia"/>
                      <w:color w:val="000000" w:themeColor="text1"/>
                      <w:szCs w:val="21"/>
                      <w14:textFill>
                        <w14:solidFill>
                          <w14:schemeClr w14:val="tx1"/>
                        </w14:solidFill>
                      </w14:textFill>
                    </w:rPr>
                    <w:t>地</w:t>
                  </w:r>
                  <w:r>
                    <w:rPr>
                      <w:color w:val="000000" w:themeColor="text1"/>
                      <w:szCs w:val="21"/>
                      <w14:textFill>
                        <w14:solidFill>
                          <w14:schemeClr w14:val="tx1"/>
                        </w14:solidFill>
                      </w14:textFill>
                    </w:rPr>
                    <w:t>采购入厂、堆存和使用。</w:t>
                  </w:r>
                  <w:r>
                    <w:rPr>
                      <w:rFonts w:hint="eastAsia"/>
                      <w:color w:val="000000" w:themeColor="text1"/>
                      <w:szCs w:val="21"/>
                      <w:lang w:eastAsia="zh-CN"/>
                      <w14:textFill>
                        <w14:solidFill>
                          <w14:schemeClr w14:val="tx1"/>
                        </w14:solidFill>
                      </w14:textFill>
                    </w:rPr>
                    <w:t>生物质压块</w:t>
                  </w:r>
                  <w:r>
                    <w:rPr>
                      <w:color w:val="000000" w:themeColor="text1"/>
                      <w:szCs w:val="21"/>
                      <w14:textFill>
                        <w14:solidFill>
                          <w14:schemeClr w14:val="tx1"/>
                        </w14:solidFill>
                      </w14:textFill>
                    </w:rPr>
                    <w:t>燃料最大存储量为100t。</w:t>
                  </w:r>
                </w:p>
              </w:tc>
              <w:tc>
                <w:tcPr>
                  <w:tcW w:w="653" w:type="dxa"/>
                  <w:vAlign w:val="center"/>
                </w:tcPr>
                <w:p w14:paraId="25B66E93">
                  <w:pPr>
                    <w:spacing w:line="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依托原有建筑</w:t>
                  </w:r>
                </w:p>
              </w:tc>
            </w:tr>
            <w:tr w14:paraId="7242EC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775" w:type="dxa"/>
                  <w:vMerge w:val="continue"/>
                  <w:vAlign w:val="center"/>
                </w:tcPr>
                <w:p w14:paraId="5624852B">
                  <w:pPr>
                    <w:spacing w:line="0" w:lineRule="atLeast"/>
                    <w:jc w:val="center"/>
                    <w:rPr>
                      <w:color w:val="000000" w:themeColor="text1"/>
                      <w:szCs w:val="21"/>
                      <w14:textFill>
                        <w14:solidFill>
                          <w14:schemeClr w14:val="tx1"/>
                        </w14:solidFill>
                      </w14:textFill>
                    </w:rPr>
                  </w:pPr>
                </w:p>
              </w:tc>
              <w:tc>
                <w:tcPr>
                  <w:tcW w:w="1453" w:type="dxa"/>
                  <w:shd w:val="clear" w:color="auto" w:fill="auto"/>
                  <w:vAlign w:val="center"/>
                </w:tcPr>
                <w:p w14:paraId="1748E5DA">
                  <w:pPr>
                    <w:spacing w:line="0" w:lineRule="atLeast"/>
                    <w:jc w:val="center"/>
                    <w:rPr>
                      <w:rFonts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color w:val="000000" w:themeColor="text1"/>
                      <w:szCs w:val="21"/>
                      <w14:textFill>
                        <w14:solidFill>
                          <w14:schemeClr w14:val="tx1"/>
                        </w14:solidFill>
                      </w14:textFill>
                    </w:rPr>
                    <w:t>锅炉灰渣和除尘器收尘存储</w:t>
                  </w:r>
                </w:p>
              </w:tc>
              <w:tc>
                <w:tcPr>
                  <w:tcW w:w="5432" w:type="dxa"/>
                  <w:shd w:val="clear" w:color="auto" w:fill="auto"/>
                  <w:vAlign w:val="center"/>
                </w:tcPr>
                <w:p w14:paraId="7FD9BE55">
                  <w:pPr>
                    <w:widowControl/>
                    <w:jc w:val="left"/>
                    <w:rPr>
                      <w:rFonts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color w:val="000000" w:themeColor="text1"/>
                      <w:szCs w:val="21"/>
                      <w14:textFill>
                        <w14:solidFill>
                          <w14:schemeClr w14:val="tx1"/>
                        </w14:solidFill>
                      </w14:textFill>
                    </w:rPr>
                    <w:t>锅炉灰渣产生后暂存于灰渣间内，贮存区50m</w:t>
                  </w:r>
                  <w:r>
                    <w:rPr>
                      <w:color w:val="000000" w:themeColor="text1"/>
                      <w:szCs w:val="21"/>
                      <w:vertAlign w:val="superscript"/>
                      <w14:textFill>
                        <w14:solidFill>
                          <w14:schemeClr w14:val="tx1"/>
                        </w14:solidFill>
                      </w14:textFill>
                    </w:rPr>
                    <w:t>2</w:t>
                  </w:r>
                  <w:r>
                    <w:rPr>
                      <w:color w:val="000000" w:themeColor="text1"/>
                      <w:szCs w:val="21"/>
                      <w14:textFill>
                        <w14:solidFill>
                          <w14:schemeClr w14:val="tx1"/>
                        </w14:solidFill>
                      </w14:textFill>
                    </w:rPr>
                    <w:t>，表面采取洒水降尘措施，避免二次扬尘产生。除尘器收尘则利用袋装收集，避免扬尘产生。每7天外售1次，外售伊春市陶粒砌体有限责任公司综合利用。</w:t>
                  </w:r>
                </w:p>
              </w:tc>
              <w:tc>
                <w:tcPr>
                  <w:tcW w:w="653" w:type="dxa"/>
                  <w:shd w:val="clear" w:color="auto" w:fill="auto"/>
                  <w:vAlign w:val="center"/>
                </w:tcPr>
                <w:p w14:paraId="57C2A48D">
                  <w:pPr>
                    <w:spacing w:line="0" w:lineRule="atLeast"/>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color w:val="000000" w:themeColor="text1"/>
                      <w:szCs w:val="21"/>
                      <w14:textFill>
                        <w14:solidFill>
                          <w14:schemeClr w14:val="tx1"/>
                        </w14:solidFill>
                      </w14:textFill>
                    </w:rPr>
                    <w:t>依托原有建筑</w:t>
                  </w:r>
                </w:p>
              </w:tc>
            </w:tr>
            <w:tr w14:paraId="2B4995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775" w:type="dxa"/>
                  <w:vMerge w:val="continue"/>
                  <w:vAlign w:val="center"/>
                </w:tcPr>
                <w:p w14:paraId="0894E1B5">
                  <w:pPr>
                    <w:spacing w:line="0" w:lineRule="atLeast"/>
                    <w:jc w:val="center"/>
                    <w:rPr>
                      <w:color w:val="000000" w:themeColor="text1"/>
                      <w:szCs w:val="21"/>
                      <w14:textFill>
                        <w14:solidFill>
                          <w14:schemeClr w14:val="tx1"/>
                        </w14:solidFill>
                      </w14:textFill>
                    </w:rPr>
                  </w:pPr>
                </w:p>
              </w:tc>
              <w:tc>
                <w:tcPr>
                  <w:tcW w:w="1453" w:type="dxa"/>
                  <w:shd w:val="clear" w:color="auto" w:fill="auto"/>
                  <w:vAlign w:val="center"/>
                </w:tcPr>
                <w:p w14:paraId="0D2536BB">
                  <w:pPr>
                    <w:jc w:val="center"/>
                    <w:rPr>
                      <w:rFonts w:hint="default"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hint="eastAsia"/>
                      <w:snapToGrid w:val="0"/>
                      <w:color w:val="000000" w:themeColor="text1"/>
                      <w:kern w:val="0"/>
                      <w:szCs w:val="21"/>
                      <w:highlight w:val="none"/>
                      <w:lang w:val="en-US" w:eastAsia="zh-CN"/>
                      <w14:textFill>
                        <w14:solidFill>
                          <w14:schemeClr w14:val="tx1"/>
                        </w14:solidFill>
                      </w14:textFill>
                    </w:rPr>
                    <w:t>危险废物贮存库</w:t>
                  </w:r>
                </w:p>
              </w:tc>
              <w:tc>
                <w:tcPr>
                  <w:tcW w:w="5432" w:type="dxa"/>
                  <w:shd w:val="clear" w:color="auto" w:fill="auto"/>
                  <w:vAlign w:val="center"/>
                </w:tcPr>
                <w:p w14:paraId="67B14DF7">
                  <w:pPr>
                    <w:jc w:val="left"/>
                    <w:rPr>
                      <w:rFonts w:hint="default"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hint="eastAsia"/>
                      <w:snapToGrid w:val="0"/>
                      <w:color w:val="000000" w:themeColor="text1"/>
                      <w:kern w:val="0"/>
                      <w:szCs w:val="21"/>
                      <w:highlight w:val="none"/>
                      <w:lang w:val="en-US" w:eastAsia="zh-CN"/>
                      <w14:textFill>
                        <w14:solidFill>
                          <w14:schemeClr w14:val="tx1"/>
                        </w14:solidFill>
                      </w14:textFill>
                    </w:rPr>
                    <w:t>建筑面积为10m</w:t>
                  </w:r>
                  <w:r>
                    <w:rPr>
                      <w:rFonts w:hint="eastAsia"/>
                      <w:snapToGrid w:val="0"/>
                      <w:color w:val="000000" w:themeColor="text1"/>
                      <w:kern w:val="0"/>
                      <w:szCs w:val="21"/>
                      <w:highlight w:val="none"/>
                      <w:vertAlign w:val="superscript"/>
                      <w:lang w:val="en-US" w:eastAsia="zh-CN"/>
                      <w14:textFill>
                        <w14:solidFill>
                          <w14:schemeClr w14:val="tx1"/>
                        </w14:solidFill>
                      </w14:textFill>
                    </w:rPr>
                    <w:t>2</w:t>
                  </w:r>
                  <w:r>
                    <w:rPr>
                      <w:rFonts w:hint="eastAsia"/>
                      <w:snapToGrid w:val="0"/>
                      <w:color w:val="000000" w:themeColor="text1"/>
                      <w:kern w:val="0"/>
                      <w:szCs w:val="21"/>
                      <w:highlight w:val="none"/>
                      <w:lang w:val="en-US" w:eastAsia="zh-CN"/>
                      <w14:textFill>
                        <w14:solidFill>
                          <w14:schemeClr w14:val="tx1"/>
                        </w14:solidFill>
                      </w14:textFill>
                    </w:rPr>
                    <w:t>，位于锅炉房，存储能力为1t，周转周期为6个月。</w:t>
                  </w:r>
                </w:p>
              </w:tc>
              <w:tc>
                <w:tcPr>
                  <w:tcW w:w="653" w:type="dxa"/>
                  <w:shd w:val="clear" w:color="auto" w:fill="auto"/>
                  <w:vAlign w:val="center"/>
                </w:tcPr>
                <w:p w14:paraId="1808F91D">
                  <w:pPr>
                    <w:jc w:val="center"/>
                    <w:rPr>
                      <w:rFonts w:hint="eastAsia"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hint="eastAsia"/>
                      <w:snapToGrid w:val="0"/>
                      <w:color w:val="000000" w:themeColor="text1"/>
                      <w:kern w:val="0"/>
                      <w:szCs w:val="21"/>
                      <w:highlight w:val="none"/>
                      <w:lang w:eastAsia="zh-CN"/>
                      <w14:textFill>
                        <w14:solidFill>
                          <w14:schemeClr w14:val="tx1"/>
                        </w14:solidFill>
                      </w14:textFill>
                    </w:rPr>
                    <w:t>新建</w:t>
                  </w:r>
                </w:p>
              </w:tc>
            </w:tr>
            <w:tr w14:paraId="293EA3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775" w:type="dxa"/>
                  <w:vMerge w:val="restart"/>
                  <w:vAlign w:val="center"/>
                </w:tcPr>
                <w:p w14:paraId="40E97F1A">
                  <w:pPr>
                    <w:spacing w:line="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公用工程</w:t>
                  </w:r>
                </w:p>
              </w:tc>
              <w:tc>
                <w:tcPr>
                  <w:tcW w:w="1453" w:type="dxa"/>
                  <w:vAlign w:val="center"/>
                </w:tcPr>
                <w:p w14:paraId="58BDE9ED">
                  <w:pPr>
                    <w:spacing w:line="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给水</w:t>
                  </w:r>
                </w:p>
              </w:tc>
              <w:tc>
                <w:tcPr>
                  <w:tcW w:w="5432" w:type="dxa"/>
                  <w:vAlign w:val="center"/>
                </w:tcPr>
                <w:p w14:paraId="08C40F01">
                  <w:pPr>
                    <w:spacing w:line="0" w:lineRule="atLeast"/>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本项目用水由市政自来水管网提供，用水主要为工作人员生活用水和锅炉用水。</w:t>
                  </w:r>
                </w:p>
              </w:tc>
              <w:tc>
                <w:tcPr>
                  <w:tcW w:w="653" w:type="dxa"/>
                  <w:vAlign w:val="center"/>
                </w:tcPr>
                <w:p w14:paraId="64804E09">
                  <w:pPr>
                    <w:spacing w:line="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新建</w:t>
                  </w:r>
                </w:p>
              </w:tc>
            </w:tr>
            <w:tr w14:paraId="2BC83B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775" w:type="dxa"/>
                  <w:vMerge w:val="continue"/>
                  <w:vAlign w:val="center"/>
                </w:tcPr>
                <w:p w14:paraId="631B3AEE">
                  <w:pPr>
                    <w:spacing w:line="0" w:lineRule="atLeast"/>
                    <w:jc w:val="center"/>
                    <w:rPr>
                      <w:color w:val="000000" w:themeColor="text1"/>
                      <w:szCs w:val="21"/>
                      <w14:textFill>
                        <w14:solidFill>
                          <w14:schemeClr w14:val="tx1"/>
                        </w14:solidFill>
                      </w14:textFill>
                    </w:rPr>
                  </w:pPr>
                </w:p>
              </w:tc>
              <w:tc>
                <w:tcPr>
                  <w:tcW w:w="1453" w:type="dxa"/>
                  <w:vAlign w:val="center"/>
                </w:tcPr>
                <w:p w14:paraId="26B0B70C">
                  <w:pPr>
                    <w:spacing w:line="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排水</w:t>
                  </w:r>
                </w:p>
              </w:tc>
              <w:tc>
                <w:tcPr>
                  <w:tcW w:w="5432" w:type="dxa"/>
                  <w:vAlign w:val="center"/>
                </w:tcPr>
                <w:p w14:paraId="646B0121">
                  <w:pPr>
                    <w:spacing w:line="0" w:lineRule="atLeast"/>
                    <w:rPr>
                      <w:color w:val="000000" w:themeColor="text1"/>
                      <w:szCs w:val="21"/>
                      <w14:textFill>
                        <w14:solidFill>
                          <w14:schemeClr w14:val="tx1"/>
                        </w14:solidFill>
                      </w14:textFill>
                    </w:rPr>
                  </w:pPr>
                  <w:r>
                    <w:rPr>
                      <w:color w:val="000000" w:themeColor="text1"/>
                      <w14:textFill>
                        <w14:solidFill>
                          <w14:schemeClr w14:val="tx1"/>
                        </w14:solidFill>
                      </w14:textFill>
                    </w:rPr>
                    <w:t>本项目生活污水排入防渗</w:t>
                  </w:r>
                  <w:r>
                    <w:rPr>
                      <w:rFonts w:hint="eastAsia"/>
                      <w:color w:val="000000" w:themeColor="text1"/>
                      <w14:textFill>
                        <w14:solidFill>
                          <w14:schemeClr w14:val="tx1"/>
                        </w14:solidFill>
                      </w14:textFill>
                    </w:rPr>
                    <w:t>旱厕</w:t>
                  </w:r>
                  <w:r>
                    <w:rPr>
                      <w:color w:val="000000" w:themeColor="text1"/>
                      <w14:textFill>
                        <w14:solidFill>
                          <w14:schemeClr w14:val="tx1"/>
                        </w14:solidFill>
                      </w14:textFill>
                    </w:rPr>
                    <w:t>，定期清掏，外运堆肥，锅炉排污水用于冲渣和厂区洒水降尘。</w:t>
                  </w:r>
                </w:p>
              </w:tc>
              <w:tc>
                <w:tcPr>
                  <w:tcW w:w="653" w:type="dxa"/>
                  <w:vAlign w:val="center"/>
                </w:tcPr>
                <w:p w14:paraId="78172A8C">
                  <w:pPr>
                    <w:spacing w:line="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新建</w:t>
                  </w:r>
                </w:p>
              </w:tc>
            </w:tr>
            <w:tr w14:paraId="72E45F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7" w:hRule="atLeast"/>
                <w:jc w:val="center"/>
              </w:trPr>
              <w:tc>
                <w:tcPr>
                  <w:tcW w:w="775" w:type="dxa"/>
                  <w:vMerge w:val="continue"/>
                  <w:vAlign w:val="center"/>
                </w:tcPr>
                <w:p w14:paraId="3BA7A2E3">
                  <w:pPr>
                    <w:spacing w:line="0" w:lineRule="atLeast"/>
                    <w:jc w:val="center"/>
                    <w:rPr>
                      <w:color w:val="000000" w:themeColor="text1"/>
                      <w:szCs w:val="21"/>
                      <w14:textFill>
                        <w14:solidFill>
                          <w14:schemeClr w14:val="tx1"/>
                        </w14:solidFill>
                      </w14:textFill>
                    </w:rPr>
                  </w:pPr>
                </w:p>
              </w:tc>
              <w:tc>
                <w:tcPr>
                  <w:tcW w:w="1453" w:type="dxa"/>
                  <w:vAlign w:val="center"/>
                </w:tcPr>
                <w:p w14:paraId="2920BC47">
                  <w:pPr>
                    <w:spacing w:line="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供热</w:t>
                  </w:r>
                </w:p>
              </w:tc>
              <w:tc>
                <w:tcPr>
                  <w:tcW w:w="5432" w:type="dxa"/>
                  <w:vAlign w:val="center"/>
                </w:tcPr>
                <w:p w14:paraId="67E3B327">
                  <w:pPr>
                    <w:spacing w:line="0" w:lineRule="atLeast"/>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供暖由本站燃生物质热水锅炉提供。</w:t>
                  </w:r>
                </w:p>
              </w:tc>
              <w:tc>
                <w:tcPr>
                  <w:tcW w:w="653" w:type="dxa"/>
                  <w:vAlign w:val="center"/>
                </w:tcPr>
                <w:p w14:paraId="255CC453">
                  <w:pPr>
                    <w:spacing w:line="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新建</w:t>
                  </w:r>
                </w:p>
              </w:tc>
            </w:tr>
            <w:tr w14:paraId="777A10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775" w:type="dxa"/>
                  <w:vMerge w:val="continue"/>
                  <w:vAlign w:val="center"/>
                </w:tcPr>
                <w:p w14:paraId="3E3EBEEF">
                  <w:pPr>
                    <w:spacing w:line="0" w:lineRule="atLeast"/>
                    <w:jc w:val="center"/>
                    <w:rPr>
                      <w:color w:val="000000" w:themeColor="text1"/>
                      <w:szCs w:val="21"/>
                      <w14:textFill>
                        <w14:solidFill>
                          <w14:schemeClr w14:val="tx1"/>
                        </w14:solidFill>
                      </w14:textFill>
                    </w:rPr>
                  </w:pPr>
                </w:p>
              </w:tc>
              <w:tc>
                <w:tcPr>
                  <w:tcW w:w="1453" w:type="dxa"/>
                  <w:vAlign w:val="center"/>
                </w:tcPr>
                <w:p w14:paraId="082FB743">
                  <w:pPr>
                    <w:spacing w:line="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供电</w:t>
                  </w:r>
                </w:p>
              </w:tc>
              <w:tc>
                <w:tcPr>
                  <w:tcW w:w="5432" w:type="dxa"/>
                  <w:vAlign w:val="center"/>
                </w:tcPr>
                <w:p w14:paraId="2996300D">
                  <w:pPr>
                    <w:spacing w:line="0" w:lineRule="atLeast"/>
                    <w:rPr>
                      <w:color w:val="000000" w:themeColor="text1"/>
                      <w:szCs w:val="21"/>
                      <w14:textFill>
                        <w14:solidFill>
                          <w14:schemeClr w14:val="tx1"/>
                        </w14:solidFill>
                      </w14:textFill>
                    </w:rPr>
                  </w:pPr>
                  <w:r>
                    <w:rPr>
                      <w:color w:val="000000" w:themeColor="text1"/>
                      <w:szCs w:val="21"/>
                      <w14:textFill>
                        <w14:solidFill>
                          <w14:schemeClr w14:val="tx1"/>
                        </w14:solidFill>
                      </w14:textFill>
                    </w:rPr>
                    <w:t>由当地电业局提供</w:t>
                  </w:r>
                </w:p>
              </w:tc>
              <w:tc>
                <w:tcPr>
                  <w:tcW w:w="653" w:type="dxa"/>
                  <w:vAlign w:val="center"/>
                </w:tcPr>
                <w:p w14:paraId="01BE2ABC">
                  <w:pPr>
                    <w:spacing w:line="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新建</w:t>
                  </w:r>
                </w:p>
              </w:tc>
            </w:tr>
            <w:tr w14:paraId="26A57B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775" w:type="dxa"/>
                  <w:vMerge w:val="restart"/>
                  <w:vAlign w:val="center"/>
                </w:tcPr>
                <w:p w14:paraId="20E1F7F7">
                  <w:pPr>
                    <w:spacing w:line="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环保工程</w:t>
                  </w:r>
                </w:p>
              </w:tc>
              <w:tc>
                <w:tcPr>
                  <w:tcW w:w="1453" w:type="dxa"/>
                  <w:vAlign w:val="center"/>
                </w:tcPr>
                <w:p w14:paraId="17F27129">
                  <w:pPr>
                    <w:spacing w:line="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废气治理措施</w:t>
                  </w:r>
                </w:p>
              </w:tc>
              <w:tc>
                <w:tcPr>
                  <w:tcW w:w="5432" w:type="dxa"/>
                  <w:vAlign w:val="center"/>
                </w:tcPr>
                <w:p w14:paraId="4AEBEEBC">
                  <w:pPr>
                    <w:spacing w:line="0" w:lineRule="atLeast"/>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本项目运行期间产生的锅炉烟气通过</w:t>
                  </w:r>
                  <w:r>
                    <w:rPr>
                      <w:rFonts w:hint="eastAsia"/>
                      <w:bCs/>
                      <w:color w:val="000000" w:themeColor="text1"/>
                      <w:kern w:val="0"/>
                      <w:szCs w:val="18"/>
                      <w:lang w:eastAsia="zh-CN"/>
                      <w14:textFill>
                        <w14:solidFill>
                          <w14:schemeClr w14:val="tx1"/>
                        </w14:solidFill>
                      </w14:textFill>
                    </w:rPr>
                    <w:t>干式</w:t>
                  </w:r>
                  <w:r>
                    <w:rPr>
                      <w:bCs/>
                      <w:color w:val="000000" w:themeColor="text1"/>
                      <w:kern w:val="0"/>
                      <w:szCs w:val="18"/>
                      <w14:textFill>
                        <w14:solidFill>
                          <w14:schemeClr w14:val="tx1"/>
                        </w14:solidFill>
                      </w14:textFill>
                    </w:rPr>
                    <w:t>+</w:t>
                  </w:r>
                  <w:r>
                    <w:rPr>
                      <w:color w:val="000000" w:themeColor="text1"/>
                      <w:szCs w:val="21"/>
                      <w14:textFill>
                        <w14:solidFill>
                          <w14:schemeClr w14:val="tx1"/>
                        </w14:solidFill>
                      </w14:textFill>
                    </w:rPr>
                    <w:t>布袋除尘器进行处理。</w:t>
                  </w:r>
                  <w:r>
                    <w:rPr>
                      <w:bCs/>
                      <w:color w:val="000000" w:themeColor="text1"/>
                      <w:kern w:val="0"/>
                      <w:szCs w:val="21"/>
                      <w14:textFill>
                        <w14:solidFill>
                          <w14:schemeClr w14:val="tx1"/>
                        </w14:solidFill>
                      </w14:textFill>
                    </w:rPr>
                    <w:t>干式+</w:t>
                  </w:r>
                  <w:r>
                    <w:rPr>
                      <w:color w:val="000000" w:themeColor="text1"/>
                      <w:szCs w:val="21"/>
                      <w14:textFill>
                        <w14:solidFill>
                          <w14:schemeClr w14:val="tx1"/>
                        </w14:solidFill>
                      </w14:textFill>
                    </w:rPr>
                    <w:t>布袋除尘器净化效率</w:t>
                  </w:r>
                  <w:r>
                    <w:rPr>
                      <w:rFonts w:hint="eastAsia"/>
                      <w:color w:val="000000" w:themeColor="text1"/>
                      <w:szCs w:val="21"/>
                      <w14:textFill>
                        <w14:solidFill>
                          <w14:schemeClr w14:val="tx1"/>
                        </w14:solidFill>
                      </w14:textFill>
                    </w:rPr>
                    <w:t>99.5</w:t>
                  </w:r>
                  <w:r>
                    <w:rPr>
                      <w:color w:val="000000" w:themeColor="text1"/>
                      <w:szCs w:val="21"/>
                      <w14:textFill>
                        <w14:solidFill>
                          <w14:schemeClr w14:val="tx1"/>
                        </w14:solidFill>
                      </w14:textFill>
                    </w:rPr>
                    <w:t>%。经处理后的锅炉烟气通过30m高烟囱高空排放，满足《锅炉大气污染物排放标准》（GB13271-2014）表2燃煤锅炉大气污染物排放限值要求。</w:t>
                  </w:r>
                </w:p>
              </w:tc>
              <w:tc>
                <w:tcPr>
                  <w:tcW w:w="653" w:type="dxa"/>
                  <w:vAlign w:val="center"/>
                </w:tcPr>
                <w:p w14:paraId="58328F04">
                  <w:pPr>
                    <w:spacing w:line="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新建</w:t>
                  </w:r>
                </w:p>
              </w:tc>
            </w:tr>
            <w:tr w14:paraId="5839BE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775" w:type="dxa"/>
                  <w:vMerge w:val="continue"/>
                  <w:vAlign w:val="center"/>
                </w:tcPr>
                <w:p w14:paraId="358B17CD">
                  <w:pPr>
                    <w:spacing w:line="0" w:lineRule="atLeast"/>
                    <w:jc w:val="center"/>
                    <w:rPr>
                      <w:color w:val="000000" w:themeColor="text1"/>
                      <w:szCs w:val="21"/>
                      <w14:textFill>
                        <w14:solidFill>
                          <w14:schemeClr w14:val="tx1"/>
                        </w14:solidFill>
                      </w14:textFill>
                    </w:rPr>
                  </w:pPr>
                </w:p>
              </w:tc>
              <w:tc>
                <w:tcPr>
                  <w:tcW w:w="1453" w:type="dxa"/>
                  <w:vAlign w:val="center"/>
                </w:tcPr>
                <w:p w14:paraId="341CF362">
                  <w:pPr>
                    <w:spacing w:line="27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废水治理措施</w:t>
                  </w:r>
                </w:p>
              </w:tc>
              <w:tc>
                <w:tcPr>
                  <w:tcW w:w="5432" w:type="dxa"/>
                  <w:vAlign w:val="center"/>
                </w:tcPr>
                <w:p w14:paraId="55B1BD42">
                  <w:pPr>
                    <w:spacing w:line="27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锅炉排污水及软化排污水用于</w:t>
                  </w:r>
                  <w:r>
                    <w:rPr>
                      <w:color w:val="000000" w:themeColor="text1"/>
                      <w14:textFill>
                        <w14:solidFill>
                          <w14:schemeClr w14:val="tx1"/>
                        </w14:solidFill>
                      </w14:textFill>
                    </w:rPr>
                    <w:t>冲渣和厂区洒水降尘</w:t>
                  </w:r>
                  <w:r>
                    <w:rPr>
                      <w:color w:val="000000" w:themeColor="text1"/>
                      <w:szCs w:val="21"/>
                      <w14:textFill>
                        <w14:solidFill>
                          <w14:schemeClr w14:val="tx1"/>
                        </w14:solidFill>
                      </w14:textFill>
                    </w:rPr>
                    <w:t>。</w:t>
                  </w:r>
                </w:p>
              </w:tc>
              <w:tc>
                <w:tcPr>
                  <w:tcW w:w="653" w:type="dxa"/>
                  <w:vAlign w:val="center"/>
                </w:tcPr>
                <w:p w14:paraId="1EB671D5">
                  <w:pPr>
                    <w:spacing w:line="27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新建</w:t>
                  </w:r>
                </w:p>
              </w:tc>
            </w:tr>
            <w:tr w14:paraId="02AC39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775" w:type="dxa"/>
                  <w:vMerge w:val="continue"/>
                  <w:vAlign w:val="center"/>
                </w:tcPr>
                <w:p w14:paraId="3A5161E6">
                  <w:pPr>
                    <w:spacing w:line="0" w:lineRule="atLeast"/>
                    <w:jc w:val="center"/>
                    <w:rPr>
                      <w:color w:val="000000" w:themeColor="text1"/>
                      <w:szCs w:val="21"/>
                      <w14:textFill>
                        <w14:solidFill>
                          <w14:schemeClr w14:val="tx1"/>
                        </w14:solidFill>
                      </w14:textFill>
                    </w:rPr>
                  </w:pPr>
                </w:p>
              </w:tc>
              <w:tc>
                <w:tcPr>
                  <w:tcW w:w="1453" w:type="dxa"/>
                  <w:vAlign w:val="center"/>
                </w:tcPr>
                <w:p w14:paraId="5F25937D">
                  <w:pPr>
                    <w:spacing w:line="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w:t>
                  </w:r>
                </w:p>
              </w:tc>
              <w:tc>
                <w:tcPr>
                  <w:tcW w:w="5432" w:type="dxa"/>
                  <w:vAlign w:val="center"/>
                </w:tcPr>
                <w:p w14:paraId="3F980192">
                  <w:pPr>
                    <w:spacing w:line="0" w:lineRule="atLeast"/>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运行期间产生的噪声主要是风机、水泵发出的机械噪声。采用低噪环保设备、采取减振、降噪、隔声等措施对噪声进行治理。治理后，厂界噪声可满足《工业企业厂界环境噪声排放标准》（GB12348-2008）2类标准的要求。</w:t>
                  </w:r>
                </w:p>
              </w:tc>
              <w:tc>
                <w:tcPr>
                  <w:tcW w:w="653" w:type="dxa"/>
                  <w:vAlign w:val="center"/>
                </w:tcPr>
                <w:p w14:paraId="45810BBD">
                  <w:pPr>
                    <w:spacing w:line="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新建</w:t>
                  </w:r>
                </w:p>
              </w:tc>
            </w:tr>
            <w:tr w14:paraId="680990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775" w:type="dxa"/>
                  <w:vMerge w:val="continue"/>
                  <w:vAlign w:val="center"/>
                </w:tcPr>
                <w:p w14:paraId="24216740">
                  <w:pPr>
                    <w:spacing w:line="0" w:lineRule="atLeast"/>
                    <w:jc w:val="center"/>
                    <w:rPr>
                      <w:color w:val="000000" w:themeColor="text1"/>
                      <w:szCs w:val="21"/>
                      <w14:textFill>
                        <w14:solidFill>
                          <w14:schemeClr w14:val="tx1"/>
                        </w14:solidFill>
                      </w14:textFill>
                    </w:rPr>
                  </w:pPr>
                </w:p>
              </w:tc>
              <w:tc>
                <w:tcPr>
                  <w:tcW w:w="1453" w:type="dxa"/>
                  <w:vAlign w:val="center"/>
                </w:tcPr>
                <w:p w14:paraId="3082BA26">
                  <w:pPr>
                    <w:spacing w:line="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固废处理措施</w:t>
                  </w:r>
                </w:p>
              </w:tc>
              <w:tc>
                <w:tcPr>
                  <w:tcW w:w="5432" w:type="dxa"/>
                  <w:vAlign w:val="center"/>
                </w:tcPr>
                <w:p w14:paraId="222C219E">
                  <w:pPr>
                    <w:widowControl/>
                    <w:jc w:val="left"/>
                    <w:rPr>
                      <w:rFonts w:hint="eastAsia"/>
                      <w:color w:val="000000" w:themeColor="text1"/>
                      <w:szCs w:val="21"/>
                      <w:lang w:eastAsia="zh-CN"/>
                      <w14:textFill>
                        <w14:solidFill>
                          <w14:schemeClr w14:val="tx1"/>
                        </w14:solidFill>
                      </w14:textFill>
                    </w:rPr>
                  </w:pPr>
                  <w:r>
                    <w:rPr>
                      <w:color w:val="000000" w:themeColor="text1"/>
                      <w:szCs w:val="21"/>
                      <w14:textFill>
                        <w14:solidFill>
                          <w14:schemeClr w14:val="tx1"/>
                        </w14:solidFill>
                      </w14:textFill>
                    </w:rPr>
                    <w:t>锅炉灰渣，除尘器收集粉尘：集中收集，外售伊春市陶粒砌体有限责任公司综合利用；</w:t>
                  </w:r>
                  <w:r>
                    <w:rPr>
                      <w:rFonts w:hint="eastAsia"/>
                      <w:color w:val="000000" w:themeColor="text1"/>
                      <w:szCs w:val="21"/>
                      <w:lang w:val="en-US" w:eastAsia="zh-CN"/>
                      <w14:textFill>
                        <w14:solidFill>
                          <w14:schemeClr w14:val="tx1"/>
                        </w14:solidFill>
                      </w14:textFill>
                    </w:rPr>
                    <w:t>废布袋和废离子交换树脂由厂家回收；</w:t>
                  </w:r>
                  <w:r>
                    <w:rPr>
                      <w:color w:val="000000" w:themeColor="text1"/>
                      <w:szCs w:val="21"/>
                      <w14:textFill>
                        <w14:solidFill>
                          <w14:schemeClr w14:val="tx1"/>
                        </w14:solidFill>
                      </w14:textFill>
                    </w:rPr>
                    <w:t>生活垃圾由环卫部门处置</w:t>
                  </w:r>
                  <w:r>
                    <w:rPr>
                      <w:rFonts w:hint="eastAsia"/>
                      <w:color w:val="000000" w:themeColor="text1"/>
                      <w:szCs w:val="21"/>
                      <w:lang w:eastAsia="zh-CN"/>
                      <w14:textFill>
                        <w14:solidFill>
                          <w14:schemeClr w14:val="tx1"/>
                        </w14:solidFill>
                      </w14:textFill>
                    </w:rPr>
                    <w:t>。</w:t>
                  </w:r>
                </w:p>
                <w:p w14:paraId="66B12E43">
                  <w:pPr>
                    <w:widowControl/>
                    <w:jc w:val="left"/>
                    <w:rPr>
                      <w:rFonts w:hint="eastAsia"/>
                      <w:color w:val="000000" w:themeColor="text1"/>
                      <w:szCs w:val="21"/>
                      <w:lang w:eastAsia="zh-CN"/>
                      <w14:textFill>
                        <w14:solidFill>
                          <w14:schemeClr w14:val="tx1"/>
                        </w14:solidFill>
                      </w14:textFill>
                    </w:rPr>
                  </w:pPr>
                  <w:r>
                    <w:rPr>
                      <w:rFonts w:hint="default" w:ascii="Times New Roman" w:hAnsi="Times New Roman" w:eastAsia="宋体" w:cs="Times New Roman"/>
                      <w:bCs/>
                      <w:color w:val="000000" w:themeColor="text1"/>
                      <w:szCs w:val="21"/>
                      <w:highlight w:val="none"/>
                      <w:u w:val="none"/>
                      <w:lang w:val="en-US" w:eastAsia="zh-CN"/>
                      <w14:textFill>
                        <w14:solidFill>
                          <w14:schemeClr w14:val="tx1"/>
                        </w14:solidFill>
                      </w14:textFill>
                    </w:rPr>
                    <w:t>机械维修保养产生的废机油</w:t>
                  </w:r>
                  <w:r>
                    <w:rPr>
                      <w:rFonts w:hint="eastAsia" w:ascii="Times New Roman" w:hAnsi="Times New Roman" w:eastAsia="宋体" w:cs="Times New Roman"/>
                      <w:bCs/>
                      <w:color w:val="000000" w:themeColor="text1"/>
                      <w:szCs w:val="21"/>
                      <w:highlight w:val="none"/>
                      <w:u w:val="none"/>
                      <w:lang w:val="en-US" w:eastAsia="zh-CN"/>
                      <w14:textFill>
                        <w14:solidFill>
                          <w14:schemeClr w14:val="tx1"/>
                        </w14:solidFill>
                      </w14:textFill>
                    </w:rPr>
                    <w:t>（</w:t>
                  </w:r>
                  <w:r>
                    <w:rPr>
                      <w:rFonts w:hint="eastAsia" w:cs="Times New Roman"/>
                      <w:bCs/>
                      <w:color w:val="000000" w:themeColor="text1"/>
                      <w:szCs w:val="21"/>
                      <w:highlight w:val="none"/>
                      <w:u w:val="none"/>
                      <w:lang w:val="en-US" w:eastAsia="zh-CN"/>
                      <w14:textFill>
                        <w14:solidFill>
                          <w14:schemeClr w14:val="tx1"/>
                        </w14:solidFill>
                      </w14:textFill>
                    </w:rPr>
                    <w:t>废机油</w:t>
                  </w:r>
                  <w:r>
                    <w:rPr>
                      <w:rFonts w:hint="eastAsia" w:ascii="Times New Roman" w:hAnsi="Times New Roman" w:eastAsia="宋体" w:cs="Times New Roman"/>
                      <w:bCs/>
                      <w:color w:val="000000" w:themeColor="text1"/>
                      <w:szCs w:val="21"/>
                      <w:highlight w:val="none"/>
                      <w:u w:val="none"/>
                      <w:lang w:val="en-US" w:eastAsia="zh-CN"/>
                      <w14:textFill>
                        <w14:solidFill>
                          <w14:schemeClr w14:val="tx1"/>
                        </w14:solidFill>
                      </w14:textFill>
                    </w:rPr>
                    <w:t>）</w:t>
                  </w:r>
                  <w:r>
                    <w:rPr>
                      <w:rFonts w:hint="default" w:ascii="Times New Roman" w:hAnsi="Times New Roman" w:eastAsia="宋体" w:cs="Times New Roman"/>
                      <w:bCs/>
                      <w:color w:val="000000" w:themeColor="text1"/>
                      <w:szCs w:val="21"/>
                      <w:highlight w:val="none"/>
                      <w:u w:val="none"/>
                      <w:lang w:val="en-US" w:eastAsia="zh-CN"/>
                      <w14:textFill>
                        <w14:solidFill>
                          <w14:schemeClr w14:val="tx1"/>
                        </w14:solidFill>
                      </w14:textFill>
                    </w:rPr>
                    <w:t>、</w:t>
                  </w:r>
                  <w:r>
                    <w:rPr>
                      <w:rFonts w:hint="eastAsia" w:ascii="Times New Roman" w:hAnsi="Times New Roman" w:eastAsia="宋体" w:cs="Times New Roman"/>
                      <w:bCs/>
                      <w:color w:val="000000" w:themeColor="text1"/>
                      <w:szCs w:val="21"/>
                      <w:highlight w:val="none"/>
                      <w:u w:val="none"/>
                      <w:lang w:val="en-US" w:eastAsia="zh-CN"/>
                      <w14:textFill>
                        <w14:solidFill>
                          <w14:schemeClr w14:val="tx1"/>
                        </w14:solidFill>
                      </w14:textFill>
                    </w:rPr>
                    <w:t>废油桶、</w:t>
                  </w:r>
                  <w:r>
                    <w:rPr>
                      <w:rFonts w:hint="default" w:ascii="Times New Roman" w:hAnsi="Times New Roman" w:eastAsia="宋体" w:cs="Times New Roman"/>
                      <w:bCs/>
                      <w:color w:val="000000" w:themeColor="text1"/>
                      <w:szCs w:val="21"/>
                      <w:highlight w:val="none"/>
                      <w:u w:val="none"/>
                      <w:lang w:val="en-US" w:eastAsia="zh-CN"/>
                      <w14:textFill>
                        <w14:solidFill>
                          <w14:schemeClr w14:val="tx1"/>
                        </w14:solidFill>
                      </w14:textFill>
                    </w:rPr>
                    <w:t>含油棉布、手套</w:t>
                  </w:r>
                  <w:r>
                    <w:rPr>
                      <w:rFonts w:hint="eastAsia" w:ascii="Times New Roman" w:hAnsi="Times New Roman" w:eastAsia="宋体" w:cs="Times New Roman"/>
                      <w:bCs/>
                      <w:color w:val="000000" w:themeColor="text1"/>
                      <w:szCs w:val="21"/>
                      <w:highlight w:val="none"/>
                      <w:u w:val="none"/>
                      <w:lang w:val="en-US" w:eastAsia="zh-CN"/>
                      <w14:textFill>
                        <w14:solidFill>
                          <w14:schemeClr w14:val="tx1"/>
                        </w14:solidFill>
                      </w14:textFill>
                    </w:rPr>
                    <w:t>属于</w:t>
                  </w:r>
                  <w:r>
                    <w:rPr>
                      <w:rFonts w:ascii="Times New Roman" w:hAnsi="Times New Roman" w:eastAsia="宋体" w:cs="Times New Roman"/>
                      <w:color w:val="000000" w:themeColor="text1"/>
                      <w:sz w:val="21"/>
                      <w:szCs w:val="21"/>
                      <w:highlight w:val="none"/>
                      <w14:textFill>
                        <w14:solidFill>
                          <w14:schemeClr w14:val="tx1"/>
                        </w14:solidFill>
                      </w14:textFill>
                    </w:rPr>
                    <w:t>危险废物，</w:t>
                  </w:r>
                  <w:r>
                    <w:rPr>
                      <w:rFonts w:hint="eastAsia" w:cs="Times New Roman"/>
                      <w:color w:val="000000" w:themeColor="text1"/>
                      <w:sz w:val="21"/>
                      <w:szCs w:val="21"/>
                      <w:highlight w:val="none"/>
                      <w:lang w:val="en-US" w:eastAsia="zh-CN"/>
                      <w14:textFill>
                        <w14:solidFill>
                          <w14:schemeClr w14:val="tx1"/>
                        </w14:solidFill>
                      </w14:textFill>
                    </w:rPr>
                    <w:t>暂存于危险废物贮存库，交有资质单位处置</w:t>
                  </w:r>
                  <w:r>
                    <w:rPr>
                      <w:rFonts w:ascii="Times New Roman" w:hAnsi="Times New Roman" w:eastAsia="宋体" w:cs="Times New Roman"/>
                      <w:color w:val="000000" w:themeColor="text1"/>
                      <w:sz w:val="21"/>
                      <w:szCs w:val="21"/>
                      <w:highlight w:val="none"/>
                      <w14:textFill>
                        <w14:solidFill>
                          <w14:schemeClr w14:val="tx1"/>
                        </w14:solidFill>
                      </w14:textFill>
                    </w:rPr>
                    <w:t>。</w:t>
                  </w:r>
                </w:p>
              </w:tc>
              <w:tc>
                <w:tcPr>
                  <w:tcW w:w="653" w:type="dxa"/>
                  <w:vAlign w:val="center"/>
                </w:tcPr>
                <w:p w14:paraId="12126DC3">
                  <w:pPr>
                    <w:spacing w:line="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新建</w:t>
                  </w:r>
                </w:p>
              </w:tc>
            </w:tr>
            <w:tr w14:paraId="4D9BED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775" w:type="dxa"/>
                  <w:vMerge w:val="continue"/>
                  <w:vAlign w:val="center"/>
                </w:tcPr>
                <w:p w14:paraId="007633D5">
                  <w:pPr>
                    <w:spacing w:line="0" w:lineRule="atLeast"/>
                    <w:jc w:val="center"/>
                    <w:rPr>
                      <w:color w:val="000000" w:themeColor="text1"/>
                      <w:szCs w:val="21"/>
                      <w14:textFill>
                        <w14:solidFill>
                          <w14:schemeClr w14:val="tx1"/>
                        </w14:solidFill>
                      </w14:textFill>
                    </w:rPr>
                  </w:pPr>
                </w:p>
              </w:tc>
              <w:tc>
                <w:tcPr>
                  <w:tcW w:w="1453" w:type="dxa"/>
                  <w:shd w:val="clear" w:color="auto" w:fill="auto"/>
                  <w:vAlign w:val="center"/>
                </w:tcPr>
                <w:p w14:paraId="280B321B">
                  <w:pPr>
                    <w:pStyle w:val="122"/>
                    <w:keepNext w:val="0"/>
                    <w:keepLines w:val="0"/>
                    <w:pageBreakBefore w:val="0"/>
                    <w:widowControl w:val="0"/>
                    <w:kinsoku/>
                    <w:wordWrap/>
                    <w:overflowPunct/>
                    <w:topLinePunct w:val="0"/>
                    <w:autoSpaceDE/>
                    <w:autoSpaceDN/>
                    <w:bidi w:val="0"/>
                    <w:snapToGrid w:val="0"/>
                    <w:spacing w:line="240" w:lineRule="auto"/>
                    <w:jc w:val="center"/>
                    <w:rPr>
                      <w:rFonts w:hint="default" w:ascii="Times New Roman" w:hAnsi="Times New Roman" w:cs="Times New Roman" w:eastAsiaTheme="minorEastAsia"/>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地下水及土壤污染防治措施</w:t>
                  </w:r>
                </w:p>
              </w:tc>
              <w:tc>
                <w:tcPr>
                  <w:tcW w:w="5432" w:type="dxa"/>
                  <w:shd w:val="clear" w:color="auto" w:fill="auto"/>
                  <w:vAlign w:val="center"/>
                </w:tcPr>
                <w:p w14:paraId="2D87B1BA">
                  <w:pPr>
                    <w:pStyle w:val="150"/>
                    <w:spacing w:line="240" w:lineRule="auto"/>
                    <w:jc w:val="both"/>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危险废物</w:t>
                  </w:r>
                  <w:r>
                    <w:rPr>
                      <w:rFonts w:hint="default" w:ascii="Times New Roman" w:hAnsi="Times New Roman" w:cs="Times New Roman"/>
                      <w:color w:val="000000" w:themeColor="text1"/>
                      <w:sz w:val="21"/>
                      <w:szCs w:val="21"/>
                      <w:highlight w:val="none"/>
                      <w:lang w:eastAsia="zh-CN"/>
                      <w14:textFill>
                        <w14:solidFill>
                          <w14:schemeClr w14:val="tx1"/>
                        </w14:solidFill>
                      </w14:textFill>
                    </w:rPr>
                    <w:t>贮存点</w:t>
                  </w:r>
                  <w:r>
                    <w:rPr>
                      <w:rFonts w:hint="default" w:ascii="Times New Roman" w:hAnsi="Times New Roman" w:cs="Times New Roman"/>
                      <w:color w:val="000000" w:themeColor="text1"/>
                      <w:sz w:val="21"/>
                      <w:szCs w:val="21"/>
                      <w:highlight w:val="none"/>
                      <w14:textFill>
                        <w14:solidFill>
                          <w14:schemeClr w14:val="tx1"/>
                        </w14:solidFill>
                      </w14:textFill>
                    </w:rPr>
                    <w:t>作重点防渗，地面作重点防渗，防渗层为至少1m厚粘土层（渗透系</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数</w:t>
                  </w:r>
                  <w:r>
                    <w:rPr>
                      <w:rFonts w:hint="default" w:ascii="Times New Roman" w:hAnsi="Times New Roman" w:cs="Times New Roman"/>
                      <w:color w:val="000000" w:themeColor="text1"/>
                      <w:sz w:val="21"/>
                      <w:szCs w:val="21"/>
                      <w:highlight w:val="none"/>
                      <w14:textFill>
                        <w14:solidFill>
                          <w14:schemeClr w14:val="tx1"/>
                        </w14:solidFill>
                      </w14:textFill>
                    </w:rPr>
                    <w:t>≤10</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-7</w:t>
                  </w:r>
                  <w:r>
                    <w:rPr>
                      <w:rFonts w:hint="default" w:ascii="Times New Roman" w:hAnsi="Times New Roman" w:cs="Times New Roman"/>
                      <w:color w:val="000000" w:themeColor="text1"/>
                      <w:sz w:val="21"/>
                      <w:szCs w:val="21"/>
                      <w:highlight w:val="none"/>
                      <w14:textFill>
                        <w14:solidFill>
                          <w14:schemeClr w14:val="tx1"/>
                        </w14:solidFill>
                      </w14:textFill>
                    </w:rPr>
                    <w:t>cm/s），或2mm厚高密度聚乙烯，或至少2mm厚的</w:t>
                  </w:r>
                  <w:r>
                    <w:rPr>
                      <w:rFonts w:hint="default" w:ascii="Times New Roman" w:hAnsi="Times New Roman" w:cs="Times New Roman"/>
                      <w:color w:val="000000" w:themeColor="text1"/>
                      <w:sz w:val="21"/>
                      <w:szCs w:val="21"/>
                      <w:highlight w:val="none"/>
                      <w:lang w:eastAsia="zh-CN"/>
                      <w14:textFill>
                        <w14:solidFill>
                          <w14:schemeClr w14:val="tx1"/>
                        </w14:solidFill>
                      </w14:textFill>
                    </w:rPr>
                    <w:t>其他人工</w:t>
                  </w:r>
                  <w:r>
                    <w:rPr>
                      <w:rFonts w:hint="default" w:ascii="Times New Roman" w:hAnsi="Times New Roman" w:cs="Times New Roman"/>
                      <w:color w:val="000000" w:themeColor="text1"/>
                      <w:sz w:val="21"/>
                      <w:szCs w:val="21"/>
                      <w:highlight w:val="none"/>
                      <w14:textFill>
                        <w14:solidFill>
                          <w14:schemeClr w14:val="tx1"/>
                        </w14:solidFill>
                      </w14:textFill>
                    </w:rPr>
                    <w:t>材料，渗透系数≤10</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-10</w:t>
                  </w:r>
                  <w:r>
                    <w:rPr>
                      <w:rFonts w:hint="default" w:ascii="Times New Roman" w:hAnsi="Times New Roman" w:cs="Times New Roman"/>
                      <w:color w:val="000000" w:themeColor="text1"/>
                      <w:sz w:val="21"/>
                      <w:szCs w:val="21"/>
                      <w:highlight w:val="none"/>
                      <w14:textFill>
                        <w14:solidFill>
                          <w14:schemeClr w14:val="tx1"/>
                        </w14:solidFill>
                      </w14:textFill>
                    </w:rPr>
                    <w:t>cm/s，满足《危险废物贮存污染控制标准》（GB18597-2023）要求。</w:t>
                  </w:r>
                </w:p>
                <w:p w14:paraId="365FBDE9">
                  <w:pPr>
                    <w:pStyle w:val="150"/>
                    <w:spacing w:line="240" w:lineRule="auto"/>
                    <w:jc w:val="both"/>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本项目</w:t>
                  </w:r>
                  <w:r>
                    <w:rPr>
                      <w:rFonts w:hint="default" w:ascii="Times New Roman" w:hAnsi="Times New Roman" w:cs="Times New Roman"/>
                      <w:color w:val="000000" w:themeColor="text1"/>
                      <w:sz w:val="21"/>
                      <w:szCs w:val="21"/>
                      <w:highlight w:val="none"/>
                      <w14:textFill>
                        <w14:solidFill>
                          <w14:schemeClr w14:val="tx1"/>
                        </w14:solidFill>
                      </w14:textFill>
                    </w:rPr>
                    <w:t>各区域均将按照分区防渗的要求，进行防渗工作，满足《建筑地面设计规范》（GB50037）规定的防渗漏要求</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tc>
              <w:tc>
                <w:tcPr>
                  <w:tcW w:w="653" w:type="dxa"/>
                  <w:vAlign w:val="center"/>
                </w:tcPr>
                <w:p w14:paraId="4A3F96BE">
                  <w:pPr>
                    <w:spacing w:line="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新建</w:t>
                  </w:r>
                </w:p>
              </w:tc>
            </w:tr>
            <w:bookmarkEnd w:id="26"/>
          </w:tbl>
          <w:p w14:paraId="51FE5292">
            <w:pPr>
              <w:spacing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3.主要生产设备及设备参数</w:t>
            </w:r>
          </w:p>
          <w:p w14:paraId="24B27BF7">
            <w:pPr>
              <w:adjustRightInd w:val="0"/>
              <w:snapToGrid w:val="0"/>
              <w:spacing w:line="360" w:lineRule="auto"/>
              <w:ind w:left="420" w:left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本项目主要生产及辅助设备见下表。</w:t>
            </w:r>
          </w:p>
          <w:p w14:paraId="6E4A6CCC">
            <w:pPr>
              <w:autoSpaceDE w:val="0"/>
              <w:autoSpaceDN w:val="0"/>
              <w:adjustRightInd w:val="0"/>
              <w:snapToGrid w:val="0"/>
              <w:jc w:val="center"/>
              <w:rPr>
                <w:b/>
                <w:bCs/>
                <w:color w:val="000000" w:themeColor="text1"/>
                <w:sz w:val="24"/>
                <w:szCs w:val="32"/>
                <w14:textFill>
                  <w14:solidFill>
                    <w14:schemeClr w14:val="tx1"/>
                  </w14:solidFill>
                </w14:textFill>
              </w:rPr>
            </w:pPr>
            <w:r>
              <w:rPr>
                <w:b/>
                <w:bCs/>
                <w:color w:val="000000" w:themeColor="text1"/>
                <w:sz w:val="24"/>
                <w:szCs w:val="32"/>
                <w14:textFill>
                  <w14:solidFill>
                    <w14:schemeClr w14:val="tx1"/>
                  </w14:solidFill>
                </w14:textFill>
              </w:rPr>
              <w:t>表2-2  主要设备一览表</w:t>
            </w:r>
          </w:p>
          <w:tbl>
            <w:tblPr>
              <w:tblStyle w:val="24"/>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830"/>
              <w:gridCol w:w="1978"/>
              <w:gridCol w:w="2104"/>
              <w:gridCol w:w="1189"/>
              <w:gridCol w:w="996"/>
              <w:gridCol w:w="1218"/>
            </w:tblGrid>
            <w:tr w14:paraId="3F8B4B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9" w:hRule="atLeast"/>
                <w:jc w:val="center"/>
              </w:trPr>
              <w:tc>
                <w:tcPr>
                  <w:tcW w:w="830" w:type="dxa"/>
                  <w:vAlign w:val="center"/>
                </w:tcPr>
                <w:p w14:paraId="383CC58C">
                  <w:pPr>
                    <w:pStyle w:val="54"/>
                    <w:rPr>
                      <w:color w:val="000000" w:themeColor="text1"/>
                      <w:szCs w:val="21"/>
                      <w14:textFill>
                        <w14:solidFill>
                          <w14:schemeClr w14:val="tx1"/>
                        </w14:solidFill>
                      </w14:textFill>
                    </w:rPr>
                  </w:pPr>
                  <w:r>
                    <w:rPr>
                      <w:color w:val="000000" w:themeColor="text1"/>
                      <w:szCs w:val="21"/>
                      <w14:textFill>
                        <w14:solidFill>
                          <w14:schemeClr w14:val="tx1"/>
                        </w14:solidFill>
                      </w14:textFill>
                    </w:rPr>
                    <w:t>序号</w:t>
                  </w:r>
                </w:p>
              </w:tc>
              <w:tc>
                <w:tcPr>
                  <w:tcW w:w="1978" w:type="dxa"/>
                  <w:vAlign w:val="center"/>
                </w:tcPr>
                <w:p w14:paraId="0E735405">
                  <w:pPr>
                    <w:pStyle w:val="54"/>
                    <w:rPr>
                      <w:color w:val="000000" w:themeColor="text1"/>
                      <w:szCs w:val="21"/>
                      <w14:textFill>
                        <w14:solidFill>
                          <w14:schemeClr w14:val="tx1"/>
                        </w14:solidFill>
                      </w14:textFill>
                    </w:rPr>
                  </w:pPr>
                  <w:r>
                    <w:rPr>
                      <w:color w:val="000000" w:themeColor="text1"/>
                      <w:szCs w:val="21"/>
                      <w14:textFill>
                        <w14:solidFill>
                          <w14:schemeClr w14:val="tx1"/>
                        </w14:solidFill>
                      </w14:textFill>
                    </w:rPr>
                    <w:t>设备名称</w:t>
                  </w:r>
                </w:p>
              </w:tc>
              <w:tc>
                <w:tcPr>
                  <w:tcW w:w="2104" w:type="dxa"/>
                  <w:vAlign w:val="center"/>
                </w:tcPr>
                <w:p w14:paraId="796AF438">
                  <w:pPr>
                    <w:pStyle w:val="54"/>
                    <w:rPr>
                      <w:color w:val="000000" w:themeColor="text1"/>
                      <w:szCs w:val="21"/>
                      <w14:textFill>
                        <w14:solidFill>
                          <w14:schemeClr w14:val="tx1"/>
                        </w14:solidFill>
                      </w14:textFill>
                    </w:rPr>
                  </w:pPr>
                  <w:r>
                    <w:rPr>
                      <w:color w:val="000000" w:themeColor="text1"/>
                      <w:szCs w:val="21"/>
                      <w14:textFill>
                        <w14:solidFill>
                          <w14:schemeClr w14:val="tx1"/>
                        </w14:solidFill>
                      </w14:textFill>
                    </w:rPr>
                    <w:t>型号</w:t>
                  </w:r>
                </w:p>
              </w:tc>
              <w:tc>
                <w:tcPr>
                  <w:tcW w:w="1189" w:type="dxa"/>
                  <w:vAlign w:val="center"/>
                </w:tcPr>
                <w:p w14:paraId="1727EF39">
                  <w:pPr>
                    <w:pStyle w:val="54"/>
                    <w:rPr>
                      <w:color w:val="000000" w:themeColor="text1"/>
                      <w:szCs w:val="21"/>
                      <w14:textFill>
                        <w14:solidFill>
                          <w14:schemeClr w14:val="tx1"/>
                        </w14:solidFill>
                      </w14:textFill>
                    </w:rPr>
                  </w:pPr>
                  <w:r>
                    <w:rPr>
                      <w:color w:val="000000" w:themeColor="text1"/>
                      <w:szCs w:val="21"/>
                      <w14:textFill>
                        <w14:solidFill>
                          <w14:schemeClr w14:val="tx1"/>
                        </w14:solidFill>
                      </w14:textFill>
                    </w:rPr>
                    <w:t>单位</w:t>
                  </w:r>
                </w:p>
              </w:tc>
              <w:tc>
                <w:tcPr>
                  <w:tcW w:w="996" w:type="dxa"/>
                  <w:vAlign w:val="center"/>
                </w:tcPr>
                <w:p w14:paraId="72112051">
                  <w:pPr>
                    <w:pStyle w:val="54"/>
                    <w:rPr>
                      <w:color w:val="000000" w:themeColor="text1"/>
                      <w:szCs w:val="21"/>
                      <w14:textFill>
                        <w14:solidFill>
                          <w14:schemeClr w14:val="tx1"/>
                        </w14:solidFill>
                      </w14:textFill>
                    </w:rPr>
                  </w:pPr>
                  <w:r>
                    <w:rPr>
                      <w:color w:val="000000" w:themeColor="text1"/>
                      <w:szCs w:val="21"/>
                      <w14:textFill>
                        <w14:solidFill>
                          <w14:schemeClr w14:val="tx1"/>
                        </w14:solidFill>
                      </w14:textFill>
                    </w:rPr>
                    <w:t>数量</w:t>
                  </w:r>
                </w:p>
              </w:tc>
              <w:tc>
                <w:tcPr>
                  <w:tcW w:w="1218" w:type="dxa"/>
                </w:tcPr>
                <w:p w14:paraId="1611AFA0">
                  <w:pPr>
                    <w:pStyle w:val="54"/>
                    <w:rPr>
                      <w:color w:val="000000" w:themeColor="text1"/>
                      <w:szCs w:val="21"/>
                      <w14:textFill>
                        <w14:solidFill>
                          <w14:schemeClr w14:val="tx1"/>
                        </w14:solidFill>
                      </w14:textFill>
                    </w:rPr>
                  </w:pPr>
                  <w:r>
                    <w:rPr>
                      <w:color w:val="000000" w:themeColor="text1"/>
                      <w:szCs w:val="21"/>
                      <w14:textFill>
                        <w14:solidFill>
                          <w14:schemeClr w14:val="tx1"/>
                        </w14:solidFill>
                      </w14:textFill>
                    </w:rPr>
                    <w:t>备注</w:t>
                  </w:r>
                </w:p>
              </w:tc>
            </w:tr>
            <w:tr w14:paraId="655BF8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0" w:hRule="atLeast"/>
                <w:jc w:val="center"/>
              </w:trPr>
              <w:tc>
                <w:tcPr>
                  <w:tcW w:w="830" w:type="dxa"/>
                  <w:vAlign w:val="center"/>
                </w:tcPr>
                <w:p w14:paraId="5DE3927A">
                  <w:pPr>
                    <w:pStyle w:val="54"/>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1978" w:type="dxa"/>
                  <w:vAlign w:val="center"/>
                </w:tcPr>
                <w:p w14:paraId="7E772F9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生物质锅炉</w:t>
                  </w:r>
                </w:p>
              </w:tc>
              <w:tc>
                <w:tcPr>
                  <w:tcW w:w="2104" w:type="dxa"/>
                  <w:vAlign w:val="center"/>
                </w:tcPr>
                <w:p w14:paraId="3D6A2C9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DZL1.75-07/95/70-S</w:t>
                  </w:r>
                </w:p>
              </w:tc>
              <w:tc>
                <w:tcPr>
                  <w:tcW w:w="1189" w:type="dxa"/>
                  <w:vAlign w:val="center"/>
                </w:tcPr>
                <w:p w14:paraId="2D3E850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台</w:t>
                  </w:r>
                </w:p>
              </w:tc>
              <w:tc>
                <w:tcPr>
                  <w:tcW w:w="996" w:type="dxa"/>
                  <w:vAlign w:val="center"/>
                </w:tcPr>
                <w:p w14:paraId="528289B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1218" w:type="dxa"/>
                </w:tcPr>
                <w:p w14:paraId="74EA8E24">
                  <w:pPr>
                    <w:pStyle w:val="54"/>
                    <w:rPr>
                      <w:color w:val="000000" w:themeColor="text1"/>
                      <w:szCs w:val="21"/>
                      <w14:textFill>
                        <w14:solidFill>
                          <w14:schemeClr w14:val="tx1"/>
                        </w14:solidFill>
                      </w14:textFill>
                    </w:rPr>
                  </w:pPr>
                </w:p>
              </w:tc>
            </w:tr>
            <w:tr w14:paraId="75E25E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0" w:hRule="atLeast"/>
                <w:jc w:val="center"/>
              </w:trPr>
              <w:tc>
                <w:tcPr>
                  <w:tcW w:w="830" w:type="dxa"/>
                  <w:vAlign w:val="center"/>
                </w:tcPr>
                <w:p w14:paraId="145F2F5C">
                  <w:pPr>
                    <w:pStyle w:val="54"/>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1978" w:type="dxa"/>
                  <w:vAlign w:val="center"/>
                </w:tcPr>
                <w:p w14:paraId="22A8863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干式除尘器</w:t>
                  </w:r>
                </w:p>
              </w:tc>
              <w:tc>
                <w:tcPr>
                  <w:tcW w:w="2104" w:type="dxa"/>
                  <w:vAlign w:val="center"/>
                </w:tcPr>
                <w:p w14:paraId="36326CE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XD-2.5T</w:t>
                  </w:r>
                </w:p>
              </w:tc>
              <w:tc>
                <w:tcPr>
                  <w:tcW w:w="1189" w:type="dxa"/>
                  <w:vAlign w:val="center"/>
                </w:tcPr>
                <w:p w14:paraId="4788FA9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台</w:t>
                  </w:r>
                </w:p>
              </w:tc>
              <w:tc>
                <w:tcPr>
                  <w:tcW w:w="996" w:type="dxa"/>
                  <w:vAlign w:val="center"/>
                </w:tcPr>
                <w:p w14:paraId="6D0150E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1218" w:type="dxa"/>
                </w:tcPr>
                <w:p w14:paraId="668ACCDE">
                  <w:pPr>
                    <w:pStyle w:val="54"/>
                    <w:rPr>
                      <w:color w:val="000000" w:themeColor="text1"/>
                      <w:szCs w:val="21"/>
                      <w14:textFill>
                        <w14:solidFill>
                          <w14:schemeClr w14:val="tx1"/>
                        </w14:solidFill>
                      </w14:textFill>
                    </w:rPr>
                  </w:pPr>
                </w:p>
              </w:tc>
            </w:tr>
            <w:tr w14:paraId="3AFD99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32" w:hRule="atLeast"/>
                <w:jc w:val="center"/>
              </w:trPr>
              <w:tc>
                <w:tcPr>
                  <w:tcW w:w="830" w:type="dxa"/>
                  <w:vAlign w:val="center"/>
                </w:tcPr>
                <w:p w14:paraId="0842E187">
                  <w:pPr>
                    <w:pStyle w:val="54"/>
                    <w:rPr>
                      <w:color w:val="000000" w:themeColor="text1"/>
                      <w:szCs w:val="21"/>
                      <w14:textFill>
                        <w14:solidFill>
                          <w14:schemeClr w14:val="tx1"/>
                        </w14:solidFill>
                      </w14:textFill>
                    </w:rPr>
                  </w:pPr>
                  <w:r>
                    <w:rPr>
                      <w:color w:val="000000" w:themeColor="text1"/>
                      <w:szCs w:val="21"/>
                      <w14:textFill>
                        <w14:solidFill>
                          <w14:schemeClr w14:val="tx1"/>
                        </w14:solidFill>
                      </w14:textFill>
                    </w:rPr>
                    <w:t>3</w:t>
                  </w:r>
                </w:p>
              </w:tc>
              <w:tc>
                <w:tcPr>
                  <w:tcW w:w="1978" w:type="dxa"/>
                  <w:vAlign w:val="center"/>
                </w:tcPr>
                <w:p w14:paraId="08D2A62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除渣机</w:t>
                  </w:r>
                </w:p>
              </w:tc>
              <w:tc>
                <w:tcPr>
                  <w:tcW w:w="2104" w:type="dxa"/>
                  <w:vAlign w:val="center"/>
                </w:tcPr>
                <w:p w14:paraId="143BE84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GBC-3</w:t>
                  </w:r>
                </w:p>
              </w:tc>
              <w:tc>
                <w:tcPr>
                  <w:tcW w:w="1189" w:type="dxa"/>
                  <w:vAlign w:val="center"/>
                </w:tcPr>
                <w:p w14:paraId="594BA12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台</w:t>
                  </w:r>
                </w:p>
              </w:tc>
              <w:tc>
                <w:tcPr>
                  <w:tcW w:w="996" w:type="dxa"/>
                  <w:vAlign w:val="center"/>
                </w:tcPr>
                <w:p w14:paraId="4572EE9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1218" w:type="dxa"/>
                </w:tcPr>
                <w:p w14:paraId="653846B6">
                  <w:pPr>
                    <w:pStyle w:val="54"/>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 </w:t>
                  </w:r>
                </w:p>
              </w:tc>
            </w:tr>
            <w:tr w14:paraId="45C7D4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32" w:hRule="atLeast"/>
                <w:jc w:val="center"/>
              </w:trPr>
              <w:tc>
                <w:tcPr>
                  <w:tcW w:w="830" w:type="dxa"/>
                </w:tcPr>
                <w:p w14:paraId="2E04CD1D">
                  <w:pPr>
                    <w:pStyle w:val="54"/>
                    <w:rPr>
                      <w:color w:val="000000" w:themeColor="text1"/>
                      <w:szCs w:val="21"/>
                      <w14:textFill>
                        <w14:solidFill>
                          <w14:schemeClr w14:val="tx1"/>
                        </w14:solidFill>
                      </w14:textFill>
                    </w:rPr>
                  </w:pPr>
                  <w:r>
                    <w:rPr>
                      <w:color w:val="000000" w:themeColor="text1"/>
                      <w:szCs w:val="21"/>
                      <w14:textFill>
                        <w14:solidFill>
                          <w14:schemeClr w14:val="tx1"/>
                        </w14:solidFill>
                      </w14:textFill>
                    </w:rPr>
                    <w:t>4</w:t>
                  </w:r>
                </w:p>
              </w:tc>
              <w:tc>
                <w:tcPr>
                  <w:tcW w:w="1978" w:type="dxa"/>
                  <w:vAlign w:val="center"/>
                </w:tcPr>
                <w:p w14:paraId="093DA7D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布袋除尘器</w:t>
                  </w:r>
                </w:p>
              </w:tc>
              <w:tc>
                <w:tcPr>
                  <w:tcW w:w="2104" w:type="dxa"/>
                  <w:vAlign w:val="center"/>
                </w:tcPr>
                <w:p w14:paraId="1D5D39A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MC2.5T-120</w:t>
                  </w:r>
                </w:p>
              </w:tc>
              <w:tc>
                <w:tcPr>
                  <w:tcW w:w="1189" w:type="dxa"/>
                  <w:vAlign w:val="center"/>
                </w:tcPr>
                <w:p w14:paraId="1C788A6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台</w:t>
                  </w:r>
                </w:p>
              </w:tc>
              <w:tc>
                <w:tcPr>
                  <w:tcW w:w="996" w:type="dxa"/>
                  <w:vAlign w:val="center"/>
                </w:tcPr>
                <w:p w14:paraId="5761DAF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1218" w:type="dxa"/>
                </w:tcPr>
                <w:p w14:paraId="60194DBA">
                  <w:pPr>
                    <w:pStyle w:val="54"/>
                    <w:rPr>
                      <w:color w:val="000000" w:themeColor="text1"/>
                      <w:szCs w:val="21"/>
                      <w14:textFill>
                        <w14:solidFill>
                          <w14:schemeClr w14:val="tx1"/>
                        </w14:solidFill>
                      </w14:textFill>
                    </w:rPr>
                  </w:pPr>
                </w:p>
              </w:tc>
            </w:tr>
            <w:tr w14:paraId="3FBD21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32" w:hRule="atLeast"/>
                <w:jc w:val="center"/>
              </w:trPr>
              <w:tc>
                <w:tcPr>
                  <w:tcW w:w="830" w:type="dxa"/>
                </w:tcPr>
                <w:p w14:paraId="38CCEE88">
                  <w:pPr>
                    <w:pStyle w:val="54"/>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5</w:t>
                  </w:r>
                </w:p>
              </w:tc>
              <w:tc>
                <w:tcPr>
                  <w:tcW w:w="1978" w:type="dxa"/>
                  <w:vAlign w:val="center"/>
                </w:tcPr>
                <w:p w14:paraId="72DF3F88">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水泵</w:t>
                  </w:r>
                </w:p>
              </w:tc>
              <w:tc>
                <w:tcPr>
                  <w:tcW w:w="2104" w:type="dxa"/>
                  <w:vAlign w:val="center"/>
                </w:tcPr>
                <w:p w14:paraId="765768B2">
                  <w:pPr>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w:t>
                  </w:r>
                </w:p>
              </w:tc>
              <w:tc>
                <w:tcPr>
                  <w:tcW w:w="1189" w:type="dxa"/>
                  <w:vAlign w:val="center"/>
                </w:tcPr>
                <w:p w14:paraId="1381D6F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台</w:t>
                  </w:r>
                </w:p>
              </w:tc>
              <w:tc>
                <w:tcPr>
                  <w:tcW w:w="996" w:type="dxa"/>
                  <w:vAlign w:val="center"/>
                </w:tcPr>
                <w:p w14:paraId="7B82029B">
                  <w:pPr>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w:t>
                  </w:r>
                </w:p>
              </w:tc>
              <w:tc>
                <w:tcPr>
                  <w:tcW w:w="1218" w:type="dxa"/>
                </w:tcPr>
                <w:p w14:paraId="578E5C72">
                  <w:pPr>
                    <w:pStyle w:val="54"/>
                    <w:rPr>
                      <w:color w:val="000000" w:themeColor="text1"/>
                      <w:szCs w:val="21"/>
                      <w14:textFill>
                        <w14:solidFill>
                          <w14:schemeClr w14:val="tx1"/>
                        </w14:solidFill>
                      </w14:textFill>
                    </w:rPr>
                  </w:pPr>
                </w:p>
              </w:tc>
            </w:tr>
            <w:tr w14:paraId="46FC75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32" w:hRule="atLeast"/>
                <w:jc w:val="center"/>
              </w:trPr>
              <w:tc>
                <w:tcPr>
                  <w:tcW w:w="830" w:type="dxa"/>
                </w:tcPr>
                <w:p w14:paraId="1F552621">
                  <w:pPr>
                    <w:pStyle w:val="54"/>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6</w:t>
                  </w:r>
                </w:p>
              </w:tc>
              <w:tc>
                <w:tcPr>
                  <w:tcW w:w="1978" w:type="dxa"/>
                  <w:vAlign w:val="center"/>
                </w:tcPr>
                <w:p w14:paraId="0EECEEF8">
                  <w:pPr>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风机</w:t>
                  </w:r>
                </w:p>
              </w:tc>
              <w:tc>
                <w:tcPr>
                  <w:tcW w:w="2104" w:type="dxa"/>
                  <w:vAlign w:val="center"/>
                </w:tcPr>
                <w:p w14:paraId="2B7B9F2C">
                  <w:pPr>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w:t>
                  </w:r>
                </w:p>
              </w:tc>
              <w:tc>
                <w:tcPr>
                  <w:tcW w:w="1189" w:type="dxa"/>
                  <w:vAlign w:val="center"/>
                </w:tcPr>
                <w:p w14:paraId="1BE2AD8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台</w:t>
                  </w:r>
                </w:p>
              </w:tc>
              <w:tc>
                <w:tcPr>
                  <w:tcW w:w="996" w:type="dxa"/>
                  <w:vAlign w:val="center"/>
                </w:tcPr>
                <w:p w14:paraId="0ADE6759">
                  <w:pPr>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w:t>
                  </w:r>
                </w:p>
              </w:tc>
              <w:tc>
                <w:tcPr>
                  <w:tcW w:w="1218" w:type="dxa"/>
                </w:tcPr>
                <w:p w14:paraId="13C9442C">
                  <w:pPr>
                    <w:pStyle w:val="54"/>
                    <w:rPr>
                      <w:color w:val="000000" w:themeColor="text1"/>
                      <w:szCs w:val="21"/>
                      <w14:textFill>
                        <w14:solidFill>
                          <w14:schemeClr w14:val="tx1"/>
                        </w14:solidFill>
                      </w14:textFill>
                    </w:rPr>
                  </w:pPr>
                </w:p>
              </w:tc>
            </w:tr>
          </w:tbl>
          <w:p w14:paraId="1E277D5D">
            <w:pPr>
              <w:adjustRightInd w:val="0"/>
              <w:snapToGrid w:val="0"/>
              <w:spacing w:line="360" w:lineRule="auto"/>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4.主要原辅材料及燃料</w:t>
            </w:r>
          </w:p>
          <w:p w14:paraId="6C011CE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（1）年燃料使用量</w:t>
            </w:r>
          </w:p>
          <w:p w14:paraId="01BE5B4E">
            <w:pPr>
              <w:tabs>
                <w:tab w:val="left" w:pos="630"/>
              </w:tabs>
              <w:spacing w:line="360" w:lineRule="auto"/>
              <w:ind w:firstLine="484" w:firstLineChars="202"/>
              <w:rPr>
                <w:color w:val="000000" w:themeColor="text1"/>
                <w:sz w:val="24"/>
                <w14:textFill>
                  <w14:solidFill>
                    <w14:schemeClr w14:val="tx1"/>
                  </w14:solidFill>
                </w14:textFill>
              </w:rPr>
            </w:pPr>
            <w:r>
              <w:rPr>
                <w:color w:val="000000" w:themeColor="text1"/>
                <w:sz w:val="24"/>
                <w14:textFill>
                  <w14:solidFill>
                    <w14:schemeClr w14:val="tx1"/>
                  </w14:solidFill>
                </w14:textFill>
              </w:rPr>
              <w:t>根据建设单位提供的《兰新经营所供热情况说明》（详见附件4），兰新经营所需进行集中供热的建筑面积为6200m</w:t>
            </w:r>
            <w:r>
              <w:rPr>
                <w:color w:val="000000" w:themeColor="text1"/>
                <w:sz w:val="24"/>
                <w:vertAlign w:val="superscript"/>
                <w14:textFill>
                  <w14:solidFill>
                    <w14:schemeClr w14:val="tx1"/>
                  </w14:solidFill>
                </w14:textFill>
              </w:rPr>
              <w:t>2</w:t>
            </w:r>
            <w:r>
              <w:rPr>
                <w:color w:val="000000" w:themeColor="text1"/>
                <w:sz w:val="24"/>
                <w14:textFill>
                  <w14:solidFill>
                    <w14:schemeClr w14:val="tx1"/>
                  </w14:solidFill>
                </w14:textFill>
              </w:rPr>
              <w:t>，供热用户约120户。本项目建设1台1.75MW燃生物质热水锅炉，额定热功率为1.75MW（即1750kW）。按供热通用设计值50W/m</w:t>
            </w:r>
            <w:r>
              <w:rPr>
                <w:color w:val="000000" w:themeColor="text1"/>
                <w:sz w:val="24"/>
                <w:vertAlign w:val="superscript"/>
                <w14:textFill>
                  <w14:solidFill>
                    <w14:schemeClr w14:val="tx1"/>
                  </w14:solidFill>
                </w14:textFill>
              </w:rPr>
              <w:t>2</w:t>
            </w:r>
            <w:r>
              <w:rPr>
                <w:color w:val="000000" w:themeColor="text1"/>
                <w:sz w:val="24"/>
                <w14:textFill>
                  <w14:solidFill>
                    <w14:schemeClr w14:val="tx1"/>
                  </w14:solidFill>
                </w14:textFill>
              </w:rPr>
              <w:t>计算，总热负荷为310kW，锅炉额定热功率1750kW远大于设计热负荷310kW，热负荷裕量为1440kW，裕量率达82.3%。因此，1.75MW锅炉能够满足兰新经营所6200m</w:t>
            </w:r>
            <w:r>
              <w:rPr>
                <w:color w:val="000000" w:themeColor="text1"/>
                <w:sz w:val="24"/>
                <w:vertAlign w:val="superscript"/>
                <w14:textFill>
                  <w14:solidFill>
                    <w14:schemeClr w14:val="tx1"/>
                  </w14:solidFill>
                </w14:textFill>
              </w:rPr>
              <w:t>2</w:t>
            </w:r>
            <w:r>
              <w:rPr>
                <w:color w:val="000000" w:themeColor="text1"/>
                <w:sz w:val="24"/>
                <w14:textFill>
                  <w14:solidFill>
                    <w14:schemeClr w14:val="tx1"/>
                  </w14:solidFill>
                </w14:textFill>
              </w:rPr>
              <w:t>的集中供热需求，且具有充足的供热余量，可适应未来供热面积的适度增长。</w:t>
            </w:r>
          </w:p>
          <w:p w14:paraId="7EC17834">
            <w:pPr>
              <w:tabs>
                <w:tab w:val="left" w:pos="630"/>
              </w:tabs>
              <w:spacing w:line="360" w:lineRule="auto"/>
              <w:ind w:firstLine="484" w:firstLineChars="202"/>
              <w:rPr>
                <w:color w:val="000000" w:themeColor="text1"/>
                <w:sz w:val="24"/>
                <w14:textFill>
                  <w14:solidFill>
                    <w14:schemeClr w14:val="tx1"/>
                  </w14:solidFill>
                </w14:textFill>
              </w:rPr>
            </w:pPr>
            <w:r>
              <w:rPr>
                <w:color w:val="000000" w:themeColor="text1"/>
                <w:sz w:val="24"/>
                <w14:textFill>
                  <w14:solidFill>
                    <w14:schemeClr w14:val="tx1"/>
                  </w14:solidFill>
                </w14:textFill>
              </w:rPr>
              <w:t>总热负荷：6200 m</w:t>
            </w:r>
            <w:r>
              <w:rPr>
                <w:color w:val="000000" w:themeColor="text1"/>
                <w:sz w:val="24"/>
                <w:vertAlign w:val="superscript"/>
                <w14:textFill>
                  <w14:solidFill>
                    <w14:schemeClr w14:val="tx1"/>
                  </w14:solidFill>
                </w14:textFill>
              </w:rPr>
              <w:t>2</w:t>
            </w:r>
            <w:r>
              <w:rPr>
                <w:color w:val="000000" w:themeColor="text1"/>
                <w:sz w:val="24"/>
                <w14:textFill>
                  <w14:solidFill>
                    <w14:schemeClr w14:val="tx1"/>
                  </w14:solidFill>
                </w14:textFill>
              </w:rPr>
              <w:t xml:space="preserve"> × 50 W/m</w:t>
            </w:r>
            <w:r>
              <w:rPr>
                <w:color w:val="000000" w:themeColor="text1"/>
                <w:sz w:val="24"/>
                <w:vertAlign w:val="superscript"/>
                <w14:textFill>
                  <w14:solidFill>
                    <w14:schemeClr w14:val="tx1"/>
                  </w14:solidFill>
                </w14:textFill>
              </w:rPr>
              <w:t>2</w:t>
            </w:r>
            <w:r>
              <w:rPr>
                <w:color w:val="000000" w:themeColor="text1"/>
                <w:sz w:val="24"/>
                <w14:textFill>
                  <w14:solidFill>
                    <w14:schemeClr w14:val="tx1"/>
                  </w14:solidFill>
                </w14:textFill>
              </w:rPr>
              <w:t>= 310000W =310kW。</w:t>
            </w:r>
          </w:p>
          <w:p w14:paraId="5F2D5DEC">
            <w:pPr>
              <w:tabs>
                <w:tab w:val="left" w:pos="630"/>
              </w:tabs>
              <w:spacing w:line="360" w:lineRule="auto"/>
              <w:ind w:firstLine="484" w:firstLineChars="202"/>
              <w:rPr>
                <w:color w:val="000000" w:themeColor="text1"/>
                <w:sz w:val="24"/>
                <w14:textFill>
                  <w14:solidFill>
                    <w14:schemeClr w14:val="tx1"/>
                  </w14:solidFill>
                </w14:textFill>
              </w:rPr>
            </w:pPr>
            <w:r>
              <w:rPr>
                <w:color w:val="000000" w:themeColor="text1"/>
                <w:sz w:val="24"/>
                <w14:textFill>
                  <w14:solidFill>
                    <w14:schemeClr w14:val="tx1"/>
                  </w14:solidFill>
                </w14:textFill>
              </w:rPr>
              <w:t>供热时间：180天× 24 h/天= 4320 h。</w:t>
            </w:r>
          </w:p>
          <w:p w14:paraId="6A792164">
            <w:pPr>
              <w:tabs>
                <w:tab w:val="left" w:pos="630"/>
              </w:tabs>
              <w:spacing w:line="360" w:lineRule="auto"/>
              <w:ind w:firstLine="484" w:firstLineChars="202"/>
              <w:rPr>
                <w:color w:val="000000" w:themeColor="text1"/>
                <w:sz w:val="24"/>
                <w14:textFill>
                  <w14:solidFill>
                    <w14:schemeClr w14:val="tx1"/>
                  </w14:solidFill>
                </w14:textFill>
              </w:rPr>
            </w:pPr>
            <w:r>
              <w:rPr>
                <w:color w:val="000000" w:themeColor="text1"/>
                <w:sz w:val="24"/>
                <w14:textFill>
                  <w14:solidFill>
                    <w14:schemeClr w14:val="tx1"/>
                  </w14:solidFill>
                </w14:textFill>
              </w:rPr>
              <w:t>供热量换算：1 kWh = 3.6 MJ，年供热量 = 310kW × 4320 h × 3.6 MJ/kWh = 4821120MJ。</w:t>
            </w:r>
          </w:p>
          <w:p w14:paraId="4402E06E">
            <w:pPr>
              <w:tabs>
                <w:tab w:val="left" w:pos="630"/>
              </w:tabs>
              <w:spacing w:line="360" w:lineRule="auto"/>
              <w:ind w:firstLine="484" w:firstLineChars="202"/>
              <w:rPr>
                <w:color w:val="000000" w:themeColor="text1"/>
                <w:sz w:val="22"/>
                <w14:textFill>
                  <w14:solidFill>
                    <w14:schemeClr w14:val="tx1"/>
                  </w14:solidFill>
                </w14:textFill>
              </w:rPr>
            </w:pPr>
            <w:r>
              <w:rPr>
                <w:color w:val="000000" w:themeColor="text1"/>
                <w:sz w:val="24"/>
                <w14:textFill>
                  <w14:solidFill>
                    <w14:schemeClr w14:val="tx1"/>
                  </w14:solidFill>
                </w14:textFill>
              </w:rPr>
              <w:t>根据《生物质锅炉技术规范》（GB/T44906-2024）锅炉热效率为85%，本项目年供热量为5671905.88MJ。</w:t>
            </w:r>
          </w:p>
          <w:p w14:paraId="3D68B367">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根据建设单位提供的固体生物质检测分析报告，收到基低位发热量为16.77MJ/kg。年燃料使用量计算如下：</w:t>
            </w:r>
          </w:p>
          <w:p w14:paraId="74B74F4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年燃料使用量= 5671905.88MJ÷16.77MJ/kg÷1000=338.22t/a。</w:t>
            </w:r>
          </w:p>
          <w:p w14:paraId="3769675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（2）小时燃料最大使用量</w:t>
            </w:r>
          </w:p>
          <w:p w14:paraId="61ADEA30">
            <w:pPr>
              <w:autoSpaceDE w:val="0"/>
              <w:autoSpaceDN w:val="0"/>
              <w:adjustRightInd w:val="0"/>
              <w:snapToGrid w:val="0"/>
              <w:spacing w:line="360" w:lineRule="auto"/>
              <w:ind w:firstLine="480" w:firstLineChars="200"/>
              <w:jc w:val="left"/>
              <w:rPr>
                <w:b/>
                <w:bCs/>
                <w:color w:val="000000" w:themeColor="text1"/>
                <w:sz w:val="24"/>
                <w:szCs w:val="32"/>
                <w14:textFill>
                  <w14:solidFill>
                    <w14:schemeClr w14:val="tx1"/>
                  </w14:solidFill>
                </w14:textFill>
              </w:rPr>
            </w:pPr>
            <w:r>
              <w:rPr>
                <w:color w:val="000000" w:themeColor="text1"/>
                <w:sz w:val="24"/>
                <w14:textFill>
                  <w14:solidFill>
                    <w14:schemeClr w14:val="tx1"/>
                  </w14:solidFill>
                </w14:textFill>
              </w:rPr>
              <w:t>本项目</w:t>
            </w:r>
            <w:r>
              <w:rPr>
                <w:bCs/>
                <w:color w:val="000000" w:themeColor="text1"/>
                <w:sz w:val="24"/>
                <w14:textFill>
                  <w14:solidFill>
                    <w14:schemeClr w14:val="tx1"/>
                  </w14:solidFill>
                </w14:textFill>
              </w:rPr>
              <w:t>主要供热范围为</w:t>
            </w:r>
            <w:r>
              <w:rPr>
                <w:color w:val="000000" w:themeColor="text1"/>
                <w:sz w:val="24"/>
                <w14:textFill>
                  <w14:solidFill>
                    <w14:schemeClr w14:val="tx1"/>
                  </w14:solidFill>
                </w14:textFill>
              </w:rPr>
              <w:t>兰新经营所</w:t>
            </w:r>
            <w:r>
              <w:rPr>
                <w:bCs/>
                <w:color w:val="000000" w:themeColor="text1"/>
                <w:sz w:val="24"/>
                <w14:textFill>
                  <w14:solidFill>
                    <w14:schemeClr w14:val="tx1"/>
                  </w14:solidFill>
                </w14:textFill>
              </w:rPr>
              <w:t>，供热面积为6200m</w:t>
            </w:r>
            <w:r>
              <w:rPr>
                <w:bCs/>
                <w:color w:val="000000" w:themeColor="text1"/>
                <w:sz w:val="24"/>
                <w:vertAlign w:val="superscript"/>
                <w14:textFill>
                  <w14:solidFill>
                    <w14:schemeClr w14:val="tx1"/>
                  </w14:solidFill>
                </w14:textFill>
              </w:rPr>
              <w:t>2</w:t>
            </w:r>
            <w:r>
              <w:rPr>
                <w:bCs/>
                <w:color w:val="000000" w:themeColor="text1"/>
                <w:sz w:val="24"/>
                <w14:textFill>
                  <w14:solidFill>
                    <w14:schemeClr w14:val="tx1"/>
                  </w14:solidFill>
                </w14:textFill>
              </w:rPr>
              <w:t>，</w:t>
            </w:r>
            <w:r>
              <w:rPr>
                <w:color w:val="000000" w:themeColor="text1"/>
                <w:sz w:val="24"/>
                <w14:textFill>
                  <w14:solidFill>
                    <w14:schemeClr w14:val="tx1"/>
                  </w14:solidFill>
                </w14:textFill>
              </w:rPr>
              <w:t>锅炉燃料消耗计算方法：总热功率/热效率/燃料发热量＝燃料消耗量，1.75MW锅炉总热功率为150万大卡，根据建设单位提供的固体生物质检测分析报告，收到基低位发热量为16.77MJ/kg（1MJ=1000000焦耳=239.234大卡）即4011.95418大卡/kg，本项目为1.75MW锅炉，根据《生物质锅炉技术规范》（GB/T44906-2024）锅炉热效率为85%，本则1台1.75MW锅炉生物质成型燃料消耗量：1500000/85%/4011.95418/1000=0.44t/h。</w:t>
            </w:r>
          </w:p>
          <w:p w14:paraId="67FE2A1F">
            <w:pPr>
              <w:autoSpaceDE w:val="0"/>
              <w:autoSpaceDN w:val="0"/>
              <w:adjustRightInd w:val="0"/>
              <w:snapToGrid w:val="0"/>
              <w:jc w:val="center"/>
              <w:rPr>
                <w:b/>
                <w:bCs/>
                <w:color w:val="000000" w:themeColor="text1"/>
                <w:sz w:val="24"/>
                <w:szCs w:val="32"/>
                <w14:textFill>
                  <w14:solidFill>
                    <w14:schemeClr w14:val="tx1"/>
                  </w14:solidFill>
                </w14:textFill>
              </w:rPr>
            </w:pPr>
            <w:r>
              <w:rPr>
                <w:b/>
                <w:bCs/>
                <w:color w:val="000000" w:themeColor="text1"/>
                <w:sz w:val="24"/>
                <w:szCs w:val="32"/>
                <w14:textFill>
                  <w14:solidFill>
                    <w14:schemeClr w14:val="tx1"/>
                  </w14:solidFill>
                </w14:textFill>
              </w:rPr>
              <w:t>表2-3 主要原辅材料消耗</w:t>
            </w:r>
          </w:p>
          <w:tbl>
            <w:tblPr>
              <w:tblStyle w:val="24"/>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387"/>
              <w:gridCol w:w="2716"/>
              <w:gridCol w:w="1049"/>
              <w:gridCol w:w="1794"/>
            </w:tblGrid>
            <w:tr w14:paraId="245B02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2387" w:type="dxa"/>
                  <w:vAlign w:val="center"/>
                </w:tcPr>
                <w:p w14:paraId="1CA2DCAD">
                  <w:pPr>
                    <w:spacing w:line="0" w:lineRule="atLeast"/>
                    <w:contextualSpacing/>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项目</w:t>
                  </w:r>
                </w:p>
              </w:tc>
              <w:tc>
                <w:tcPr>
                  <w:tcW w:w="2716" w:type="dxa"/>
                  <w:vAlign w:val="center"/>
                </w:tcPr>
                <w:p w14:paraId="2EF8A487">
                  <w:pPr>
                    <w:spacing w:line="0" w:lineRule="atLeast"/>
                    <w:contextualSpacing/>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年用量</w:t>
                  </w:r>
                </w:p>
              </w:tc>
              <w:tc>
                <w:tcPr>
                  <w:tcW w:w="1049" w:type="dxa"/>
                  <w:vAlign w:val="center"/>
                </w:tcPr>
                <w:p w14:paraId="13CC940E">
                  <w:pPr>
                    <w:spacing w:line="0" w:lineRule="atLeast"/>
                    <w:contextualSpacing/>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单位</w:t>
                  </w:r>
                </w:p>
              </w:tc>
              <w:tc>
                <w:tcPr>
                  <w:tcW w:w="1794" w:type="dxa"/>
                  <w:vAlign w:val="center"/>
                </w:tcPr>
                <w:p w14:paraId="2A589BBA">
                  <w:pPr>
                    <w:spacing w:line="0" w:lineRule="atLeast"/>
                    <w:contextualSpacing/>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备注</w:t>
                  </w:r>
                </w:p>
              </w:tc>
            </w:tr>
            <w:tr w14:paraId="41D1FD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2387" w:type="dxa"/>
                  <w:vAlign w:val="center"/>
                </w:tcPr>
                <w:p w14:paraId="5283FFA5">
                  <w:pPr>
                    <w:spacing w:line="0" w:lineRule="atLeast"/>
                    <w:contextualSpacing/>
                    <w:jc w:val="center"/>
                    <w:rPr>
                      <w:color w:val="000000" w:themeColor="text1"/>
                      <w:szCs w:val="21"/>
                      <w14:textFill>
                        <w14:solidFill>
                          <w14:schemeClr w14:val="tx1"/>
                        </w14:solidFill>
                      </w14:textFill>
                    </w:rPr>
                  </w:pPr>
                  <w:r>
                    <w:rPr>
                      <w:rFonts w:hint="eastAsia"/>
                      <w:color w:val="000000" w:themeColor="text1"/>
                      <w:szCs w:val="21"/>
                      <w:lang w:eastAsia="zh-CN"/>
                      <w14:textFill>
                        <w14:solidFill>
                          <w14:schemeClr w14:val="tx1"/>
                        </w14:solidFill>
                      </w14:textFill>
                    </w:rPr>
                    <w:t>生物质压块</w:t>
                  </w:r>
                  <w:r>
                    <w:rPr>
                      <w:color w:val="000000" w:themeColor="text1"/>
                      <w:szCs w:val="21"/>
                      <w14:textFill>
                        <w14:solidFill>
                          <w14:schemeClr w14:val="tx1"/>
                        </w14:solidFill>
                      </w14:textFill>
                    </w:rPr>
                    <w:t>燃料</w:t>
                  </w:r>
                </w:p>
              </w:tc>
              <w:tc>
                <w:tcPr>
                  <w:tcW w:w="2716" w:type="dxa"/>
                  <w:vAlign w:val="center"/>
                </w:tcPr>
                <w:p w14:paraId="2CF33CA0">
                  <w:pPr>
                    <w:spacing w:line="0" w:lineRule="atLeast"/>
                    <w:contextualSpacing/>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338.22</w:t>
                  </w:r>
                </w:p>
              </w:tc>
              <w:tc>
                <w:tcPr>
                  <w:tcW w:w="1049" w:type="dxa"/>
                  <w:vAlign w:val="center"/>
                </w:tcPr>
                <w:p w14:paraId="0A699E3F">
                  <w:pPr>
                    <w:spacing w:line="0" w:lineRule="atLeast"/>
                    <w:contextualSpacing/>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t/a</w:t>
                  </w:r>
                </w:p>
              </w:tc>
              <w:tc>
                <w:tcPr>
                  <w:tcW w:w="1794" w:type="dxa"/>
                  <w:vAlign w:val="center"/>
                </w:tcPr>
                <w:p w14:paraId="10E87B61">
                  <w:pPr>
                    <w:spacing w:line="0" w:lineRule="atLeast"/>
                    <w:contextualSpacing/>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r w14:paraId="5E180A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2387" w:type="dxa"/>
                  <w:vAlign w:val="center"/>
                </w:tcPr>
                <w:p w14:paraId="18700564">
                  <w:pPr>
                    <w:spacing w:line="0" w:lineRule="atLeast"/>
                    <w:contextualSpacing/>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锅炉用水</w:t>
                  </w:r>
                </w:p>
              </w:tc>
              <w:tc>
                <w:tcPr>
                  <w:tcW w:w="2716" w:type="dxa"/>
                  <w:vAlign w:val="center"/>
                </w:tcPr>
                <w:p w14:paraId="6AB13631">
                  <w:pPr>
                    <w:spacing w:line="0" w:lineRule="atLeast"/>
                    <w:contextualSpacing/>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2835.5</w:t>
                  </w:r>
                </w:p>
              </w:tc>
              <w:tc>
                <w:tcPr>
                  <w:tcW w:w="1049" w:type="dxa"/>
                  <w:vAlign w:val="center"/>
                </w:tcPr>
                <w:p w14:paraId="28DD92AC">
                  <w:pPr>
                    <w:spacing w:line="0" w:lineRule="atLeast"/>
                    <w:contextualSpacing/>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t/a</w:t>
                  </w:r>
                </w:p>
              </w:tc>
              <w:tc>
                <w:tcPr>
                  <w:tcW w:w="1794" w:type="dxa"/>
                  <w:vAlign w:val="center"/>
                </w:tcPr>
                <w:p w14:paraId="17C58294">
                  <w:pPr>
                    <w:spacing w:line="0" w:lineRule="atLeast"/>
                    <w:contextualSpacing/>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w:t>
                  </w:r>
                </w:p>
              </w:tc>
            </w:tr>
          </w:tbl>
          <w:p w14:paraId="2FF01EC3">
            <w:pPr>
              <w:widowControl/>
              <w:adjustRightInd w:val="0"/>
              <w:snapToGrid w:val="0"/>
              <w:spacing w:line="360" w:lineRule="auto"/>
              <w:rPr>
                <w:b/>
                <w:bCs/>
                <w:color w:val="000000" w:themeColor="text1"/>
                <w:kern w:val="0"/>
                <w:sz w:val="24"/>
                <w14:textFill>
                  <w14:solidFill>
                    <w14:schemeClr w14:val="tx1"/>
                  </w14:solidFill>
                </w14:textFill>
              </w:rPr>
            </w:pPr>
            <w:r>
              <w:rPr>
                <w:b/>
                <w:bCs/>
                <w:color w:val="000000" w:themeColor="text1"/>
                <w:sz w:val="24"/>
                <w14:textFill>
                  <w14:solidFill>
                    <w14:schemeClr w14:val="tx1"/>
                  </w14:solidFill>
                </w14:textFill>
              </w:rPr>
              <w:t>5.公用工程</w:t>
            </w:r>
          </w:p>
          <w:p w14:paraId="29D8EEDD">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本项目供水由市政管网提供，用水主要为生活用水和锅炉用水。</w:t>
            </w:r>
          </w:p>
          <w:p w14:paraId="02506DD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（1）供水</w:t>
            </w:r>
          </w:p>
          <w:p w14:paraId="629213D0">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①生活用水</w:t>
            </w:r>
          </w:p>
          <w:p w14:paraId="190EFC71">
            <w:pPr>
              <w:adjustRightInd w:val="0"/>
              <w:snapToGrid w:val="0"/>
              <w:spacing w:line="360" w:lineRule="auto"/>
              <w:ind w:firstLine="480" w:firstLineChars="200"/>
              <w:rPr>
                <w:color w:val="000000" w:themeColor="text1"/>
                <w:sz w:val="24"/>
                <w14:textFill>
                  <w14:solidFill>
                    <w14:schemeClr w14:val="tx1"/>
                  </w14:solidFill>
                </w14:textFill>
              </w:rPr>
            </w:pPr>
            <w:r>
              <w:rPr>
                <w:rFonts w:eastAsia="Times New Roman"/>
                <w:color w:val="000000" w:themeColor="text1"/>
                <w:sz w:val="24"/>
                <w14:textFill>
                  <w14:solidFill>
                    <w14:schemeClr w14:val="tx1"/>
                  </w14:solidFill>
                </w14:textFill>
              </w:rPr>
              <w:t>生活用水：运营期员工9人，年工作天数180天，生活用水由供水管网提供。根据黑龙江省地方标准《用水定额》（DB23/T727-2025），生活用水量按80L/人·d计算，生活用水量为0.72t/d，129.6/a。</w:t>
            </w:r>
          </w:p>
          <w:p w14:paraId="6EF7386A">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②锅炉用水</w:t>
            </w:r>
          </w:p>
          <w:p w14:paraId="1D3C31A5">
            <w:pPr>
              <w:tabs>
                <w:tab w:val="left" w:pos="630"/>
              </w:tabs>
              <w:spacing w:line="360" w:lineRule="auto"/>
              <w:ind w:firstLine="484" w:firstLineChars="202"/>
              <w:rPr>
                <w:color w:val="000000" w:themeColor="text1"/>
                <w:sz w:val="24"/>
                <w14:textFill>
                  <w14:solidFill>
                    <w14:schemeClr w14:val="tx1"/>
                  </w14:solidFill>
                </w14:textFill>
              </w:rPr>
            </w:pPr>
            <w:r>
              <w:rPr>
                <w:color w:val="000000" w:themeColor="text1"/>
                <w:sz w:val="24"/>
                <w14:textFill>
                  <w14:solidFill>
                    <w14:schemeClr w14:val="tx1"/>
                  </w14:solidFill>
                </w14:textFill>
              </w:rPr>
              <w:t>本项目主要供热范围为兰新经营所，供热面积为6200m</w:t>
            </w:r>
            <w:r>
              <w:rPr>
                <w:color w:val="000000" w:themeColor="text1"/>
                <w:sz w:val="24"/>
                <w:vertAlign w:val="superscript"/>
                <w14:textFill>
                  <w14:solidFill>
                    <w14:schemeClr w14:val="tx1"/>
                  </w14:solidFill>
                </w14:textFill>
              </w:rPr>
              <w:t>2</w:t>
            </w:r>
            <w:r>
              <w:rPr>
                <w:color w:val="000000" w:themeColor="text1"/>
                <w:sz w:val="24"/>
                <w14:textFill>
                  <w14:solidFill>
                    <w14:schemeClr w14:val="tx1"/>
                  </w14:solidFill>
                </w14:textFill>
              </w:rPr>
              <w:t>，供热通用设计值50 W/m</w:t>
            </w:r>
            <w:r>
              <w:rPr>
                <w:color w:val="000000" w:themeColor="text1"/>
                <w:sz w:val="24"/>
                <w:vertAlign w:val="superscript"/>
                <w14:textFill>
                  <w14:solidFill>
                    <w14:schemeClr w14:val="tx1"/>
                  </w14:solidFill>
                </w14:textFill>
              </w:rPr>
              <w:t>2</w:t>
            </w:r>
            <w:r>
              <w:rPr>
                <w:color w:val="000000" w:themeColor="text1"/>
                <w:sz w:val="24"/>
                <w14:textFill>
                  <w14:solidFill>
                    <w14:schemeClr w14:val="tx1"/>
                  </w14:solidFill>
                </w14:textFill>
              </w:rPr>
              <w:t>（符合《城镇供热管网工程施工及验收规范》CJJ 28-2014推荐范围40-60 W/m</w:t>
            </w:r>
            <w:r>
              <w:rPr>
                <w:color w:val="000000" w:themeColor="text1"/>
                <w:sz w:val="24"/>
                <w:vertAlign w:val="superscript"/>
                <w14:textFill>
                  <w14:solidFill>
                    <w14:schemeClr w14:val="tx1"/>
                  </w14:solidFill>
                </w14:textFill>
              </w:rPr>
              <w:t>2</w:t>
            </w:r>
            <w:r>
              <w:rPr>
                <w:color w:val="000000" w:themeColor="text1"/>
                <w:sz w:val="24"/>
                <w14:textFill>
                  <w14:solidFill>
                    <w14:schemeClr w14:val="tx1"/>
                  </w14:solidFill>
                </w14:textFill>
              </w:rPr>
              <w:t>），总热负荷计算如下：</w:t>
            </w:r>
          </w:p>
          <w:p w14:paraId="29495997">
            <w:pPr>
              <w:tabs>
                <w:tab w:val="left" w:pos="630"/>
              </w:tabs>
              <w:spacing w:line="360" w:lineRule="auto"/>
              <w:ind w:firstLine="484" w:firstLineChars="202"/>
              <w:rPr>
                <w:color w:val="000000" w:themeColor="text1"/>
                <w:sz w:val="24"/>
                <w14:textFill>
                  <w14:solidFill>
                    <w14:schemeClr w14:val="tx1"/>
                  </w14:solidFill>
                </w14:textFill>
              </w:rPr>
            </w:pPr>
            <w:r>
              <w:rPr>
                <w:color w:val="000000" w:themeColor="text1"/>
                <w:sz w:val="24"/>
                <w14:textFill>
                  <w14:solidFill>
                    <w14:schemeClr w14:val="tx1"/>
                  </w14:solidFill>
                </w14:textFill>
              </w:rPr>
              <w:t>总热负荷：6200 m</w:t>
            </w:r>
            <w:r>
              <w:rPr>
                <w:color w:val="000000" w:themeColor="text1"/>
                <w:sz w:val="24"/>
                <w:vertAlign w:val="superscript"/>
                <w14:textFill>
                  <w14:solidFill>
                    <w14:schemeClr w14:val="tx1"/>
                  </w14:solidFill>
                </w14:textFill>
              </w:rPr>
              <w:t>2</w:t>
            </w:r>
            <w:r>
              <w:rPr>
                <w:color w:val="000000" w:themeColor="text1"/>
                <w:sz w:val="24"/>
                <w14:textFill>
                  <w14:solidFill>
                    <w14:schemeClr w14:val="tx1"/>
                  </w14:solidFill>
                </w14:textFill>
              </w:rPr>
              <w:t xml:space="preserve"> × 50 W/m</w:t>
            </w:r>
            <w:r>
              <w:rPr>
                <w:color w:val="000000" w:themeColor="text1"/>
                <w:sz w:val="24"/>
                <w:vertAlign w:val="superscript"/>
                <w14:textFill>
                  <w14:solidFill>
                    <w14:schemeClr w14:val="tx1"/>
                  </w14:solidFill>
                </w14:textFill>
              </w:rPr>
              <w:t>2</w:t>
            </w:r>
            <w:r>
              <w:rPr>
                <w:color w:val="000000" w:themeColor="text1"/>
                <w:sz w:val="24"/>
                <w14:textFill>
                  <w14:solidFill>
                    <w14:schemeClr w14:val="tx1"/>
                  </w14:solidFill>
                </w14:textFill>
              </w:rPr>
              <w:t>= 310000W =310kW。</w:t>
            </w:r>
          </w:p>
          <w:p w14:paraId="7DFEB6BD">
            <w:pPr>
              <w:tabs>
                <w:tab w:val="left" w:pos="630"/>
              </w:tabs>
              <w:spacing w:line="360" w:lineRule="auto"/>
              <w:ind w:firstLine="484" w:firstLineChars="202"/>
              <w:rPr>
                <w:color w:val="000000" w:themeColor="text1"/>
                <w:sz w:val="24"/>
                <w14:textFill>
                  <w14:solidFill>
                    <w14:schemeClr w14:val="tx1"/>
                  </w14:solidFill>
                </w14:textFill>
              </w:rPr>
            </w:pPr>
            <w:r>
              <w:rPr>
                <w:color w:val="000000" w:themeColor="text1"/>
                <w:sz w:val="24"/>
                <w14:textFill>
                  <w14:solidFill>
                    <w14:schemeClr w14:val="tx1"/>
                  </w14:solidFill>
                </w14:textFill>
              </w:rPr>
              <w:t>供热时间：180天× 24 h/天= 4320 h。</w:t>
            </w:r>
          </w:p>
          <w:p w14:paraId="2FB57C67">
            <w:pPr>
              <w:tabs>
                <w:tab w:val="left" w:pos="630"/>
              </w:tabs>
              <w:spacing w:line="360" w:lineRule="auto"/>
              <w:ind w:firstLine="484" w:firstLineChars="202"/>
              <w:rPr>
                <w:color w:val="000000" w:themeColor="text1"/>
                <w:sz w:val="24"/>
                <w14:textFill>
                  <w14:solidFill>
                    <w14:schemeClr w14:val="tx1"/>
                  </w14:solidFill>
                </w14:textFill>
              </w:rPr>
            </w:pPr>
            <w:r>
              <w:rPr>
                <w:color w:val="000000" w:themeColor="text1"/>
                <w:sz w:val="24"/>
                <w14:textFill>
                  <w14:solidFill>
                    <w14:schemeClr w14:val="tx1"/>
                  </w14:solidFill>
                </w14:textFill>
              </w:rPr>
              <w:t>供热量换算：1 kWh = 3.6 MJ，年供热量 = 310kW × 4320 h × 3.6 MJ/kWh = 4821120MJ。</w:t>
            </w:r>
          </w:p>
          <w:p w14:paraId="60724C1D">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根据《生物质锅炉技术规范》（GB/T44906-2024）锅炉热效率为85%，本项目年供热量为5671905.88MJ。</w:t>
            </w:r>
          </w:p>
          <w:p w14:paraId="1BDEE66E">
            <w:pPr>
              <w:adjustRightInd w:val="0"/>
              <w:snapToGrid w:val="0"/>
              <w:spacing w:line="360" w:lineRule="auto"/>
              <w:ind w:firstLine="480" w:firstLineChars="200"/>
              <w:rPr>
                <w:color w:val="000000" w:themeColor="text1"/>
                <w:sz w:val="24"/>
                <w:highlight w:val="yellow"/>
                <w14:textFill>
                  <w14:solidFill>
                    <w14:schemeClr w14:val="tx1"/>
                  </w14:solidFill>
                </w14:textFill>
              </w:rPr>
            </w:pPr>
            <w:r>
              <w:rPr>
                <w:rFonts w:eastAsia="Times New Roman"/>
                <w:color w:val="000000" w:themeColor="text1"/>
                <w:sz w:val="24"/>
                <w14:textFill>
                  <w14:solidFill>
                    <w14:schemeClr w14:val="tx1"/>
                  </w14:solidFill>
                </w14:textFill>
              </w:rPr>
              <w:t>依据《黑龙江省地方标准》（DB23/T727-2025）中表E.26，供热用水定额为0.5m</w:t>
            </w:r>
            <w:r>
              <w:rPr>
                <w:rFonts w:eastAsia="Times New Roman"/>
                <w:color w:val="000000" w:themeColor="text1"/>
                <w:sz w:val="24"/>
                <w:vertAlign w:val="superscript"/>
                <w14:textFill>
                  <w14:solidFill>
                    <w14:schemeClr w14:val="tx1"/>
                  </w14:solidFill>
                </w14:textFill>
              </w:rPr>
              <w:t>3</w:t>
            </w:r>
            <w:r>
              <w:rPr>
                <w:rFonts w:eastAsia="Times New Roman"/>
                <w:color w:val="000000" w:themeColor="text1"/>
                <w:sz w:val="24"/>
                <w14:textFill>
                  <w14:solidFill>
                    <w14:schemeClr w14:val="tx1"/>
                  </w14:solidFill>
                </w14:textFill>
              </w:rPr>
              <w:t>/GJ，计算得知锅炉年用水量为2410.5m</w:t>
            </w:r>
            <w:r>
              <w:rPr>
                <w:rFonts w:eastAsia="Times New Roman"/>
                <w:color w:val="000000" w:themeColor="text1"/>
                <w:sz w:val="24"/>
                <w:vertAlign w:val="superscript"/>
                <w14:textFill>
                  <w14:solidFill>
                    <w14:schemeClr w14:val="tx1"/>
                  </w14:solidFill>
                </w14:textFill>
              </w:rPr>
              <w:t>3</w:t>
            </w:r>
            <w:r>
              <w:rPr>
                <w:rFonts w:eastAsia="Times New Roman"/>
                <w:color w:val="000000" w:themeColor="text1"/>
                <w:sz w:val="24"/>
                <w14:textFill>
                  <w14:solidFill>
                    <w14:schemeClr w14:val="tx1"/>
                  </w14:solidFill>
                </w14:textFill>
              </w:rPr>
              <w:t>/a（</w:t>
            </w:r>
            <w:r>
              <w:rPr>
                <w:rFonts w:hint="eastAsia"/>
                <w:color w:val="000000" w:themeColor="text1"/>
                <w:sz w:val="24"/>
                <w:lang w:val="en-US" w:eastAsia="zh-CN"/>
                <w14:textFill>
                  <w14:solidFill>
                    <w14:schemeClr w14:val="tx1"/>
                  </w14:solidFill>
                </w14:textFill>
              </w:rPr>
              <w:t>13.39</w:t>
            </w:r>
            <w:r>
              <w:rPr>
                <w:rFonts w:eastAsia="Times New Roman"/>
                <w:color w:val="000000" w:themeColor="text1"/>
                <w:sz w:val="24"/>
                <w14:textFill>
                  <w14:solidFill>
                    <w14:schemeClr w14:val="tx1"/>
                  </w14:solidFill>
                </w14:textFill>
              </w:rPr>
              <w:t>m</w:t>
            </w:r>
            <w:r>
              <w:rPr>
                <w:rFonts w:eastAsia="Times New Roman"/>
                <w:color w:val="000000" w:themeColor="text1"/>
                <w:sz w:val="24"/>
                <w:vertAlign w:val="superscript"/>
                <w14:textFill>
                  <w14:solidFill>
                    <w14:schemeClr w14:val="tx1"/>
                  </w14:solidFill>
                </w14:textFill>
              </w:rPr>
              <w:t>3</w:t>
            </w:r>
            <w:r>
              <w:rPr>
                <w:rFonts w:eastAsia="Times New Roman"/>
                <w:color w:val="000000" w:themeColor="text1"/>
                <w:sz w:val="24"/>
                <w14:textFill>
                  <w14:solidFill>
                    <w14:schemeClr w14:val="tx1"/>
                  </w14:solidFill>
                </w14:textFill>
              </w:rPr>
              <w:t>/d）。软化水设施制备效率为85%，计算得知锅炉年用水量为2835.5m</w:t>
            </w:r>
            <w:r>
              <w:rPr>
                <w:rFonts w:eastAsia="Times New Roman"/>
                <w:color w:val="000000" w:themeColor="text1"/>
                <w:sz w:val="24"/>
                <w:vertAlign w:val="superscript"/>
                <w14:textFill>
                  <w14:solidFill>
                    <w14:schemeClr w14:val="tx1"/>
                  </w14:solidFill>
                </w14:textFill>
              </w:rPr>
              <w:t>3</w:t>
            </w:r>
            <w:r>
              <w:rPr>
                <w:rFonts w:eastAsia="Times New Roman"/>
                <w:color w:val="000000" w:themeColor="text1"/>
                <w:sz w:val="24"/>
                <w14:textFill>
                  <w14:solidFill>
                    <w14:schemeClr w14:val="tx1"/>
                  </w14:solidFill>
                </w14:textFill>
              </w:rPr>
              <w:t>/a（</w:t>
            </w:r>
            <w:r>
              <w:rPr>
                <w:rFonts w:hint="eastAsia"/>
                <w:color w:val="000000" w:themeColor="text1"/>
                <w:sz w:val="24"/>
                <w:lang w:val="en-US" w:eastAsia="zh-CN"/>
                <w14:textFill>
                  <w14:solidFill>
                    <w14:schemeClr w14:val="tx1"/>
                  </w14:solidFill>
                </w14:textFill>
              </w:rPr>
              <w:t>15.75</w:t>
            </w:r>
            <w:r>
              <w:rPr>
                <w:rFonts w:eastAsia="Times New Roman"/>
                <w:color w:val="000000" w:themeColor="text1"/>
                <w:sz w:val="24"/>
                <w14:textFill>
                  <w14:solidFill>
                    <w14:schemeClr w14:val="tx1"/>
                  </w14:solidFill>
                </w14:textFill>
              </w:rPr>
              <w:t>m</w:t>
            </w:r>
            <w:r>
              <w:rPr>
                <w:rFonts w:eastAsia="Times New Roman"/>
                <w:color w:val="000000" w:themeColor="text1"/>
                <w:sz w:val="24"/>
                <w:vertAlign w:val="superscript"/>
                <w14:textFill>
                  <w14:solidFill>
                    <w14:schemeClr w14:val="tx1"/>
                  </w14:solidFill>
                </w14:textFill>
              </w:rPr>
              <w:t>3</w:t>
            </w:r>
            <w:r>
              <w:rPr>
                <w:rFonts w:eastAsia="Times New Roman"/>
                <w:color w:val="000000" w:themeColor="text1"/>
                <w:sz w:val="24"/>
                <w14:textFill>
                  <w14:solidFill>
                    <w14:schemeClr w14:val="tx1"/>
                  </w14:solidFill>
                </w14:textFill>
              </w:rPr>
              <w:t>/d）。</w:t>
            </w:r>
          </w:p>
          <w:p w14:paraId="513AC108">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（2）排水</w:t>
            </w:r>
          </w:p>
          <w:p w14:paraId="560C3D27">
            <w:pPr>
              <w:tabs>
                <w:tab w:val="left" w:pos="6280"/>
              </w:tabs>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本项目排水主要为锅炉排污水、锅炉软化水废水、生活污水。</w:t>
            </w:r>
          </w:p>
          <w:p w14:paraId="2E92D491">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①生活污水</w:t>
            </w:r>
          </w:p>
          <w:p w14:paraId="51F17885">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szCs w:val="32"/>
                <w14:textFill>
                  <w14:solidFill>
                    <w14:schemeClr w14:val="tx1"/>
                  </w14:solidFill>
                </w14:textFill>
              </w:rPr>
              <w:t>生活污水排水量按用水量80%计算，则项目生活污水产生量为0.576m</w:t>
            </w:r>
            <w:r>
              <w:rPr>
                <w:color w:val="000000" w:themeColor="text1"/>
                <w:sz w:val="24"/>
                <w:szCs w:val="32"/>
                <w:vertAlign w:val="superscript"/>
                <w14:textFill>
                  <w14:solidFill>
                    <w14:schemeClr w14:val="tx1"/>
                  </w14:solidFill>
                </w14:textFill>
              </w:rPr>
              <w:t>3</w:t>
            </w:r>
            <w:r>
              <w:rPr>
                <w:color w:val="000000" w:themeColor="text1"/>
                <w:sz w:val="24"/>
                <w:szCs w:val="32"/>
                <w14:textFill>
                  <w14:solidFill>
                    <w14:schemeClr w14:val="tx1"/>
                  </w14:solidFill>
                </w14:textFill>
              </w:rPr>
              <w:t>/d，103.68m</w:t>
            </w:r>
            <w:r>
              <w:rPr>
                <w:color w:val="000000" w:themeColor="text1"/>
                <w:sz w:val="24"/>
                <w:szCs w:val="32"/>
                <w:vertAlign w:val="superscript"/>
                <w14:textFill>
                  <w14:solidFill>
                    <w14:schemeClr w14:val="tx1"/>
                  </w14:solidFill>
                </w14:textFill>
              </w:rPr>
              <w:t>3</w:t>
            </w:r>
            <w:r>
              <w:rPr>
                <w:color w:val="000000" w:themeColor="text1"/>
                <w:sz w:val="24"/>
                <w:szCs w:val="32"/>
                <w14:textFill>
                  <w14:solidFill>
                    <w14:schemeClr w14:val="tx1"/>
                  </w14:solidFill>
                </w14:textFill>
              </w:rPr>
              <w:t>/a，生活污水排放防渗</w:t>
            </w:r>
            <w:r>
              <w:rPr>
                <w:rFonts w:hint="eastAsia"/>
                <w:color w:val="000000" w:themeColor="text1"/>
                <w:sz w:val="24"/>
                <w:szCs w:val="32"/>
                <w14:textFill>
                  <w14:solidFill>
                    <w14:schemeClr w14:val="tx1"/>
                  </w14:solidFill>
                </w14:textFill>
              </w:rPr>
              <w:t>旱厕</w:t>
            </w:r>
            <w:r>
              <w:rPr>
                <w:color w:val="000000" w:themeColor="text1"/>
                <w:sz w:val="24"/>
                <w:szCs w:val="32"/>
                <w14:textFill>
                  <w14:solidFill>
                    <w14:schemeClr w14:val="tx1"/>
                  </w14:solidFill>
                </w14:textFill>
              </w:rPr>
              <w:t>，定期清掏，外运堆肥。</w:t>
            </w:r>
          </w:p>
          <w:p w14:paraId="37A968D9">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②锅炉排水</w:t>
            </w:r>
          </w:p>
          <w:p w14:paraId="79282133">
            <w:pPr>
              <w:tabs>
                <w:tab w:val="left" w:pos="6280"/>
              </w:tabs>
              <w:adjustRightInd w:val="0"/>
              <w:spacing w:line="360" w:lineRule="auto"/>
              <w:ind w:firstLine="480" w:firstLineChars="200"/>
              <w:jc w:val="left"/>
              <w:rPr>
                <w:rFonts w:eastAsia="Times New Roman"/>
                <w:color w:val="000000" w:themeColor="text1"/>
                <w:sz w:val="24"/>
                <w14:textFill>
                  <w14:solidFill>
                    <w14:schemeClr w14:val="tx1"/>
                  </w14:solidFill>
                </w14:textFill>
              </w:rPr>
            </w:pPr>
            <w:r>
              <w:rPr>
                <w:rFonts w:eastAsia="Times New Roman"/>
                <w:color w:val="000000" w:themeColor="text1"/>
                <w:sz w:val="24"/>
                <w14:textFill>
                  <w14:solidFill>
                    <w14:schemeClr w14:val="tx1"/>
                  </w14:solidFill>
                </w14:textFill>
              </w:rPr>
              <w:t>由《排放源统计调查产排污核算方法和系数手册》（公告2021年第24号）中“4430工业锅炉（热力生产和供应行业）产排污系数表”的内容，生物质燃料（锅外水处理）废水产生系数为0.356吨/吨－原料，本项目生物质锅炉年燃烧生物质消耗量338.22t/a，锅炉排污水排水量为0.</w:t>
            </w:r>
            <w:r>
              <w:rPr>
                <w:rFonts w:hint="eastAsia"/>
                <w:color w:val="000000" w:themeColor="text1"/>
                <w:sz w:val="24"/>
                <w:lang w:val="en-US" w:eastAsia="zh-CN"/>
                <w14:textFill>
                  <w14:solidFill>
                    <w14:schemeClr w14:val="tx1"/>
                  </w14:solidFill>
                </w14:textFill>
              </w:rPr>
              <w:t>6</w:t>
            </w:r>
            <w:r>
              <w:rPr>
                <w:rFonts w:eastAsia="Times New Roman"/>
                <w:color w:val="000000" w:themeColor="text1"/>
                <w:sz w:val="24"/>
                <w14:textFill>
                  <w14:solidFill>
                    <w14:schemeClr w14:val="tx1"/>
                  </w14:solidFill>
                </w14:textFill>
              </w:rPr>
              <w:t>7m</w:t>
            </w:r>
            <w:r>
              <w:rPr>
                <w:rFonts w:eastAsia="Times New Roman"/>
                <w:color w:val="000000" w:themeColor="text1"/>
                <w:sz w:val="24"/>
                <w:vertAlign w:val="superscript"/>
                <w14:textFill>
                  <w14:solidFill>
                    <w14:schemeClr w14:val="tx1"/>
                  </w14:solidFill>
                </w14:textFill>
              </w:rPr>
              <w:t>3</w:t>
            </w:r>
            <w:r>
              <w:rPr>
                <w:rFonts w:eastAsia="Times New Roman"/>
                <w:color w:val="000000" w:themeColor="text1"/>
                <w:sz w:val="24"/>
                <w14:textFill>
                  <w14:solidFill>
                    <w14:schemeClr w14:val="tx1"/>
                  </w14:solidFill>
                </w14:textFill>
              </w:rPr>
              <w:t>/d，120.41m</w:t>
            </w:r>
            <w:r>
              <w:rPr>
                <w:rFonts w:eastAsia="Times New Roman"/>
                <w:color w:val="000000" w:themeColor="text1"/>
                <w:sz w:val="24"/>
                <w:vertAlign w:val="superscript"/>
                <w14:textFill>
                  <w14:solidFill>
                    <w14:schemeClr w14:val="tx1"/>
                  </w14:solidFill>
                </w14:textFill>
              </w:rPr>
              <w:t>3</w:t>
            </w:r>
            <w:r>
              <w:rPr>
                <w:rFonts w:eastAsia="Times New Roman"/>
                <w:color w:val="000000" w:themeColor="text1"/>
                <w:sz w:val="24"/>
                <w14:textFill>
                  <w14:solidFill>
                    <w14:schemeClr w14:val="tx1"/>
                  </w14:solidFill>
                </w14:textFill>
              </w:rPr>
              <w:t>/a。锅炉排污水及软化排污水用于锅炉炉渣拌湿降尘，不外排。</w:t>
            </w:r>
          </w:p>
          <w:p w14:paraId="138E8F9A">
            <w:pPr>
              <w:tabs>
                <w:tab w:val="left" w:pos="6280"/>
              </w:tabs>
              <w:adjustRightInd w:val="0"/>
              <w:spacing w:line="360" w:lineRule="auto"/>
              <w:ind w:firstLine="480" w:firstLineChars="200"/>
              <w:jc w:val="left"/>
              <w:rPr>
                <w:rFonts w:eastAsia="Times New Roman"/>
                <w:color w:val="000000" w:themeColor="text1"/>
                <w:sz w:val="24"/>
                <w14:textFill>
                  <w14:solidFill>
                    <w14:schemeClr w14:val="tx1"/>
                  </w14:solidFill>
                </w14:textFill>
              </w:rPr>
            </w:pPr>
            <w:r>
              <w:rPr>
                <w:rFonts w:eastAsia="Times New Roman"/>
                <w:color w:val="000000" w:themeColor="text1"/>
                <w:sz w:val="24"/>
                <w14:textFill>
                  <w14:solidFill>
                    <w14:schemeClr w14:val="tx1"/>
                  </w14:solidFill>
                </w14:textFill>
              </w:rPr>
              <w:fldChar w:fldCharType="begin"/>
            </w:r>
            <w:r>
              <w:rPr>
                <w:rFonts w:eastAsia="Times New Roman"/>
                <w:color w:val="000000" w:themeColor="text1"/>
                <w:sz w:val="24"/>
                <w14:textFill>
                  <w14:solidFill>
                    <w14:schemeClr w14:val="tx1"/>
                  </w14:solidFill>
                </w14:textFill>
              </w:rPr>
              <w:instrText xml:space="preserve"> = 3 \* GB3 \* MERGEFORMAT </w:instrText>
            </w:r>
            <w:r>
              <w:rPr>
                <w:rFonts w:eastAsia="Times New Roman"/>
                <w:color w:val="000000" w:themeColor="text1"/>
                <w:sz w:val="24"/>
                <w14:textFill>
                  <w14:solidFill>
                    <w14:schemeClr w14:val="tx1"/>
                  </w14:solidFill>
                </w14:textFill>
              </w:rPr>
              <w:fldChar w:fldCharType="separate"/>
            </w:r>
            <w:r>
              <w:rPr>
                <w:rFonts w:hint="eastAsia" w:eastAsia="Times New Roman"/>
                <w:color w:val="000000" w:themeColor="text1"/>
                <w:sz w:val="24"/>
                <w14:textFill>
                  <w14:solidFill>
                    <w14:schemeClr w14:val="tx1"/>
                  </w14:solidFill>
                </w14:textFill>
              </w:rPr>
              <w:t>③</w:t>
            </w:r>
            <w:r>
              <w:rPr>
                <w:rFonts w:eastAsia="Times New Roman"/>
                <w:color w:val="000000" w:themeColor="text1"/>
                <w:sz w:val="24"/>
                <w14:textFill>
                  <w14:solidFill>
                    <w14:schemeClr w14:val="tx1"/>
                  </w14:solidFill>
                </w14:textFill>
              </w:rPr>
              <w:fldChar w:fldCharType="end"/>
            </w:r>
            <w:r>
              <w:rPr>
                <w:rFonts w:hint="eastAsia" w:eastAsia="Times New Roman"/>
                <w:color w:val="000000" w:themeColor="text1"/>
                <w:sz w:val="24"/>
                <w14:textFill>
                  <w14:solidFill>
                    <w14:schemeClr w14:val="tx1"/>
                  </w14:solidFill>
                </w14:textFill>
              </w:rPr>
              <w:t>软化水废水</w:t>
            </w:r>
          </w:p>
          <w:p w14:paraId="5F27B3FA">
            <w:pPr>
              <w:tabs>
                <w:tab w:val="left" w:pos="6280"/>
              </w:tabs>
              <w:adjustRightInd w:val="0"/>
              <w:spacing w:line="360" w:lineRule="auto"/>
              <w:ind w:firstLine="480" w:firstLineChars="200"/>
              <w:jc w:val="left"/>
              <w:rPr>
                <w:rFonts w:eastAsia="Times New Roman"/>
                <w:color w:val="000000" w:themeColor="text1"/>
                <w:sz w:val="24"/>
                <w14:textFill>
                  <w14:solidFill>
                    <w14:schemeClr w14:val="tx1"/>
                  </w14:solidFill>
                </w14:textFill>
              </w:rPr>
            </w:pPr>
            <w:r>
              <w:rPr>
                <w:rFonts w:eastAsia="Times New Roman"/>
                <w:color w:val="000000" w:themeColor="text1"/>
                <w:sz w:val="24"/>
                <w14:textFill>
                  <w14:solidFill>
                    <w14:schemeClr w14:val="tx1"/>
                  </w14:solidFill>
                </w14:textFill>
              </w:rPr>
              <w:t>软化水设施制备效率为85%，</w:t>
            </w:r>
            <w:r>
              <w:rPr>
                <w:rFonts w:hint="eastAsia" w:eastAsia="Times New Roman"/>
                <w:color w:val="000000" w:themeColor="text1"/>
                <w:sz w:val="24"/>
                <w14:textFill>
                  <w14:solidFill>
                    <w14:schemeClr w14:val="tx1"/>
                  </w14:solidFill>
                </w14:textFill>
              </w:rPr>
              <w:t>软化水废水排放量为2.</w:t>
            </w:r>
            <w:r>
              <w:rPr>
                <w:rFonts w:hint="eastAsia"/>
                <w:color w:val="000000" w:themeColor="text1"/>
                <w:sz w:val="24"/>
                <w:lang w:val="en-US" w:eastAsia="zh-CN"/>
                <w14:textFill>
                  <w14:solidFill>
                    <w14:schemeClr w14:val="tx1"/>
                  </w14:solidFill>
                </w14:textFill>
              </w:rPr>
              <w:t>36</w:t>
            </w:r>
            <w:r>
              <w:rPr>
                <w:rFonts w:eastAsia="Times New Roman"/>
                <w:color w:val="000000" w:themeColor="text1"/>
                <w:sz w:val="24"/>
                <w14:textFill>
                  <w14:solidFill>
                    <w14:schemeClr w14:val="tx1"/>
                  </w14:solidFill>
                </w14:textFill>
              </w:rPr>
              <w:t>m</w:t>
            </w:r>
            <w:r>
              <w:rPr>
                <w:rFonts w:eastAsia="Times New Roman"/>
                <w:color w:val="000000" w:themeColor="text1"/>
                <w:sz w:val="24"/>
                <w:vertAlign w:val="superscript"/>
                <w14:textFill>
                  <w14:solidFill>
                    <w14:schemeClr w14:val="tx1"/>
                  </w14:solidFill>
                </w14:textFill>
              </w:rPr>
              <w:t>3</w:t>
            </w:r>
            <w:r>
              <w:rPr>
                <w:rFonts w:eastAsia="Times New Roman"/>
                <w:color w:val="000000" w:themeColor="text1"/>
                <w:sz w:val="24"/>
                <w14:textFill>
                  <w14:solidFill>
                    <w14:schemeClr w14:val="tx1"/>
                  </w14:solidFill>
                </w14:textFill>
              </w:rPr>
              <w:t>/d，</w:t>
            </w:r>
            <w:r>
              <w:rPr>
                <w:rFonts w:hint="eastAsia"/>
                <w:color w:val="000000" w:themeColor="text1"/>
                <w:sz w:val="24"/>
                <w:lang w:val="en-US" w:eastAsia="zh-CN"/>
                <w14:textFill>
                  <w14:solidFill>
                    <w14:schemeClr w14:val="tx1"/>
                  </w14:solidFill>
                </w14:textFill>
              </w:rPr>
              <w:t>425.3</w:t>
            </w:r>
            <w:r>
              <w:rPr>
                <w:rFonts w:eastAsia="Times New Roman"/>
                <w:color w:val="000000" w:themeColor="text1"/>
                <w:sz w:val="24"/>
                <w14:textFill>
                  <w14:solidFill>
                    <w14:schemeClr w14:val="tx1"/>
                  </w14:solidFill>
                </w14:textFill>
              </w:rPr>
              <w:t>m</w:t>
            </w:r>
            <w:r>
              <w:rPr>
                <w:rFonts w:eastAsia="Times New Roman"/>
                <w:color w:val="000000" w:themeColor="text1"/>
                <w:sz w:val="24"/>
                <w:vertAlign w:val="superscript"/>
                <w14:textFill>
                  <w14:solidFill>
                    <w14:schemeClr w14:val="tx1"/>
                  </w14:solidFill>
                </w14:textFill>
              </w:rPr>
              <w:t>3</w:t>
            </w:r>
            <w:r>
              <w:rPr>
                <w:rFonts w:eastAsia="Times New Roman"/>
                <w:color w:val="000000" w:themeColor="text1"/>
                <w:sz w:val="24"/>
                <w14:textFill>
                  <w14:solidFill>
                    <w14:schemeClr w14:val="tx1"/>
                  </w14:solidFill>
                </w14:textFill>
              </w:rPr>
              <w:t>/a。软化排污水用于锅炉炉渣拌湿降尘，不外排。</w:t>
            </w:r>
          </w:p>
          <w:p w14:paraId="11305E08">
            <w:pPr>
              <w:adjustRightInd w:val="0"/>
              <w:snapToGrid w:val="0"/>
              <w:spacing w:line="360" w:lineRule="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89550" cy="2625090"/>
                  <wp:effectExtent l="0" t="0" r="6350" b="3810"/>
                  <wp:docPr id="6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4"/>
                          <pic:cNvPicPr>
                            <a:picLocks noChangeAspect="1"/>
                          </pic:cNvPicPr>
                        </pic:nvPicPr>
                        <pic:blipFill>
                          <a:blip r:embed="rId13"/>
                          <a:stretch>
                            <a:fillRect/>
                          </a:stretch>
                        </pic:blipFill>
                        <pic:spPr>
                          <a:xfrm>
                            <a:off x="0" y="0"/>
                            <a:ext cx="5289550" cy="2625090"/>
                          </a:xfrm>
                          <a:prstGeom prst="rect">
                            <a:avLst/>
                          </a:prstGeom>
                          <a:noFill/>
                          <a:ln>
                            <a:noFill/>
                          </a:ln>
                        </pic:spPr>
                      </pic:pic>
                    </a:graphicData>
                  </a:graphic>
                </wp:inline>
              </w:drawing>
            </w:r>
          </w:p>
          <w:p w14:paraId="07941514">
            <w:pPr>
              <w:tabs>
                <w:tab w:val="left" w:pos="6280"/>
              </w:tabs>
              <w:adjustRightInd w:val="0"/>
              <w:spacing w:line="360" w:lineRule="auto"/>
              <w:jc w:val="center"/>
              <w:rPr>
                <w:rFonts w:hint="eastAsia" w:eastAsia="宋体"/>
                <w:color w:val="000000" w:themeColor="text1"/>
                <w:sz w:val="24"/>
                <w:lang w:eastAsia="zh-CN"/>
                <w14:textFill>
                  <w14:solidFill>
                    <w14:schemeClr w14:val="tx1"/>
                  </w14:solidFill>
                </w14:textFill>
              </w:rPr>
            </w:pPr>
            <w:r>
              <w:rPr>
                <w:rFonts w:hint="eastAsia" w:eastAsia="Times New Roman"/>
                <w:color w:val="000000" w:themeColor="text1"/>
                <w:sz w:val="24"/>
                <w14:textFill>
                  <w14:solidFill>
                    <w14:schemeClr w14:val="tx1"/>
                  </w14:solidFill>
                </w14:textFill>
              </w:rPr>
              <w:t>图2-1 本项目水平衡图</w:t>
            </w: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m</w:t>
            </w:r>
            <w:r>
              <w:rPr>
                <w:rFonts w:hint="eastAsia"/>
                <w:color w:val="000000" w:themeColor="text1"/>
                <w:sz w:val="24"/>
                <w:vertAlign w:val="superscript"/>
                <w:lang w:val="en-US" w:eastAsia="zh-CN"/>
                <w14:textFill>
                  <w14:solidFill>
                    <w14:schemeClr w14:val="tx1"/>
                  </w14:solidFill>
                </w14:textFill>
              </w:rPr>
              <w:t>3</w:t>
            </w:r>
            <w:r>
              <w:rPr>
                <w:rFonts w:hint="eastAsia"/>
                <w:color w:val="000000" w:themeColor="text1"/>
                <w:sz w:val="24"/>
                <w:lang w:val="en-US" w:eastAsia="zh-CN"/>
                <w14:textFill>
                  <w14:solidFill>
                    <w14:schemeClr w14:val="tx1"/>
                  </w14:solidFill>
                </w14:textFill>
              </w:rPr>
              <w:t>/d</w:t>
            </w:r>
            <w:r>
              <w:rPr>
                <w:rFonts w:hint="eastAsia"/>
                <w:color w:val="000000" w:themeColor="text1"/>
                <w:sz w:val="24"/>
                <w:lang w:eastAsia="zh-CN"/>
                <w14:textFill>
                  <w14:solidFill>
                    <w14:schemeClr w14:val="tx1"/>
                  </w14:solidFill>
                </w14:textFill>
              </w:rPr>
              <w:t>）</w:t>
            </w:r>
          </w:p>
          <w:p w14:paraId="56F94E45">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（3）供热</w:t>
            </w:r>
          </w:p>
          <w:p w14:paraId="353C9B23">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本项目供热由本项目锅炉提供。</w:t>
            </w:r>
          </w:p>
          <w:p w14:paraId="71186108">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（4）供电</w:t>
            </w:r>
          </w:p>
          <w:p w14:paraId="4F4F6F82">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本项目用电由市政电网提供，可满足本项目用电需求。</w:t>
            </w:r>
          </w:p>
          <w:p w14:paraId="3575B4F4">
            <w:pPr>
              <w:widowControl/>
              <w:adjustRightInd w:val="0"/>
              <w:snapToGrid w:val="0"/>
              <w:spacing w:line="360" w:lineRule="auto"/>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6.劳动定员及工作制度</w:t>
            </w:r>
          </w:p>
          <w:p w14:paraId="7FABCF9A">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本项目劳动定员9人，每天2班制，每班工作12小时，年工作180天。</w:t>
            </w:r>
          </w:p>
          <w:p w14:paraId="7D48346A">
            <w:pPr>
              <w:adjustRightInd w:val="0"/>
              <w:snapToGrid w:val="0"/>
              <w:spacing w:line="360" w:lineRule="auto"/>
              <w:rPr>
                <w:b/>
                <w:color w:val="000000" w:themeColor="text1"/>
                <w:sz w:val="24"/>
                <w14:textFill>
                  <w14:solidFill>
                    <w14:schemeClr w14:val="tx1"/>
                  </w14:solidFill>
                </w14:textFill>
              </w:rPr>
            </w:pPr>
            <w:r>
              <w:rPr>
                <w:b/>
                <w:color w:val="000000" w:themeColor="text1"/>
                <w:sz w:val="24"/>
                <w14:textFill>
                  <w14:solidFill>
                    <w14:schemeClr w14:val="tx1"/>
                  </w14:solidFill>
                </w14:textFill>
              </w:rPr>
              <w:t>7.平面布置</w:t>
            </w:r>
          </w:p>
          <w:p w14:paraId="560FAEE2">
            <w:pPr>
              <w:adjustRightInd w:val="0"/>
              <w:snapToGrid w:val="0"/>
              <w:spacing w:line="360" w:lineRule="auto"/>
              <w:ind w:firstLine="480" w:firstLineChars="200"/>
              <w:rPr>
                <w:color w:val="000000" w:themeColor="text1"/>
                <w:sz w:val="24"/>
                <w14:textFill>
                  <w14:solidFill>
                    <w14:schemeClr w14:val="tx1"/>
                  </w14:solidFill>
                </w14:textFill>
              </w:rPr>
            </w:pPr>
            <w:r>
              <w:rPr>
                <w:bCs/>
                <w:color w:val="000000" w:themeColor="text1"/>
                <w:sz w:val="24"/>
                <w14:textFill>
                  <w14:solidFill>
                    <w14:schemeClr w14:val="tx1"/>
                  </w14:solidFill>
                </w14:textFill>
              </w:rPr>
              <w:t>项目主要为锅炉房、灰渣库和燃料库，锅炉房位于厂区北侧，灰渣库和燃料库位于锅炉房南侧，厂区南侧。总体布局合理，详见附图2。</w:t>
            </w:r>
          </w:p>
          <w:p w14:paraId="32B4EEFE">
            <w:pPr>
              <w:widowControl/>
              <w:adjustRightInd w:val="0"/>
              <w:snapToGrid w:val="0"/>
              <w:spacing w:line="360" w:lineRule="auto"/>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8.环保投资</w:t>
            </w:r>
          </w:p>
          <w:p w14:paraId="62414669">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本项目总投资100万元，环保投资20万元，环保总投资占项目总投资的</w:t>
            </w:r>
            <w:r>
              <w:rPr>
                <w:rFonts w:hint="eastAsia"/>
                <w:color w:val="000000" w:themeColor="text1"/>
                <w:sz w:val="24"/>
                <w14:textFill>
                  <w14:solidFill>
                    <w14:schemeClr w14:val="tx1"/>
                  </w14:solidFill>
                </w14:textFill>
              </w:rPr>
              <w:t>20</w:t>
            </w:r>
            <w:r>
              <w:rPr>
                <w:color w:val="000000" w:themeColor="text1"/>
                <w:sz w:val="24"/>
                <w14:textFill>
                  <w14:solidFill>
                    <w14:schemeClr w14:val="tx1"/>
                  </w14:solidFill>
                </w14:textFill>
              </w:rPr>
              <w:t>%。环保投资详见表2-5。</w:t>
            </w:r>
          </w:p>
          <w:p w14:paraId="7D371690">
            <w:pPr>
              <w:autoSpaceDE w:val="0"/>
              <w:autoSpaceDN w:val="0"/>
              <w:adjustRightInd w:val="0"/>
              <w:snapToGrid w:val="0"/>
              <w:jc w:val="center"/>
              <w:rPr>
                <w:b/>
                <w:bCs/>
                <w:color w:val="000000" w:themeColor="text1"/>
                <w:sz w:val="24"/>
                <w:szCs w:val="32"/>
                <w14:textFill>
                  <w14:solidFill>
                    <w14:schemeClr w14:val="tx1"/>
                  </w14:solidFill>
                </w14:textFill>
              </w:rPr>
            </w:pPr>
            <w:r>
              <w:rPr>
                <w:b/>
                <w:bCs/>
                <w:color w:val="000000" w:themeColor="text1"/>
                <w:sz w:val="24"/>
                <w:szCs w:val="32"/>
                <w14:textFill>
                  <w14:solidFill>
                    <w14:schemeClr w14:val="tx1"/>
                  </w14:solidFill>
                </w14:textFill>
              </w:rPr>
              <w:t>表2-5 环保投资一览表</w:t>
            </w:r>
          </w:p>
          <w:tbl>
            <w:tblPr>
              <w:tblStyle w:val="24"/>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04"/>
              <w:gridCol w:w="4765"/>
              <w:gridCol w:w="1819"/>
            </w:tblGrid>
            <w:tr w14:paraId="62B66A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404" w:type="dxa"/>
                  <w:vAlign w:val="center"/>
                </w:tcPr>
                <w:p w14:paraId="45698C25">
                  <w:pPr>
                    <w:pStyle w:val="43"/>
                    <w:rPr>
                      <w:color w:val="000000" w:themeColor="text1"/>
                      <w:szCs w:val="21"/>
                      <w14:textFill>
                        <w14:solidFill>
                          <w14:schemeClr w14:val="tx1"/>
                        </w14:solidFill>
                      </w14:textFill>
                    </w:rPr>
                  </w:pPr>
                  <w:r>
                    <w:rPr>
                      <w:color w:val="000000" w:themeColor="text1"/>
                      <w:szCs w:val="21"/>
                      <w14:textFill>
                        <w14:solidFill>
                          <w14:schemeClr w14:val="tx1"/>
                        </w14:solidFill>
                      </w14:textFill>
                    </w:rPr>
                    <w:t>类别</w:t>
                  </w:r>
                </w:p>
              </w:tc>
              <w:tc>
                <w:tcPr>
                  <w:tcW w:w="4765" w:type="dxa"/>
                  <w:tcBorders>
                    <w:bottom w:val="single" w:color="auto" w:sz="4" w:space="0"/>
                  </w:tcBorders>
                  <w:vAlign w:val="center"/>
                </w:tcPr>
                <w:p w14:paraId="7D324EC4">
                  <w:pPr>
                    <w:pStyle w:val="43"/>
                    <w:rPr>
                      <w:color w:val="000000" w:themeColor="text1"/>
                      <w:szCs w:val="21"/>
                      <w14:textFill>
                        <w14:solidFill>
                          <w14:schemeClr w14:val="tx1"/>
                        </w14:solidFill>
                      </w14:textFill>
                    </w:rPr>
                  </w:pPr>
                  <w:r>
                    <w:rPr>
                      <w:color w:val="000000" w:themeColor="text1"/>
                      <w:szCs w:val="21"/>
                      <w14:textFill>
                        <w14:solidFill>
                          <w14:schemeClr w14:val="tx1"/>
                        </w14:solidFill>
                      </w14:textFill>
                    </w:rPr>
                    <w:t>防治措施</w:t>
                  </w:r>
                </w:p>
              </w:tc>
              <w:tc>
                <w:tcPr>
                  <w:tcW w:w="1819" w:type="dxa"/>
                  <w:tcBorders>
                    <w:bottom w:val="single" w:color="auto" w:sz="4" w:space="0"/>
                  </w:tcBorders>
                  <w:vAlign w:val="center"/>
                </w:tcPr>
                <w:p w14:paraId="0E04A18E">
                  <w:pPr>
                    <w:pStyle w:val="43"/>
                    <w:rPr>
                      <w:color w:val="000000" w:themeColor="text1"/>
                      <w:szCs w:val="21"/>
                      <w14:textFill>
                        <w14:solidFill>
                          <w14:schemeClr w14:val="tx1"/>
                        </w14:solidFill>
                      </w14:textFill>
                    </w:rPr>
                  </w:pPr>
                  <w:r>
                    <w:rPr>
                      <w:color w:val="000000" w:themeColor="text1"/>
                      <w:szCs w:val="21"/>
                      <w14:textFill>
                        <w14:solidFill>
                          <w14:schemeClr w14:val="tx1"/>
                        </w14:solidFill>
                      </w14:textFill>
                    </w:rPr>
                    <w:t>投资（万元）</w:t>
                  </w:r>
                </w:p>
              </w:tc>
            </w:tr>
            <w:tr w14:paraId="1D06B2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404" w:type="dxa"/>
                  <w:vAlign w:val="center"/>
                </w:tcPr>
                <w:p w14:paraId="0B2EE640">
                  <w:pPr>
                    <w:pStyle w:val="43"/>
                    <w:rPr>
                      <w:color w:val="000000" w:themeColor="text1"/>
                      <w:szCs w:val="21"/>
                      <w14:textFill>
                        <w14:solidFill>
                          <w14:schemeClr w14:val="tx1"/>
                        </w14:solidFill>
                      </w14:textFill>
                    </w:rPr>
                  </w:pPr>
                  <w:r>
                    <w:rPr>
                      <w:color w:val="000000" w:themeColor="text1"/>
                      <w:szCs w:val="21"/>
                      <w14:textFill>
                        <w14:solidFill>
                          <w14:schemeClr w14:val="tx1"/>
                        </w14:solidFill>
                      </w14:textFill>
                    </w:rPr>
                    <w:t>废气治理措施</w:t>
                  </w:r>
                </w:p>
              </w:tc>
              <w:tc>
                <w:tcPr>
                  <w:tcW w:w="4765" w:type="dxa"/>
                  <w:vAlign w:val="center"/>
                </w:tcPr>
                <w:p w14:paraId="2143D4AF">
                  <w:pPr>
                    <w:pStyle w:val="43"/>
                    <w:rPr>
                      <w:color w:val="000000" w:themeColor="text1"/>
                      <w:szCs w:val="21"/>
                      <w14:textFill>
                        <w14:solidFill>
                          <w14:schemeClr w14:val="tx1"/>
                        </w14:solidFill>
                      </w14:textFill>
                    </w:rPr>
                  </w:pPr>
                  <w:r>
                    <w:rPr>
                      <w:color w:val="000000" w:themeColor="text1"/>
                      <w:szCs w:val="21"/>
                      <w14:textFill>
                        <w14:solidFill>
                          <w14:schemeClr w14:val="tx1"/>
                        </w14:solidFill>
                      </w14:textFill>
                    </w:rPr>
                    <w:t>干式+布袋除尘器</w:t>
                  </w:r>
                  <w:r>
                    <w:rPr>
                      <w:rFonts w:hint="eastAsia"/>
                      <w:color w:val="000000" w:themeColor="text1"/>
                      <w:szCs w:val="21"/>
                      <w:lang w:val="en-US" w:eastAsia="zh-CN"/>
                      <w14:textFill>
                        <w14:solidFill>
                          <w14:schemeClr w14:val="tx1"/>
                        </w14:solidFill>
                      </w14:textFill>
                    </w:rPr>
                    <w:t>+低氮燃烧器</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30</w:t>
                  </w:r>
                  <w:r>
                    <w:rPr>
                      <w:color w:val="000000" w:themeColor="text1"/>
                      <w:szCs w:val="21"/>
                      <w14:textFill>
                        <w14:solidFill>
                          <w14:schemeClr w14:val="tx1"/>
                        </w14:solidFill>
                      </w14:textFill>
                    </w:rPr>
                    <w:t>m烟囱</w:t>
                  </w:r>
                </w:p>
              </w:tc>
              <w:tc>
                <w:tcPr>
                  <w:tcW w:w="1819" w:type="dxa"/>
                  <w:vAlign w:val="center"/>
                </w:tcPr>
                <w:p w14:paraId="4242F03A">
                  <w:pPr>
                    <w:pStyle w:val="43"/>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10</w:t>
                  </w:r>
                </w:p>
              </w:tc>
            </w:tr>
            <w:tr w14:paraId="65CBCA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1404" w:type="dxa"/>
                  <w:vAlign w:val="center"/>
                </w:tcPr>
                <w:p w14:paraId="2506DC49">
                  <w:pPr>
                    <w:pStyle w:val="43"/>
                    <w:rPr>
                      <w:color w:val="000000" w:themeColor="text1"/>
                      <w:szCs w:val="21"/>
                      <w14:textFill>
                        <w14:solidFill>
                          <w14:schemeClr w14:val="tx1"/>
                        </w14:solidFill>
                      </w14:textFill>
                    </w:rPr>
                  </w:pPr>
                  <w:r>
                    <w:rPr>
                      <w:color w:val="000000" w:themeColor="text1"/>
                      <w:szCs w:val="21"/>
                      <w14:textFill>
                        <w14:solidFill>
                          <w14:schemeClr w14:val="tx1"/>
                        </w14:solidFill>
                      </w14:textFill>
                    </w:rPr>
                    <w:t>废水</w:t>
                  </w:r>
                </w:p>
              </w:tc>
              <w:tc>
                <w:tcPr>
                  <w:tcW w:w="4765" w:type="dxa"/>
                  <w:vAlign w:val="center"/>
                </w:tcPr>
                <w:p w14:paraId="133DA6A0">
                  <w:pPr>
                    <w:pStyle w:val="43"/>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防渗</w:t>
                  </w:r>
                  <w:r>
                    <w:rPr>
                      <w:rFonts w:hint="eastAsia"/>
                      <w:color w:val="000000" w:themeColor="text1"/>
                      <w:szCs w:val="21"/>
                      <w14:textFill>
                        <w14:solidFill>
                          <w14:schemeClr w14:val="tx1"/>
                        </w14:solidFill>
                      </w14:textFill>
                    </w:rPr>
                    <w:t>旱厕</w:t>
                  </w:r>
                </w:p>
              </w:tc>
              <w:tc>
                <w:tcPr>
                  <w:tcW w:w="1819" w:type="dxa"/>
                  <w:vAlign w:val="center"/>
                </w:tcPr>
                <w:p w14:paraId="3F2E1441">
                  <w:pPr>
                    <w:pStyle w:val="43"/>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r>
            <w:tr w14:paraId="47CAF6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404" w:type="dxa"/>
                  <w:vAlign w:val="center"/>
                </w:tcPr>
                <w:p w14:paraId="5613E0D1">
                  <w:pPr>
                    <w:pStyle w:val="43"/>
                    <w:rPr>
                      <w:color w:val="000000" w:themeColor="text1"/>
                      <w:szCs w:val="21"/>
                      <w14:textFill>
                        <w14:solidFill>
                          <w14:schemeClr w14:val="tx1"/>
                        </w14:solidFill>
                      </w14:textFill>
                    </w:rPr>
                  </w:pPr>
                  <w:r>
                    <w:rPr>
                      <w:color w:val="000000" w:themeColor="text1"/>
                      <w:szCs w:val="21"/>
                      <w14:textFill>
                        <w14:solidFill>
                          <w14:schemeClr w14:val="tx1"/>
                        </w14:solidFill>
                      </w14:textFill>
                    </w:rPr>
                    <w:t>噪声治理措施</w:t>
                  </w:r>
                </w:p>
              </w:tc>
              <w:tc>
                <w:tcPr>
                  <w:tcW w:w="4765" w:type="dxa"/>
                  <w:vAlign w:val="center"/>
                </w:tcPr>
                <w:p w14:paraId="53A48851">
                  <w:pPr>
                    <w:pStyle w:val="43"/>
                    <w:rPr>
                      <w:color w:val="000000" w:themeColor="text1"/>
                      <w:szCs w:val="21"/>
                      <w14:textFill>
                        <w14:solidFill>
                          <w14:schemeClr w14:val="tx1"/>
                        </w14:solidFill>
                      </w14:textFill>
                    </w:rPr>
                  </w:pPr>
                  <w:r>
                    <w:rPr>
                      <w:color w:val="000000" w:themeColor="text1"/>
                      <w:szCs w:val="21"/>
                      <w14:textFill>
                        <w14:solidFill>
                          <w14:schemeClr w14:val="tx1"/>
                        </w14:solidFill>
                      </w14:textFill>
                    </w:rPr>
                    <w:t>选取低噪声设备，采取减振、隔声等措施</w:t>
                  </w:r>
                </w:p>
              </w:tc>
              <w:tc>
                <w:tcPr>
                  <w:tcW w:w="1819" w:type="dxa"/>
                  <w:vAlign w:val="center"/>
                </w:tcPr>
                <w:p w14:paraId="6A0E75D2">
                  <w:pPr>
                    <w:pStyle w:val="43"/>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r>
            <w:tr w14:paraId="6BB1E4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404" w:type="dxa"/>
                  <w:vAlign w:val="center"/>
                </w:tcPr>
                <w:p w14:paraId="19961B43">
                  <w:pPr>
                    <w:pStyle w:val="43"/>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固体废物治理措施</w:t>
                  </w:r>
                </w:p>
              </w:tc>
              <w:tc>
                <w:tcPr>
                  <w:tcW w:w="4765" w:type="dxa"/>
                  <w:vAlign w:val="center"/>
                </w:tcPr>
                <w:p w14:paraId="3185CFA4">
                  <w:pPr>
                    <w:pStyle w:val="43"/>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危废贮存库、灰渣间、燃料间</w:t>
                  </w:r>
                </w:p>
              </w:tc>
              <w:tc>
                <w:tcPr>
                  <w:tcW w:w="1819" w:type="dxa"/>
                  <w:vAlign w:val="center"/>
                </w:tcPr>
                <w:p w14:paraId="7B90A37F">
                  <w:pPr>
                    <w:pStyle w:val="43"/>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5</w:t>
                  </w:r>
                </w:p>
              </w:tc>
            </w:tr>
            <w:tr w14:paraId="46C00E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404" w:type="dxa"/>
                  <w:vAlign w:val="center"/>
                </w:tcPr>
                <w:p w14:paraId="506AAD1A">
                  <w:pPr>
                    <w:pStyle w:val="43"/>
                    <w:rPr>
                      <w:color w:val="000000" w:themeColor="text1"/>
                      <w:szCs w:val="21"/>
                      <w14:textFill>
                        <w14:solidFill>
                          <w14:schemeClr w14:val="tx1"/>
                        </w14:solidFill>
                      </w14:textFill>
                    </w:rPr>
                  </w:pPr>
                  <w:r>
                    <w:rPr>
                      <w:color w:val="000000" w:themeColor="text1"/>
                      <w:szCs w:val="21"/>
                      <w14:textFill>
                        <w14:solidFill>
                          <w14:schemeClr w14:val="tx1"/>
                        </w14:solidFill>
                      </w14:textFill>
                    </w:rPr>
                    <w:t>环保设施</w:t>
                  </w:r>
                </w:p>
                <w:p w14:paraId="277F92BE">
                  <w:pPr>
                    <w:pStyle w:val="43"/>
                    <w:rPr>
                      <w:color w:val="000000" w:themeColor="text1"/>
                      <w:szCs w:val="21"/>
                      <w14:textFill>
                        <w14:solidFill>
                          <w14:schemeClr w14:val="tx1"/>
                        </w14:solidFill>
                      </w14:textFill>
                    </w:rPr>
                  </w:pPr>
                  <w:r>
                    <w:rPr>
                      <w:color w:val="000000" w:themeColor="text1"/>
                      <w:szCs w:val="21"/>
                      <w14:textFill>
                        <w14:solidFill>
                          <w14:schemeClr w14:val="tx1"/>
                        </w14:solidFill>
                      </w14:textFill>
                    </w:rPr>
                    <w:t>运行费用</w:t>
                  </w:r>
                </w:p>
              </w:tc>
              <w:tc>
                <w:tcPr>
                  <w:tcW w:w="4765" w:type="dxa"/>
                  <w:vAlign w:val="center"/>
                </w:tcPr>
                <w:p w14:paraId="642D43C2">
                  <w:pPr>
                    <w:pStyle w:val="43"/>
                    <w:rPr>
                      <w:color w:val="000000" w:themeColor="text1"/>
                      <w:szCs w:val="21"/>
                      <w14:textFill>
                        <w14:solidFill>
                          <w14:schemeClr w14:val="tx1"/>
                        </w14:solidFill>
                      </w14:textFill>
                    </w:rPr>
                  </w:pPr>
                  <w:r>
                    <w:rPr>
                      <w:color w:val="000000" w:themeColor="text1"/>
                      <w:szCs w:val="21"/>
                      <w14:textFill>
                        <w14:solidFill>
                          <w14:schemeClr w14:val="tx1"/>
                        </w14:solidFill>
                      </w14:textFill>
                    </w:rPr>
                    <w:t>环保设施的运行、维护、维修费用</w:t>
                  </w:r>
                </w:p>
              </w:tc>
              <w:tc>
                <w:tcPr>
                  <w:tcW w:w="1819" w:type="dxa"/>
                  <w:vAlign w:val="center"/>
                </w:tcPr>
                <w:p w14:paraId="378D6748">
                  <w:pPr>
                    <w:pStyle w:val="43"/>
                    <w:rPr>
                      <w:color w:val="000000" w:themeColor="text1"/>
                      <w:szCs w:val="21"/>
                      <w14:textFill>
                        <w14:solidFill>
                          <w14:schemeClr w14:val="tx1"/>
                        </w14:solidFill>
                      </w14:textFill>
                    </w:rPr>
                  </w:pPr>
                  <w:r>
                    <w:rPr>
                      <w:color w:val="000000" w:themeColor="text1"/>
                      <w:szCs w:val="21"/>
                      <w14:textFill>
                        <w14:solidFill>
                          <w14:schemeClr w14:val="tx1"/>
                        </w14:solidFill>
                      </w14:textFill>
                    </w:rPr>
                    <w:t>3</w:t>
                  </w:r>
                </w:p>
              </w:tc>
            </w:tr>
            <w:tr w14:paraId="68F1AB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6169" w:type="dxa"/>
                  <w:gridSpan w:val="2"/>
                  <w:vAlign w:val="center"/>
                </w:tcPr>
                <w:p w14:paraId="50E6BFFD">
                  <w:pPr>
                    <w:pStyle w:val="43"/>
                    <w:rPr>
                      <w:color w:val="000000" w:themeColor="text1"/>
                      <w:szCs w:val="21"/>
                      <w14:textFill>
                        <w14:solidFill>
                          <w14:schemeClr w14:val="tx1"/>
                        </w14:solidFill>
                      </w14:textFill>
                    </w:rPr>
                  </w:pPr>
                  <w:r>
                    <w:rPr>
                      <w:color w:val="000000" w:themeColor="text1"/>
                      <w:szCs w:val="21"/>
                      <w14:textFill>
                        <w14:solidFill>
                          <w14:schemeClr w14:val="tx1"/>
                        </w14:solidFill>
                      </w14:textFill>
                    </w:rPr>
                    <w:t>环保投资（万元）</w:t>
                  </w:r>
                </w:p>
              </w:tc>
              <w:tc>
                <w:tcPr>
                  <w:tcW w:w="1819" w:type="dxa"/>
                  <w:vAlign w:val="center"/>
                </w:tcPr>
                <w:p w14:paraId="3F603583">
                  <w:pPr>
                    <w:pStyle w:val="43"/>
                    <w:rPr>
                      <w:color w:val="000000" w:themeColor="text1"/>
                      <w:szCs w:val="21"/>
                      <w14:textFill>
                        <w14:solidFill>
                          <w14:schemeClr w14:val="tx1"/>
                        </w14:solidFill>
                      </w14:textFill>
                    </w:rPr>
                  </w:pPr>
                  <w:r>
                    <w:rPr>
                      <w:color w:val="000000" w:themeColor="text1"/>
                      <w:szCs w:val="21"/>
                      <w14:textFill>
                        <w14:solidFill>
                          <w14:schemeClr w14:val="tx1"/>
                        </w14:solidFill>
                      </w14:textFill>
                    </w:rPr>
                    <w:t>20</w:t>
                  </w:r>
                </w:p>
              </w:tc>
            </w:tr>
            <w:tr w14:paraId="5F30ED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6169" w:type="dxa"/>
                  <w:gridSpan w:val="2"/>
                  <w:vAlign w:val="center"/>
                </w:tcPr>
                <w:p w14:paraId="1A5E3616">
                  <w:pPr>
                    <w:pStyle w:val="43"/>
                    <w:rPr>
                      <w:color w:val="000000" w:themeColor="text1"/>
                      <w:szCs w:val="21"/>
                      <w14:textFill>
                        <w14:solidFill>
                          <w14:schemeClr w14:val="tx1"/>
                        </w14:solidFill>
                      </w14:textFill>
                    </w:rPr>
                  </w:pPr>
                  <w:r>
                    <w:rPr>
                      <w:color w:val="000000" w:themeColor="text1"/>
                      <w:szCs w:val="21"/>
                      <w14:textFill>
                        <w14:solidFill>
                          <w14:schemeClr w14:val="tx1"/>
                        </w14:solidFill>
                      </w14:textFill>
                    </w:rPr>
                    <w:t>占总投资比例（%）</w:t>
                  </w:r>
                </w:p>
              </w:tc>
              <w:tc>
                <w:tcPr>
                  <w:tcW w:w="1819" w:type="dxa"/>
                  <w:vAlign w:val="center"/>
                </w:tcPr>
                <w:p w14:paraId="2B4DB54C">
                  <w:pPr>
                    <w:pStyle w:val="43"/>
                    <w:rPr>
                      <w:color w:val="000000" w:themeColor="text1"/>
                      <w:szCs w:val="21"/>
                      <w14:textFill>
                        <w14:solidFill>
                          <w14:schemeClr w14:val="tx1"/>
                        </w14:solidFill>
                      </w14:textFill>
                    </w:rPr>
                  </w:pPr>
                  <w:r>
                    <w:rPr>
                      <w:color w:val="000000" w:themeColor="text1"/>
                      <w:szCs w:val="21"/>
                      <w14:textFill>
                        <w14:solidFill>
                          <w14:schemeClr w14:val="tx1"/>
                        </w14:solidFill>
                      </w14:textFill>
                    </w:rPr>
                    <w:t>20</w:t>
                  </w:r>
                </w:p>
              </w:tc>
            </w:tr>
          </w:tbl>
          <w:p w14:paraId="73065152">
            <w:pPr>
              <w:pStyle w:val="94"/>
              <w:ind w:firstLine="0" w:firstLineChars="0"/>
              <w:rPr>
                <w:rFonts w:ascii="Times New Roman" w:hAnsi="Times New Roman" w:cs="Times New Roman"/>
                <w:color w:val="000000" w:themeColor="text1"/>
                <w14:textFill>
                  <w14:solidFill>
                    <w14:schemeClr w14:val="tx1"/>
                  </w14:solidFill>
                </w14:textFill>
              </w:rPr>
            </w:pPr>
          </w:p>
        </w:tc>
      </w:tr>
      <w:tr w14:paraId="246084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506" w:type="dxa"/>
            <w:vAlign w:val="center"/>
          </w:tcPr>
          <w:p w14:paraId="1BD8AD29">
            <w:pPr>
              <w:pStyle w:val="20"/>
              <w:adjustRightInd w:val="0"/>
              <w:snapToGrid w:val="0"/>
              <w:spacing w:before="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工艺流程和产排污环节</w:t>
            </w:r>
          </w:p>
        </w:tc>
        <w:tc>
          <w:tcPr>
            <w:tcW w:w="8554" w:type="dxa"/>
          </w:tcPr>
          <w:p w14:paraId="6277B916">
            <w:pPr>
              <w:adjustRightInd w:val="0"/>
              <w:snapToGrid w:val="0"/>
              <w:spacing w:line="360" w:lineRule="auto"/>
              <w:ind w:firstLine="480" w:firstLineChars="200"/>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本项目生产工艺流程简述如下：</w:t>
            </w:r>
          </w:p>
          <w:p w14:paraId="26046DDD">
            <w:pPr>
              <w:adjustRightInd w:val="0"/>
              <w:snapToGrid w:val="0"/>
              <w:spacing w:line="360" w:lineRule="auto"/>
              <w:ind w:firstLine="480" w:firstLineChars="200"/>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本项目原料为外购的生物质燃料，将生物质成型燃料投加到锅炉中，锅炉通过燃烧生物质为场部居民供暖，锅炉烟气经</w:t>
            </w:r>
            <w:r>
              <w:rPr>
                <w:bCs/>
                <w:color w:val="000000" w:themeColor="text1"/>
                <w:kern w:val="0"/>
                <w:sz w:val="24"/>
                <w:szCs w:val="21"/>
                <w14:textFill>
                  <w14:solidFill>
                    <w14:schemeClr w14:val="tx1"/>
                  </w14:solidFill>
                </w14:textFill>
              </w:rPr>
              <w:t>干式</w:t>
            </w:r>
            <w:r>
              <w:rPr>
                <w:color w:val="000000" w:themeColor="text1"/>
                <w:kern w:val="0"/>
                <w:sz w:val="24"/>
                <w14:textFill>
                  <w14:solidFill>
                    <w14:schemeClr w14:val="tx1"/>
                  </w14:solidFill>
                </w14:textFill>
              </w:rPr>
              <w:t>除尘器</w:t>
            </w:r>
            <w:r>
              <w:rPr>
                <w:bCs/>
                <w:color w:val="000000" w:themeColor="text1"/>
                <w:kern w:val="0"/>
                <w:sz w:val="24"/>
                <w:szCs w:val="21"/>
                <w14:textFill>
                  <w14:solidFill>
                    <w14:schemeClr w14:val="tx1"/>
                  </w14:solidFill>
                </w14:textFill>
              </w:rPr>
              <w:t>+</w:t>
            </w:r>
            <w:r>
              <w:rPr>
                <w:color w:val="000000" w:themeColor="text1"/>
                <w:kern w:val="0"/>
                <w:sz w:val="24"/>
                <w14:textFill>
                  <w14:solidFill>
                    <w14:schemeClr w14:val="tx1"/>
                  </w14:solidFill>
                </w14:textFill>
              </w:rPr>
              <w:t>布袋除尘器处理后（除尘效率按</w:t>
            </w:r>
            <w:r>
              <w:rPr>
                <w:rFonts w:hint="eastAsia"/>
                <w:color w:val="000000" w:themeColor="text1"/>
                <w:kern w:val="0"/>
                <w:sz w:val="24"/>
                <w14:textFill>
                  <w14:solidFill>
                    <w14:schemeClr w14:val="tx1"/>
                  </w14:solidFill>
                </w14:textFill>
              </w:rPr>
              <w:t>99.5</w:t>
            </w:r>
            <w:r>
              <w:rPr>
                <w:color w:val="000000" w:themeColor="text1"/>
                <w:kern w:val="0"/>
                <w:sz w:val="24"/>
                <w14:textFill>
                  <w14:solidFill>
                    <w14:schemeClr w14:val="tx1"/>
                  </w14:solidFill>
                </w14:textFill>
              </w:rPr>
              <w:t>%计）由30m高烟囱排放。锅炉灰渣和除尘器回收的粉尘集中收集，</w:t>
            </w:r>
            <w:r>
              <w:rPr>
                <w:rFonts w:hint="eastAsia"/>
                <w:color w:val="000000" w:themeColor="text1"/>
                <w:kern w:val="0"/>
                <w:sz w:val="24"/>
                <w14:textFill>
                  <w14:solidFill>
                    <w14:schemeClr w14:val="tx1"/>
                  </w14:solidFill>
                </w14:textFill>
              </w:rPr>
              <w:t>外售伊春市陶粒砌体有限责任公司综合利用</w:t>
            </w:r>
            <w:r>
              <w:rPr>
                <w:color w:val="000000" w:themeColor="text1"/>
                <w:kern w:val="0"/>
                <w:sz w:val="24"/>
                <w14:textFill>
                  <w14:solidFill>
                    <w14:schemeClr w14:val="tx1"/>
                  </w14:solidFill>
                </w14:textFill>
              </w:rPr>
              <w:t>。</w:t>
            </w:r>
            <w:r>
              <w:rPr>
                <w:color w:val="000000" w:themeColor="text1"/>
                <w:sz w:val="21"/>
                <w14:textFill>
                  <w14:solidFill>
                    <w14:schemeClr w14:val="tx1"/>
                  </w14:solidFill>
                </w14:textFill>
              </w:rPr>
              <mc:AlternateContent>
                <mc:Choice Requires="wps">
                  <w:drawing>
                    <wp:anchor distT="0" distB="0" distL="114300" distR="114300" simplePos="0" relativeHeight="251672576" behindDoc="0" locked="0" layoutInCell="1" allowOverlap="1">
                      <wp:simplePos x="0" y="0"/>
                      <wp:positionH relativeFrom="column">
                        <wp:posOffset>3836035</wp:posOffset>
                      </wp:positionH>
                      <wp:positionV relativeFrom="paragraph">
                        <wp:posOffset>894080</wp:posOffset>
                      </wp:positionV>
                      <wp:extent cx="1125855" cy="649605"/>
                      <wp:effectExtent l="4445" t="4445" r="12700" b="12700"/>
                      <wp:wrapNone/>
                      <wp:docPr id="64" name="矩形 64"/>
                      <wp:cNvGraphicFramePr/>
                      <a:graphic xmlns:a="http://schemas.openxmlformats.org/drawingml/2006/main">
                        <a:graphicData uri="http://schemas.microsoft.com/office/word/2010/wordprocessingShape">
                          <wps:wsp>
                            <wps:cNvSpPr/>
                            <wps:spPr>
                              <a:xfrm>
                                <a:off x="5129530" y="1814830"/>
                                <a:ext cx="1125855" cy="649605"/>
                              </a:xfrm>
                              <a:prstGeom prst="rect">
                                <a:avLst/>
                              </a:prstGeom>
                              <a:solidFill>
                                <a:schemeClr val="bg1"/>
                              </a:solidFill>
                              <a:ln w="9525" cap="flat" cmpd="sng" algn="ctr">
                                <a:solidFill>
                                  <a:prstClr val="black"/>
                                </a:solidFill>
                                <a:prstDash val="dash"/>
                              </a:ln>
                            </wps:spPr>
                            <wps:style>
                              <a:lnRef idx="0">
                                <a:schemeClr val="accent1"/>
                              </a:lnRef>
                              <a:fillRef idx="0">
                                <a:srgbClr val="FFFFFF"/>
                              </a:fillRef>
                              <a:effectRef idx="0">
                                <a:srgbClr val="FFFFFF"/>
                              </a:effectRef>
                              <a:fontRef idx="minor">
                                <a:schemeClr val="tx1"/>
                              </a:fontRef>
                            </wps:style>
                            <wps:txbx>
                              <w:txbxContent>
                                <w:p w14:paraId="59ED4A9F">
                                  <w:pPr>
                                    <w:jc w:val="center"/>
                                    <w:rPr>
                                      <w:rFonts w:hint="default" w:eastAsia="宋体"/>
                                      <w:lang w:val="en-US" w:eastAsia="zh-CN"/>
                                    </w:rPr>
                                  </w:pPr>
                                  <w:r>
                                    <w:rPr>
                                      <w:rFonts w:hint="eastAsia"/>
                                      <w:lang w:val="en-US" w:eastAsia="zh-CN"/>
                                    </w:rPr>
                                    <w:t>锅炉排污水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2.05pt;margin-top:70.4pt;height:51.15pt;width:88.65pt;z-index:251672576;v-text-anchor:middle;mso-width-relative:page;mso-height-relative:page;" fillcolor="#FFFFFF [3212]" filled="t" stroked="t" coordsize="21600,21600" o:gfxdata="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Bmq6l62wAAAAsBAAAPAAAAAAAAAAEAIAAAACIA&#10;AABkcnMvZG93bnJldi54bWxQSwECFAAUAAAACACHTuJAyRP5gXgCAADzBAAADgAAAAAAAAABACAA&#10;AAAqAQAAZHJzL2Uyb0RvYy54bWxQSwUGAAAAAAYABgBZAQAAFAYAAAAA&#10;">
                      <v:fill on="t" focussize="0,0"/>
                      <v:stroke color="#000000 [3204]" joinstyle="round" dashstyle="dash"/>
                      <v:imagedata o:title=""/>
                      <o:lock v:ext="edit" aspectratio="f"/>
                      <v:textbox>
                        <w:txbxContent>
                          <w:p w14:paraId="59ED4A9F">
                            <w:pPr>
                              <w:jc w:val="center"/>
                              <w:rPr>
                                <w:rFonts w:hint="default" w:eastAsia="宋体"/>
                                <w:lang w:val="en-US" w:eastAsia="zh-CN"/>
                              </w:rPr>
                            </w:pPr>
                            <w:r>
                              <w:rPr>
                                <w:rFonts w:hint="eastAsia"/>
                                <w:lang w:val="en-US" w:eastAsia="zh-CN"/>
                              </w:rPr>
                              <w:t>锅炉排污水</w:t>
                            </w:r>
                          </w:p>
                        </w:txbxContent>
                      </v:textbox>
                    </v:rect>
                  </w:pict>
                </mc:Fallback>
              </mc:AlternateContent>
            </w:r>
            <w:r>
              <w:rPr>
                <w:color w:val="000000" w:themeColor="text1"/>
                <w14:textFill>
                  <w14:solidFill>
                    <w14:schemeClr w14:val="tx1"/>
                  </w14:solidFill>
                </w14:textFill>
              </w:rPr>
              <w:drawing>
                <wp:inline distT="0" distB="0" distL="114300" distR="114300">
                  <wp:extent cx="5140325" cy="2307590"/>
                  <wp:effectExtent l="0" t="0" r="3175" b="16510"/>
                  <wp:docPr id="2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9"/>
                          <pic:cNvPicPr>
                            <a:picLocks noChangeAspect="1"/>
                          </pic:cNvPicPr>
                        </pic:nvPicPr>
                        <pic:blipFill>
                          <a:blip r:embed="rId14"/>
                          <a:stretch>
                            <a:fillRect/>
                          </a:stretch>
                        </pic:blipFill>
                        <pic:spPr>
                          <a:xfrm>
                            <a:off x="0" y="0"/>
                            <a:ext cx="5140325" cy="2307590"/>
                          </a:xfrm>
                          <a:prstGeom prst="rect">
                            <a:avLst/>
                          </a:prstGeom>
                          <a:noFill/>
                          <a:ln>
                            <a:noFill/>
                          </a:ln>
                        </pic:spPr>
                      </pic:pic>
                    </a:graphicData>
                  </a:graphic>
                </wp:inline>
              </w:drawing>
            </w:r>
          </w:p>
          <w:p w14:paraId="12F78E34">
            <w:pPr>
              <w:adjustRightInd w:val="0"/>
              <w:snapToGrid w:val="0"/>
              <w:spacing w:line="360" w:lineRule="auto"/>
              <w:ind w:firstLine="482" w:firstLineChars="200"/>
              <w:jc w:val="center"/>
              <w:rPr>
                <w:b/>
                <w:bCs/>
                <w:color w:val="000000" w:themeColor="text1"/>
                <w:kern w:val="0"/>
                <w:sz w:val="24"/>
                <w14:textFill>
                  <w14:solidFill>
                    <w14:schemeClr w14:val="tx1"/>
                  </w14:solidFill>
                </w14:textFill>
              </w:rPr>
            </w:pPr>
            <w:bookmarkStart w:id="27" w:name="_Hlk108069260"/>
            <w:r>
              <w:rPr>
                <w:b/>
                <w:bCs/>
                <w:color w:val="000000" w:themeColor="text1"/>
                <w:kern w:val="0"/>
                <w:sz w:val="24"/>
                <w14:textFill>
                  <w14:solidFill>
                    <w14:schemeClr w14:val="tx1"/>
                  </w14:solidFill>
                </w14:textFill>
              </w:rPr>
              <w:t>图 2-2   生产工艺流程图及产污环节</w:t>
            </w:r>
            <w:bookmarkEnd w:id="27"/>
          </w:p>
          <w:p w14:paraId="3E172F57">
            <w:pPr>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表2-5本项目运营期工程主要排污节点一览表</w:t>
            </w:r>
          </w:p>
          <w:tbl>
            <w:tblPr>
              <w:tblStyle w:val="24"/>
              <w:tblW w:w="4997"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577"/>
              <w:gridCol w:w="1617"/>
              <w:gridCol w:w="1070"/>
              <w:gridCol w:w="3362"/>
            </w:tblGrid>
            <w:tr w14:paraId="0EA49D2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tcBorders>
                    <w:tl2br w:val="nil"/>
                    <w:tr2bl w:val="nil"/>
                  </w:tcBorders>
                  <w:vAlign w:val="center"/>
                </w:tcPr>
                <w:p w14:paraId="1A7FFD4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项目</w:t>
                  </w:r>
                </w:p>
              </w:tc>
              <w:tc>
                <w:tcPr>
                  <w:tcW w:w="946" w:type="pct"/>
                  <w:tcBorders>
                    <w:tl2br w:val="nil"/>
                    <w:tr2bl w:val="nil"/>
                  </w:tcBorders>
                  <w:vAlign w:val="center"/>
                </w:tcPr>
                <w:p w14:paraId="3B23D95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污染源</w:t>
                  </w:r>
                </w:p>
              </w:tc>
              <w:tc>
                <w:tcPr>
                  <w:tcW w:w="970" w:type="pct"/>
                  <w:tcBorders>
                    <w:tl2br w:val="nil"/>
                    <w:tr2bl w:val="nil"/>
                  </w:tcBorders>
                  <w:vAlign w:val="center"/>
                </w:tcPr>
                <w:p w14:paraId="6954DA6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污染物</w:t>
                  </w:r>
                </w:p>
              </w:tc>
              <w:tc>
                <w:tcPr>
                  <w:tcW w:w="642" w:type="pct"/>
                  <w:tcBorders>
                    <w:tl2br w:val="nil"/>
                    <w:tr2bl w:val="nil"/>
                  </w:tcBorders>
                  <w:vAlign w:val="center"/>
                </w:tcPr>
                <w:p w14:paraId="774C9E4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排放特点</w:t>
                  </w:r>
                </w:p>
              </w:tc>
              <w:tc>
                <w:tcPr>
                  <w:tcW w:w="2016" w:type="pct"/>
                  <w:tcBorders>
                    <w:tl2br w:val="nil"/>
                    <w:tr2bl w:val="nil"/>
                  </w:tcBorders>
                  <w:vAlign w:val="center"/>
                </w:tcPr>
                <w:p w14:paraId="5160EE5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治理措施</w:t>
                  </w:r>
                </w:p>
              </w:tc>
            </w:tr>
            <w:tr w14:paraId="140CF00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tcBorders>
                    <w:tl2br w:val="nil"/>
                    <w:tr2bl w:val="nil"/>
                  </w:tcBorders>
                  <w:vAlign w:val="center"/>
                </w:tcPr>
                <w:p w14:paraId="5C2EC72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废气</w:t>
                  </w:r>
                </w:p>
              </w:tc>
              <w:tc>
                <w:tcPr>
                  <w:tcW w:w="946" w:type="pct"/>
                  <w:tcBorders>
                    <w:tl2br w:val="nil"/>
                    <w:tr2bl w:val="nil"/>
                  </w:tcBorders>
                  <w:vAlign w:val="center"/>
                </w:tcPr>
                <w:p w14:paraId="099BDE8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锅炉</w:t>
                  </w:r>
                </w:p>
              </w:tc>
              <w:tc>
                <w:tcPr>
                  <w:tcW w:w="970" w:type="pct"/>
                  <w:tcBorders>
                    <w:tl2br w:val="nil"/>
                    <w:tr2bl w:val="nil"/>
                  </w:tcBorders>
                  <w:vAlign w:val="center"/>
                </w:tcPr>
                <w:p w14:paraId="3BB5422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SO</w:t>
                  </w:r>
                  <w:r>
                    <w:rPr>
                      <w:color w:val="000000" w:themeColor="text1"/>
                      <w:szCs w:val="21"/>
                      <w:vertAlign w:val="subscript"/>
                      <w14:textFill>
                        <w14:solidFill>
                          <w14:schemeClr w14:val="tx1"/>
                        </w14:solidFill>
                      </w14:textFill>
                    </w:rPr>
                    <w:t>2</w:t>
                  </w:r>
                  <w:r>
                    <w:rPr>
                      <w:color w:val="000000" w:themeColor="text1"/>
                      <w:szCs w:val="21"/>
                      <w14:textFill>
                        <w14:solidFill>
                          <w14:schemeClr w14:val="tx1"/>
                        </w14:solidFill>
                      </w14:textFill>
                    </w:rPr>
                    <w:t>、NOx、颗粒物、林格曼黑度</w:t>
                  </w:r>
                </w:p>
              </w:tc>
              <w:tc>
                <w:tcPr>
                  <w:tcW w:w="642" w:type="pct"/>
                  <w:tcBorders>
                    <w:tl2br w:val="nil"/>
                    <w:tr2bl w:val="nil"/>
                  </w:tcBorders>
                  <w:vAlign w:val="center"/>
                </w:tcPr>
                <w:p w14:paraId="33B6B85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连续</w:t>
                  </w:r>
                </w:p>
              </w:tc>
              <w:tc>
                <w:tcPr>
                  <w:tcW w:w="2016" w:type="pct"/>
                  <w:tcBorders>
                    <w:tl2br w:val="nil"/>
                    <w:tr2bl w:val="nil"/>
                  </w:tcBorders>
                  <w:vAlign w:val="center"/>
                </w:tcPr>
                <w:p w14:paraId="03CABEF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干式除尘器+袋式除尘器处理后经30m烟囱排放</w:t>
                  </w:r>
                </w:p>
              </w:tc>
            </w:tr>
            <w:tr w14:paraId="7C4A7B2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tcBorders>
                    <w:tl2br w:val="nil"/>
                    <w:tr2bl w:val="nil"/>
                  </w:tcBorders>
                  <w:vAlign w:val="center"/>
                </w:tcPr>
                <w:p w14:paraId="4F60543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废水</w:t>
                  </w:r>
                </w:p>
              </w:tc>
              <w:tc>
                <w:tcPr>
                  <w:tcW w:w="946" w:type="pct"/>
                  <w:tcBorders>
                    <w:tl2br w:val="nil"/>
                    <w:tr2bl w:val="nil"/>
                  </w:tcBorders>
                  <w:vAlign w:val="center"/>
                </w:tcPr>
                <w:p w14:paraId="3D8CAE5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锅炉排污水及软化水排水</w:t>
                  </w:r>
                </w:p>
              </w:tc>
              <w:tc>
                <w:tcPr>
                  <w:tcW w:w="970" w:type="pct"/>
                  <w:tcBorders>
                    <w:tl2br w:val="nil"/>
                    <w:tr2bl w:val="nil"/>
                  </w:tcBorders>
                  <w:vAlign w:val="center"/>
                </w:tcPr>
                <w:p w14:paraId="5909BF1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pH、化学需氧量、氨氮、悬浮物</w:t>
                  </w:r>
                </w:p>
              </w:tc>
              <w:tc>
                <w:tcPr>
                  <w:tcW w:w="642" w:type="pct"/>
                  <w:tcBorders>
                    <w:tl2br w:val="nil"/>
                    <w:tr2bl w:val="nil"/>
                  </w:tcBorders>
                  <w:vAlign w:val="center"/>
                </w:tcPr>
                <w:p w14:paraId="65F57E2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间断</w:t>
                  </w:r>
                </w:p>
              </w:tc>
              <w:tc>
                <w:tcPr>
                  <w:tcW w:w="2016" w:type="pct"/>
                  <w:tcBorders>
                    <w:tl2br w:val="nil"/>
                    <w:tr2bl w:val="nil"/>
                  </w:tcBorders>
                  <w:vAlign w:val="center"/>
                </w:tcPr>
                <w:p w14:paraId="15F53DA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炉渣拌湿降尘</w:t>
                  </w:r>
                </w:p>
              </w:tc>
            </w:tr>
            <w:tr w14:paraId="621C978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tcBorders>
                    <w:tl2br w:val="nil"/>
                    <w:tr2bl w:val="nil"/>
                  </w:tcBorders>
                  <w:vAlign w:val="center"/>
                </w:tcPr>
                <w:p w14:paraId="5063079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w:t>
                  </w:r>
                </w:p>
              </w:tc>
              <w:tc>
                <w:tcPr>
                  <w:tcW w:w="946" w:type="pct"/>
                  <w:tcBorders>
                    <w:tl2br w:val="nil"/>
                    <w:tr2bl w:val="nil"/>
                  </w:tcBorders>
                  <w:vAlign w:val="center"/>
                </w:tcPr>
                <w:p w14:paraId="022815D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风机、水泵</w:t>
                  </w:r>
                </w:p>
              </w:tc>
              <w:tc>
                <w:tcPr>
                  <w:tcW w:w="970" w:type="pct"/>
                  <w:tcBorders>
                    <w:tl2br w:val="nil"/>
                    <w:tr2bl w:val="nil"/>
                  </w:tcBorders>
                  <w:vAlign w:val="center"/>
                </w:tcPr>
                <w:p w14:paraId="56DA79A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w:t>
                  </w:r>
                </w:p>
              </w:tc>
              <w:tc>
                <w:tcPr>
                  <w:tcW w:w="642" w:type="pct"/>
                  <w:tcBorders>
                    <w:tl2br w:val="nil"/>
                    <w:tr2bl w:val="nil"/>
                  </w:tcBorders>
                  <w:vAlign w:val="center"/>
                </w:tcPr>
                <w:p w14:paraId="1678C28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连续</w:t>
                  </w:r>
                </w:p>
              </w:tc>
              <w:tc>
                <w:tcPr>
                  <w:tcW w:w="2016" w:type="pct"/>
                  <w:tcBorders>
                    <w:tl2br w:val="nil"/>
                    <w:tr2bl w:val="nil"/>
                  </w:tcBorders>
                  <w:vAlign w:val="center"/>
                </w:tcPr>
                <w:p w14:paraId="31CB5F8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低噪设备、减振、隔声处理</w:t>
                  </w:r>
                </w:p>
              </w:tc>
            </w:tr>
            <w:tr w14:paraId="1507BC8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4" w:type="pct"/>
                  <w:vMerge w:val="restart"/>
                  <w:tcBorders>
                    <w:tl2br w:val="nil"/>
                    <w:tr2bl w:val="nil"/>
                  </w:tcBorders>
                  <w:vAlign w:val="center"/>
                </w:tcPr>
                <w:p w14:paraId="7DED2B6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固体废物</w:t>
                  </w:r>
                </w:p>
              </w:tc>
              <w:tc>
                <w:tcPr>
                  <w:tcW w:w="946" w:type="pct"/>
                  <w:vMerge w:val="restart"/>
                  <w:tcBorders>
                    <w:tl2br w:val="nil"/>
                    <w:tr2bl w:val="nil"/>
                  </w:tcBorders>
                  <w:vAlign w:val="center"/>
                </w:tcPr>
                <w:p w14:paraId="0EA795DF">
                  <w:pPr>
                    <w:spacing w:line="28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锅炉</w:t>
                  </w:r>
                </w:p>
              </w:tc>
              <w:tc>
                <w:tcPr>
                  <w:tcW w:w="970" w:type="pct"/>
                  <w:tcBorders>
                    <w:tl2br w:val="nil"/>
                    <w:tr2bl w:val="nil"/>
                  </w:tcBorders>
                  <w:vAlign w:val="center"/>
                </w:tcPr>
                <w:p w14:paraId="4E2D320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废离子交换树脂</w:t>
                  </w:r>
                </w:p>
              </w:tc>
              <w:tc>
                <w:tcPr>
                  <w:tcW w:w="642" w:type="pct"/>
                  <w:tcBorders>
                    <w:tl2br w:val="nil"/>
                    <w:tr2bl w:val="nil"/>
                  </w:tcBorders>
                  <w:vAlign w:val="center"/>
                </w:tcPr>
                <w:p w14:paraId="36E4075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间断</w:t>
                  </w:r>
                </w:p>
              </w:tc>
              <w:tc>
                <w:tcPr>
                  <w:tcW w:w="2016" w:type="pct"/>
                  <w:tcBorders>
                    <w:tl2br w:val="nil"/>
                    <w:tr2bl w:val="nil"/>
                  </w:tcBorders>
                  <w:vAlign w:val="center"/>
                </w:tcPr>
                <w:p w14:paraId="64FB3AB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厂家回收</w:t>
                  </w:r>
                </w:p>
              </w:tc>
            </w:tr>
            <w:tr w14:paraId="1CC2310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vMerge w:val="continue"/>
                  <w:tcBorders>
                    <w:tl2br w:val="nil"/>
                    <w:tr2bl w:val="nil"/>
                  </w:tcBorders>
                  <w:vAlign w:val="center"/>
                </w:tcPr>
                <w:p w14:paraId="64D90054">
                  <w:pPr>
                    <w:jc w:val="center"/>
                    <w:rPr>
                      <w:color w:val="000000" w:themeColor="text1"/>
                      <w:szCs w:val="21"/>
                      <w14:textFill>
                        <w14:solidFill>
                          <w14:schemeClr w14:val="tx1"/>
                        </w14:solidFill>
                      </w14:textFill>
                    </w:rPr>
                  </w:pPr>
                </w:p>
              </w:tc>
              <w:tc>
                <w:tcPr>
                  <w:tcW w:w="946" w:type="pct"/>
                  <w:vMerge w:val="continue"/>
                  <w:tcBorders>
                    <w:tl2br w:val="nil"/>
                    <w:tr2bl w:val="nil"/>
                  </w:tcBorders>
                  <w:vAlign w:val="center"/>
                </w:tcPr>
                <w:p w14:paraId="73EE7C91">
                  <w:pPr>
                    <w:spacing w:line="280" w:lineRule="exact"/>
                    <w:jc w:val="center"/>
                    <w:rPr>
                      <w:color w:val="000000" w:themeColor="text1"/>
                      <w:szCs w:val="21"/>
                      <w14:textFill>
                        <w14:solidFill>
                          <w14:schemeClr w14:val="tx1"/>
                        </w14:solidFill>
                      </w14:textFill>
                    </w:rPr>
                  </w:pPr>
                </w:p>
              </w:tc>
              <w:tc>
                <w:tcPr>
                  <w:tcW w:w="970" w:type="pct"/>
                  <w:tcBorders>
                    <w:tl2br w:val="nil"/>
                    <w:tr2bl w:val="nil"/>
                  </w:tcBorders>
                  <w:vAlign w:val="center"/>
                </w:tcPr>
                <w:p w14:paraId="1F2DAFA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灰渣</w:t>
                  </w:r>
                </w:p>
              </w:tc>
              <w:tc>
                <w:tcPr>
                  <w:tcW w:w="642" w:type="pct"/>
                  <w:tcBorders>
                    <w:tl2br w:val="nil"/>
                    <w:tr2bl w:val="nil"/>
                  </w:tcBorders>
                  <w:vAlign w:val="center"/>
                </w:tcPr>
                <w:p w14:paraId="36B85F9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间断</w:t>
                  </w:r>
                </w:p>
              </w:tc>
              <w:tc>
                <w:tcPr>
                  <w:tcW w:w="2016" w:type="pct"/>
                  <w:tcBorders>
                    <w:tl2br w:val="nil"/>
                    <w:tr2bl w:val="nil"/>
                  </w:tcBorders>
                  <w:vAlign w:val="center"/>
                </w:tcPr>
                <w:p w14:paraId="5A37764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外售给</w:t>
                  </w:r>
                  <w:r>
                    <w:rPr>
                      <w:rFonts w:hint="eastAsia"/>
                      <w:color w:val="000000" w:themeColor="text1"/>
                      <w:szCs w:val="21"/>
                      <w14:textFill>
                        <w14:solidFill>
                          <w14:schemeClr w14:val="tx1"/>
                        </w14:solidFill>
                      </w14:textFill>
                    </w:rPr>
                    <w:t>伊春市陶粒砌体有限责任公司</w:t>
                  </w:r>
                  <w:r>
                    <w:rPr>
                      <w:color w:val="000000" w:themeColor="text1"/>
                      <w:szCs w:val="21"/>
                      <w14:textFill>
                        <w14:solidFill>
                          <w14:schemeClr w14:val="tx1"/>
                        </w14:solidFill>
                      </w14:textFill>
                    </w:rPr>
                    <w:t>综合利用</w:t>
                  </w:r>
                </w:p>
              </w:tc>
            </w:tr>
            <w:tr w14:paraId="10E41F2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vMerge w:val="continue"/>
                  <w:tcBorders>
                    <w:tl2br w:val="nil"/>
                    <w:tr2bl w:val="nil"/>
                  </w:tcBorders>
                  <w:vAlign w:val="center"/>
                </w:tcPr>
                <w:p w14:paraId="60DFB734">
                  <w:pPr>
                    <w:jc w:val="center"/>
                    <w:rPr>
                      <w:color w:val="000000" w:themeColor="text1"/>
                      <w:szCs w:val="21"/>
                      <w14:textFill>
                        <w14:solidFill>
                          <w14:schemeClr w14:val="tx1"/>
                        </w14:solidFill>
                      </w14:textFill>
                    </w:rPr>
                  </w:pPr>
                </w:p>
              </w:tc>
              <w:tc>
                <w:tcPr>
                  <w:tcW w:w="946" w:type="pct"/>
                  <w:vMerge w:val="continue"/>
                  <w:tcBorders>
                    <w:tl2br w:val="nil"/>
                    <w:tr2bl w:val="nil"/>
                  </w:tcBorders>
                  <w:vAlign w:val="center"/>
                </w:tcPr>
                <w:p w14:paraId="018421AF">
                  <w:pPr>
                    <w:spacing w:line="280" w:lineRule="exact"/>
                    <w:jc w:val="center"/>
                    <w:rPr>
                      <w:color w:val="000000" w:themeColor="text1"/>
                      <w:szCs w:val="21"/>
                      <w14:textFill>
                        <w14:solidFill>
                          <w14:schemeClr w14:val="tx1"/>
                        </w14:solidFill>
                      </w14:textFill>
                    </w:rPr>
                  </w:pPr>
                </w:p>
              </w:tc>
              <w:tc>
                <w:tcPr>
                  <w:tcW w:w="970" w:type="pct"/>
                  <w:tcBorders>
                    <w:tl2br w:val="nil"/>
                    <w:tr2bl w:val="nil"/>
                  </w:tcBorders>
                  <w:vAlign w:val="center"/>
                </w:tcPr>
                <w:p w14:paraId="450CD73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废旧布袋</w:t>
                  </w:r>
                </w:p>
              </w:tc>
              <w:tc>
                <w:tcPr>
                  <w:tcW w:w="642" w:type="pct"/>
                  <w:tcBorders>
                    <w:tl2br w:val="nil"/>
                    <w:tr2bl w:val="nil"/>
                  </w:tcBorders>
                  <w:vAlign w:val="center"/>
                </w:tcPr>
                <w:p w14:paraId="18AA46D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间断</w:t>
                  </w:r>
                </w:p>
              </w:tc>
              <w:tc>
                <w:tcPr>
                  <w:tcW w:w="2016" w:type="pct"/>
                  <w:tcBorders>
                    <w:tl2br w:val="nil"/>
                    <w:tr2bl w:val="nil"/>
                  </w:tcBorders>
                  <w:vAlign w:val="center"/>
                </w:tcPr>
                <w:p w14:paraId="576D22F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厂家回收</w:t>
                  </w:r>
                </w:p>
              </w:tc>
            </w:tr>
          </w:tbl>
          <w:p w14:paraId="1A8CBDF8">
            <w:pPr>
              <w:adjustRightInd w:val="0"/>
              <w:snapToGrid w:val="0"/>
              <w:spacing w:line="360" w:lineRule="auto"/>
              <w:ind w:firstLine="482" w:firstLineChars="200"/>
              <w:jc w:val="center"/>
              <w:rPr>
                <w:b/>
                <w:bCs/>
                <w:color w:val="000000" w:themeColor="text1"/>
                <w:kern w:val="0"/>
                <w:sz w:val="24"/>
                <w14:textFill>
                  <w14:solidFill>
                    <w14:schemeClr w14:val="tx1"/>
                  </w14:solidFill>
                </w14:textFill>
              </w:rPr>
            </w:pPr>
          </w:p>
        </w:tc>
      </w:tr>
      <w:tr w14:paraId="5E7B76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506" w:type="dxa"/>
            <w:vAlign w:val="center"/>
          </w:tcPr>
          <w:p w14:paraId="25C9C434">
            <w:pPr>
              <w:pStyle w:val="20"/>
              <w:adjustRightInd w:val="0"/>
              <w:snapToGrid w:val="0"/>
              <w:spacing w:before="0" w:beforeAutospacing="0" w:after="0" w:afterAutospacing="0"/>
              <w:jc w:val="center"/>
              <w:rPr>
                <w:rFonts w:ascii="Times New Roman" w:hAnsi="Times New Roman"/>
                <w:color w:val="000000" w:themeColor="text1"/>
                <w:sz w:val="21"/>
                <w:szCs w:val="21"/>
                <w:highlight w:val="yellow"/>
                <w14:textFill>
                  <w14:solidFill>
                    <w14:schemeClr w14:val="tx1"/>
                  </w14:solidFill>
                </w14:textFill>
              </w:rPr>
            </w:pPr>
            <w:r>
              <w:rPr>
                <w:rFonts w:ascii="Times New Roman" w:hAnsi="Times New Roman"/>
                <w:bCs/>
                <w:color w:val="000000" w:themeColor="text1"/>
                <w:kern w:val="2"/>
                <w:sz w:val="21"/>
                <w:szCs w:val="21"/>
                <w14:textFill>
                  <w14:solidFill>
                    <w14:schemeClr w14:val="tx1"/>
                  </w14:solidFill>
                </w14:textFill>
              </w:rPr>
              <w:t>与项目有关的原有环境污染问题</w:t>
            </w:r>
          </w:p>
        </w:tc>
        <w:tc>
          <w:tcPr>
            <w:tcW w:w="8554" w:type="dxa"/>
            <w:vAlign w:val="center"/>
          </w:tcPr>
          <w:p w14:paraId="4878D475">
            <w:pPr>
              <w:adjustRightInd w:val="0"/>
              <w:snapToGrid w:val="0"/>
              <w:spacing w:line="360" w:lineRule="auto"/>
              <w:ind w:firstLine="480" w:firstLineChars="200"/>
              <w:rPr>
                <w:color w:val="000000" w:themeColor="text1"/>
                <w:highlight w:val="yellow"/>
                <w14:textFill>
                  <w14:solidFill>
                    <w14:schemeClr w14:val="tx1"/>
                  </w14:solidFill>
                </w14:textFill>
              </w:rPr>
            </w:pPr>
            <w:r>
              <w:rPr>
                <w:rFonts w:hint="eastAsia"/>
                <w:color w:val="000000" w:themeColor="text1"/>
                <w:kern w:val="0"/>
                <w:sz w:val="24"/>
                <w:lang w:val="en-US" w:eastAsia="zh-CN"/>
                <w14:textFill>
                  <w14:solidFill>
                    <w14:schemeClr w14:val="tx1"/>
                  </w14:solidFill>
                </w14:textFill>
              </w:rPr>
              <w:t>原有建筑为兰新经营所废弃库房，废弃前主要用于林场工具存放，不涉及车辆存放及维修</w:t>
            </w:r>
            <w:r>
              <w:rPr>
                <w:color w:val="000000" w:themeColor="text1"/>
                <w:kern w:val="0"/>
                <w:sz w:val="24"/>
                <w14:textFill>
                  <w14:solidFill>
                    <w14:schemeClr w14:val="tx1"/>
                  </w14:solidFill>
                </w14:textFill>
              </w:rPr>
              <w:t>。</w:t>
            </w:r>
          </w:p>
        </w:tc>
      </w:tr>
    </w:tbl>
    <w:p w14:paraId="419032EE">
      <w:pPr>
        <w:pStyle w:val="20"/>
        <w:jc w:val="center"/>
        <w:rPr>
          <w:rFonts w:ascii="Times New Roman" w:hAnsi="Times New Roman" w:eastAsia="黑体"/>
          <w:snapToGrid w:val="0"/>
          <w:color w:val="000000" w:themeColor="text1"/>
          <w:sz w:val="36"/>
          <w:szCs w:val="36"/>
          <w14:textFill>
            <w14:solidFill>
              <w14:schemeClr w14:val="tx1"/>
            </w14:solidFill>
          </w14:textFill>
        </w:rPr>
        <w:sectPr>
          <w:pgSz w:w="11906" w:h="16838"/>
          <w:pgMar w:top="1440" w:right="1800" w:bottom="1440" w:left="1800" w:header="851" w:footer="851" w:gutter="0"/>
          <w:cols w:space="720" w:num="1"/>
          <w:docGrid w:linePitch="312" w:charSpace="0"/>
        </w:sectPr>
      </w:pPr>
    </w:p>
    <w:p w14:paraId="53FEB3B2">
      <w:pPr>
        <w:pStyle w:val="20"/>
        <w:snapToGrid w:val="0"/>
        <w:spacing w:before="0" w:beforeAutospacing="0" w:after="0" w:afterAutospacing="0" w:line="360" w:lineRule="auto"/>
        <w:jc w:val="center"/>
        <w:outlineLvl w:val="0"/>
        <w:rPr>
          <w:rFonts w:ascii="Times New Roman" w:hAnsi="Times New Roman" w:eastAsia="黑体"/>
          <w:snapToGrid w:val="0"/>
          <w:color w:val="000000" w:themeColor="text1"/>
          <w:sz w:val="30"/>
          <w:szCs w:val="30"/>
          <w14:textFill>
            <w14:solidFill>
              <w14:schemeClr w14:val="tx1"/>
            </w14:solidFill>
          </w14:textFill>
        </w:rPr>
      </w:pPr>
      <w:bookmarkStart w:id="28" w:name="_Toc24148"/>
      <w:bookmarkStart w:id="29" w:name="_Toc21604"/>
      <w:r>
        <w:rPr>
          <w:rFonts w:ascii="Times New Roman" w:hAnsi="Times New Roman" w:eastAsia="黑体"/>
          <w:snapToGrid w:val="0"/>
          <w:color w:val="000000" w:themeColor="text1"/>
          <w:sz w:val="30"/>
          <w:szCs w:val="30"/>
          <w14:textFill>
            <w14:solidFill>
              <w14:schemeClr w14:val="tx1"/>
            </w14:solidFill>
          </w14:textFill>
        </w:rPr>
        <w:t>三、区域环境质量现状、环境保护目标及评价标准</w:t>
      </w:r>
      <w:bookmarkEnd w:id="28"/>
      <w:bookmarkEnd w:id="29"/>
    </w:p>
    <w:tbl>
      <w:tblPr>
        <w:tblStyle w:val="2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24"/>
        <w:gridCol w:w="8637"/>
      </w:tblGrid>
      <w:tr w14:paraId="1D2894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424" w:type="dxa"/>
            <w:vAlign w:val="center"/>
          </w:tcPr>
          <w:p w14:paraId="6D408855">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区域</w:t>
            </w:r>
          </w:p>
          <w:p w14:paraId="5FBB0875">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环境</w:t>
            </w:r>
          </w:p>
          <w:p w14:paraId="254059C8">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质量</w:t>
            </w:r>
          </w:p>
          <w:p w14:paraId="30C10900">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现状</w:t>
            </w:r>
          </w:p>
        </w:tc>
        <w:tc>
          <w:tcPr>
            <w:tcW w:w="8637" w:type="dxa"/>
            <w:vAlign w:val="center"/>
          </w:tcPr>
          <w:p w14:paraId="78831971">
            <w:pPr>
              <w:spacing w:line="360" w:lineRule="auto"/>
              <w:rPr>
                <w:b/>
                <w:color w:val="000000" w:themeColor="text1"/>
                <w:sz w:val="24"/>
                <w14:textFill>
                  <w14:solidFill>
                    <w14:schemeClr w14:val="tx1"/>
                  </w14:solidFill>
                </w14:textFill>
              </w:rPr>
            </w:pPr>
            <w:r>
              <w:rPr>
                <w:b/>
                <w:color w:val="000000" w:themeColor="text1"/>
                <w:sz w:val="24"/>
                <w14:textFill>
                  <w14:solidFill>
                    <w14:schemeClr w14:val="tx1"/>
                  </w14:solidFill>
                </w14:textFill>
              </w:rPr>
              <w:t>1.大气环境</w:t>
            </w:r>
          </w:p>
          <w:p w14:paraId="5873F916">
            <w:pPr>
              <w:adjustRightInd w:val="0"/>
              <w:snapToGrid w:val="0"/>
              <w:spacing w:line="360" w:lineRule="auto"/>
              <w:ind w:firstLine="480" w:firstLineChars="200"/>
              <w:rPr>
                <w:snapToGrid w:val="0"/>
                <w:color w:val="000000" w:themeColor="text1"/>
                <w:kern w:val="0"/>
                <w:sz w:val="24"/>
                <w14:textFill>
                  <w14:solidFill>
                    <w14:schemeClr w14:val="tx1"/>
                  </w14:solidFill>
                </w14:textFill>
              </w:rPr>
            </w:pPr>
            <w:r>
              <w:rPr>
                <w:snapToGrid w:val="0"/>
                <w:color w:val="000000" w:themeColor="text1"/>
                <w:kern w:val="0"/>
                <w:sz w:val="24"/>
                <w14:textFill>
                  <w14:solidFill>
                    <w14:schemeClr w14:val="tx1"/>
                  </w14:solidFill>
                </w14:textFill>
              </w:rPr>
              <w:t>（1）达标区判定</w:t>
            </w:r>
          </w:p>
          <w:p w14:paraId="7427B6B4">
            <w:pPr>
              <w:spacing w:line="360" w:lineRule="auto"/>
              <w:ind w:firstLine="480" w:firstLineChars="200"/>
              <w:rPr>
                <w:color w:val="000000" w:themeColor="text1"/>
                <w:sz w:val="24"/>
                <w14:textFill>
                  <w14:solidFill>
                    <w14:schemeClr w14:val="tx1"/>
                  </w14:solidFill>
                </w14:textFill>
              </w:rPr>
            </w:pPr>
            <w:r>
              <w:rPr>
                <w:rFonts w:eastAsia="Times New Roman"/>
                <w:color w:val="000000" w:themeColor="text1"/>
                <w:sz w:val="24"/>
                <w14:textFill>
                  <w14:solidFill>
                    <w14:schemeClr w14:val="tx1"/>
                  </w14:solidFill>
                </w14:textFill>
              </w:rPr>
              <w:t>根据《2024年伊春市生态环境质量状况》（2025年6月），伊春市空气质量级别达二级标准，PM</w:t>
            </w:r>
            <w:r>
              <w:rPr>
                <w:rFonts w:eastAsia="Times New Roman"/>
                <w:color w:val="000000" w:themeColor="text1"/>
                <w:sz w:val="24"/>
                <w:vertAlign w:val="subscript"/>
                <w14:textFill>
                  <w14:solidFill>
                    <w14:schemeClr w14:val="tx1"/>
                  </w14:solidFill>
                </w14:textFill>
              </w:rPr>
              <w:t>2.5</w:t>
            </w:r>
            <w:r>
              <w:rPr>
                <w:rFonts w:eastAsia="Times New Roman"/>
                <w:color w:val="000000" w:themeColor="text1"/>
                <w:sz w:val="24"/>
                <w14:textFill>
                  <w14:solidFill>
                    <w14:schemeClr w14:val="tx1"/>
                  </w14:solidFill>
                </w14:textFill>
              </w:rPr>
              <w:t>、PM</w:t>
            </w:r>
            <w:r>
              <w:rPr>
                <w:rFonts w:eastAsia="Times New Roman"/>
                <w:color w:val="000000" w:themeColor="text1"/>
                <w:sz w:val="24"/>
                <w:vertAlign w:val="subscript"/>
                <w14:textFill>
                  <w14:solidFill>
                    <w14:schemeClr w14:val="tx1"/>
                  </w14:solidFill>
                </w14:textFill>
              </w:rPr>
              <w:t>10</w:t>
            </w:r>
            <w:r>
              <w:rPr>
                <w:rFonts w:eastAsia="Times New Roman"/>
                <w:color w:val="000000" w:themeColor="text1"/>
                <w:sz w:val="24"/>
                <w14:textFill>
                  <w14:solidFill>
                    <w14:schemeClr w14:val="tx1"/>
                  </w14:solidFill>
                </w14:textFill>
              </w:rPr>
              <w:t>、SO</w:t>
            </w:r>
            <w:r>
              <w:rPr>
                <w:rFonts w:eastAsia="Times New Roman"/>
                <w:color w:val="000000" w:themeColor="text1"/>
                <w:sz w:val="24"/>
                <w:vertAlign w:val="subscript"/>
                <w14:textFill>
                  <w14:solidFill>
                    <w14:schemeClr w14:val="tx1"/>
                  </w14:solidFill>
                </w14:textFill>
              </w:rPr>
              <w:t>2</w:t>
            </w:r>
            <w:r>
              <w:rPr>
                <w:rFonts w:eastAsia="Times New Roman"/>
                <w:color w:val="000000" w:themeColor="text1"/>
                <w:sz w:val="24"/>
                <w14:textFill>
                  <w14:solidFill>
                    <w14:schemeClr w14:val="tx1"/>
                  </w14:solidFill>
                </w14:textFill>
              </w:rPr>
              <w:t>、NO</w:t>
            </w:r>
            <w:r>
              <w:rPr>
                <w:rFonts w:eastAsia="Times New Roman"/>
                <w:color w:val="000000" w:themeColor="text1"/>
                <w:sz w:val="24"/>
                <w:vertAlign w:val="subscript"/>
                <w14:textFill>
                  <w14:solidFill>
                    <w14:schemeClr w14:val="tx1"/>
                  </w14:solidFill>
                </w14:textFill>
              </w:rPr>
              <w:t>2</w:t>
            </w:r>
            <w:r>
              <w:rPr>
                <w:rFonts w:eastAsia="Times New Roman"/>
                <w:color w:val="000000" w:themeColor="text1"/>
                <w:sz w:val="24"/>
                <w14:textFill>
                  <w14:solidFill>
                    <w14:schemeClr w14:val="tx1"/>
                  </w14:solidFill>
                </w14:textFill>
              </w:rPr>
              <w:t>、CO-95per、O3-8h-90per年均浓度分别为24μg/m</w:t>
            </w:r>
            <w:r>
              <w:rPr>
                <w:rFonts w:eastAsia="Times New Roman"/>
                <w:color w:val="000000" w:themeColor="text1"/>
                <w:sz w:val="24"/>
                <w:vertAlign w:val="superscript"/>
                <w14:textFill>
                  <w14:solidFill>
                    <w14:schemeClr w14:val="tx1"/>
                  </w14:solidFill>
                </w14:textFill>
              </w:rPr>
              <w:t>3</w:t>
            </w:r>
            <w:r>
              <w:rPr>
                <w:rFonts w:eastAsia="Times New Roman"/>
                <w:color w:val="000000" w:themeColor="text1"/>
                <w:sz w:val="24"/>
                <w14:textFill>
                  <w14:solidFill>
                    <w14:schemeClr w14:val="tx1"/>
                  </w14:solidFill>
                </w14:textFill>
              </w:rPr>
              <w:t>、34μg/m</w:t>
            </w:r>
            <w:r>
              <w:rPr>
                <w:rFonts w:eastAsia="Times New Roman"/>
                <w:color w:val="000000" w:themeColor="text1"/>
                <w:sz w:val="24"/>
                <w:vertAlign w:val="superscript"/>
                <w14:textFill>
                  <w14:solidFill>
                    <w14:schemeClr w14:val="tx1"/>
                  </w14:solidFill>
                </w14:textFill>
              </w:rPr>
              <w:t>3</w:t>
            </w:r>
            <w:r>
              <w:rPr>
                <w:rFonts w:eastAsia="Times New Roman"/>
                <w:color w:val="000000" w:themeColor="text1"/>
                <w:sz w:val="24"/>
                <w14:textFill>
                  <w14:solidFill>
                    <w14:schemeClr w14:val="tx1"/>
                  </w14:solidFill>
                </w14:textFill>
              </w:rPr>
              <w:t>、7μg/m</w:t>
            </w:r>
            <w:r>
              <w:rPr>
                <w:rFonts w:eastAsia="Times New Roman"/>
                <w:color w:val="000000" w:themeColor="text1"/>
                <w:sz w:val="24"/>
                <w:vertAlign w:val="superscript"/>
                <w14:textFill>
                  <w14:solidFill>
                    <w14:schemeClr w14:val="tx1"/>
                  </w14:solidFill>
                </w14:textFill>
              </w:rPr>
              <w:t>3</w:t>
            </w:r>
            <w:r>
              <w:rPr>
                <w:rFonts w:eastAsia="Times New Roman"/>
                <w:color w:val="000000" w:themeColor="text1"/>
                <w:sz w:val="24"/>
                <w14:textFill>
                  <w14:solidFill>
                    <w14:schemeClr w14:val="tx1"/>
                  </w14:solidFill>
                </w14:textFill>
              </w:rPr>
              <w:t>、13μg/m</w:t>
            </w:r>
            <w:r>
              <w:rPr>
                <w:rFonts w:eastAsia="Times New Roman"/>
                <w:color w:val="000000" w:themeColor="text1"/>
                <w:sz w:val="24"/>
                <w:vertAlign w:val="superscript"/>
                <w14:textFill>
                  <w14:solidFill>
                    <w14:schemeClr w14:val="tx1"/>
                  </w14:solidFill>
                </w14:textFill>
              </w:rPr>
              <w:t>3</w:t>
            </w:r>
            <w:r>
              <w:rPr>
                <w:rFonts w:eastAsia="Times New Roman"/>
                <w:color w:val="000000" w:themeColor="text1"/>
                <w:sz w:val="24"/>
                <w14:textFill>
                  <w14:solidFill>
                    <w14:schemeClr w14:val="tx1"/>
                  </w14:solidFill>
                </w14:textFill>
              </w:rPr>
              <w:t>、0.8μg/m</w:t>
            </w:r>
            <w:r>
              <w:rPr>
                <w:rFonts w:eastAsia="Times New Roman"/>
                <w:color w:val="000000" w:themeColor="text1"/>
                <w:sz w:val="24"/>
                <w:vertAlign w:val="superscript"/>
                <w14:textFill>
                  <w14:solidFill>
                    <w14:schemeClr w14:val="tx1"/>
                  </w14:solidFill>
                </w14:textFill>
              </w:rPr>
              <w:t>3</w:t>
            </w:r>
            <w:r>
              <w:rPr>
                <w:rFonts w:eastAsia="Times New Roman"/>
                <w:color w:val="000000" w:themeColor="text1"/>
                <w:sz w:val="24"/>
                <w14:textFill>
                  <w14:solidFill>
                    <w14:schemeClr w14:val="tx1"/>
                  </w14:solidFill>
                </w14:textFill>
              </w:rPr>
              <w:t>、104μg/m</w:t>
            </w:r>
            <w:r>
              <w:rPr>
                <w:rFonts w:eastAsia="Times New Roman"/>
                <w:color w:val="000000" w:themeColor="text1"/>
                <w:sz w:val="24"/>
                <w:vertAlign w:val="superscript"/>
                <w14:textFill>
                  <w14:solidFill>
                    <w14:schemeClr w14:val="tx1"/>
                  </w14:solidFill>
                </w14:textFill>
              </w:rPr>
              <w:t>3</w:t>
            </w:r>
            <w:r>
              <w:rPr>
                <w:rFonts w:eastAsia="Times New Roman"/>
                <w:color w:val="000000" w:themeColor="text1"/>
                <w:sz w:val="24"/>
                <w14:textFill>
                  <w14:solidFill>
                    <w14:schemeClr w14:val="tx1"/>
                  </w14:solidFill>
                </w14:textFill>
              </w:rPr>
              <w:t>，均满足《环境空气质量标准》（GB3095-2026）（过渡阶段）中的二级标准，项目所在区域为达标区。</w:t>
            </w:r>
          </w:p>
          <w:p w14:paraId="3298FEF1">
            <w:pPr>
              <w:spacing w:line="360" w:lineRule="auto"/>
              <w:ind w:firstLine="480" w:firstLineChars="200"/>
              <w:rPr>
                <w:color w:val="000000" w:themeColor="text1"/>
                <w:kern w:val="21"/>
                <w:sz w:val="24"/>
                <w14:textFill>
                  <w14:solidFill>
                    <w14:schemeClr w14:val="tx1"/>
                  </w14:solidFill>
                </w14:textFill>
              </w:rPr>
            </w:pPr>
            <w:r>
              <w:rPr>
                <w:color w:val="000000" w:themeColor="text1"/>
                <w:kern w:val="21"/>
                <w:sz w:val="24"/>
                <w14:textFill>
                  <w14:solidFill>
                    <w14:schemeClr w14:val="tx1"/>
                  </w14:solidFill>
                </w14:textFill>
              </w:rPr>
              <w:t>本项目所在区域环境空气质量现状见下表3-1。</w:t>
            </w:r>
          </w:p>
          <w:p w14:paraId="32793E97">
            <w:pPr>
              <w:pStyle w:val="131"/>
              <w:snapToGrid w:val="0"/>
              <w:spacing w:line="240" w:lineRule="auto"/>
              <w:ind w:firstLine="0" w:firstLineChars="0"/>
              <w:jc w:val="center"/>
              <w:rPr>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表3-1  区域空气质量现状评价表</w:t>
            </w:r>
          </w:p>
          <w:tbl>
            <w:tblPr>
              <w:tblStyle w:val="25"/>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947"/>
              <w:gridCol w:w="1622"/>
              <w:gridCol w:w="1420"/>
              <w:gridCol w:w="1304"/>
              <w:gridCol w:w="1272"/>
            </w:tblGrid>
            <w:tr w14:paraId="556FB8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tcBorders>
                    <w:tl2br w:val="nil"/>
                    <w:tr2bl w:val="nil"/>
                  </w:tcBorders>
                  <w:vAlign w:val="center"/>
                </w:tcPr>
                <w:p w14:paraId="7062F4EE">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污染物</w:t>
                  </w:r>
                </w:p>
              </w:tc>
              <w:tc>
                <w:tcPr>
                  <w:tcW w:w="1947" w:type="dxa"/>
                  <w:tcBorders>
                    <w:tl2br w:val="nil"/>
                    <w:tr2bl w:val="nil"/>
                  </w:tcBorders>
                  <w:vAlign w:val="center"/>
                </w:tcPr>
                <w:p w14:paraId="1F5B32A4">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年评价指标</w:t>
                  </w:r>
                </w:p>
              </w:tc>
              <w:tc>
                <w:tcPr>
                  <w:tcW w:w="1622" w:type="dxa"/>
                  <w:tcBorders>
                    <w:tl2br w:val="nil"/>
                    <w:tr2bl w:val="nil"/>
                  </w:tcBorders>
                  <w:vAlign w:val="center"/>
                </w:tcPr>
                <w:p w14:paraId="08B291E0">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现状浓度ug/m</w:t>
                  </w:r>
                  <w:r>
                    <w:rPr>
                      <w:color w:val="000000" w:themeColor="text1"/>
                      <w:kern w:val="0"/>
                      <w:szCs w:val="21"/>
                      <w:vertAlign w:val="superscript"/>
                      <w14:textFill>
                        <w14:solidFill>
                          <w14:schemeClr w14:val="tx1"/>
                        </w14:solidFill>
                      </w14:textFill>
                    </w:rPr>
                    <w:t>3</w:t>
                  </w:r>
                </w:p>
              </w:tc>
              <w:tc>
                <w:tcPr>
                  <w:tcW w:w="1420" w:type="dxa"/>
                  <w:tcBorders>
                    <w:tl2br w:val="nil"/>
                    <w:tr2bl w:val="nil"/>
                  </w:tcBorders>
                  <w:vAlign w:val="center"/>
                </w:tcPr>
                <w:p w14:paraId="4592FF1D">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标准值ug/m</w:t>
                  </w:r>
                  <w:r>
                    <w:rPr>
                      <w:color w:val="000000" w:themeColor="text1"/>
                      <w:kern w:val="0"/>
                      <w:szCs w:val="21"/>
                      <w:vertAlign w:val="superscript"/>
                      <w14:textFill>
                        <w14:solidFill>
                          <w14:schemeClr w14:val="tx1"/>
                        </w14:solidFill>
                      </w14:textFill>
                    </w:rPr>
                    <w:t>3</w:t>
                  </w:r>
                </w:p>
              </w:tc>
              <w:tc>
                <w:tcPr>
                  <w:tcW w:w="1304" w:type="dxa"/>
                  <w:tcBorders>
                    <w:tl2br w:val="nil"/>
                    <w:tr2bl w:val="nil"/>
                  </w:tcBorders>
                  <w:vAlign w:val="center"/>
                </w:tcPr>
                <w:p w14:paraId="3351D2FA">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占标率%</w:t>
                  </w:r>
                </w:p>
              </w:tc>
              <w:tc>
                <w:tcPr>
                  <w:tcW w:w="1272" w:type="dxa"/>
                  <w:tcBorders>
                    <w:tl2br w:val="nil"/>
                    <w:tr2bl w:val="nil"/>
                  </w:tcBorders>
                  <w:vAlign w:val="center"/>
                </w:tcPr>
                <w:p w14:paraId="651799AF">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达标情况</w:t>
                  </w:r>
                </w:p>
              </w:tc>
            </w:tr>
            <w:tr w14:paraId="720395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tcBorders>
                    <w:tl2br w:val="nil"/>
                    <w:tr2bl w:val="nil"/>
                  </w:tcBorders>
                  <w:vAlign w:val="center"/>
                </w:tcPr>
                <w:p w14:paraId="3A0F5FFD">
                  <w:pPr>
                    <w:jc w:val="center"/>
                    <w:rPr>
                      <w:color w:val="000000" w:themeColor="text1"/>
                      <w:kern w:val="0"/>
                      <w:szCs w:val="21"/>
                      <w14:textFill>
                        <w14:solidFill>
                          <w14:schemeClr w14:val="tx1"/>
                        </w14:solidFill>
                      </w14:textFill>
                    </w:rPr>
                  </w:pPr>
                  <w:r>
                    <w:rPr>
                      <w:color w:val="000000" w:themeColor="text1"/>
                      <w:kern w:val="0"/>
                      <w:szCs w:val="21"/>
                      <w:lang w:val="de-DE"/>
                      <w14:textFill>
                        <w14:solidFill>
                          <w14:schemeClr w14:val="tx1"/>
                        </w14:solidFill>
                      </w14:textFill>
                    </w:rPr>
                    <w:t>SO</w:t>
                  </w:r>
                  <w:r>
                    <w:rPr>
                      <w:color w:val="000000" w:themeColor="text1"/>
                      <w:kern w:val="0"/>
                      <w:szCs w:val="21"/>
                      <w:vertAlign w:val="subscript"/>
                      <w:lang w:val="de-DE"/>
                      <w14:textFill>
                        <w14:solidFill>
                          <w14:schemeClr w14:val="tx1"/>
                        </w14:solidFill>
                      </w14:textFill>
                    </w:rPr>
                    <w:t>2</w:t>
                  </w:r>
                </w:p>
              </w:tc>
              <w:tc>
                <w:tcPr>
                  <w:tcW w:w="1947" w:type="dxa"/>
                  <w:tcBorders>
                    <w:tl2br w:val="nil"/>
                    <w:tr2bl w:val="nil"/>
                  </w:tcBorders>
                  <w:vAlign w:val="center"/>
                </w:tcPr>
                <w:p w14:paraId="7AE23643">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年平均质量浓度</w:t>
                  </w:r>
                </w:p>
              </w:tc>
              <w:tc>
                <w:tcPr>
                  <w:tcW w:w="1622" w:type="dxa"/>
                  <w:tcBorders>
                    <w:tl2br w:val="nil"/>
                    <w:tr2bl w:val="nil"/>
                  </w:tcBorders>
                  <w:vAlign w:val="center"/>
                </w:tcPr>
                <w:p w14:paraId="5348A1DF">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7</w:t>
                  </w:r>
                </w:p>
              </w:tc>
              <w:tc>
                <w:tcPr>
                  <w:tcW w:w="1420" w:type="dxa"/>
                  <w:tcBorders>
                    <w:tl2br w:val="nil"/>
                    <w:tr2bl w:val="nil"/>
                  </w:tcBorders>
                  <w:vAlign w:val="center"/>
                </w:tcPr>
                <w:p w14:paraId="2476D9D4">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60</w:t>
                  </w:r>
                </w:p>
              </w:tc>
              <w:tc>
                <w:tcPr>
                  <w:tcW w:w="1304" w:type="dxa"/>
                  <w:tcBorders>
                    <w:tl2br w:val="nil"/>
                    <w:tr2bl w:val="nil"/>
                  </w:tcBorders>
                  <w:vAlign w:val="center"/>
                </w:tcPr>
                <w:p w14:paraId="7E8F707B">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11.66</w:t>
                  </w:r>
                </w:p>
              </w:tc>
              <w:tc>
                <w:tcPr>
                  <w:tcW w:w="1272" w:type="dxa"/>
                  <w:tcBorders>
                    <w:tl2br w:val="nil"/>
                    <w:tr2bl w:val="nil"/>
                  </w:tcBorders>
                  <w:vAlign w:val="center"/>
                </w:tcPr>
                <w:p w14:paraId="5FDB100C">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达标</w:t>
                  </w:r>
                </w:p>
              </w:tc>
            </w:tr>
            <w:tr w14:paraId="4609AA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tcBorders>
                    <w:tl2br w:val="nil"/>
                    <w:tr2bl w:val="nil"/>
                  </w:tcBorders>
                  <w:vAlign w:val="center"/>
                </w:tcPr>
                <w:p w14:paraId="0E975DA1">
                  <w:pPr>
                    <w:jc w:val="center"/>
                    <w:rPr>
                      <w:color w:val="000000" w:themeColor="text1"/>
                      <w:kern w:val="0"/>
                      <w:szCs w:val="21"/>
                      <w14:textFill>
                        <w14:solidFill>
                          <w14:schemeClr w14:val="tx1"/>
                        </w14:solidFill>
                      </w14:textFill>
                    </w:rPr>
                  </w:pPr>
                  <w:r>
                    <w:rPr>
                      <w:color w:val="000000" w:themeColor="text1"/>
                      <w:kern w:val="0"/>
                      <w:szCs w:val="21"/>
                      <w:lang w:val="de-DE"/>
                      <w14:textFill>
                        <w14:solidFill>
                          <w14:schemeClr w14:val="tx1"/>
                        </w14:solidFill>
                      </w14:textFill>
                    </w:rPr>
                    <w:t>NO</w:t>
                  </w:r>
                  <w:r>
                    <w:rPr>
                      <w:color w:val="000000" w:themeColor="text1"/>
                      <w:kern w:val="0"/>
                      <w:szCs w:val="21"/>
                      <w:vertAlign w:val="subscript"/>
                      <w:lang w:val="de-DE"/>
                      <w14:textFill>
                        <w14:solidFill>
                          <w14:schemeClr w14:val="tx1"/>
                        </w14:solidFill>
                      </w14:textFill>
                    </w:rPr>
                    <w:t>2</w:t>
                  </w:r>
                </w:p>
              </w:tc>
              <w:tc>
                <w:tcPr>
                  <w:tcW w:w="1947" w:type="dxa"/>
                  <w:tcBorders>
                    <w:tl2br w:val="nil"/>
                    <w:tr2bl w:val="nil"/>
                  </w:tcBorders>
                  <w:vAlign w:val="center"/>
                </w:tcPr>
                <w:p w14:paraId="5FEF8FC6">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年平均质量浓度</w:t>
                  </w:r>
                </w:p>
              </w:tc>
              <w:tc>
                <w:tcPr>
                  <w:tcW w:w="1622" w:type="dxa"/>
                  <w:tcBorders>
                    <w:tl2br w:val="nil"/>
                    <w:tr2bl w:val="nil"/>
                  </w:tcBorders>
                  <w:vAlign w:val="center"/>
                </w:tcPr>
                <w:p w14:paraId="046B982B">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13</w:t>
                  </w:r>
                </w:p>
              </w:tc>
              <w:tc>
                <w:tcPr>
                  <w:tcW w:w="1420" w:type="dxa"/>
                  <w:tcBorders>
                    <w:tl2br w:val="nil"/>
                    <w:tr2bl w:val="nil"/>
                  </w:tcBorders>
                  <w:vAlign w:val="center"/>
                </w:tcPr>
                <w:p w14:paraId="2EB9590D">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40</w:t>
                  </w:r>
                </w:p>
              </w:tc>
              <w:tc>
                <w:tcPr>
                  <w:tcW w:w="1304" w:type="dxa"/>
                  <w:tcBorders>
                    <w:tl2br w:val="nil"/>
                    <w:tr2bl w:val="nil"/>
                  </w:tcBorders>
                  <w:vAlign w:val="center"/>
                </w:tcPr>
                <w:p w14:paraId="179A20BE">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32.5</w:t>
                  </w:r>
                </w:p>
              </w:tc>
              <w:tc>
                <w:tcPr>
                  <w:tcW w:w="1272" w:type="dxa"/>
                  <w:tcBorders>
                    <w:tl2br w:val="nil"/>
                    <w:tr2bl w:val="nil"/>
                  </w:tcBorders>
                  <w:vAlign w:val="center"/>
                </w:tcPr>
                <w:p w14:paraId="0EE6C469">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达标</w:t>
                  </w:r>
                </w:p>
              </w:tc>
            </w:tr>
            <w:tr w14:paraId="5B0C6E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tcBorders>
                    <w:tl2br w:val="nil"/>
                    <w:tr2bl w:val="nil"/>
                  </w:tcBorders>
                  <w:vAlign w:val="center"/>
                </w:tcPr>
                <w:p w14:paraId="7BD0F12E">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PM</w:t>
                  </w:r>
                  <w:r>
                    <w:rPr>
                      <w:color w:val="000000" w:themeColor="text1"/>
                      <w:kern w:val="0"/>
                      <w:szCs w:val="21"/>
                      <w:vertAlign w:val="subscript"/>
                      <w14:textFill>
                        <w14:solidFill>
                          <w14:schemeClr w14:val="tx1"/>
                        </w14:solidFill>
                      </w14:textFill>
                    </w:rPr>
                    <w:t>10</w:t>
                  </w:r>
                </w:p>
              </w:tc>
              <w:tc>
                <w:tcPr>
                  <w:tcW w:w="1947" w:type="dxa"/>
                  <w:tcBorders>
                    <w:tl2br w:val="nil"/>
                    <w:tr2bl w:val="nil"/>
                  </w:tcBorders>
                  <w:vAlign w:val="center"/>
                </w:tcPr>
                <w:p w14:paraId="19C16434">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年平均质量浓度</w:t>
                  </w:r>
                </w:p>
              </w:tc>
              <w:tc>
                <w:tcPr>
                  <w:tcW w:w="1622" w:type="dxa"/>
                  <w:tcBorders>
                    <w:tl2br w:val="nil"/>
                    <w:tr2bl w:val="nil"/>
                  </w:tcBorders>
                  <w:vAlign w:val="center"/>
                </w:tcPr>
                <w:p w14:paraId="2B2DE759">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34</w:t>
                  </w:r>
                </w:p>
              </w:tc>
              <w:tc>
                <w:tcPr>
                  <w:tcW w:w="1420" w:type="dxa"/>
                  <w:tcBorders>
                    <w:tl2br w:val="nil"/>
                    <w:tr2bl w:val="nil"/>
                  </w:tcBorders>
                  <w:vAlign w:val="center"/>
                </w:tcPr>
                <w:p w14:paraId="1B110D9D">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60</w:t>
                  </w:r>
                </w:p>
              </w:tc>
              <w:tc>
                <w:tcPr>
                  <w:tcW w:w="1304" w:type="dxa"/>
                  <w:tcBorders>
                    <w:tl2br w:val="nil"/>
                    <w:tr2bl w:val="nil"/>
                  </w:tcBorders>
                  <w:vAlign w:val="center"/>
                </w:tcPr>
                <w:p w14:paraId="7843F010">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56.67</w:t>
                  </w:r>
                </w:p>
              </w:tc>
              <w:tc>
                <w:tcPr>
                  <w:tcW w:w="1272" w:type="dxa"/>
                  <w:tcBorders>
                    <w:tl2br w:val="nil"/>
                    <w:tr2bl w:val="nil"/>
                  </w:tcBorders>
                  <w:vAlign w:val="center"/>
                </w:tcPr>
                <w:p w14:paraId="615D8035">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达标</w:t>
                  </w:r>
                </w:p>
              </w:tc>
            </w:tr>
            <w:tr w14:paraId="124445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tcBorders>
                    <w:tl2br w:val="nil"/>
                    <w:tr2bl w:val="nil"/>
                  </w:tcBorders>
                  <w:vAlign w:val="center"/>
                </w:tcPr>
                <w:p w14:paraId="0701EBD6">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PM</w:t>
                  </w:r>
                  <w:r>
                    <w:rPr>
                      <w:color w:val="000000" w:themeColor="text1"/>
                      <w:kern w:val="0"/>
                      <w:szCs w:val="21"/>
                      <w:vertAlign w:val="subscript"/>
                      <w14:textFill>
                        <w14:solidFill>
                          <w14:schemeClr w14:val="tx1"/>
                        </w14:solidFill>
                      </w14:textFill>
                    </w:rPr>
                    <w:t>2.5</w:t>
                  </w:r>
                </w:p>
              </w:tc>
              <w:tc>
                <w:tcPr>
                  <w:tcW w:w="1947" w:type="dxa"/>
                  <w:tcBorders>
                    <w:tl2br w:val="nil"/>
                    <w:tr2bl w:val="nil"/>
                  </w:tcBorders>
                  <w:vAlign w:val="center"/>
                </w:tcPr>
                <w:p w14:paraId="6FC11EAC">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年平均质量浓度</w:t>
                  </w:r>
                </w:p>
              </w:tc>
              <w:tc>
                <w:tcPr>
                  <w:tcW w:w="1622" w:type="dxa"/>
                  <w:tcBorders>
                    <w:tl2br w:val="nil"/>
                    <w:tr2bl w:val="nil"/>
                  </w:tcBorders>
                  <w:vAlign w:val="center"/>
                </w:tcPr>
                <w:p w14:paraId="5EC29396">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24</w:t>
                  </w:r>
                </w:p>
              </w:tc>
              <w:tc>
                <w:tcPr>
                  <w:tcW w:w="1420" w:type="dxa"/>
                  <w:tcBorders>
                    <w:tl2br w:val="nil"/>
                    <w:tr2bl w:val="nil"/>
                  </w:tcBorders>
                  <w:vAlign w:val="center"/>
                </w:tcPr>
                <w:p w14:paraId="69A4B8EE">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30</w:t>
                  </w:r>
                </w:p>
              </w:tc>
              <w:tc>
                <w:tcPr>
                  <w:tcW w:w="1304" w:type="dxa"/>
                  <w:tcBorders>
                    <w:tl2br w:val="nil"/>
                    <w:tr2bl w:val="nil"/>
                  </w:tcBorders>
                  <w:vAlign w:val="center"/>
                </w:tcPr>
                <w:p w14:paraId="6F5781B0">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80</w:t>
                  </w:r>
                </w:p>
              </w:tc>
              <w:tc>
                <w:tcPr>
                  <w:tcW w:w="1272" w:type="dxa"/>
                  <w:tcBorders>
                    <w:tl2br w:val="nil"/>
                    <w:tr2bl w:val="nil"/>
                  </w:tcBorders>
                  <w:vAlign w:val="center"/>
                </w:tcPr>
                <w:p w14:paraId="0B17271D">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达标</w:t>
                  </w:r>
                </w:p>
              </w:tc>
            </w:tr>
            <w:tr w14:paraId="5B8250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tcBorders>
                    <w:tl2br w:val="nil"/>
                    <w:tr2bl w:val="nil"/>
                  </w:tcBorders>
                  <w:vAlign w:val="center"/>
                </w:tcPr>
                <w:p w14:paraId="60386627">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CO</w:t>
                  </w:r>
                </w:p>
              </w:tc>
              <w:tc>
                <w:tcPr>
                  <w:tcW w:w="1947" w:type="dxa"/>
                  <w:tcBorders>
                    <w:tl2br w:val="nil"/>
                    <w:tr2bl w:val="nil"/>
                  </w:tcBorders>
                  <w:vAlign w:val="center"/>
                </w:tcPr>
                <w:p w14:paraId="6EB3DB94">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第95百分位数</w:t>
                  </w:r>
                </w:p>
                <w:p w14:paraId="04FBAECF">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日平均质量浓度</w:t>
                  </w:r>
                </w:p>
              </w:tc>
              <w:tc>
                <w:tcPr>
                  <w:tcW w:w="1622" w:type="dxa"/>
                  <w:tcBorders>
                    <w:tl2br w:val="nil"/>
                    <w:tr2bl w:val="nil"/>
                  </w:tcBorders>
                  <w:vAlign w:val="center"/>
                </w:tcPr>
                <w:p w14:paraId="466E005C">
                  <w:pPr>
                    <w:jc w:val="center"/>
                    <w:rPr>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0.8mg/m³</w:t>
                  </w:r>
                </w:p>
              </w:tc>
              <w:tc>
                <w:tcPr>
                  <w:tcW w:w="1420" w:type="dxa"/>
                  <w:tcBorders>
                    <w:tl2br w:val="nil"/>
                    <w:tr2bl w:val="nil"/>
                  </w:tcBorders>
                  <w:vAlign w:val="center"/>
                </w:tcPr>
                <w:p w14:paraId="05109601">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4mg/m</w:t>
                  </w:r>
                  <w:r>
                    <w:rPr>
                      <w:color w:val="000000" w:themeColor="text1"/>
                      <w:kern w:val="0"/>
                      <w:szCs w:val="21"/>
                      <w:vertAlign w:val="superscript"/>
                      <w14:textFill>
                        <w14:solidFill>
                          <w14:schemeClr w14:val="tx1"/>
                        </w14:solidFill>
                      </w14:textFill>
                    </w:rPr>
                    <w:t>3</w:t>
                  </w:r>
                </w:p>
              </w:tc>
              <w:tc>
                <w:tcPr>
                  <w:tcW w:w="1304" w:type="dxa"/>
                  <w:tcBorders>
                    <w:tl2br w:val="nil"/>
                    <w:tr2bl w:val="nil"/>
                  </w:tcBorders>
                  <w:vAlign w:val="center"/>
                </w:tcPr>
                <w:p w14:paraId="685749E6">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20</w:t>
                  </w:r>
                </w:p>
              </w:tc>
              <w:tc>
                <w:tcPr>
                  <w:tcW w:w="1272" w:type="dxa"/>
                  <w:tcBorders>
                    <w:tl2br w:val="nil"/>
                    <w:tr2bl w:val="nil"/>
                  </w:tcBorders>
                  <w:vAlign w:val="center"/>
                </w:tcPr>
                <w:p w14:paraId="77BAFCD4">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达标</w:t>
                  </w:r>
                </w:p>
              </w:tc>
            </w:tr>
            <w:tr w14:paraId="394068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tcBorders>
                    <w:tl2br w:val="nil"/>
                    <w:tr2bl w:val="nil"/>
                  </w:tcBorders>
                  <w:vAlign w:val="center"/>
                </w:tcPr>
                <w:p w14:paraId="3144A529">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O</w:t>
                  </w:r>
                  <w:r>
                    <w:rPr>
                      <w:color w:val="000000" w:themeColor="text1"/>
                      <w:kern w:val="0"/>
                      <w:szCs w:val="21"/>
                      <w:vertAlign w:val="subscript"/>
                      <w14:textFill>
                        <w14:solidFill>
                          <w14:schemeClr w14:val="tx1"/>
                        </w14:solidFill>
                      </w14:textFill>
                    </w:rPr>
                    <w:t>3</w:t>
                  </w:r>
                </w:p>
              </w:tc>
              <w:tc>
                <w:tcPr>
                  <w:tcW w:w="1947" w:type="dxa"/>
                  <w:tcBorders>
                    <w:tl2br w:val="nil"/>
                    <w:tr2bl w:val="nil"/>
                  </w:tcBorders>
                  <w:vAlign w:val="center"/>
                </w:tcPr>
                <w:p w14:paraId="3180EB77">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第90百分位数</w:t>
                  </w:r>
                </w:p>
                <w:p w14:paraId="39D5F857">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8h平均质量浓度</w:t>
                  </w:r>
                </w:p>
              </w:tc>
              <w:tc>
                <w:tcPr>
                  <w:tcW w:w="1622" w:type="dxa"/>
                  <w:tcBorders>
                    <w:tl2br w:val="nil"/>
                    <w:tr2bl w:val="nil"/>
                  </w:tcBorders>
                  <w:vAlign w:val="center"/>
                </w:tcPr>
                <w:p w14:paraId="60A4FFB7">
                  <w:pPr>
                    <w:jc w:val="center"/>
                    <w:rPr>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104</w:t>
                  </w:r>
                </w:p>
              </w:tc>
              <w:tc>
                <w:tcPr>
                  <w:tcW w:w="1420" w:type="dxa"/>
                  <w:tcBorders>
                    <w:tl2br w:val="nil"/>
                    <w:tr2bl w:val="nil"/>
                  </w:tcBorders>
                  <w:vAlign w:val="center"/>
                </w:tcPr>
                <w:p w14:paraId="34F2EEB7">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160</w:t>
                  </w:r>
                </w:p>
              </w:tc>
              <w:tc>
                <w:tcPr>
                  <w:tcW w:w="1304" w:type="dxa"/>
                  <w:tcBorders>
                    <w:tl2br w:val="nil"/>
                    <w:tr2bl w:val="nil"/>
                  </w:tcBorders>
                  <w:vAlign w:val="center"/>
                </w:tcPr>
                <w:p w14:paraId="66BCB726">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65</w:t>
                  </w:r>
                </w:p>
              </w:tc>
              <w:tc>
                <w:tcPr>
                  <w:tcW w:w="1272" w:type="dxa"/>
                  <w:tcBorders>
                    <w:tl2br w:val="nil"/>
                    <w:tr2bl w:val="nil"/>
                  </w:tcBorders>
                  <w:vAlign w:val="center"/>
                </w:tcPr>
                <w:p w14:paraId="70CB1062">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达标</w:t>
                  </w:r>
                </w:p>
              </w:tc>
            </w:tr>
          </w:tbl>
          <w:p w14:paraId="77015B35">
            <w:pPr>
              <w:adjustRightInd w:val="0"/>
              <w:snapToGrid w:val="0"/>
              <w:spacing w:line="360" w:lineRule="auto"/>
              <w:ind w:firstLine="480" w:firstLineChars="200"/>
              <w:jc w:val="left"/>
              <w:rPr>
                <w:color w:val="000000" w:themeColor="text1"/>
                <w:kern w:val="0"/>
                <w:sz w:val="24"/>
                <w:lang w:val="zh-CN"/>
                <w14:textFill>
                  <w14:solidFill>
                    <w14:schemeClr w14:val="tx1"/>
                  </w14:solidFill>
                </w14:textFill>
              </w:rPr>
            </w:pPr>
            <w:r>
              <w:rPr>
                <w:color w:val="000000" w:themeColor="text1"/>
                <w:kern w:val="0"/>
                <w:sz w:val="24"/>
                <w14:textFill>
                  <w14:solidFill>
                    <w14:schemeClr w14:val="tx1"/>
                  </w14:solidFill>
                </w14:textFill>
              </w:rPr>
              <w:t>（2）</w:t>
            </w:r>
            <w:r>
              <w:rPr>
                <w:color w:val="000000" w:themeColor="text1"/>
                <w:kern w:val="0"/>
                <w:sz w:val="24"/>
                <w:lang w:val="zh-CN"/>
                <w14:textFill>
                  <w14:solidFill>
                    <w14:schemeClr w14:val="tx1"/>
                  </w14:solidFill>
                </w14:textFill>
              </w:rPr>
              <w:t>其他污染物环境空气质量现状评价</w:t>
            </w:r>
          </w:p>
          <w:p w14:paraId="0A14FF30">
            <w:pPr>
              <w:pStyle w:val="23"/>
              <w:adjustRightInd w:val="0"/>
              <w:snapToGrid w:val="0"/>
              <w:spacing w:after="0" w:line="360" w:lineRule="auto"/>
              <w:ind w:left="0" w:leftChars="0" w:firstLine="480"/>
              <w:rPr>
                <w:color w:val="000000" w:themeColor="text1"/>
                <w:szCs w:val="24"/>
                <w:lang w:val="zh-CN"/>
                <w14:textFill>
                  <w14:solidFill>
                    <w14:schemeClr w14:val="tx1"/>
                  </w14:solidFill>
                </w14:textFill>
              </w:rPr>
            </w:pPr>
            <w:r>
              <w:rPr>
                <w:color w:val="000000" w:themeColor="text1"/>
                <w:szCs w:val="24"/>
                <w:lang w:val="zh-CN"/>
                <w14:textFill>
                  <w14:solidFill>
                    <w14:schemeClr w14:val="tx1"/>
                  </w14:solidFill>
                </w14:textFill>
              </w:rPr>
              <w:t>本项目大气环境空气质量特征因子引自黑龙江汇川检测有限公司</w:t>
            </w:r>
            <w:r>
              <w:rPr>
                <w:color w:val="000000" w:themeColor="text1"/>
                <w:szCs w:val="24"/>
                <w14:textFill>
                  <w14:solidFill>
                    <w14:schemeClr w14:val="tx1"/>
                  </w14:solidFill>
                </w14:textFill>
              </w:rPr>
              <w:t>于2026年8月23日出具的检测报告，详见附件</w:t>
            </w:r>
            <w:r>
              <w:rPr>
                <w:color w:val="000000" w:themeColor="text1"/>
                <w:szCs w:val="24"/>
                <w:lang w:val="zh-CN"/>
                <w14:textFill>
                  <w14:solidFill>
                    <w14:schemeClr w14:val="tx1"/>
                  </w14:solidFill>
                </w14:textFill>
              </w:rPr>
              <w:t>。</w:t>
            </w:r>
          </w:p>
          <w:p w14:paraId="628E7C86">
            <w:pPr>
              <w:spacing w:line="360" w:lineRule="auto"/>
              <w:ind w:firstLine="480" w:firstLineChars="200"/>
              <w:rPr>
                <w:color w:val="000000" w:themeColor="text1"/>
                <w:kern w:val="0"/>
                <w:sz w:val="24"/>
                <w:lang w:val="zh-CN"/>
                <w14:textFill>
                  <w14:solidFill>
                    <w14:schemeClr w14:val="tx1"/>
                  </w14:solidFill>
                </w14:textFill>
              </w:rPr>
            </w:pPr>
            <w:r>
              <w:rPr>
                <w:color w:val="000000" w:themeColor="text1"/>
                <w:kern w:val="0"/>
                <w:sz w:val="24"/>
                <w:lang w:val="zh-CN"/>
                <w14:textFill>
                  <w14:solidFill>
                    <w14:schemeClr w14:val="tx1"/>
                  </w14:solidFill>
                </w14:textFill>
              </w:rPr>
              <w:t>①监测项目</w:t>
            </w:r>
          </w:p>
          <w:p w14:paraId="0F4C0157">
            <w:pPr>
              <w:spacing w:line="360" w:lineRule="auto"/>
              <w:ind w:firstLine="480" w:firstLineChars="200"/>
              <w:rPr>
                <w:color w:val="000000" w:themeColor="text1"/>
                <w:kern w:val="0"/>
                <w:sz w:val="24"/>
                <w:lang w:val="zh-CN"/>
                <w14:textFill>
                  <w14:solidFill>
                    <w14:schemeClr w14:val="tx1"/>
                  </w14:solidFill>
                </w14:textFill>
              </w:rPr>
            </w:pPr>
            <w:r>
              <w:rPr>
                <w:color w:val="000000" w:themeColor="text1"/>
                <w:kern w:val="0"/>
                <w:sz w:val="24"/>
                <w:lang w:val="zh-CN"/>
                <w14:textFill>
                  <w14:solidFill>
                    <w14:schemeClr w14:val="tx1"/>
                  </w14:solidFill>
                </w14:textFill>
              </w:rPr>
              <w:t>TSP</w:t>
            </w:r>
          </w:p>
          <w:p w14:paraId="71DC2638">
            <w:pPr>
              <w:spacing w:line="360" w:lineRule="auto"/>
              <w:ind w:firstLine="480" w:firstLineChars="200"/>
              <w:rPr>
                <w:color w:val="000000" w:themeColor="text1"/>
                <w:kern w:val="0"/>
                <w:sz w:val="24"/>
                <w:lang w:val="zh-CN"/>
                <w14:textFill>
                  <w14:solidFill>
                    <w14:schemeClr w14:val="tx1"/>
                  </w14:solidFill>
                </w14:textFill>
              </w:rPr>
            </w:pPr>
            <w:r>
              <w:rPr>
                <w:color w:val="000000" w:themeColor="text1"/>
                <w:kern w:val="0"/>
                <w:sz w:val="24"/>
                <w:lang w:val="zh-CN"/>
                <w14:textFill>
                  <w14:solidFill>
                    <w14:schemeClr w14:val="tx1"/>
                  </w14:solidFill>
                </w14:textFill>
              </w:rPr>
              <w:t>②监测时间</w:t>
            </w:r>
          </w:p>
          <w:p w14:paraId="25B3145A">
            <w:pPr>
              <w:spacing w:line="360" w:lineRule="auto"/>
              <w:ind w:firstLine="480" w:firstLineChars="200"/>
              <w:rPr>
                <w:color w:val="000000" w:themeColor="text1"/>
                <w:kern w:val="0"/>
                <w:sz w:val="24"/>
                <w:lang w:val="zh-CN"/>
                <w14:textFill>
                  <w14:solidFill>
                    <w14:schemeClr w14:val="tx1"/>
                  </w14:solidFill>
                </w14:textFill>
              </w:rPr>
            </w:pPr>
            <w:r>
              <w:rPr>
                <w:color w:val="000000" w:themeColor="text1"/>
                <w:kern w:val="0"/>
                <w:sz w:val="24"/>
                <w:lang w:val="zh-CN"/>
                <w14:textFill>
                  <w14:solidFill>
                    <w14:schemeClr w14:val="tx1"/>
                  </w14:solidFill>
                </w14:textFill>
              </w:rPr>
              <w:t>监测时间：20</w:t>
            </w:r>
            <w:r>
              <w:rPr>
                <w:color w:val="000000" w:themeColor="text1"/>
                <w:kern w:val="0"/>
                <w:sz w:val="24"/>
                <w14:textFill>
                  <w14:solidFill>
                    <w14:schemeClr w14:val="tx1"/>
                  </w14:solidFill>
                </w14:textFill>
              </w:rPr>
              <w:t>26</w:t>
            </w:r>
            <w:r>
              <w:rPr>
                <w:color w:val="000000" w:themeColor="text1"/>
                <w:kern w:val="0"/>
                <w:sz w:val="24"/>
                <w:lang w:val="zh-CN"/>
                <w14:textFill>
                  <w14:solidFill>
                    <w14:schemeClr w14:val="tx1"/>
                  </w14:solidFill>
                </w14:textFill>
              </w:rPr>
              <w:t>年</w:t>
            </w:r>
            <w:r>
              <w:rPr>
                <w:color w:val="000000" w:themeColor="text1"/>
                <w:kern w:val="0"/>
                <w:sz w:val="24"/>
                <w14:textFill>
                  <w14:solidFill>
                    <w14:schemeClr w14:val="tx1"/>
                  </w14:solidFill>
                </w14:textFill>
              </w:rPr>
              <w:t>8</w:t>
            </w:r>
            <w:r>
              <w:rPr>
                <w:color w:val="000000" w:themeColor="text1"/>
                <w:kern w:val="0"/>
                <w:sz w:val="24"/>
                <w:lang w:val="zh-CN"/>
                <w14:textFill>
                  <w14:solidFill>
                    <w14:schemeClr w14:val="tx1"/>
                  </w14:solidFill>
                </w14:textFill>
              </w:rPr>
              <w:t>月</w:t>
            </w:r>
            <w:r>
              <w:rPr>
                <w:color w:val="000000" w:themeColor="text1"/>
                <w:kern w:val="0"/>
                <w:sz w:val="24"/>
                <w14:textFill>
                  <w14:solidFill>
                    <w14:schemeClr w14:val="tx1"/>
                  </w14:solidFill>
                </w14:textFill>
              </w:rPr>
              <w:t>17日</w:t>
            </w:r>
            <w:r>
              <w:rPr>
                <w:color w:val="000000" w:themeColor="text1"/>
                <w:kern w:val="0"/>
                <w:sz w:val="24"/>
                <w:lang w:val="zh-CN"/>
                <w14:textFill>
                  <w14:solidFill>
                    <w14:schemeClr w14:val="tx1"/>
                  </w14:solidFill>
                </w14:textFill>
              </w:rPr>
              <w:t>~</w:t>
            </w:r>
            <w:r>
              <w:rPr>
                <w:color w:val="000000" w:themeColor="text1"/>
                <w:kern w:val="0"/>
                <w:sz w:val="24"/>
                <w14:textFill>
                  <w14:solidFill>
                    <w14:schemeClr w14:val="tx1"/>
                  </w14:solidFill>
                </w14:textFill>
              </w:rPr>
              <w:t>8</w:t>
            </w:r>
            <w:r>
              <w:rPr>
                <w:color w:val="000000" w:themeColor="text1"/>
                <w:kern w:val="0"/>
                <w:sz w:val="24"/>
                <w:lang w:val="zh-CN"/>
                <w14:textFill>
                  <w14:solidFill>
                    <w14:schemeClr w14:val="tx1"/>
                  </w14:solidFill>
                </w14:textFill>
              </w:rPr>
              <w:t>月</w:t>
            </w:r>
            <w:r>
              <w:rPr>
                <w:color w:val="000000" w:themeColor="text1"/>
                <w:kern w:val="0"/>
                <w:sz w:val="24"/>
                <w14:textFill>
                  <w14:solidFill>
                    <w14:schemeClr w14:val="tx1"/>
                  </w14:solidFill>
                </w14:textFill>
              </w:rPr>
              <w:t>19</w:t>
            </w:r>
            <w:r>
              <w:rPr>
                <w:color w:val="000000" w:themeColor="text1"/>
                <w:kern w:val="0"/>
                <w:sz w:val="24"/>
                <w:lang w:val="zh-CN"/>
                <w14:textFill>
                  <w14:solidFill>
                    <w14:schemeClr w14:val="tx1"/>
                  </w14:solidFill>
                </w14:textFill>
              </w:rPr>
              <w:t>日，连续监测</w:t>
            </w:r>
            <w:r>
              <w:rPr>
                <w:color w:val="000000" w:themeColor="text1"/>
                <w:kern w:val="0"/>
                <w:sz w:val="24"/>
                <w14:textFill>
                  <w14:solidFill>
                    <w14:schemeClr w14:val="tx1"/>
                  </w14:solidFill>
                </w14:textFill>
              </w:rPr>
              <w:t>3</w:t>
            </w:r>
            <w:r>
              <w:rPr>
                <w:color w:val="000000" w:themeColor="text1"/>
                <w:kern w:val="0"/>
                <w:sz w:val="24"/>
                <w:lang w:val="zh-CN"/>
                <w14:textFill>
                  <w14:solidFill>
                    <w14:schemeClr w14:val="tx1"/>
                  </w14:solidFill>
                </w14:textFill>
              </w:rPr>
              <w:t>天。</w:t>
            </w:r>
          </w:p>
          <w:p w14:paraId="62208AA6">
            <w:pPr>
              <w:spacing w:line="360" w:lineRule="auto"/>
              <w:ind w:firstLine="480" w:firstLineChars="200"/>
              <w:rPr>
                <w:color w:val="000000" w:themeColor="text1"/>
                <w:kern w:val="0"/>
                <w:sz w:val="24"/>
                <w:lang w:val="zh-CN"/>
                <w14:textFill>
                  <w14:solidFill>
                    <w14:schemeClr w14:val="tx1"/>
                  </w14:solidFill>
                </w14:textFill>
              </w:rPr>
            </w:pPr>
            <w:r>
              <w:rPr>
                <w:color w:val="000000" w:themeColor="text1"/>
                <w:kern w:val="0"/>
                <w:sz w:val="24"/>
                <w:lang w:val="zh-CN"/>
                <w14:textFill>
                  <w14:solidFill>
                    <w14:schemeClr w14:val="tx1"/>
                  </w14:solidFill>
                </w14:textFill>
              </w:rPr>
              <w:t>③监测频率</w:t>
            </w:r>
          </w:p>
          <w:p w14:paraId="1573E6DD">
            <w:pPr>
              <w:spacing w:line="360" w:lineRule="auto"/>
              <w:ind w:firstLine="480" w:firstLineChars="200"/>
              <w:rPr>
                <w:color w:val="000000" w:themeColor="text1"/>
                <w:kern w:val="0"/>
                <w:sz w:val="24"/>
                <w:lang w:val="zh-CN"/>
                <w14:textFill>
                  <w14:solidFill>
                    <w14:schemeClr w14:val="tx1"/>
                  </w14:solidFill>
                </w14:textFill>
              </w:rPr>
            </w:pPr>
            <w:r>
              <w:rPr>
                <w:color w:val="000000" w:themeColor="text1"/>
                <w:kern w:val="0"/>
                <w:sz w:val="24"/>
                <w:lang w:val="zh-CN"/>
                <w14:textFill>
                  <w14:solidFill>
                    <w14:schemeClr w14:val="tx1"/>
                  </w14:solidFill>
                </w14:textFill>
              </w:rPr>
              <w:t>TSP日平均浓度，采样</w:t>
            </w:r>
            <w:r>
              <w:rPr>
                <w:color w:val="000000" w:themeColor="text1"/>
                <w:kern w:val="0"/>
                <w:sz w:val="24"/>
                <w14:textFill>
                  <w14:solidFill>
                    <w14:schemeClr w14:val="tx1"/>
                  </w14:solidFill>
                </w14:textFill>
              </w:rPr>
              <w:t>3</w:t>
            </w:r>
            <w:r>
              <w:rPr>
                <w:color w:val="000000" w:themeColor="text1"/>
                <w:kern w:val="0"/>
                <w:sz w:val="24"/>
                <w:lang w:val="zh-CN"/>
                <w14:textFill>
                  <w14:solidFill>
                    <w14:schemeClr w14:val="tx1"/>
                  </w14:solidFill>
                </w14:textFill>
              </w:rPr>
              <w:t>天，</w:t>
            </w:r>
            <w:r>
              <w:rPr>
                <w:rFonts w:ascii="宋体" w:hAnsi="宋体" w:cs="宋体"/>
                <w:color w:val="000000" w:themeColor="text1"/>
                <w:sz w:val="24"/>
                <w14:textFill>
                  <w14:solidFill>
                    <w14:schemeClr w14:val="tx1"/>
                  </w14:solidFill>
                </w14:textFill>
              </w:rPr>
              <w:t>每日24小时采样</w:t>
            </w:r>
            <w:r>
              <w:rPr>
                <w:color w:val="000000" w:themeColor="text1"/>
                <w:kern w:val="0"/>
                <w:sz w:val="24"/>
                <w:lang w:val="zh-CN"/>
                <w14:textFill>
                  <w14:solidFill>
                    <w14:schemeClr w14:val="tx1"/>
                  </w14:solidFill>
                </w14:textFill>
              </w:rPr>
              <w:t>。</w:t>
            </w:r>
          </w:p>
          <w:p w14:paraId="1A6C569F">
            <w:pPr>
              <w:spacing w:line="360" w:lineRule="auto"/>
              <w:ind w:firstLine="480" w:firstLineChars="200"/>
              <w:rPr>
                <w:color w:val="000000" w:themeColor="text1"/>
                <w:kern w:val="0"/>
                <w:sz w:val="24"/>
                <w:lang w:val="zh-CN"/>
                <w14:textFill>
                  <w14:solidFill>
                    <w14:schemeClr w14:val="tx1"/>
                  </w14:solidFill>
                </w14:textFill>
              </w:rPr>
            </w:pPr>
            <w:r>
              <w:rPr>
                <w:color w:val="000000" w:themeColor="text1"/>
                <w:kern w:val="0"/>
                <w:sz w:val="24"/>
                <w:lang w:val="zh-CN"/>
                <w14:textFill>
                  <w14:solidFill>
                    <w14:schemeClr w14:val="tx1"/>
                  </w14:solidFill>
                </w14:textFill>
              </w:rPr>
              <w:t>④监测点位</w:t>
            </w:r>
          </w:p>
          <w:p w14:paraId="4943DD4A">
            <w:pPr>
              <w:spacing w:line="360" w:lineRule="auto"/>
              <w:ind w:firstLine="480" w:firstLineChars="200"/>
              <w:rPr>
                <w:color w:val="000000" w:themeColor="text1"/>
                <w:kern w:val="0"/>
                <w:sz w:val="24"/>
                <w:lang w:val="zh-CN"/>
                <w14:textFill>
                  <w14:solidFill>
                    <w14:schemeClr w14:val="tx1"/>
                  </w14:solidFill>
                </w14:textFill>
              </w:rPr>
            </w:pPr>
            <w:r>
              <w:rPr>
                <w:color w:val="000000" w:themeColor="text1"/>
                <w:kern w:val="0"/>
                <w:sz w:val="24"/>
                <w:lang w:val="zh-CN"/>
                <w14:textFill>
                  <w14:solidFill>
                    <w14:schemeClr w14:val="tx1"/>
                  </w14:solidFill>
                </w14:textFill>
              </w:rPr>
              <w:t>监测点位置具体见表</w:t>
            </w:r>
            <w:r>
              <w:rPr>
                <w:color w:val="000000" w:themeColor="text1"/>
                <w:kern w:val="0"/>
                <w:sz w:val="24"/>
                <w14:textFill>
                  <w14:solidFill>
                    <w14:schemeClr w14:val="tx1"/>
                  </w14:solidFill>
                </w14:textFill>
              </w:rPr>
              <w:t>3</w:t>
            </w:r>
            <w:r>
              <w:rPr>
                <w:color w:val="000000" w:themeColor="text1"/>
                <w:kern w:val="0"/>
                <w:sz w:val="24"/>
                <w:lang w:val="zh-CN"/>
                <w14:textFill>
                  <w14:solidFill>
                    <w14:schemeClr w14:val="tx1"/>
                  </w14:solidFill>
                </w14:textFill>
              </w:rPr>
              <w:t>-</w:t>
            </w:r>
            <w:r>
              <w:rPr>
                <w:color w:val="000000" w:themeColor="text1"/>
                <w:kern w:val="0"/>
                <w:sz w:val="24"/>
                <w14:textFill>
                  <w14:solidFill>
                    <w14:schemeClr w14:val="tx1"/>
                  </w14:solidFill>
                </w14:textFill>
              </w:rPr>
              <w:t>2</w:t>
            </w:r>
            <w:r>
              <w:rPr>
                <w:color w:val="000000" w:themeColor="text1"/>
                <w:kern w:val="0"/>
                <w:sz w:val="24"/>
                <w:lang w:val="zh-CN"/>
                <w14:textFill>
                  <w14:solidFill>
                    <w14:schemeClr w14:val="tx1"/>
                  </w14:solidFill>
                </w14:textFill>
              </w:rPr>
              <w:t>和图</w:t>
            </w:r>
            <w:r>
              <w:rPr>
                <w:color w:val="000000" w:themeColor="text1"/>
                <w:kern w:val="0"/>
                <w:sz w:val="24"/>
                <w14:textFill>
                  <w14:solidFill>
                    <w14:schemeClr w14:val="tx1"/>
                  </w14:solidFill>
                </w14:textFill>
              </w:rPr>
              <w:t>3</w:t>
            </w:r>
            <w:r>
              <w:rPr>
                <w:color w:val="000000" w:themeColor="text1"/>
                <w:kern w:val="0"/>
                <w:sz w:val="24"/>
                <w:lang w:val="zh-CN"/>
                <w14:textFill>
                  <w14:solidFill>
                    <w14:schemeClr w14:val="tx1"/>
                  </w14:solidFill>
                </w14:textFill>
              </w:rPr>
              <w:t>-1。</w:t>
            </w:r>
          </w:p>
          <w:p w14:paraId="4B8D3D51">
            <w:pPr>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表3-2 项目环境空气现状监测布点一览表</w:t>
            </w:r>
          </w:p>
          <w:tbl>
            <w:tblPr>
              <w:tblStyle w:val="24"/>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517"/>
              <w:gridCol w:w="1670"/>
              <w:gridCol w:w="1470"/>
              <w:gridCol w:w="788"/>
              <w:gridCol w:w="1088"/>
              <w:gridCol w:w="1212"/>
            </w:tblGrid>
            <w:tr w14:paraId="62BD3C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3" w:type="dxa"/>
                  <w:vMerge w:val="restart"/>
                  <w:vAlign w:val="center"/>
                </w:tcPr>
                <w:p w14:paraId="047639A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编号</w:t>
                  </w:r>
                </w:p>
              </w:tc>
              <w:tc>
                <w:tcPr>
                  <w:tcW w:w="1517" w:type="dxa"/>
                  <w:vMerge w:val="restart"/>
                  <w:vAlign w:val="center"/>
                </w:tcPr>
                <w:p w14:paraId="468F4EE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监测点名称</w:t>
                  </w:r>
                </w:p>
              </w:tc>
              <w:tc>
                <w:tcPr>
                  <w:tcW w:w="3140" w:type="dxa"/>
                  <w:gridSpan w:val="2"/>
                  <w:vAlign w:val="center"/>
                </w:tcPr>
                <w:p w14:paraId="02D1EDF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监测点坐标/°</w:t>
                  </w:r>
                </w:p>
              </w:tc>
              <w:tc>
                <w:tcPr>
                  <w:tcW w:w="788" w:type="dxa"/>
                  <w:vMerge w:val="restart"/>
                  <w:vAlign w:val="center"/>
                </w:tcPr>
                <w:p w14:paraId="4AA23F7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监测因子</w:t>
                  </w:r>
                </w:p>
              </w:tc>
              <w:tc>
                <w:tcPr>
                  <w:tcW w:w="1088" w:type="dxa"/>
                  <w:vMerge w:val="restart"/>
                  <w:vAlign w:val="center"/>
                </w:tcPr>
                <w:p w14:paraId="4D68CCC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相对厂址方位</w:t>
                  </w:r>
                </w:p>
              </w:tc>
              <w:tc>
                <w:tcPr>
                  <w:tcW w:w="1212" w:type="dxa"/>
                  <w:vMerge w:val="restart"/>
                  <w:vAlign w:val="center"/>
                </w:tcPr>
                <w:p w14:paraId="488519B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相对厂界</w:t>
                  </w:r>
                </w:p>
                <w:p w14:paraId="3538E53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距离/m</w:t>
                  </w:r>
                </w:p>
              </w:tc>
            </w:tr>
            <w:tr w14:paraId="08AF46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3" w:type="dxa"/>
                  <w:vMerge w:val="continue"/>
                  <w:vAlign w:val="center"/>
                </w:tcPr>
                <w:p w14:paraId="10C6E114">
                  <w:pPr>
                    <w:jc w:val="center"/>
                    <w:rPr>
                      <w:color w:val="000000" w:themeColor="text1"/>
                      <w:szCs w:val="21"/>
                      <w14:textFill>
                        <w14:solidFill>
                          <w14:schemeClr w14:val="tx1"/>
                        </w14:solidFill>
                      </w14:textFill>
                    </w:rPr>
                  </w:pPr>
                </w:p>
              </w:tc>
              <w:tc>
                <w:tcPr>
                  <w:tcW w:w="1517" w:type="dxa"/>
                  <w:vMerge w:val="continue"/>
                  <w:vAlign w:val="center"/>
                </w:tcPr>
                <w:p w14:paraId="38B5894B">
                  <w:pPr>
                    <w:jc w:val="center"/>
                    <w:rPr>
                      <w:color w:val="000000" w:themeColor="text1"/>
                      <w:szCs w:val="21"/>
                      <w14:textFill>
                        <w14:solidFill>
                          <w14:schemeClr w14:val="tx1"/>
                        </w14:solidFill>
                      </w14:textFill>
                    </w:rPr>
                  </w:pPr>
                </w:p>
              </w:tc>
              <w:tc>
                <w:tcPr>
                  <w:tcW w:w="1670" w:type="dxa"/>
                  <w:vAlign w:val="center"/>
                </w:tcPr>
                <w:p w14:paraId="2760D19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经度</w:t>
                  </w:r>
                </w:p>
              </w:tc>
              <w:tc>
                <w:tcPr>
                  <w:tcW w:w="1470" w:type="dxa"/>
                  <w:vAlign w:val="center"/>
                </w:tcPr>
                <w:p w14:paraId="48559BC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纬度</w:t>
                  </w:r>
                </w:p>
              </w:tc>
              <w:tc>
                <w:tcPr>
                  <w:tcW w:w="788" w:type="dxa"/>
                  <w:vMerge w:val="continue"/>
                  <w:vAlign w:val="center"/>
                </w:tcPr>
                <w:p w14:paraId="1745AF75">
                  <w:pPr>
                    <w:jc w:val="center"/>
                    <w:rPr>
                      <w:color w:val="000000" w:themeColor="text1"/>
                      <w:szCs w:val="21"/>
                      <w14:textFill>
                        <w14:solidFill>
                          <w14:schemeClr w14:val="tx1"/>
                        </w14:solidFill>
                      </w14:textFill>
                    </w:rPr>
                  </w:pPr>
                </w:p>
              </w:tc>
              <w:tc>
                <w:tcPr>
                  <w:tcW w:w="1088" w:type="dxa"/>
                  <w:vMerge w:val="continue"/>
                  <w:vAlign w:val="center"/>
                </w:tcPr>
                <w:p w14:paraId="6768DBA4">
                  <w:pPr>
                    <w:jc w:val="center"/>
                    <w:rPr>
                      <w:color w:val="000000" w:themeColor="text1"/>
                      <w:szCs w:val="21"/>
                      <w14:textFill>
                        <w14:solidFill>
                          <w14:schemeClr w14:val="tx1"/>
                        </w14:solidFill>
                      </w14:textFill>
                    </w:rPr>
                  </w:pPr>
                </w:p>
              </w:tc>
              <w:tc>
                <w:tcPr>
                  <w:tcW w:w="1212" w:type="dxa"/>
                  <w:vMerge w:val="continue"/>
                  <w:vAlign w:val="center"/>
                </w:tcPr>
                <w:p w14:paraId="3CBF0F00">
                  <w:pPr>
                    <w:jc w:val="center"/>
                    <w:rPr>
                      <w:color w:val="000000" w:themeColor="text1"/>
                      <w:szCs w:val="21"/>
                      <w14:textFill>
                        <w14:solidFill>
                          <w14:schemeClr w14:val="tx1"/>
                        </w14:solidFill>
                      </w14:textFill>
                    </w:rPr>
                  </w:pPr>
                </w:p>
              </w:tc>
            </w:tr>
            <w:tr w14:paraId="7CA9EA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3" w:type="dxa"/>
                  <w:vAlign w:val="center"/>
                </w:tcPr>
                <w:p w14:paraId="472F50C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1517" w:type="dxa"/>
                  <w:vAlign w:val="center"/>
                </w:tcPr>
                <w:p w14:paraId="7D3A73F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项目东北侧</w:t>
                  </w:r>
                </w:p>
              </w:tc>
              <w:tc>
                <w:tcPr>
                  <w:tcW w:w="1670" w:type="dxa"/>
                  <w:vAlign w:val="center"/>
                </w:tcPr>
                <w:p w14:paraId="4680129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129.104030</w:t>
                  </w:r>
                </w:p>
              </w:tc>
              <w:tc>
                <w:tcPr>
                  <w:tcW w:w="1470" w:type="dxa"/>
                  <w:vAlign w:val="center"/>
                </w:tcPr>
                <w:p w14:paraId="3A5508F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47.610192</w:t>
                  </w:r>
                </w:p>
              </w:tc>
              <w:tc>
                <w:tcPr>
                  <w:tcW w:w="788" w:type="dxa"/>
                  <w:vAlign w:val="center"/>
                </w:tcPr>
                <w:p w14:paraId="6B44A4D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TSP</w:t>
                  </w:r>
                </w:p>
              </w:tc>
              <w:tc>
                <w:tcPr>
                  <w:tcW w:w="1088" w:type="dxa"/>
                  <w:vAlign w:val="center"/>
                </w:tcPr>
                <w:p w14:paraId="4375D60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东北侧</w:t>
                  </w:r>
                </w:p>
              </w:tc>
              <w:tc>
                <w:tcPr>
                  <w:tcW w:w="1212" w:type="dxa"/>
                  <w:vAlign w:val="center"/>
                </w:tcPr>
                <w:p w14:paraId="1A9FB9D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75</w:t>
                  </w:r>
                </w:p>
              </w:tc>
            </w:tr>
          </w:tbl>
          <w:p w14:paraId="1D854A0C">
            <w:pPr>
              <w:pStyle w:val="22"/>
              <w:adjustRightInd w:val="0"/>
              <w:spacing w:before="0" w:after="0" w:line="240" w:lineRule="auto"/>
              <w:ind w:right="0" w:firstLine="0" w:firstLineChars="0"/>
              <w:jc w:val="center"/>
              <w:rPr>
                <w:color w:val="000000" w:themeColor="text1"/>
                <w:sz w:val="24"/>
                <w:lang w:val="zh-CN"/>
                <w14:textFill>
                  <w14:solidFill>
                    <w14:schemeClr w14:val="tx1"/>
                  </w14:solidFill>
                </w14:textFill>
              </w:rPr>
            </w:pPr>
            <w:r>
              <w:rPr>
                <w:color w:val="000000" w:themeColor="text1"/>
                <w:sz w:val="32"/>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4607560</wp:posOffset>
                      </wp:positionH>
                      <wp:positionV relativeFrom="paragraph">
                        <wp:posOffset>76200</wp:posOffset>
                      </wp:positionV>
                      <wp:extent cx="690880" cy="650875"/>
                      <wp:effectExtent l="4445" t="4445" r="9525" b="11430"/>
                      <wp:wrapNone/>
                      <wp:docPr id="2" name="文本框 2"/>
                      <wp:cNvGraphicFramePr/>
                      <a:graphic xmlns:a="http://schemas.openxmlformats.org/drawingml/2006/main">
                        <a:graphicData uri="http://schemas.microsoft.com/office/word/2010/wordprocessingShape">
                          <wps:wsp>
                            <wps:cNvSpPr txBox="1"/>
                            <wps:spPr>
                              <a:xfrm>
                                <a:off x="5697220" y="4166870"/>
                                <a:ext cx="690880" cy="650875"/>
                              </a:xfrm>
                              <a:prstGeom prst="rect">
                                <a:avLst/>
                              </a:prstGeom>
                              <a:solidFill>
                                <a:srgbClr val="FFFFFF"/>
                              </a:solidFill>
                              <a:ln w="6350">
                                <a:solidFill>
                                  <a:prstClr val="black"/>
                                </a:solidFill>
                              </a:ln>
                              <a:effectLst/>
                            </wps:spPr>
                            <wps:txbx>
                              <w:txbxContent>
                                <w:p w14:paraId="18FE40F2">
                                  <w:r>
                                    <w:rPr>
                                      <w:rFonts w:hint="eastAsia"/>
                                      <w:color w:val="000000"/>
                                      <w:szCs w:val="21"/>
                                    </w:rPr>
                                    <w:drawing>
                                      <wp:inline distT="0" distB="0" distL="114300" distR="114300">
                                        <wp:extent cx="532130" cy="497840"/>
                                        <wp:effectExtent l="0" t="0" r="1270" b="16510"/>
                                        <wp:docPr id="26" name="图片 3" descr="2e7067394e3592b21fb861d5044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 descr="2e7067394e3592b21fb861d50441261"/>
                                                <pic:cNvPicPr>
                                                  <a:picLocks noChangeAspect="1"/>
                                                </pic:cNvPicPr>
                                              </pic:nvPicPr>
                                              <pic:blipFill>
                                                <a:blip r:embed="rId15"/>
                                                <a:stretch>
                                                  <a:fillRect/>
                                                </a:stretch>
                                              </pic:blipFill>
                                              <pic:spPr>
                                                <a:xfrm>
                                                  <a:off x="0" y="0"/>
                                                  <a:ext cx="532130" cy="4978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2.8pt;margin-top:6pt;height:51.25pt;width:54.4pt;z-index:251660288;mso-width-relative:page;mso-height-relative:page;" fillcolor="#FFFFFF" filled="t" stroked="t" coordsize="21600,21600" o:gfxdata="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x8jF51gAAAAoBAAAPAAAAAAAAAAEAIAAAACIAAABkcnMvZG93bnJldi54bWxQSwEC&#10;FAAUAAAACACHTuJAEhWQGWgCAADQBAAADgAAAAAAAAABACAAAAAlAQAAZHJzL2Uyb0RvYy54bWxQ&#10;SwUGAAAAAAYABgBZAQAA/wUAAAAA&#10;">
                      <v:fill on="t" focussize="0,0"/>
                      <v:stroke weight="0.5pt" color="#000000" joinstyle="round"/>
                      <v:imagedata o:title=""/>
                      <o:lock v:ext="edit" aspectratio="f"/>
                      <v:textbox>
                        <w:txbxContent>
                          <w:p w14:paraId="18FE40F2">
                            <w:r>
                              <w:rPr>
                                <w:rFonts w:hint="eastAsia"/>
                                <w:color w:val="000000"/>
                                <w:szCs w:val="21"/>
                              </w:rPr>
                              <w:drawing>
                                <wp:inline distT="0" distB="0" distL="114300" distR="114300">
                                  <wp:extent cx="532130" cy="497840"/>
                                  <wp:effectExtent l="0" t="0" r="1270" b="16510"/>
                                  <wp:docPr id="26" name="图片 3" descr="2e7067394e3592b21fb861d5044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 descr="2e7067394e3592b21fb861d50441261"/>
                                          <pic:cNvPicPr>
                                            <a:picLocks noChangeAspect="1"/>
                                          </pic:cNvPicPr>
                                        </pic:nvPicPr>
                                        <pic:blipFill>
                                          <a:blip r:embed="rId15"/>
                                          <a:stretch>
                                            <a:fillRect/>
                                          </a:stretch>
                                        </pic:blipFill>
                                        <pic:spPr>
                                          <a:xfrm>
                                            <a:off x="0" y="0"/>
                                            <a:ext cx="532130" cy="497840"/>
                                          </a:xfrm>
                                          <a:prstGeom prst="rect">
                                            <a:avLst/>
                                          </a:prstGeom>
                                          <a:noFill/>
                                          <a:ln>
                                            <a:noFill/>
                                          </a:ln>
                                        </pic:spPr>
                                      </pic:pic>
                                    </a:graphicData>
                                  </a:graphic>
                                </wp:inline>
                              </w:drawing>
                            </w:r>
                          </w:p>
                        </w:txbxContent>
                      </v:textbox>
                    </v:shape>
                  </w:pict>
                </mc:Fallback>
              </mc:AlternateContent>
            </w:r>
            <w:r>
              <w:rPr>
                <w:color w:val="000000" w:themeColor="text1"/>
                <w14:textFill>
                  <w14:solidFill>
                    <w14:schemeClr w14:val="tx1"/>
                  </w14:solidFill>
                </w14:textFill>
              </w:rPr>
              <w:drawing>
                <wp:inline distT="0" distB="0" distL="114300" distR="114300">
                  <wp:extent cx="5273040" cy="2870835"/>
                  <wp:effectExtent l="0" t="0" r="3810" b="5715"/>
                  <wp:docPr id="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
                          <pic:cNvPicPr>
                            <a:picLocks noChangeAspect="1"/>
                          </pic:cNvPicPr>
                        </pic:nvPicPr>
                        <pic:blipFill>
                          <a:blip r:embed="rId16"/>
                          <a:stretch>
                            <a:fillRect/>
                          </a:stretch>
                        </pic:blipFill>
                        <pic:spPr>
                          <a:xfrm>
                            <a:off x="0" y="0"/>
                            <a:ext cx="5273040" cy="2870835"/>
                          </a:xfrm>
                          <a:prstGeom prst="rect">
                            <a:avLst/>
                          </a:prstGeom>
                          <a:noFill/>
                          <a:ln>
                            <a:noFill/>
                          </a:ln>
                        </pic:spPr>
                      </pic:pic>
                    </a:graphicData>
                  </a:graphic>
                </wp:inline>
              </w:drawing>
            </w:r>
          </w:p>
          <w:p w14:paraId="1D7666EF">
            <w:pPr>
              <w:adjustRightInd w:val="0"/>
              <w:snapToGrid w:val="0"/>
              <w:spacing w:line="360" w:lineRule="auto"/>
              <w:jc w:val="center"/>
              <w:rPr>
                <w:color w:val="000000" w:themeColor="text1"/>
                <w:sz w:val="24"/>
                <w:lang w:val="zh-CN"/>
                <w14:textFill>
                  <w14:solidFill>
                    <w14:schemeClr w14:val="tx1"/>
                  </w14:solidFill>
                </w14:textFill>
              </w:rPr>
            </w:pPr>
            <w:r>
              <w:rPr>
                <w:b/>
                <w:color w:val="000000" w:themeColor="text1"/>
                <w:sz w:val="24"/>
                <w14:textFill>
                  <w14:solidFill>
                    <w14:schemeClr w14:val="tx1"/>
                  </w14:solidFill>
                </w14:textFill>
              </w:rPr>
              <w:t>图3-1  项目环境空气现状监测布点图</w:t>
            </w:r>
          </w:p>
          <w:p w14:paraId="6257979E">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⑤监测结果</w:t>
            </w:r>
          </w:p>
          <w:p w14:paraId="55607C7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本次环境空气质量现状监测结果见表3-3。</w:t>
            </w:r>
          </w:p>
          <w:p w14:paraId="7193A291">
            <w:pPr>
              <w:jc w:val="center"/>
              <w:rPr>
                <w:b/>
                <w:bCs/>
                <w:color w:val="000000" w:themeColor="text1"/>
                <w:sz w:val="24"/>
                <w:szCs w:val="32"/>
                <w14:textFill>
                  <w14:solidFill>
                    <w14:schemeClr w14:val="tx1"/>
                  </w14:solidFill>
                </w14:textFill>
              </w:rPr>
            </w:pPr>
            <w:r>
              <w:rPr>
                <w:b/>
                <w:bCs/>
                <w:color w:val="000000" w:themeColor="text1"/>
                <w:sz w:val="24"/>
                <w:szCs w:val="32"/>
                <w14:textFill>
                  <w14:solidFill>
                    <w14:schemeClr w14:val="tx1"/>
                  </w14:solidFill>
                </w14:textFill>
              </w:rPr>
              <w:t>表3-3  环境空气质量现状监测结果</w:t>
            </w:r>
          </w:p>
          <w:tbl>
            <w:tblPr>
              <w:tblStyle w:val="24"/>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9"/>
              <w:gridCol w:w="1168"/>
              <w:gridCol w:w="1045"/>
              <w:gridCol w:w="578"/>
              <w:gridCol w:w="574"/>
              <w:gridCol w:w="1106"/>
              <w:gridCol w:w="1180"/>
              <w:gridCol w:w="845"/>
              <w:gridCol w:w="812"/>
              <w:gridCol w:w="427"/>
            </w:tblGrid>
            <w:tr w14:paraId="75FB38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 w:hRule="atLeast"/>
                <w:tblHeader/>
                <w:jc w:val="center"/>
              </w:trPr>
              <w:tc>
                <w:tcPr>
                  <w:tcW w:w="679" w:type="dxa"/>
                  <w:vMerge w:val="restart"/>
                  <w:vAlign w:val="center"/>
                </w:tcPr>
                <w:p w14:paraId="47D07D8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监测</w:t>
                  </w:r>
                </w:p>
                <w:p w14:paraId="246B75D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点位</w:t>
                  </w:r>
                </w:p>
              </w:tc>
              <w:tc>
                <w:tcPr>
                  <w:tcW w:w="2213" w:type="dxa"/>
                  <w:gridSpan w:val="2"/>
                  <w:vAlign w:val="center"/>
                </w:tcPr>
                <w:p w14:paraId="4994608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监测点坐标/°</w:t>
                  </w:r>
                </w:p>
              </w:tc>
              <w:tc>
                <w:tcPr>
                  <w:tcW w:w="578" w:type="dxa"/>
                  <w:vMerge w:val="restart"/>
                  <w:vAlign w:val="center"/>
                </w:tcPr>
                <w:p w14:paraId="5C47969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污染物</w:t>
                  </w:r>
                </w:p>
              </w:tc>
              <w:tc>
                <w:tcPr>
                  <w:tcW w:w="574" w:type="dxa"/>
                  <w:vMerge w:val="restart"/>
                  <w:vAlign w:val="center"/>
                </w:tcPr>
                <w:p w14:paraId="416A367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平均时间</w:t>
                  </w:r>
                </w:p>
              </w:tc>
              <w:tc>
                <w:tcPr>
                  <w:tcW w:w="1106" w:type="dxa"/>
                  <w:vMerge w:val="restart"/>
                  <w:vAlign w:val="center"/>
                </w:tcPr>
                <w:p w14:paraId="22B851D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评价标准</w:t>
                  </w:r>
                </w:p>
                <w:p w14:paraId="142974F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（μg/m</w:t>
                  </w:r>
                  <w:r>
                    <w:rPr>
                      <w:color w:val="000000" w:themeColor="text1"/>
                      <w:szCs w:val="21"/>
                      <w:vertAlign w:val="superscript"/>
                      <w14:textFill>
                        <w14:solidFill>
                          <w14:schemeClr w14:val="tx1"/>
                        </w14:solidFill>
                      </w14:textFill>
                    </w:rPr>
                    <w:t>3</w:t>
                  </w:r>
                  <w:r>
                    <w:rPr>
                      <w:rFonts w:hint="eastAsia"/>
                      <w:color w:val="000000" w:themeColor="text1"/>
                      <w:szCs w:val="21"/>
                      <w:vertAlign w:val="superscript"/>
                      <w14:textFill>
                        <w14:solidFill>
                          <w14:schemeClr w14:val="tx1"/>
                        </w14:solidFill>
                      </w14:textFill>
                    </w:rPr>
                    <w:t>)</w:t>
                  </w:r>
                </w:p>
              </w:tc>
              <w:tc>
                <w:tcPr>
                  <w:tcW w:w="1180" w:type="dxa"/>
                  <w:vMerge w:val="restart"/>
                  <w:vAlign w:val="center"/>
                </w:tcPr>
                <w:p w14:paraId="1577D30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监测浓度范围（μg/m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w:t>
                  </w:r>
                </w:p>
              </w:tc>
              <w:tc>
                <w:tcPr>
                  <w:tcW w:w="845" w:type="dxa"/>
                  <w:vMerge w:val="restart"/>
                  <w:vAlign w:val="center"/>
                </w:tcPr>
                <w:p w14:paraId="30E6D9E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最大浓度占标比（%）</w:t>
                  </w:r>
                </w:p>
              </w:tc>
              <w:tc>
                <w:tcPr>
                  <w:tcW w:w="812" w:type="dxa"/>
                  <w:vMerge w:val="restart"/>
                  <w:vAlign w:val="center"/>
                </w:tcPr>
                <w:p w14:paraId="2343500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超标率（%）</w:t>
                  </w:r>
                </w:p>
              </w:tc>
              <w:tc>
                <w:tcPr>
                  <w:tcW w:w="427" w:type="dxa"/>
                  <w:vMerge w:val="restart"/>
                  <w:vAlign w:val="center"/>
                </w:tcPr>
                <w:p w14:paraId="686140A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达标情况</w:t>
                  </w:r>
                </w:p>
              </w:tc>
            </w:tr>
            <w:tr w14:paraId="14BB4A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 w:hRule="atLeast"/>
                <w:tblHeader/>
                <w:jc w:val="center"/>
              </w:trPr>
              <w:tc>
                <w:tcPr>
                  <w:tcW w:w="679" w:type="dxa"/>
                  <w:vMerge w:val="continue"/>
                  <w:vAlign w:val="center"/>
                </w:tcPr>
                <w:p w14:paraId="41C248F6">
                  <w:pPr>
                    <w:jc w:val="center"/>
                    <w:rPr>
                      <w:color w:val="000000" w:themeColor="text1"/>
                      <w:szCs w:val="21"/>
                      <w14:textFill>
                        <w14:solidFill>
                          <w14:schemeClr w14:val="tx1"/>
                        </w14:solidFill>
                      </w14:textFill>
                    </w:rPr>
                  </w:pPr>
                </w:p>
              </w:tc>
              <w:tc>
                <w:tcPr>
                  <w:tcW w:w="1168" w:type="dxa"/>
                  <w:vAlign w:val="center"/>
                </w:tcPr>
                <w:p w14:paraId="5575DFC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经度</w:t>
                  </w:r>
                </w:p>
              </w:tc>
              <w:tc>
                <w:tcPr>
                  <w:tcW w:w="1045" w:type="dxa"/>
                  <w:vAlign w:val="center"/>
                </w:tcPr>
                <w:p w14:paraId="2617C4E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纬度</w:t>
                  </w:r>
                </w:p>
              </w:tc>
              <w:tc>
                <w:tcPr>
                  <w:tcW w:w="578" w:type="dxa"/>
                  <w:vMerge w:val="continue"/>
                  <w:vAlign w:val="center"/>
                </w:tcPr>
                <w:p w14:paraId="78E93D9C">
                  <w:pPr>
                    <w:jc w:val="center"/>
                    <w:rPr>
                      <w:color w:val="000000" w:themeColor="text1"/>
                      <w:szCs w:val="21"/>
                      <w14:textFill>
                        <w14:solidFill>
                          <w14:schemeClr w14:val="tx1"/>
                        </w14:solidFill>
                      </w14:textFill>
                    </w:rPr>
                  </w:pPr>
                </w:p>
              </w:tc>
              <w:tc>
                <w:tcPr>
                  <w:tcW w:w="574" w:type="dxa"/>
                  <w:vMerge w:val="continue"/>
                  <w:vAlign w:val="center"/>
                </w:tcPr>
                <w:p w14:paraId="26ED8142">
                  <w:pPr>
                    <w:jc w:val="center"/>
                    <w:rPr>
                      <w:color w:val="000000" w:themeColor="text1"/>
                      <w:szCs w:val="21"/>
                      <w14:textFill>
                        <w14:solidFill>
                          <w14:schemeClr w14:val="tx1"/>
                        </w14:solidFill>
                      </w14:textFill>
                    </w:rPr>
                  </w:pPr>
                </w:p>
              </w:tc>
              <w:tc>
                <w:tcPr>
                  <w:tcW w:w="1106" w:type="dxa"/>
                  <w:vMerge w:val="continue"/>
                  <w:vAlign w:val="center"/>
                </w:tcPr>
                <w:p w14:paraId="008496EC">
                  <w:pPr>
                    <w:jc w:val="center"/>
                    <w:rPr>
                      <w:color w:val="000000" w:themeColor="text1"/>
                      <w:szCs w:val="21"/>
                      <w14:textFill>
                        <w14:solidFill>
                          <w14:schemeClr w14:val="tx1"/>
                        </w14:solidFill>
                      </w14:textFill>
                    </w:rPr>
                  </w:pPr>
                </w:p>
              </w:tc>
              <w:tc>
                <w:tcPr>
                  <w:tcW w:w="1180" w:type="dxa"/>
                  <w:vMerge w:val="continue"/>
                  <w:vAlign w:val="center"/>
                </w:tcPr>
                <w:p w14:paraId="799E9C52">
                  <w:pPr>
                    <w:jc w:val="center"/>
                    <w:rPr>
                      <w:color w:val="000000" w:themeColor="text1"/>
                      <w:szCs w:val="21"/>
                      <w14:textFill>
                        <w14:solidFill>
                          <w14:schemeClr w14:val="tx1"/>
                        </w14:solidFill>
                      </w14:textFill>
                    </w:rPr>
                  </w:pPr>
                </w:p>
              </w:tc>
              <w:tc>
                <w:tcPr>
                  <w:tcW w:w="845" w:type="dxa"/>
                  <w:vMerge w:val="continue"/>
                  <w:vAlign w:val="center"/>
                </w:tcPr>
                <w:p w14:paraId="54DFE5A8">
                  <w:pPr>
                    <w:jc w:val="center"/>
                    <w:rPr>
                      <w:color w:val="000000" w:themeColor="text1"/>
                      <w:szCs w:val="21"/>
                      <w14:textFill>
                        <w14:solidFill>
                          <w14:schemeClr w14:val="tx1"/>
                        </w14:solidFill>
                      </w14:textFill>
                    </w:rPr>
                  </w:pPr>
                </w:p>
              </w:tc>
              <w:tc>
                <w:tcPr>
                  <w:tcW w:w="812" w:type="dxa"/>
                  <w:vMerge w:val="continue"/>
                  <w:vAlign w:val="center"/>
                </w:tcPr>
                <w:p w14:paraId="2C7A4AC1">
                  <w:pPr>
                    <w:jc w:val="center"/>
                    <w:rPr>
                      <w:color w:val="000000" w:themeColor="text1"/>
                      <w:szCs w:val="21"/>
                      <w14:textFill>
                        <w14:solidFill>
                          <w14:schemeClr w14:val="tx1"/>
                        </w14:solidFill>
                      </w14:textFill>
                    </w:rPr>
                  </w:pPr>
                </w:p>
              </w:tc>
              <w:tc>
                <w:tcPr>
                  <w:tcW w:w="427" w:type="dxa"/>
                  <w:vMerge w:val="continue"/>
                  <w:vAlign w:val="center"/>
                </w:tcPr>
                <w:p w14:paraId="6A929717">
                  <w:pPr>
                    <w:jc w:val="center"/>
                    <w:rPr>
                      <w:color w:val="000000" w:themeColor="text1"/>
                      <w:szCs w:val="21"/>
                      <w14:textFill>
                        <w14:solidFill>
                          <w14:schemeClr w14:val="tx1"/>
                        </w14:solidFill>
                      </w14:textFill>
                    </w:rPr>
                  </w:pPr>
                </w:p>
              </w:tc>
            </w:tr>
            <w:tr w14:paraId="3EF671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79" w:type="dxa"/>
                  <w:vAlign w:val="center"/>
                </w:tcPr>
                <w:p w14:paraId="70227E0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项目东北侧</w:t>
                  </w:r>
                </w:p>
              </w:tc>
              <w:tc>
                <w:tcPr>
                  <w:tcW w:w="1168" w:type="dxa"/>
                  <w:vAlign w:val="center"/>
                </w:tcPr>
                <w:p w14:paraId="764AA5B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129.104030</w:t>
                  </w:r>
                </w:p>
              </w:tc>
              <w:tc>
                <w:tcPr>
                  <w:tcW w:w="1045" w:type="dxa"/>
                  <w:vAlign w:val="center"/>
                </w:tcPr>
                <w:p w14:paraId="28C54EF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47.610192</w:t>
                  </w:r>
                </w:p>
              </w:tc>
              <w:tc>
                <w:tcPr>
                  <w:tcW w:w="578" w:type="dxa"/>
                  <w:vAlign w:val="center"/>
                </w:tcPr>
                <w:p w14:paraId="3472B3E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TSP</w:t>
                  </w:r>
                </w:p>
              </w:tc>
              <w:tc>
                <w:tcPr>
                  <w:tcW w:w="574" w:type="dxa"/>
                  <w:vAlign w:val="center"/>
                </w:tcPr>
                <w:p w14:paraId="2F6C1615">
                  <w:pPr>
                    <w:pStyle w:val="91"/>
                    <w:spacing w:before="120" w:after="120"/>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日均</w:t>
                  </w:r>
                </w:p>
              </w:tc>
              <w:tc>
                <w:tcPr>
                  <w:tcW w:w="1106" w:type="dxa"/>
                  <w:vAlign w:val="center"/>
                </w:tcPr>
                <w:p w14:paraId="6097FED1">
                  <w:pPr>
                    <w:pStyle w:val="91"/>
                    <w:spacing w:before="120" w:after="120"/>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300</w:t>
                  </w:r>
                </w:p>
              </w:tc>
              <w:tc>
                <w:tcPr>
                  <w:tcW w:w="1180" w:type="dxa"/>
                  <w:vAlign w:val="center"/>
                </w:tcPr>
                <w:p w14:paraId="421773F0">
                  <w:pPr>
                    <w:pStyle w:val="91"/>
                    <w:spacing w:before="120" w:after="120"/>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52-92</w:t>
                  </w:r>
                </w:p>
              </w:tc>
              <w:tc>
                <w:tcPr>
                  <w:tcW w:w="845" w:type="dxa"/>
                  <w:vAlign w:val="center"/>
                </w:tcPr>
                <w:p w14:paraId="18C79A21">
                  <w:pPr>
                    <w:pStyle w:val="91"/>
                    <w:spacing w:before="120" w:after="120"/>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30.7</w:t>
                  </w:r>
                </w:p>
              </w:tc>
              <w:tc>
                <w:tcPr>
                  <w:tcW w:w="812" w:type="dxa"/>
                  <w:vAlign w:val="center"/>
                </w:tcPr>
                <w:p w14:paraId="3C709298">
                  <w:pPr>
                    <w:pStyle w:val="91"/>
                    <w:spacing w:before="120" w:after="120"/>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0</w:t>
                  </w:r>
                </w:p>
              </w:tc>
              <w:tc>
                <w:tcPr>
                  <w:tcW w:w="427" w:type="dxa"/>
                  <w:vAlign w:val="center"/>
                </w:tcPr>
                <w:p w14:paraId="45B4AA4F">
                  <w:pPr>
                    <w:pStyle w:val="91"/>
                    <w:spacing w:before="120" w:after="120"/>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达标</w:t>
                  </w:r>
                </w:p>
              </w:tc>
            </w:tr>
          </w:tbl>
          <w:p w14:paraId="0F69CBBF">
            <w:pPr>
              <w:spacing w:line="360" w:lineRule="auto"/>
              <w:ind w:firstLine="480" w:firstLineChars="200"/>
              <w:rPr>
                <w:b/>
                <w:color w:val="000000" w:themeColor="text1"/>
                <w:kern w:val="0"/>
                <w:sz w:val="24"/>
                <w:highlight w:val="yellow"/>
                <w14:textFill>
                  <w14:solidFill>
                    <w14:schemeClr w14:val="tx1"/>
                  </w14:solidFill>
                </w14:textFill>
              </w:rPr>
            </w:pPr>
            <w:r>
              <w:rPr>
                <w:rFonts w:eastAsia="Times New Roman"/>
                <w:color w:val="000000" w:themeColor="text1"/>
                <w:sz w:val="24"/>
                <w14:textFill>
                  <w14:solidFill>
                    <w14:schemeClr w14:val="tx1"/>
                  </w14:solidFill>
                </w14:textFill>
              </w:rPr>
              <w:t>由表3-3可知，本项目所在区域在监测时段内TSP的24小时浓度满足《环境空气质量标准》（GB3095-2026）（过渡阶段）中的二级标准限值要求。</w:t>
            </w:r>
          </w:p>
          <w:p w14:paraId="68BA28DD">
            <w:pPr>
              <w:spacing w:line="360" w:lineRule="auto"/>
              <w:rPr>
                <w:b/>
                <w:color w:val="000000" w:themeColor="text1"/>
                <w:sz w:val="24"/>
                <w14:textFill>
                  <w14:solidFill>
                    <w14:schemeClr w14:val="tx1"/>
                  </w14:solidFill>
                </w14:textFill>
              </w:rPr>
            </w:pPr>
            <w:r>
              <w:rPr>
                <w:b/>
                <w:color w:val="000000" w:themeColor="text1"/>
                <w:sz w:val="24"/>
                <w14:textFill>
                  <w14:solidFill>
                    <w14:schemeClr w14:val="tx1"/>
                  </w14:solidFill>
                </w14:textFill>
              </w:rPr>
              <w:t>2.地表水环境</w:t>
            </w:r>
          </w:p>
          <w:p w14:paraId="48BE9541">
            <w:pPr>
              <w:spacing w:before="29" w:line="360" w:lineRule="auto"/>
              <w:ind w:left="4" w:firstLine="479"/>
              <w:rPr>
                <w:color w:val="000000" w:themeColor="text1"/>
                <w:spacing w:val="-3"/>
                <w:sz w:val="24"/>
                <w14:textFill>
                  <w14:solidFill>
                    <w14:schemeClr w14:val="tx1"/>
                  </w14:solidFill>
                </w14:textFill>
              </w:rPr>
            </w:pPr>
            <w:r>
              <w:rPr>
                <w:color w:val="000000" w:themeColor="text1"/>
                <w:spacing w:val="-3"/>
                <w:sz w:val="24"/>
                <w14:textFill>
                  <w14:solidFill>
                    <w14:schemeClr w14:val="tx1"/>
                  </w14:solidFill>
                </w14:textFill>
              </w:rPr>
              <w:t>本项目位于黑龙江省伊春市伊美区兰新经营所，本项目北侧2.1km为汤旺河。</w:t>
            </w:r>
          </w:p>
          <w:p w14:paraId="5270B8D3">
            <w:pPr>
              <w:spacing w:before="29" w:line="360" w:lineRule="auto"/>
              <w:ind w:left="4" w:firstLine="479"/>
              <w:rPr>
                <w:color w:val="000000" w:themeColor="text1"/>
                <w:spacing w:val="-3"/>
                <w:sz w:val="24"/>
                <w14:textFill>
                  <w14:solidFill>
                    <w14:schemeClr w14:val="tx1"/>
                  </w14:solidFill>
                </w14:textFill>
              </w:rPr>
            </w:pPr>
            <w:r>
              <w:rPr>
                <w:rFonts w:eastAsia="Times New Roman"/>
                <w:color w:val="000000" w:themeColor="text1"/>
                <w:sz w:val="24"/>
                <w14:textFill>
                  <w14:solidFill>
                    <w14:schemeClr w14:val="tx1"/>
                  </w14:solidFill>
                </w14:textFill>
              </w:rPr>
              <w:t>根据《全国重要江河湖泊水功能区划（2011-2030年）》，本项目所在区域为汤旺河美溪过渡区，规划水体类别为Ⅲ类水体，执行《地表水环境质量标准》（GB3838-2002）Ⅲ类标准。</w:t>
            </w:r>
          </w:p>
          <w:p w14:paraId="496F6B2A">
            <w:pPr>
              <w:adjustRightInd w:val="0"/>
              <w:snapToGrid w:val="0"/>
              <w:spacing w:line="360" w:lineRule="auto"/>
              <w:ind w:firstLine="480" w:firstLineChars="200"/>
              <w:rPr>
                <w:color w:val="000000" w:themeColor="text1"/>
                <w:sz w:val="24"/>
                <w14:textFill>
                  <w14:solidFill>
                    <w14:schemeClr w14:val="tx1"/>
                  </w14:solidFill>
                </w14:textFill>
              </w:rPr>
            </w:pPr>
            <w:r>
              <w:rPr>
                <w:rFonts w:eastAsia="Times New Roman"/>
                <w:color w:val="000000" w:themeColor="text1"/>
                <w:sz w:val="24"/>
                <w14:textFill>
                  <w14:solidFill>
                    <w14:schemeClr w14:val="tx1"/>
                  </w14:solidFill>
                </w14:textFill>
              </w:rPr>
              <w:t>根据伊春市人民政府发布的《2024年1-12月地表水国控考核断面水质信息公开》，汤旺河美溪过渡区对应的考核断面为晨明断面，2024年度水质类别为Ⅲ类，满足《地表水环境质量标准》（GB3838-2002）Ⅲ类标准要求。因此，本项目所在河段汤旺河美溪过渡区水质目标为Ⅲ类，现状水质类别为Ⅲ类，符合《地表水环境质量标准》（GB3838-2002）Ⅲ类标准。</w:t>
            </w:r>
          </w:p>
          <w:p w14:paraId="526F1568">
            <w:pPr>
              <w:spacing w:line="360" w:lineRule="auto"/>
              <w:rPr>
                <w:b/>
                <w:color w:val="000000" w:themeColor="text1"/>
                <w:sz w:val="24"/>
                <w14:textFill>
                  <w14:solidFill>
                    <w14:schemeClr w14:val="tx1"/>
                  </w14:solidFill>
                </w14:textFill>
              </w:rPr>
            </w:pPr>
            <w:r>
              <w:rPr>
                <w:b/>
                <w:color w:val="000000" w:themeColor="text1"/>
                <w:sz w:val="24"/>
                <w14:textFill>
                  <w14:solidFill>
                    <w14:schemeClr w14:val="tx1"/>
                  </w14:solidFill>
                </w14:textFill>
              </w:rPr>
              <w:t>3.声环境</w:t>
            </w:r>
          </w:p>
          <w:p w14:paraId="0A9506E2">
            <w:pPr>
              <w:autoSpaceDE w:val="0"/>
              <w:autoSpaceDN w:val="0"/>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项目所在区域内无大型噪声污染源，区域内声环境良好。区域内昼、夜间噪声值保持在《声环境质量标准》（GB3096-2008）中2类标准。</w:t>
            </w:r>
          </w:p>
          <w:p w14:paraId="1235C640">
            <w:pPr>
              <w:autoSpaceDE w:val="0"/>
              <w:autoSpaceDN w:val="0"/>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本项目敏感点声环境质量现状来源于</w:t>
            </w:r>
            <w:r>
              <w:rPr>
                <w:color w:val="000000" w:themeColor="text1"/>
                <w:kern w:val="0"/>
                <w:sz w:val="24"/>
                <w:lang w:val="zh-CN"/>
                <w14:textFill>
                  <w14:solidFill>
                    <w14:schemeClr w14:val="tx1"/>
                  </w14:solidFill>
                </w14:textFill>
              </w:rPr>
              <w:t>黑龙江汇川检测有限公司</w:t>
            </w:r>
            <w:r>
              <w:rPr>
                <w:color w:val="000000" w:themeColor="text1"/>
                <w:kern w:val="0"/>
                <w:sz w:val="24"/>
                <w14:textFill>
                  <w14:solidFill>
                    <w14:schemeClr w14:val="tx1"/>
                  </w14:solidFill>
                </w14:textFill>
              </w:rPr>
              <w:t>于2026年8月23日出具的检测报告，详见附件</w:t>
            </w:r>
            <w:r>
              <w:rPr>
                <w:color w:val="000000" w:themeColor="text1"/>
                <w:kern w:val="0"/>
                <w:sz w:val="24"/>
                <w:lang w:val="zh-CN"/>
                <w14:textFill>
                  <w14:solidFill>
                    <w14:schemeClr w14:val="tx1"/>
                  </w14:solidFill>
                </w14:textFill>
              </w:rPr>
              <w:t>。</w:t>
            </w:r>
          </w:p>
          <w:p w14:paraId="340336EE">
            <w:pPr>
              <w:autoSpaceDE w:val="0"/>
              <w:autoSpaceDN w:val="0"/>
              <w:adjustRightInd w:val="0"/>
              <w:snapToGrid w:val="0"/>
              <w:spacing w:line="360" w:lineRule="auto"/>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1.</w:t>
            </w:r>
            <w:r>
              <w:rPr>
                <w:color w:val="000000" w:themeColor="text1"/>
                <w:kern w:val="0"/>
                <w:sz w:val="24"/>
                <w14:textFill>
                  <w14:solidFill>
                    <w14:schemeClr w14:val="tx1"/>
                  </w14:solidFill>
                </w14:textFill>
              </w:rPr>
              <w:t>监测点位布设</w:t>
            </w:r>
          </w:p>
          <w:p w14:paraId="7A5F0C58">
            <w:pPr>
              <w:autoSpaceDE w:val="0"/>
              <w:autoSpaceDN w:val="0"/>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本项目布设1个监测点，具体布点情况见表3-4，监测点位布设图见图3-1。</w:t>
            </w:r>
          </w:p>
          <w:p w14:paraId="2B697B8A">
            <w:pPr>
              <w:jc w:val="center"/>
              <w:rPr>
                <w:b/>
                <w:bCs/>
                <w:color w:val="000000" w:themeColor="text1"/>
                <w:sz w:val="24"/>
                <w:szCs w:val="32"/>
                <w14:textFill>
                  <w14:solidFill>
                    <w14:schemeClr w14:val="tx1"/>
                  </w14:solidFill>
                </w14:textFill>
              </w:rPr>
            </w:pPr>
            <w:r>
              <w:rPr>
                <w:b/>
                <w:bCs/>
                <w:color w:val="000000" w:themeColor="text1"/>
                <w:sz w:val="24"/>
                <w:szCs w:val="32"/>
                <w14:textFill>
                  <w14:solidFill>
                    <w14:schemeClr w14:val="tx1"/>
                  </w14:solidFill>
                </w14:textFill>
              </w:rPr>
              <w:t>表3-4 声环境质量监测点位布设情况</w:t>
            </w:r>
          </w:p>
          <w:tbl>
            <w:tblPr>
              <w:tblStyle w:val="24"/>
              <w:tblW w:w="0" w:type="auto"/>
              <w:tblInd w:w="0" w:type="dxa"/>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2864"/>
              <w:gridCol w:w="5557"/>
            </w:tblGrid>
            <w:tr w14:paraId="4F1C355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c>
                <w:tcPr>
                  <w:tcW w:w="2864" w:type="dxa"/>
                  <w:tcBorders>
                    <w:top w:val="single" w:color="000000" w:sz="12" w:space="0"/>
                    <w:left w:val="nil"/>
                  </w:tcBorders>
                  <w:vAlign w:val="center"/>
                </w:tcPr>
                <w:p w14:paraId="08B52272">
                  <w:pPr>
                    <w:pStyle w:val="54"/>
                    <w:rPr>
                      <w:color w:val="000000" w:themeColor="text1"/>
                      <w:szCs w:val="21"/>
                      <w14:textFill>
                        <w14:solidFill>
                          <w14:schemeClr w14:val="tx1"/>
                        </w14:solidFill>
                      </w14:textFill>
                    </w:rPr>
                  </w:pPr>
                  <w:bookmarkStart w:id="30" w:name="_Hlk477208212"/>
                  <w:r>
                    <w:rPr>
                      <w:color w:val="000000" w:themeColor="text1"/>
                      <w:szCs w:val="21"/>
                      <w14:textFill>
                        <w14:solidFill>
                          <w14:schemeClr w14:val="tx1"/>
                        </w14:solidFill>
                      </w14:textFill>
                    </w:rPr>
                    <w:t>编号</w:t>
                  </w:r>
                </w:p>
              </w:tc>
              <w:tc>
                <w:tcPr>
                  <w:tcW w:w="5557" w:type="dxa"/>
                  <w:tcBorders>
                    <w:top w:val="single" w:color="000000" w:sz="12" w:space="0"/>
                    <w:right w:val="nil"/>
                  </w:tcBorders>
                  <w:vAlign w:val="center"/>
                </w:tcPr>
                <w:p w14:paraId="27F72391">
                  <w:pPr>
                    <w:pStyle w:val="54"/>
                    <w:rPr>
                      <w:color w:val="000000" w:themeColor="text1"/>
                      <w:szCs w:val="21"/>
                      <w14:textFill>
                        <w14:solidFill>
                          <w14:schemeClr w14:val="tx1"/>
                        </w14:solidFill>
                      </w14:textFill>
                    </w:rPr>
                  </w:pPr>
                  <w:r>
                    <w:rPr>
                      <w:color w:val="000000" w:themeColor="text1"/>
                      <w:szCs w:val="21"/>
                      <w14:textFill>
                        <w14:solidFill>
                          <w14:schemeClr w14:val="tx1"/>
                        </w14:solidFill>
                      </w14:textFill>
                    </w:rPr>
                    <w:t>监测点位置</w:t>
                  </w:r>
                </w:p>
              </w:tc>
            </w:tr>
            <w:tr w14:paraId="1A49192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2864" w:type="dxa"/>
                  <w:tcBorders>
                    <w:left w:val="nil"/>
                  </w:tcBorders>
                  <w:vAlign w:val="center"/>
                </w:tcPr>
                <w:p w14:paraId="0836FEE9">
                  <w:pPr>
                    <w:pStyle w:val="54"/>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5557" w:type="dxa"/>
                  <w:tcBorders>
                    <w:right w:val="nil"/>
                  </w:tcBorders>
                  <w:vAlign w:val="center"/>
                </w:tcPr>
                <w:p w14:paraId="40DDDBE1">
                  <w:pPr>
                    <w:pStyle w:val="54"/>
                    <w:rPr>
                      <w:color w:val="000000" w:themeColor="text1"/>
                      <w:szCs w:val="21"/>
                      <w14:textFill>
                        <w14:solidFill>
                          <w14:schemeClr w14:val="tx1"/>
                        </w14:solidFill>
                      </w14:textFill>
                    </w:rPr>
                  </w:pPr>
                  <w:r>
                    <w:rPr>
                      <w:color w:val="000000" w:themeColor="text1"/>
                      <w:szCs w:val="21"/>
                      <w14:textFill>
                        <w14:solidFill>
                          <w14:schemeClr w14:val="tx1"/>
                        </w14:solidFill>
                      </w14:textFill>
                    </w:rPr>
                    <w:t>厂界西侧居民</w:t>
                  </w:r>
                </w:p>
              </w:tc>
            </w:tr>
            <w:bookmarkEnd w:id="30"/>
          </w:tbl>
          <w:p w14:paraId="01570C3F">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监测频率</w:t>
            </w:r>
          </w:p>
          <w:p w14:paraId="037D71E8">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监测2天，每天昼间、夜间各监测1次。</w:t>
            </w:r>
          </w:p>
          <w:p w14:paraId="7E877A6A">
            <w:pPr>
              <w:numPr>
                <w:ilvl w:val="0"/>
                <w:numId w:val="3"/>
              </w:numPr>
              <w:adjustRightInd w:val="0"/>
              <w:snapToGrid w:val="0"/>
              <w:spacing w:line="360" w:lineRule="auto"/>
              <w:ind w:firstLine="480"/>
              <w:rPr>
                <w:color w:val="000000" w:themeColor="text1"/>
                <w14:textFill>
                  <w14:solidFill>
                    <w14:schemeClr w14:val="tx1"/>
                  </w14:solidFill>
                </w14:textFill>
              </w:rPr>
            </w:pPr>
            <w:r>
              <w:rPr>
                <w:color w:val="000000" w:themeColor="text1"/>
                <w:sz w:val="24"/>
                <w14:textFill>
                  <w14:solidFill>
                    <w14:schemeClr w14:val="tx1"/>
                  </w14:solidFill>
                </w14:textFill>
              </w:rPr>
              <w:t>检测结果</w:t>
            </w:r>
          </w:p>
          <w:p w14:paraId="2E70357E">
            <w:pPr>
              <w:jc w:val="center"/>
              <w:rPr>
                <w:b/>
                <w:bCs/>
                <w:color w:val="000000" w:themeColor="text1"/>
                <w:sz w:val="24"/>
                <w:szCs w:val="32"/>
                <w14:textFill>
                  <w14:solidFill>
                    <w14:schemeClr w14:val="tx1"/>
                  </w14:solidFill>
                </w14:textFill>
              </w:rPr>
            </w:pPr>
            <w:r>
              <w:rPr>
                <w:b/>
                <w:bCs/>
                <w:color w:val="000000" w:themeColor="text1"/>
                <w:sz w:val="24"/>
                <w:szCs w:val="32"/>
                <w14:textFill>
                  <w14:solidFill>
                    <w14:schemeClr w14:val="tx1"/>
                  </w14:solidFill>
                </w14:textFill>
              </w:rPr>
              <w:t>表3-4 声环境质量监测结果</w:t>
            </w:r>
          </w:p>
          <w:tbl>
            <w:tblPr>
              <w:tblStyle w:val="25"/>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678"/>
              <w:gridCol w:w="1472"/>
              <w:gridCol w:w="1474"/>
              <w:gridCol w:w="1480"/>
              <w:gridCol w:w="1314"/>
            </w:tblGrid>
            <w:tr w14:paraId="4F1B32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78" w:type="dxa"/>
                  <w:vMerge w:val="restart"/>
                  <w:tcBorders>
                    <w:tl2br w:val="nil"/>
                    <w:tr2bl w:val="nil"/>
                  </w:tcBorders>
                  <w:vAlign w:val="center"/>
                </w:tcPr>
                <w:p w14:paraId="21C0FC77">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检测点位</w:t>
                  </w:r>
                </w:p>
              </w:tc>
              <w:tc>
                <w:tcPr>
                  <w:tcW w:w="4426" w:type="dxa"/>
                  <w:gridSpan w:val="3"/>
                  <w:tcBorders>
                    <w:tl2br w:val="nil"/>
                    <w:tr2bl w:val="nil"/>
                  </w:tcBorders>
                  <w:vAlign w:val="center"/>
                </w:tcPr>
                <w:p w14:paraId="03A224F8">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检测结果</w:t>
                  </w:r>
                </w:p>
              </w:tc>
              <w:tc>
                <w:tcPr>
                  <w:tcW w:w="1314" w:type="dxa"/>
                  <w:vMerge w:val="restart"/>
                  <w:tcBorders>
                    <w:tl2br w:val="nil"/>
                    <w:tr2bl w:val="nil"/>
                  </w:tcBorders>
                  <w:vAlign w:val="center"/>
                </w:tcPr>
                <w:p w14:paraId="7E70F95C">
                  <w:pPr>
                    <w:jc w:val="center"/>
                    <w:rPr>
                      <w:color w:val="000000" w:themeColor="text1"/>
                      <w:szCs w:val="21"/>
                      <w14:textFill>
                        <w14:solidFill>
                          <w14:schemeClr w14:val="tx1"/>
                        </w14:solidFill>
                      </w14:textFill>
                    </w:rPr>
                  </w:pPr>
                  <w:r>
                    <w:rPr>
                      <w:b/>
                      <w:bCs/>
                      <w:color w:val="000000" w:themeColor="text1"/>
                      <w:szCs w:val="21"/>
                      <w14:textFill>
                        <w14:solidFill>
                          <w14:schemeClr w14:val="tx1"/>
                        </w14:solidFill>
                      </w14:textFill>
                    </w:rPr>
                    <w:t>单  位</w:t>
                  </w:r>
                </w:p>
              </w:tc>
            </w:tr>
            <w:tr w14:paraId="4DEAD2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78" w:type="dxa"/>
                  <w:vMerge w:val="continue"/>
                  <w:tcBorders>
                    <w:tl2br w:val="nil"/>
                    <w:tr2bl w:val="nil"/>
                  </w:tcBorders>
                  <w:vAlign w:val="center"/>
                </w:tcPr>
                <w:p w14:paraId="61640749">
                  <w:pPr>
                    <w:jc w:val="center"/>
                    <w:rPr>
                      <w:b/>
                      <w:bCs/>
                      <w:color w:val="000000" w:themeColor="text1"/>
                      <w:szCs w:val="21"/>
                      <w14:textFill>
                        <w14:solidFill>
                          <w14:schemeClr w14:val="tx1"/>
                        </w14:solidFill>
                      </w14:textFill>
                    </w:rPr>
                  </w:pPr>
                </w:p>
              </w:tc>
              <w:tc>
                <w:tcPr>
                  <w:tcW w:w="1472" w:type="dxa"/>
                  <w:tcBorders>
                    <w:tl2br w:val="nil"/>
                    <w:tr2bl w:val="nil"/>
                  </w:tcBorders>
                  <w:vAlign w:val="center"/>
                </w:tcPr>
                <w:p w14:paraId="55785848">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日期</w:t>
                  </w:r>
                </w:p>
              </w:tc>
              <w:tc>
                <w:tcPr>
                  <w:tcW w:w="1474" w:type="dxa"/>
                  <w:tcBorders>
                    <w:tl2br w:val="nil"/>
                    <w:tr2bl w:val="nil"/>
                  </w:tcBorders>
                  <w:vAlign w:val="center"/>
                </w:tcPr>
                <w:p w14:paraId="04DF970E">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昼间</w:t>
                  </w:r>
                </w:p>
              </w:tc>
              <w:tc>
                <w:tcPr>
                  <w:tcW w:w="1480" w:type="dxa"/>
                  <w:tcBorders>
                    <w:tl2br w:val="nil"/>
                    <w:tr2bl w:val="nil"/>
                  </w:tcBorders>
                  <w:vAlign w:val="center"/>
                </w:tcPr>
                <w:p w14:paraId="10B29FD9">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夜间</w:t>
                  </w:r>
                </w:p>
              </w:tc>
              <w:tc>
                <w:tcPr>
                  <w:tcW w:w="1314" w:type="dxa"/>
                  <w:vMerge w:val="continue"/>
                  <w:tcBorders>
                    <w:tl2br w:val="nil"/>
                    <w:tr2bl w:val="nil"/>
                  </w:tcBorders>
                  <w:vAlign w:val="center"/>
                </w:tcPr>
                <w:p w14:paraId="2FAAFE4E">
                  <w:pPr>
                    <w:jc w:val="center"/>
                    <w:rPr>
                      <w:color w:val="000000" w:themeColor="text1"/>
                      <w:szCs w:val="21"/>
                      <w14:textFill>
                        <w14:solidFill>
                          <w14:schemeClr w14:val="tx1"/>
                        </w14:solidFill>
                      </w14:textFill>
                    </w:rPr>
                  </w:pPr>
                </w:p>
              </w:tc>
            </w:tr>
            <w:tr w14:paraId="0F7730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78" w:type="dxa"/>
                  <w:vMerge w:val="restart"/>
                  <w:tcBorders>
                    <w:tl2br w:val="nil"/>
                    <w:tr2bl w:val="nil"/>
                  </w:tcBorders>
                  <w:vAlign w:val="center"/>
                </w:tcPr>
                <w:p w14:paraId="448EBC87">
                  <w:pPr>
                    <w:pStyle w:val="121"/>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西侧居民</w:t>
                  </w:r>
                </w:p>
              </w:tc>
              <w:tc>
                <w:tcPr>
                  <w:tcW w:w="1472" w:type="dxa"/>
                  <w:tcBorders>
                    <w:tl2br w:val="nil"/>
                    <w:tr2bl w:val="nil"/>
                  </w:tcBorders>
                  <w:vAlign w:val="center"/>
                </w:tcPr>
                <w:p w14:paraId="32E36441">
                  <w:pPr>
                    <w:widowControl/>
                    <w:autoSpaceDE w:val="0"/>
                    <w:autoSpaceDN w:val="0"/>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2026.08.17</w:t>
                  </w:r>
                </w:p>
              </w:tc>
              <w:tc>
                <w:tcPr>
                  <w:tcW w:w="1474" w:type="dxa"/>
                  <w:tcBorders>
                    <w:tl2br w:val="nil"/>
                    <w:tr2bl w:val="nil"/>
                  </w:tcBorders>
                  <w:vAlign w:val="center"/>
                </w:tcPr>
                <w:p w14:paraId="5889E9F4">
                  <w:pPr>
                    <w:widowControl/>
                    <w:autoSpaceDE w:val="0"/>
                    <w:autoSpaceDN w:val="0"/>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49</w:t>
                  </w:r>
                </w:p>
              </w:tc>
              <w:tc>
                <w:tcPr>
                  <w:tcW w:w="1480" w:type="dxa"/>
                  <w:tcBorders>
                    <w:tl2br w:val="nil"/>
                    <w:tr2bl w:val="nil"/>
                  </w:tcBorders>
                  <w:vAlign w:val="center"/>
                </w:tcPr>
                <w:p w14:paraId="3DE11566">
                  <w:pPr>
                    <w:widowControl/>
                    <w:autoSpaceDE w:val="0"/>
                    <w:autoSpaceDN w:val="0"/>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38</w:t>
                  </w:r>
                </w:p>
              </w:tc>
              <w:tc>
                <w:tcPr>
                  <w:tcW w:w="1314" w:type="dxa"/>
                  <w:tcBorders>
                    <w:tl2br w:val="nil"/>
                    <w:tr2bl w:val="nil"/>
                  </w:tcBorders>
                  <w:vAlign w:val="center"/>
                </w:tcPr>
                <w:p w14:paraId="7EFEC92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dB（A</w:t>
                  </w:r>
                  <w:r>
                    <w:rPr>
                      <w:rFonts w:hint="eastAsia"/>
                      <w:color w:val="000000" w:themeColor="text1"/>
                      <w:szCs w:val="21"/>
                      <w14:textFill>
                        <w14:solidFill>
                          <w14:schemeClr w14:val="tx1"/>
                        </w14:solidFill>
                      </w14:textFill>
                    </w:rPr>
                    <w:t>)</w:t>
                  </w:r>
                </w:p>
              </w:tc>
            </w:tr>
            <w:tr w14:paraId="77599C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78" w:type="dxa"/>
                  <w:vMerge w:val="continue"/>
                  <w:tcBorders>
                    <w:tl2br w:val="nil"/>
                    <w:tr2bl w:val="nil"/>
                  </w:tcBorders>
                  <w:vAlign w:val="center"/>
                </w:tcPr>
                <w:p w14:paraId="6A986105">
                  <w:pPr>
                    <w:pStyle w:val="121"/>
                    <w:rPr>
                      <w:rFonts w:cs="Times New Roman"/>
                      <w:bCs/>
                      <w:color w:val="000000" w:themeColor="text1"/>
                      <w14:textFill>
                        <w14:solidFill>
                          <w14:schemeClr w14:val="tx1"/>
                        </w14:solidFill>
                      </w14:textFill>
                    </w:rPr>
                  </w:pPr>
                </w:p>
              </w:tc>
              <w:tc>
                <w:tcPr>
                  <w:tcW w:w="1472" w:type="dxa"/>
                  <w:tcBorders>
                    <w:tl2br w:val="nil"/>
                    <w:tr2bl w:val="nil"/>
                  </w:tcBorders>
                  <w:vAlign w:val="center"/>
                </w:tcPr>
                <w:p w14:paraId="72CEE543">
                  <w:pPr>
                    <w:widowControl/>
                    <w:autoSpaceDE w:val="0"/>
                    <w:autoSpaceDN w:val="0"/>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2026.08.18</w:t>
                  </w:r>
                </w:p>
              </w:tc>
              <w:tc>
                <w:tcPr>
                  <w:tcW w:w="1474" w:type="dxa"/>
                  <w:tcBorders>
                    <w:tl2br w:val="nil"/>
                    <w:tr2bl w:val="nil"/>
                  </w:tcBorders>
                  <w:vAlign w:val="center"/>
                </w:tcPr>
                <w:p w14:paraId="063E437D">
                  <w:pPr>
                    <w:widowControl/>
                    <w:autoSpaceDE w:val="0"/>
                    <w:autoSpaceDN w:val="0"/>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48</w:t>
                  </w:r>
                </w:p>
              </w:tc>
              <w:tc>
                <w:tcPr>
                  <w:tcW w:w="1480" w:type="dxa"/>
                  <w:tcBorders>
                    <w:tl2br w:val="nil"/>
                    <w:tr2bl w:val="nil"/>
                  </w:tcBorders>
                  <w:vAlign w:val="center"/>
                </w:tcPr>
                <w:p w14:paraId="1DAFC789">
                  <w:pPr>
                    <w:widowControl/>
                    <w:autoSpaceDE w:val="0"/>
                    <w:autoSpaceDN w:val="0"/>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39</w:t>
                  </w:r>
                </w:p>
              </w:tc>
              <w:tc>
                <w:tcPr>
                  <w:tcW w:w="1314" w:type="dxa"/>
                  <w:tcBorders>
                    <w:tl2br w:val="nil"/>
                    <w:tr2bl w:val="nil"/>
                  </w:tcBorders>
                  <w:vAlign w:val="center"/>
                </w:tcPr>
                <w:p w14:paraId="7B86A44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dB（A</w:t>
                  </w:r>
                  <w:r>
                    <w:rPr>
                      <w:rFonts w:hint="eastAsia"/>
                      <w:color w:val="000000" w:themeColor="text1"/>
                      <w:szCs w:val="21"/>
                      <w14:textFill>
                        <w14:solidFill>
                          <w14:schemeClr w14:val="tx1"/>
                        </w14:solidFill>
                      </w14:textFill>
                    </w:rPr>
                    <w:t>)</w:t>
                  </w:r>
                </w:p>
              </w:tc>
            </w:tr>
          </w:tbl>
          <w:p w14:paraId="43DD5592">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采用直接比较的方法评价噪声现状值，由上表可知，本项目厂界西侧</w:t>
            </w:r>
            <w:r>
              <w:rPr>
                <w:color w:val="000000" w:themeColor="text1"/>
                <w:kern w:val="0"/>
                <w:sz w:val="24"/>
                <w:lang w:bidi="ar"/>
                <w14:textFill>
                  <w14:solidFill>
                    <w14:schemeClr w14:val="tx1"/>
                  </w14:solidFill>
                </w14:textFill>
              </w:rPr>
              <w:t>居民</w:t>
            </w:r>
            <w:r>
              <w:rPr>
                <w:color w:val="000000" w:themeColor="text1"/>
                <w:sz w:val="24"/>
                <w14:textFill>
                  <w14:solidFill>
                    <w14:schemeClr w14:val="tx1"/>
                  </w14:solidFill>
                </w14:textFill>
              </w:rPr>
              <w:t>声环境监测点昼夜间的等效声级满足《声环境质量标准》（GB3096-2008）中2类区标准要求，说明评价区域声环境保护目标声环境质量现状达标。</w:t>
            </w:r>
          </w:p>
        </w:tc>
      </w:tr>
      <w:tr w14:paraId="5DF7D7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424" w:type="dxa"/>
            <w:vAlign w:val="center"/>
          </w:tcPr>
          <w:p w14:paraId="38C5E5DC">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环境</w:t>
            </w:r>
          </w:p>
          <w:p w14:paraId="1B1008E8">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保护</w:t>
            </w:r>
          </w:p>
          <w:p w14:paraId="513279E8">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目标</w:t>
            </w:r>
          </w:p>
        </w:tc>
        <w:tc>
          <w:tcPr>
            <w:tcW w:w="8637" w:type="dxa"/>
          </w:tcPr>
          <w:p w14:paraId="187B9A04">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据现场踏勘可知，本项目厂界外无自然保护区、风景名胜区。</w:t>
            </w:r>
          </w:p>
          <w:p w14:paraId="58D05209">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根据本项目选址周围环境状况及其排污特点和环境影响特征，厂界外50米范围内存在居民区等声环境保护目标，厂界外500米范围内无地下水集中式饮用水水源。大气环境保护目标为项目厂界外500m范围内的居住区。</w:t>
            </w:r>
          </w:p>
          <w:p w14:paraId="4AE80128">
            <w:pPr>
              <w:adjustRightInd w:val="0"/>
              <w:snapToGrid w:val="0"/>
              <w:spacing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1.大气环境保护目标</w:t>
            </w:r>
          </w:p>
          <w:p w14:paraId="418125DC">
            <w:pPr>
              <w:jc w:val="center"/>
              <w:rPr>
                <w:b/>
                <w:bCs/>
                <w:color w:val="000000" w:themeColor="text1"/>
                <w:sz w:val="24"/>
                <w:szCs w:val="32"/>
                <w14:textFill>
                  <w14:solidFill>
                    <w14:schemeClr w14:val="tx1"/>
                  </w14:solidFill>
                </w14:textFill>
              </w:rPr>
            </w:pPr>
            <w:r>
              <w:rPr>
                <w:b/>
                <w:bCs/>
                <w:color w:val="000000" w:themeColor="text1"/>
                <w:sz w:val="24"/>
                <w:szCs w:val="32"/>
                <w14:textFill>
                  <w14:solidFill>
                    <w14:schemeClr w14:val="tx1"/>
                  </w14:solidFill>
                </w14:textFill>
              </w:rPr>
              <w:t>表3-5 大气环境保护目标一览表</w:t>
            </w:r>
          </w:p>
          <w:tbl>
            <w:tblPr>
              <w:tblStyle w:val="24"/>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81"/>
              <w:gridCol w:w="913"/>
              <w:gridCol w:w="1482"/>
              <w:gridCol w:w="1650"/>
              <w:gridCol w:w="1084"/>
              <w:gridCol w:w="564"/>
              <w:gridCol w:w="704"/>
              <w:gridCol w:w="736"/>
              <w:gridCol w:w="700"/>
            </w:tblGrid>
            <w:tr w14:paraId="5FD285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81" w:type="dxa"/>
                  <w:vMerge w:val="restart"/>
                  <w:vAlign w:val="center"/>
                </w:tcPr>
                <w:p w14:paraId="129649F5">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项目</w:t>
                  </w:r>
                </w:p>
              </w:tc>
              <w:tc>
                <w:tcPr>
                  <w:tcW w:w="913" w:type="dxa"/>
                  <w:vMerge w:val="restart"/>
                  <w:vAlign w:val="center"/>
                </w:tcPr>
                <w:p w14:paraId="2A9FF819">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名称</w:t>
                  </w:r>
                </w:p>
              </w:tc>
              <w:tc>
                <w:tcPr>
                  <w:tcW w:w="3132" w:type="dxa"/>
                  <w:gridSpan w:val="2"/>
                  <w:vAlign w:val="center"/>
                </w:tcPr>
                <w:p w14:paraId="55FDA47B">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坐标/°</w:t>
                  </w:r>
                </w:p>
              </w:tc>
              <w:tc>
                <w:tcPr>
                  <w:tcW w:w="1084" w:type="dxa"/>
                  <w:vMerge w:val="restart"/>
                  <w:vAlign w:val="center"/>
                </w:tcPr>
                <w:p w14:paraId="7E9BF4DF">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保护对象</w:t>
                  </w:r>
                </w:p>
              </w:tc>
              <w:tc>
                <w:tcPr>
                  <w:tcW w:w="564" w:type="dxa"/>
                  <w:vMerge w:val="restart"/>
                  <w:vAlign w:val="center"/>
                </w:tcPr>
                <w:p w14:paraId="400E0852">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保护内容</w:t>
                  </w:r>
                </w:p>
              </w:tc>
              <w:tc>
                <w:tcPr>
                  <w:tcW w:w="704" w:type="dxa"/>
                  <w:vMerge w:val="restart"/>
                  <w:vAlign w:val="center"/>
                </w:tcPr>
                <w:p w14:paraId="75620E9F">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环境功能区</w:t>
                  </w:r>
                </w:p>
              </w:tc>
              <w:tc>
                <w:tcPr>
                  <w:tcW w:w="736" w:type="dxa"/>
                  <w:vMerge w:val="restart"/>
                  <w:vAlign w:val="center"/>
                </w:tcPr>
                <w:p w14:paraId="4DD7EBFD">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相对厂址方位</w:t>
                  </w:r>
                </w:p>
              </w:tc>
              <w:tc>
                <w:tcPr>
                  <w:tcW w:w="700" w:type="dxa"/>
                  <w:vMerge w:val="restart"/>
                  <w:vAlign w:val="center"/>
                </w:tcPr>
                <w:p w14:paraId="6F85170F">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相对厂界距离/m</w:t>
                  </w:r>
                </w:p>
              </w:tc>
            </w:tr>
            <w:tr w14:paraId="075424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81" w:type="dxa"/>
                  <w:vMerge w:val="continue"/>
                  <w:vAlign w:val="center"/>
                </w:tcPr>
                <w:p w14:paraId="2A5C0ED5">
                  <w:pPr>
                    <w:widowControl/>
                    <w:jc w:val="center"/>
                    <w:rPr>
                      <w:color w:val="000000" w:themeColor="text1"/>
                      <w:szCs w:val="21"/>
                      <w14:textFill>
                        <w14:solidFill>
                          <w14:schemeClr w14:val="tx1"/>
                        </w14:solidFill>
                      </w14:textFill>
                    </w:rPr>
                  </w:pPr>
                </w:p>
              </w:tc>
              <w:tc>
                <w:tcPr>
                  <w:tcW w:w="913" w:type="dxa"/>
                  <w:vMerge w:val="continue"/>
                  <w:vAlign w:val="center"/>
                </w:tcPr>
                <w:p w14:paraId="28B1C976">
                  <w:pPr>
                    <w:widowControl/>
                    <w:jc w:val="center"/>
                    <w:rPr>
                      <w:color w:val="000000" w:themeColor="text1"/>
                      <w:szCs w:val="21"/>
                      <w14:textFill>
                        <w14:solidFill>
                          <w14:schemeClr w14:val="tx1"/>
                        </w14:solidFill>
                      </w14:textFill>
                    </w:rPr>
                  </w:pPr>
                </w:p>
              </w:tc>
              <w:tc>
                <w:tcPr>
                  <w:tcW w:w="1482" w:type="dxa"/>
                  <w:vAlign w:val="center"/>
                </w:tcPr>
                <w:p w14:paraId="478A83AA">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经度</w:t>
                  </w:r>
                </w:p>
              </w:tc>
              <w:tc>
                <w:tcPr>
                  <w:tcW w:w="1650" w:type="dxa"/>
                  <w:vAlign w:val="center"/>
                </w:tcPr>
                <w:p w14:paraId="27E9FBC2">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纬度</w:t>
                  </w:r>
                </w:p>
              </w:tc>
              <w:tc>
                <w:tcPr>
                  <w:tcW w:w="1084" w:type="dxa"/>
                  <w:vMerge w:val="continue"/>
                  <w:vAlign w:val="center"/>
                </w:tcPr>
                <w:p w14:paraId="566C03A3">
                  <w:pPr>
                    <w:widowControl/>
                    <w:jc w:val="center"/>
                    <w:rPr>
                      <w:color w:val="000000" w:themeColor="text1"/>
                      <w:kern w:val="0"/>
                      <w:szCs w:val="21"/>
                      <w14:textFill>
                        <w14:solidFill>
                          <w14:schemeClr w14:val="tx1"/>
                        </w14:solidFill>
                      </w14:textFill>
                    </w:rPr>
                  </w:pPr>
                </w:p>
              </w:tc>
              <w:tc>
                <w:tcPr>
                  <w:tcW w:w="564" w:type="dxa"/>
                  <w:vMerge w:val="continue"/>
                  <w:vAlign w:val="center"/>
                </w:tcPr>
                <w:p w14:paraId="08D46CF8">
                  <w:pPr>
                    <w:widowControl/>
                    <w:jc w:val="center"/>
                    <w:rPr>
                      <w:color w:val="000000" w:themeColor="text1"/>
                      <w:kern w:val="0"/>
                      <w:szCs w:val="21"/>
                      <w14:textFill>
                        <w14:solidFill>
                          <w14:schemeClr w14:val="tx1"/>
                        </w14:solidFill>
                      </w14:textFill>
                    </w:rPr>
                  </w:pPr>
                </w:p>
              </w:tc>
              <w:tc>
                <w:tcPr>
                  <w:tcW w:w="704" w:type="dxa"/>
                  <w:vMerge w:val="continue"/>
                  <w:vAlign w:val="center"/>
                </w:tcPr>
                <w:p w14:paraId="58651705">
                  <w:pPr>
                    <w:widowControl/>
                    <w:jc w:val="center"/>
                    <w:rPr>
                      <w:color w:val="000000" w:themeColor="text1"/>
                      <w:kern w:val="0"/>
                      <w:szCs w:val="21"/>
                      <w14:textFill>
                        <w14:solidFill>
                          <w14:schemeClr w14:val="tx1"/>
                        </w14:solidFill>
                      </w14:textFill>
                    </w:rPr>
                  </w:pPr>
                </w:p>
              </w:tc>
              <w:tc>
                <w:tcPr>
                  <w:tcW w:w="736" w:type="dxa"/>
                  <w:vMerge w:val="continue"/>
                  <w:vAlign w:val="center"/>
                </w:tcPr>
                <w:p w14:paraId="39310C1C">
                  <w:pPr>
                    <w:widowControl/>
                    <w:jc w:val="center"/>
                    <w:rPr>
                      <w:color w:val="000000" w:themeColor="text1"/>
                      <w:kern w:val="0"/>
                      <w:szCs w:val="21"/>
                      <w14:textFill>
                        <w14:solidFill>
                          <w14:schemeClr w14:val="tx1"/>
                        </w14:solidFill>
                      </w14:textFill>
                    </w:rPr>
                  </w:pPr>
                </w:p>
              </w:tc>
              <w:tc>
                <w:tcPr>
                  <w:tcW w:w="700" w:type="dxa"/>
                  <w:vMerge w:val="continue"/>
                  <w:vAlign w:val="center"/>
                </w:tcPr>
                <w:p w14:paraId="29AA5A3A">
                  <w:pPr>
                    <w:widowControl/>
                    <w:jc w:val="center"/>
                    <w:rPr>
                      <w:color w:val="000000" w:themeColor="text1"/>
                      <w:kern w:val="0"/>
                      <w:szCs w:val="21"/>
                      <w14:textFill>
                        <w14:solidFill>
                          <w14:schemeClr w14:val="tx1"/>
                        </w14:solidFill>
                      </w14:textFill>
                    </w:rPr>
                  </w:pPr>
                </w:p>
              </w:tc>
            </w:tr>
            <w:tr w14:paraId="216A77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581" w:type="dxa"/>
                  <w:vAlign w:val="center"/>
                </w:tcPr>
                <w:p w14:paraId="420B5259">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大气环境</w:t>
                  </w:r>
                </w:p>
              </w:tc>
              <w:tc>
                <w:tcPr>
                  <w:tcW w:w="913" w:type="dxa"/>
                  <w:vAlign w:val="center"/>
                </w:tcPr>
                <w:p w14:paraId="4762F659">
                  <w:pPr>
                    <w:widowControl/>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兰新经营所</w:t>
                  </w:r>
                </w:p>
              </w:tc>
              <w:tc>
                <w:tcPr>
                  <w:tcW w:w="1482" w:type="dxa"/>
                  <w:vAlign w:val="center"/>
                </w:tcPr>
                <w:p w14:paraId="3A91A241">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129.101140</w:t>
                  </w:r>
                </w:p>
              </w:tc>
              <w:tc>
                <w:tcPr>
                  <w:tcW w:w="1650" w:type="dxa"/>
                  <w:vAlign w:val="center"/>
                </w:tcPr>
                <w:p w14:paraId="000A5D00">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47.610234</w:t>
                  </w:r>
                </w:p>
              </w:tc>
              <w:tc>
                <w:tcPr>
                  <w:tcW w:w="1084" w:type="dxa"/>
                  <w:vAlign w:val="center"/>
                </w:tcPr>
                <w:p w14:paraId="289E841F">
                  <w:pPr>
                    <w:widowControl/>
                    <w:jc w:val="center"/>
                    <w:rPr>
                      <w:color w:val="000000" w:themeColor="text1"/>
                      <w:kern w:val="0"/>
                      <w:szCs w:val="21"/>
                      <w14:textFill>
                        <w14:solidFill>
                          <w14:schemeClr w14:val="tx1"/>
                        </w14:solidFill>
                      </w14:textFill>
                    </w:rPr>
                  </w:pPr>
                  <w:r>
                    <w:rPr>
                      <w:color w:val="000000" w:themeColor="text1"/>
                      <w:szCs w:val="21"/>
                      <w14:textFill>
                        <w14:solidFill>
                          <w14:schemeClr w14:val="tx1"/>
                        </w14:solidFill>
                      </w14:textFill>
                    </w:rPr>
                    <w:t>农村地区人群较集中区域</w:t>
                  </w:r>
                </w:p>
              </w:tc>
              <w:tc>
                <w:tcPr>
                  <w:tcW w:w="564" w:type="dxa"/>
                  <w:vAlign w:val="center"/>
                </w:tcPr>
                <w:p w14:paraId="643F58CD">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人群</w:t>
                  </w:r>
                </w:p>
              </w:tc>
              <w:tc>
                <w:tcPr>
                  <w:tcW w:w="704" w:type="dxa"/>
                  <w:vAlign w:val="center"/>
                </w:tcPr>
                <w:p w14:paraId="6D3E9925">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二类</w:t>
                  </w:r>
                </w:p>
              </w:tc>
              <w:tc>
                <w:tcPr>
                  <w:tcW w:w="736" w:type="dxa"/>
                  <w:vAlign w:val="center"/>
                </w:tcPr>
                <w:p w14:paraId="15861721">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W</w:t>
                  </w:r>
                </w:p>
              </w:tc>
              <w:tc>
                <w:tcPr>
                  <w:tcW w:w="700" w:type="dxa"/>
                  <w:vAlign w:val="center"/>
                </w:tcPr>
                <w:p w14:paraId="54321C09">
                  <w:pPr>
                    <w:widowControl/>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49</w:t>
                  </w:r>
                </w:p>
              </w:tc>
            </w:tr>
          </w:tbl>
          <w:p w14:paraId="0C6FFD13">
            <w:pPr>
              <w:pStyle w:val="57"/>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2.</w:t>
            </w:r>
            <w:r>
              <w:rPr>
                <w:rFonts w:ascii="Times New Roman" w:hAnsi="Times New Roman" w:eastAsia="宋体" w:cs="Times New Roman"/>
                <w:b/>
                <w:bCs/>
                <w:color w:val="000000" w:themeColor="text1"/>
                <w14:textFill>
                  <w14:solidFill>
                    <w14:schemeClr w14:val="tx1"/>
                  </w14:solidFill>
                </w14:textFill>
              </w:rPr>
              <w:t>声环境保护目标</w:t>
            </w:r>
          </w:p>
          <w:p w14:paraId="3F4C808B">
            <w:pPr>
              <w:jc w:val="center"/>
              <w:rPr>
                <w:b/>
                <w:bCs/>
                <w:color w:val="000000" w:themeColor="text1"/>
                <w:sz w:val="24"/>
                <w:szCs w:val="32"/>
                <w14:textFill>
                  <w14:solidFill>
                    <w14:schemeClr w14:val="tx1"/>
                  </w14:solidFill>
                </w14:textFill>
              </w:rPr>
            </w:pPr>
          </w:p>
          <w:p w14:paraId="74EC28A3">
            <w:pPr>
              <w:jc w:val="center"/>
              <w:rPr>
                <w:b/>
                <w:bCs/>
                <w:color w:val="000000" w:themeColor="text1"/>
                <w:sz w:val="24"/>
                <w:szCs w:val="32"/>
                <w14:textFill>
                  <w14:solidFill>
                    <w14:schemeClr w14:val="tx1"/>
                  </w14:solidFill>
                </w14:textFill>
              </w:rPr>
            </w:pPr>
          </w:p>
          <w:p w14:paraId="22DFF4BF">
            <w:pPr>
              <w:jc w:val="center"/>
              <w:rPr>
                <w:b/>
                <w:bCs/>
                <w:color w:val="000000" w:themeColor="text1"/>
                <w:sz w:val="24"/>
                <w:szCs w:val="32"/>
                <w14:textFill>
                  <w14:solidFill>
                    <w14:schemeClr w14:val="tx1"/>
                  </w14:solidFill>
                </w14:textFill>
              </w:rPr>
            </w:pPr>
            <w:r>
              <w:rPr>
                <w:b/>
                <w:bCs/>
                <w:color w:val="000000" w:themeColor="text1"/>
                <w:sz w:val="24"/>
                <w:szCs w:val="32"/>
                <w14:textFill>
                  <w14:solidFill>
                    <w14:schemeClr w14:val="tx1"/>
                  </w14:solidFill>
                </w14:textFill>
              </w:rPr>
              <w:t>表3-6 声环境保护目标</w:t>
            </w:r>
          </w:p>
          <w:tbl>
            <w:tblPr>
              <w:tblStyle w:val="24"/>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19"/>
              <w:gridCol w:w="1904"/>
              <w:gridCol w:w="1008"/>
              <w:gridCol w:w="820"/>
              <w:gridCol w:w="904"/>
              <w:gridCol w:w="2518"/>
            </w:tblGrid>
            <w:tr w14:paraId="7E27C0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6" w:hRule="atLeast"/>
                <w:tblHeader/>
              </w:trPr>
              <w:tc>
                <w:tcPr>
                  <w:tcW w:w="1119" w:type="dxa"/>
                  <w:vAlign w:val="center"/>
                </w:tcPr>
                <w:p w14:paraId="04BCFCDC">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环境元素</w:t>
                  </w:r>
                </w:p>
              </w:tc>
              <w:tc>
                <w:tcPr>
                  <w:tcW w:w="1904" w:type="dxa"/>
                  <w:vAlign w:val="center"/>
                </w:tcPr>
                <w:p w14:paraId="613D439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环境保护目标</w:t>
                  </w:r>
                </w:p>
              </w:tc>
              <w:tc>
                <w:tcPr>
                  <w:tcW w:w="1008" w:type="dxa"/>
                  <w:vAlign w:val="center"/>
                </w:tcPr>
                <w:p w14:paraId="0657A0A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方位</w:t>
                  </w:r>
                </w:p>
              </w:tc>
              <w:tc>
                <w:tcPr>
                  <w:tcW w:w="820" w:type="dxa"/>
                  <w:vAlign w:val="center"/>
                </w:tcPr>
                <w:p w14:paraId="6ABAC62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距离</w:t>
                  </w:r>
                </w:p>
              </w:tc>
              <w:tc>
                <w:tcPr>
                  <w:tcW w:w="904" w:type="dxa"/>
                  <w:vAlign w:val="center"/>
                </w:tcPr>
                <w:p w14:paraId="1A5011A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人数</w:t>
                  </w:r>
                </w:p>
              </w:tc>
              <w:tc>
                <w:tcPr>
                  <w:tcW w:w="2518" w:type="dxa"/>
                  <w:vAlign w:val="center"/>
                </w:tcPr>
                <w:p w14:paraId="0CC1B41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环境保护级别</w:t>
                  </w:r>
                </w:p>
              </w:tc>
            </w:tr>
            <w:tr w14:paraId="16C20E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 w:hRule="atLeast"/>
                <w:tblHeader/>
              </w:trPr>
              <w:tc>
                <w:tcPr>
                  <w:tcW w:w="1119" w:type="dxa"/>
                  <w:vAlign w:val="center"/>
                </w:tcPr>
                <w:p w14:paraId="5604AA62">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声环境</w:t>
                  </w:r>
                </w:p>
              </w:tc>
              <w:tc>
                <w:tcPr>
                  <w:tcW w:w="1904" w:type="dxa"/>
                  <w:vAlign w:val="center"/>
                </w:tcPr>
                <w:p w14:paraId="0C094D3E">
                  <w:pPr>
                    <w:widowControl/>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兰新经营所</w:t>
                  </w:r>
                </w:p>
              </w:tc>
              <w:tc>
                <w:tcPr>
                  <w:tcW w:w="1008" w:type="dxa"/>
                  <w:vAlign w:val="center"/>
                </w:tcPr>
                <w:p w14:paraId="5BE4FC9E">
                  <w:pPr>
                    <w:jc w:val="center"/>
                    <w:rPr>
                      <w:color w:val="000000" w:themeColor="text1"/>
                      <w:szCs w:val="21"/>
                      <w14:textFill>
                        <w14:solidFill>
                          <w14:schemeClr w14:val="tx1"/>
                        </w14:solidFill>
                      </w14:textFill>
                    </w:rPr>
                  </w:pPr>
                  <w:r>
                    <w:rPr>
                      <w:rFonts w:eastAsia="等线"/>
                      <w:color w:val="000000" w:themeColor="text1"/>
                      <w:kern w:val="0"/>
                      <w:szCs w:val="21"/>
                      <w14:textFill>
                        <w14:solidFill>
                          <w14:schemeClr w14:val="tx1"/>
                        </w14:solidFill>
                      </w14:textFill>
                    </w:rPr>
                    <w:t>W</w:t>
                  </w:r>
                </w:p>
              </w:tc>
              <w:tc>
                <w:tcPr>
                  <w:tcW w:w="820" w:type="dxa"/>
                  <w:vAlign w:val="center"/>
                </w:tcPr>
                <w:p w14:paraId="7ABC22F8">
                  <w:pPr>
                    <w:jc w:val="center"/>
                    <w:rPr>
                      <w:color w:val="000000" w:themeColor="text1"/>
                      <w:szCs w:val="21"/>
                      <w14:textFill>
                        <w14:solidFill>
                          <w14:schemeClr w14:val="tx1"/>
                        </w14:solidFill>
                      </w14:textFill>
                    </w:rPr>
                  </w:pPr>
                  <w:r>
                    <w:rPr>
                      <w:rFonts w:hint="eastAsia" w:eastAsia="等线"/>
                      <w:color w:val="000000" w:themeColor="text1"/>
                      <w:kern w:val="0"/>
                      <w:szCs w:val="21"/>
                      <w14:textFill>
                        <w14:solidFill>
                          <w14:schemeClr w14:val="tx1"/>
                        </w14:solidFill>
                      </w14:textFill>
                    </w:rPr>
                    <w:t>49</w:t>
                  </w:r>
                </w:p>
              </w:tc>
              <w:tc>
                <w:tcPr>
                  <w:tcW w:w="904" w:type="dxa"/>
                  <w:vAlign w:val="center"/>
                </w:tcPr>
                <w:p w14:paraId="1E9681AD">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366</w:t>
                  </w:r>
                  <w:r>
                    <w:rPr>
                      <w:color w:val="000000" w:themeColor="text1"/>
                      <w:szCs w:val="21"/>
                      <w14:textFill>
                        <w14:solidFill>
                          <w14:schemeClr w14:val="tx1"/>
                        </w14:solidFill>
                      </w14:textFill>
                    </w:rPr>
                    <w:t>人</w:t>
                  </w:r>
                </w:p>
              </w:tc>
              <w:tc>
                <w:tcPr>
                  <w:tcW w:w="2518" w:type="dxa"/>
                  <w:vAlign w:val="center"/>
                </w:tcPr>
                <w:p w14:paraId="0EF98DD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《声环境质量标准》（GB3096-2008）2类区</w:t>
                  </w:r>
                </w:p>
              </w:tc>
            </w:tr>
          </w:tbl>
          <w:p w14:paraId="2DAE39FD">
            <w:pPr>
              <w:adjustRightInd w:val="0"/>
              <w:snapToGrid w:val="0"/>
              <w:spacing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3.地下水环境保护目标</w:t>
            </w:r>
          </w:p>
          <w:p w14:paraId="0FF372D5">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厂界外500米范围内无地下水集中式饮用水水源。</w:t>
            </w:r>
          </w:p>
          <w:p w14:paraId="098919A4">
            <w:pPr>
              <w:adjustRightInd w:val="0"/>
              <w:snapToGrid w:val="0"/>
              <w:spacing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4.生态环境保护目标</w:t>
            </w:r>
          </w:p>
          <w:p w14:paraId="6BA96E42">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sz w:val="24"/>
                <w14:textFill>
                  <w14:solidFill>
                    <w14:schemeClr w14:val="tx1"/>
                  </w14:solidFill>
                </w14:textFill>
              </w:rPr>
              <w:t>本项目用地属于</w:t>
            </w:r>
            <w:r>
              <w:rPr>
                <w:rFonts w:hint="eastAsia"/>
                <w:color w:val="000000" w:themeColor="text1"/>
                <w:sz w:val="24"/>
                <w:lang w:val="en-US" w:eastAsia="zh-CN" w:bidi="ar"/>
                <w14:textFill>
                  <w14:solidFill>
                    <w14:schemeClr w14:val="tx1"/>
                  </w14:solidFill>
                </w14:textFill>
              </w:rPr>
              <w:t>公用设施用地</w:t>
            </w:r>
            <w:r>
              <w:rPr>
                <w:color w:val="000000" w:themeColor="text1"/>
                <w:sz w:val="24"/>
                <w14:textFill>
                  <w14:solidFill>
                    <w14:schemeClr w14:val="tx1"/>
                  </w14:solidFill>
                </w14:textFill>
              </w:rPr>
              <w:t>，既有存在，无新增用地；周围无风景名胜区、森林公园等重要生态敏感区。</w:t>
            </w:r>
          </w:p>
        </w:tc>
      </w:tr>
      <w:tr w14:paraId="053CE7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424" w:type="dxa"/>
            <w:tcMar>
              <w:left w:w="28" w:type="dxa"/>
              <w:right w:w="28" w:type="dxa"/>
            </w:tcMar>
            <w:vAlign w:val="center"/>
          </w:tcPr>
          <w:p w14:paraId="080CAD60">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污染</w:t>
            </w:r>
          </w:p>
          <w:p w14:paraId="6963F904">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物排</w:t>
            </w:r>
          </w:p>
          <w:p w14:paraId="3B54F0AF">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放控</w:t>
            </w:r>
          </w:p>
          <w:p w14:paraId="44A2486F">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制标</w:t>
            </w:r>
          </w:p>
          <w:p w14:paraId="20C1A284">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准</w:t>
            </w:r>
          </w:p>
        </w:tc>
        <w:tc>
          <w:tcPr>
            <w:tcW w:w="8637" w:type="dxa"/>
          </w:tcPr>
          <w:p w14:paraId="3F8473C6">
            <w:pPr>
              <w:numPr>
                <w:ilvl w:val="0"/>
                <w:numId w:val="4"/>
              </w:numPr>
              <w:adjustRightInd w:val="0"/>
              <w:snapToGrid w:val="0"/>
              <w:spacing w:line="360" w:lineRule="auto"/>
              <w:ind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大气污染物排放标准</w:t>
            </w:r>
          </w:p>
          <w:p w14:paraId="575A5A41">
            <w:pPr>
              <w:spacing w:line="360" w:lineRule="auto"/>
              <w:ind w:firstLine="480" w:firstLineChars="200"/>
              <w:contextualSpacing/>
              <w:jc w:val="left"/>
              <w:rPr>
                <w:bCs/>
                <w:color w:val="000000" w:themeColor="text1"/>
                <w:kern w:val="0"/>
                <w:sz w:val="24"/>
                <w14:textFill>
                  <w14:solidFill>
                    <w14:schemeClr w14:val="tx1"/>
                  </w14:solidFill>
                </w14:textFill>
              </w:rPr>
            </w:pPr>
            <w:r>
              <w:rPr>
                <w:bCs/>
                <w:color w:val="000000" w:themeColor="text1"/>
                <w:kern w:val="0"/>
                <w:sz w:val="24"/>
                <w14:textFill>
                  <w14:solidFill>
                    <w14:schemeClr w14:val="tx1"/>
                  </w14:solidFill>
                </w14:textFill>
              </w:rPr>
              <w:t>施工期</w:t>
            </w:r>
            <w:r>
              <w:rPr>
                <w:bCs/>
                <w:color w:val="000000" w:themeColor="text1"/>
                <w:w w:val="104"/>
                <w:sz w:val="24"/>
                <w14:textFill>
                  <w14:solidFill>
                    <w14:schemeClr w14:val="tx1"/>
                  </w14:solidFill>
                </w14:textFill>
              </w:rPr>
              <w:t>扬尘</w:t>
            </w:r>
            <w:r>
              <w:rPr>
                <w:bCs/>
                <w:color w:val="000000" w:themeColor="text1"/>
                <w:kern w:val="0"/>
                <w:sz w:val="24"/>
                <w14:textFill>
                  <w14:solidFill>
                    <w14:schemeClr w14:val="tx1"/>
                  </w14:solidFill>
                </w14:textFill>
              </w:rPr>
              <w:t>执行《大气污染物综合排放标准》（GB16297-1996）中无组织排放限值要求。</w:t>
            </w:r>
          </w:p>
          <w:p w14:paraId="40455BF6">
            <w:pPr>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表3-7  大气污染物综合排放标准  单位：mg/m</w:t>
            </w:r>
            <w:r>
              <w:rPr>
                <w:b/>
                <w:color w:val="000000" w:themeColor="text1"/>
                <w:sz w:val="24"/>
                <w:vertAlign w:val="superscript"/>
                <w14:textFill>
                  <w14:solidFill>
                    <w14:schemeClr w14:val="tx1"/>
                  </w14:solidFill>
                </w14:textFill>
              </w:rPr>
              <w:t>3</w:t>
            </w:r>
          </w:p>
          <w:tbl>
            <w:tblPr>
              <w:tblStyle w:val="24"/>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04"/>
              <w:gridCol w:w="959"/>
              <w:gridCol w:w="2425"/>
              <w:gridCol w:w="3533"/>
            </w:tblGrid>
            <w:tr w14:paraId="7AF793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04" w:type="dxa"/>
                  <w:tcBorders>
                    <w:top w:val="single" w:color="auto" w:sz="12" w:space="0"/>
                    <w:left w:val="nil"/>
                    <w:bottom w:val="single" w:color="auto" w:sz="4" w:space="0"/>
                    <w:right w:val="single" w:color="auto" w:sz="4" w:space="0"/>
                  </w:tcBorders>
                  <w:vAlign w:val="center"/>
                </w:tcPr>
                <w:p w14:paraId="3FE5B8DF">
                  <w:pPr>
                    <w:pStyle w:val="20"/>
                    <w:widowControl w:val="0"/>
                    <w:spacing w:before="0" w:beforeAutospacing="0" w:after="0" w:afterAutospacing="0" w:line="0" w:lineRule="atLeast"/>
                    <w:contextualSpacing/>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污染物</w:t>
                  </w:r>
                </w:p>
              </w:tc>
              <w:tc>
                <w:tcPr>
                  <w:tcW w:w="959" w:type="dxa"/>
                  <w:tcBorders>
                    <w:top w:val="single" w:color="auto" w:sz="12" w:space="0"/>
                    <w:left w:val="single" w:color="auto" w:sz="4" w:space="0"/>
                    <w:bottom w:val="single" w:color="auto" w:sz="4" w:space="0"/>
                    <w:right w:val="single" w:color="auto" w:sz="4" w:space="0"/>
                  </w:tcBorders>
                  <w:vAlign w:val="center"/>
                </w:tcPr>
                <w:p w14:paraId="6AF207F2">
                  <w:pPr>
                    <w:pStyle w:val="20"/>
                    <w:widowControl w:val="0"/>
                    <w:spacing w:before="0" w:beforeAutospacing="0" w:after="0" w:afterAutospacing="0" w:line="0" w:lineRule="atLeast"/>
                    <w:contextualSpacing/>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限值</w:t>
                  </w:r>
                </w:p>
              </w:tc>
              <w:tc>
                <w:tcPr>
                  <w:tcW w:w="2425" w:type="dxa"/>
                  <w:tcBorders>
                    <w:top w:val="single" w:color="auto" w:sz="12" w:space="0"/>
                    <w:left w:val="single" w:color="auto" w:sz="4" w:space="0"/>
                    <w:bottom w:val="single" w:color="auto" w:sz="4" w:space="0"/>
                    <w:right w:val="single" w:color="auto" w:sz="4" w:space="0"/>
                  </w:tcBorders>
                  <w:vAlign w:val="center"/>
                </w:tcPr>
                <w:p w14:paraId="6227ACF3">
                  <w:pPr>
                    <w:pStyle w:val="20"/>
                    <w:widowControl w:val="0"/>
                    <w:spacing w:before="0" w:beforeAutospacing="0" w:after="0" w:afterAutospacing="0" w:line="0" w:lineRule="atLeast"/>
                    <w:contextualSpacing/>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限制含义</w:t>
                  </w:r>
                </w:p>
              </w:tc>
              <w:tc>
                <w:tcPr>
                  <w:tcW w:w="3533" w:type="dxa"/>
                  <w:tcBorders>
                    <w:top w:val="single" w:color="auto" w:sz="12" w:space="0"/>
                    <w:left w:val="single" w:color="auto" w:sz="4" w:space="0"/>
                    <w:bottom w:val="single" w:color="auto" w:sz="4" w:space="0"/>
                    <w:right w:val="nil"/>
                  </w:tcBorders>
                  <w:vAlign w:val="center"/>
                </w:tcPr>
                <w:p w14:paraId="2722BE9F">
                  <w:pPr>
                    <w:pStyle w:val="20"/>
                    <w:widowControl w:val="0"/>
                    <w:spacing w:before="0" w:beforeAutospacing="0" w:after="0" w:afterAutospacing="0" w:line="0" w:lineRule="atLeast"/>
                    <w:contextualSpacing/>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监控位置</w:t>
                  </w:r>
                </w:p>
              </w:tc>
            </w:tr>
            <w:tr w14:paraId="579378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04" w:type="dxa"/>
                  <w:tcBorders>
                    <w:top w:val="single" w:color="auto" w:sz="4" w:space="0"/>
                    <w:left w:val="nil"/>
                    <w:bottom w:val="single" w:color="auto" w:sz="12" w:space="0"/>
                    <w:right w:val="single" w:color="auto" w:sz="4" w:space="0"/>
                  </w:tcBorders>
                  <w:vAlign w:val="center"/>
                </w:tcPr>
                <w:p w14:paraId="06D5449E">
                  <w:pPr>
                    <w:pStyle w:val="20"/>
                    <w:widowControl w:val="0"/>
                    <w:spacing w:before="0" w:beforeAutospacing="0" w:after="0" w:afterAutospacing="0" w:line="0" w:lineRule="atLeast"/>
                    <w:contextualSpacing/>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颗粒物</w:t>
                  </w:r>
                </w:p>
              </w:tc>
              <w:tc>
                <w:tcPr>
                  <w:tcW w:w="959" w:type="dxa"/>
                  <w:tcBorders>
                    <w:top w:val="single" w:color="auto" w:sz="4" w:space="0"/>
                    <w:left w:val="single" w:color="auto" w:sz="4" w:space="0"/>
                    <w:bottom w:val="single" w:color="auto" w:sz="12" w:space="0"/>
                    <w:right w:val="single" w:color="auto" w:sz="4" w:space="0"/>
                  </w:tcBorders>
                  <w:vAlign w:val="center"/>
                </w:tcPr>
                <w:p w14:paraId="3EB62835">
                  <w:pPr>
                    <w:pStyle w:val="20"/>
                    <w:widowControl w:val="0"/>
                    <w:spacing w:before="0" w:beforeAutospacing="0" w:after="0" w:afterAutospacing="0" w:line="0" w:lineRule="atLeast"/>
                    <w:contextualSpacing/>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1.0</w:t>
                  </w:r>
                </w:p>
              </w:tc>
              <w:tc>
                <w:tcPr>
                  <w:tcW w:w="2425" w:type="dxa"/>
                  <w:tcBorders>
                    <w:top w:val="single" w:color="auto" w:sz="4" w:space="0"/>
                    <w:left w:val="single" w:color="auto" w:sz="4" w:space="0"/>
                    <w:bottom w:val="single" w:color="auto" w:sz="12" w:space="0"/>
                    <w:right w:val="single" w:color="auto" w:sz="4" w:space="0"/>
                  </w:tcBorders>
                  <w:vAlign w:val="center"/>
                </w:tcPr>
                <w:p w14:paraId="6D3145AE">
                  <w:pPr>
                    <w:pStyle w:val="20"/>
                    <w:widowControl w:val="0"/>
                    <w:spacing w:before="0" w:beforeAutospacing="0" w:after="0" w:afterAutospacing="0" w:line="0" w:lineRule="atLeast"/>
                    <w:contextualSpacing/>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无组织排放浓度</w:t>
                  </w:r>
                </w:p>
              </w:tc>
              <w:tc>
                <w:tcPr>
                  <w:tcW w:w="3533" w:type="dxa"/>
                  <w:tcBorders>
                    <w:top w:val="single" w:color="auto" w:sz="4" w:space="0"/>
                    <w:left w:val="single" w:color="auto" w:sz="4" w:space="0"/>
                    <w:bottom w:val="single" w:color="auto" w:sz="12" w:space="0"/>
                    <w:right w:val="nil"/>
                  </w:tcBorders>
                  <w:vAlign w:val="center"/>
                </w:tcPr>
                <w:p w14:paraId="164B088B">
                  <w:pPr>
                    <w:pStyle w:val="20"/>
                    <w:widowControl w:val="0"/>
                    <w:spacing w:before="0" w:beforeAutospacing="0" w:after="0" w:afterAutospacing="0" w:line="0" w:lineRule="atLeast"/>
                    <w:contextualSpacing/>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周界外浓度最高点</w:t>
                  </w:r>
                </w:p>
              </w:tc>
            </w:tr>
          </w:tbl>
          <w:p w14:paraId="4F7D66A5">
            <w:pPr>
              <w:spacing w:line="360" w:lineRule="auto"/>
              <w:ind w:firstLine="480" w:firstLineChars="200"/>
              <w:contextualSpacing/>
              <w:jc w:val="left"/>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本项目锅炉烟气执行《锅炉大气污染物排放标准》（GB13271-2014）表2新建燃煤锅炉大气污染物排放限值要求</w:t>
            </w:r>
            <w:r>
              <w:rPr>
                <w:bCs/>
                <w:color w:val="000000" w:themeColor="text1"/>
                <w:kern w:val="0"/>
                <w:sz w:val="24"/>
                <w14:textFill>
                  <w14:solidFill>
                    <w14:schemeClr w14:val="tx1"/>
                  </w14:solidFill>
                </w14:textFill>
              </w:rPr>
              <w:t>。</w:t>
            </w:r>
          </w:p>
          <w:p w14:paraId="18D7A022">
            <w:pPr>
              <w:jc w:val="center"/>
              <w:rPr>
                <w:b/>
                <w:bCs/>
                <w:color w:val="000000" w:themeColor="text1"/>
                <w:sz w:val="24"/>
                <w:szCs w:val="32"/>
                <w14:textFill>
                  <w14:solidFill>
                    <w14:schemeClr w14:val="tx1"/>
                  </w14:solidFill>
                </w14:textFill>
              </w:rPr>
            </w:pPr>
            <w:r>
              <w:rPr>
                <w:b/>
                <w:bCs/>
                <w:color w:val="000000" w:themeColor="text1"/>
                <w:sz w:val="24"/>
                <w:szCs w:val="32"/>
                <w14:textFill>
                  <w14:solidFill>
                    <w14:schemeClr w14:val="tx1"/>
                  </w14:solidFill>
                </w14:textFill>
              </w:rPr>
              <w:t>表3-8  锅炉大气污染物排放标准   单位：mg/m</w:t>
            </w:r>
            <w:r>
              <w:rPr>
                <w:b/>
                <w:bCs/>
                <w:color w:val="000000" w:themeColor="text1"/>
                <w:sz w:val="24"/>
                <w:szCs w:val="32"/>
                <w:vertAlign w:val="superscript"/>
                <w14:textFill>
                  <w14:solidFill>
                    <w14:schemeClr w14:val="tx1"/>
                  </w14:solidFill>
                </w14:textFill>
              </w:rPr>
              <w:t>3</w:t>
            </w:r>
          </w:p>
          <w:tbl>
            <w:tblPr>
              <w:tblStyle w:val="24"/>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136"/>
            </w:tblGrid>
            <w:tr w14:paraId="3810C0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4285" w:type="dxa"/>
                  <w:vMerge w:val="restart"/>
                  <w:vAlign w:val="center"/>
                </w:tcPr>
                <w:p w14:paraId="23270A2D">
                  <w:pPr>
                    <w:pStyle w:val="20"/>
                    <w:widowControl w:val="0"/>
                    <w:spacing w:before="0" w:beforeAutospacing="0" w:after="0" w:afterAutospacing="0" w:line="0" w:lineRule="atLeast"/>
                    <w:contextualSpacing/>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污染物项目</w:t>
                  </w:r>
                </w:p>
              </w:tc>
              <w:tc>
                <w:tcPr>
                  <w:tcW w:w="4136" w:type="dxa"/>
                  <w:vAlign w:val="center"/>
                </w:tcPr>
                <w:p w14:paraId="2BBE2150">
                  <w:pPr>
                    <w:pStyle w:val="20"/>
                    <w:widowControl w:val="0"/>
                    <w:spacing w:before="0" w:beforeAutospacing="0" w:after="0" w:afterAutospacing="0" w:line="0" w:lineRule="atLeast"/>
                    <w:contextualSpacing/>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排放限值</w:t>
                  </w:r>
                </w:p>
              </w:tc>
            </w:tr>
            <w:tr w14:paraId="2573D1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4285" w:type="dxa"/>
                  <w:vMerge w:val="continue"/>
                  <w:vAlign w:val="center"/>
                </w:tcPr>
                <w:p w14:paraId="75A458DC">
                  <w:pPr>
                    <w:spacing w:line="0" w:lineRule="atLeast"/>
                    <w:contextualSpacing/>
                    <w:jc w:val="center"/>
                    <w:rPr>
                      <w:color w:val="000000" w:themeColor="text1"/>
                      <w:szCs w:val="21"/>
                      <w14:textFill>
                        <w14:solidFill>
                          <w14:schemeClr w14:val="tx1"/>
                        </w14:solidFill>
                      </w14:textFill>
                    </w:rPr>
                  </w:pPr>
                </w:p>
              </w:tc>
              <w:tc>
                <w:tcPr>
                  <w:tcW w:w="4136" w:type="dxa"/>
                  <w:vAlign w:val="center"/>
                </w:tcPr>
                <w:p w14:paraId="3CF1DB38">
                  <w:pPr>
                    <w:pStyle w:val="20"/>
                    <w:widowControl w:val="0"/>
                    <w:spacing w:before="0" w:beforeAutospacing="0" w:after="0" w:afterAutospacing="0" w:line="0" w:lineRule="atLeast"/>
                    <w:contextualSpacing/>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燃煤锅炉</w:t>
                  </w:r>
                </w:p>
              </w:tc>
            </w:tr>
            <w:tr w14:paraId="142B80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4285" w:type="dxa"/>
                  <w:vAlign w:val="center"/>
                </w:tcPr>
                <w:p w14:paraId="67344E80">
                  <w:pPr>
                    <w:pStyle w:val="20"/>
                    <w:widowControl w:val="0"/>
                    <w:spacing w:before="0" w:beforeAutospacing="0" w:after="0" w:afterAutospacing="0" w:line="0" w:lineRule="atLeast"/>
                    <w:contextualSpacing/>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颗粒物</w:t>
                  </w:r>
                </w:p>
              </w:tc>
              <w:tc>
                <w:tcPr>
                  <w:tcW w:w="4136" w:type="dxa"/>
                  <w:vAlign w:val="center"/>
                </w:tcPr>
                <w:p w14:paraId="5CB483A7">
                  <w:pPr>
                    <w:pStyle w:val="20"/>
                    <w:widowControl w:val="0"/>
                    <w:spacing w:before="0" w:beforeAutospacing="0" w:after="0" w:afterAutospacing="0" w:line="0" w:lineRule="atLeast"/>
                    <w:contextualSpacing/>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50</w:t>
                  </w:r>
                </w:p>
              </w:tc>
            </w:tr>
            <w:tr w14:paraId="64CD4A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4285" w:type="dxa"/>
                  <w:vAlign w:val="center"/>
                </w:tcPr>
                <w:p w14:paraId="63FBD7BB">
                  <w:pPr>
                    <w:pStyle w:val="20"/>
                    <w:widowControl w:val="0"/>
                    <w:spacing w:before="0" w:beforeAutospacing="0" w:after="0" w:afterAutospacing="0" w:line="0" w:lineRule="atLeast"/>
                    <w:contextualSpacing/>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二氧化硫</w:t>
                  </w:r>
                </w:p>
              </w:tc>
              <w:tc>
                <w:tcPr>
                  <w:tcW w:w="4136" w:type="dxa"/>
                  <w:vAlign w:val="center"/>
                </w:tcPr>
                <w:p w14:paraId="4F901047">
                  <w:pPr>
                    <w:pStyle w:val="20"/>
                    <w:widowControl w:val="0"/>
                    <w:spacing w:before="0" w:beforeAutospacing="0" w:after="0" w:afterAutospacing="0" w:line="0" w:lineRule="atLeast"/>
                    <w:contextualSpacing/>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300</w:t>
                  </w:r>
                </w:p>
              </w:tc>
            </w:tr>
            <w:tr w14:paraId="3CD727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4285" w:type="dxa"/>
                  <w:vAlign w:val="center"/>
                </w:tcPr>
                <w:p w14:paraId="32AF56F5">
                  <w:pPr>
                    <w:pStyle w:val="20"/>
                    <w:widowControl w:val="0"/>
                    <w:spacing w:before="0" w:beforeAutospacing="0" w:after="0" w:afterAutospacing="0" w:line="0" w:lineRule="atLeast"/>
                    <w:contextualSpacing/>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氮氧化物</w:t>
                  </w:r>
                </w:p>
              </w:tc>
              <w:tc>
                <w:tcPr>
                  <w:tcW w:w="4136" w:type="dxa"/>
                  <w:vAlign w:val="center"/>
                </w:tcPr>
                <w:p w14:paraId="0BA7BBAA">
                  <w:pPr>
                    <w:pStyle w:val="20"/>
                    <w:widowControl w:val="0"/>
                    <w:spacing w:before="0" w:beforeAutospacing="0" w:after="0" w:afterAutospacing="0" w:line="0" w:lineRule="atLeast"/>
                    <w:contextualSpacing/>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300</w:t>
                  </w:r>
                </w:p>
              </w:tc>
            </w:tr>
            <w:tr w14:paraId="0EB5B6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4285" w:type="dxa"/>
                  <w:vAlign w:val="center"/>
                </w:tcPr>
                <w:p w14:paraId="25098876">
                  <w:pPr>
                    <w:pStyle w:val="20"/>
                    <w:widowControl w:val="0"/>
                    <w:spacing w:before="0" w:beforeAutospacing="0" w:after="0" w:afterAutospacing="0" w:line="0" w:lineRule="atLeast"/>
                    <w:contextualSpacing/>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林格曼黑度</w:t>
                  </w:r>
                </w:p>
              </w:tc>
              <w:tc>
                <w:tcPr>
                  <w:tcW w:w="4136" w:type="dxa"/>
                  <w:vAlign w:val="center"/>
                </w:tcPr>
                <w:p w14:paraId="79C4D1E8">
                  <w:pPr>
                    <w:pStyle w:val="20"/>
                    <w:widowControl w:val="0"/>
                    <w:spacing w:before="0" w:beforeAutospacing="0" w:after="0" w:afterAutospacing="0" w:line="0" w:lineRule="atLeast"/>
                    <w:contextualSpacing/>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≤1</w:t>
                  </w:r>
                </w:p>
              </w:tc>
            </w:tr>
          </w:tbl>
          <w:p w14:paraId="6C2A2AFF">
            <w:pPr>
              <w:numPr>
                <w:ilvl w:val="0"/>
                <w:numId w:val="4"/>
              </w:numPr>
              <w:adjustRightInd w:val="0"/>
              <w:snapToGrid w:val="0"/>
              <w:spacing w:line="360" w:lineRule="auto"/>
              <w:ind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噪声排放标准</w:t>
            </w:r>
          </w:p>
          <w:p w14:paraId="28C073AC">
            <w:pPr>
              <w:adjustRightInd w:val="0"/>
              <w:spacing w:line="360" w:lineRule="auto"/>
              <w:ind w:firstLine="480" w:firstLineChars="200"/>
              <w:textAlignment w:val="baseline"/>
              <w:rPr>
                <w:color w:val="000000" w:themeColor="text1"/>
                <w:kern w:val="0"/>
                <w:sz w:val="24"/>
                <w14:textFill>
                  <w14:solidFill>
                    <w14:schemeClr w14:val="tx1"/>
                  </w14:solidFill>
                </w14:textFill>
              </w:rPr>
            </w:pPr>
            <w:r>
              <w:rPr>
                <w:rFonts w:eastAsia="Times New Roman"/>
                <w:color w:val="000000" w:themeColor="text1"/>
                <w:sz w:val="24"/>
                <w14:textFill>
                  <w14:solidFill>
                    <w14:schemeClr w14:val="tx1"/>
                  </w14:solidFill>
                </w14:textFill>
              </w:rPr>
              <w:t>施工期厂界噪声执行《建筑施工噪声排放标准》（GB12523-2025），见表3-9。</w:t>
            </w:r>
          </w:p>
          <w:p w14:paraId="7A224AD9">
            <w:pPr>
              <w:jc w:val="center"/>
              <w:rPr>
                <w:b/>
                <w:bCs/>
                <w:color w:val="000000" w:themeColor="text1"/>
                <w:sz w:val="24"/>
                <w:szCs w:val="32"/>
                <w14:textFill>
                  <w14:solidFill>
                    <w14:schemeClr w14:val="tx1"/>
                  </w14:solidFill>
                </w14:textFill>
              </w:rPr>
            </w:pPr>
            <w:r>
              <w:rPr>
                <w:rFonts w:eastAsia="Times New Roman"/>
                <w:b/>
                <w:color w:val="000000" w:themeColor="text1"/>
                <w:sz w:val="24"/>
                <w14:textFill>
                  <w14:solidFill>
                    <w14:schemeClr w14:val="tx1"/>
                  </w14:solidFill>
                </w14:textFill>
              </w:rPr>
              <w:t>表3-9 建筑施工噪声排放标准  单位：dB(A)</w:t>
            </w:r>
          </w:p>
          <w:tbl>
            <w:tblPr>
              <w:tblStyle w:val="24"/>
              <w:tblW w:w="0" w:type="auto"/>
              <w:jc w:val="center"/>
              <w:tblBorders>
                <w:top w:val="single" w:color="auto" w:sz="12" w:space="0"/>
                <w:left w:val="none" w:color="auto" w:sz="0" w:space="0"/>
                <w:bottom w:val="single" w:color="auto"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4067"/>
              <w:gridCol w:w="3871"/>
            </w:tblGrid>
            <w:tr w14:paraId="41B9CAE9">
              <w:tblPrEx>
                <w:tblBorders>
                  <w:top w:val="single" w:color="auto" w:sz="12" w:space="0"/>
                  <w:left w:val="none" w:color="auto" w:sz="0" w:space="0"/>
                  <w:bottom w:val="single" w:color="auto" w:sz="12" w:space="0"/>
                  <w:right w:val="none" w:color="auto" w:sz="0" w:space="0"/>
                  <w:insideH w:val="single" w:color="000000" w:sz="6" w:space="0"/>
                  <w:insideV w:val="single" w:color="000000" w:sz="6" w:space="0"/>
                </w:tblBorders>
                <w:tblCellMar>
                  <w:top w:w="0" w:type="dxa"/>
                  <w:left w:w="0" w:type="dxa"/>
                  <w:bottom w:w="0" w:type="dxa"/>
                  <w:right w:w="0" w:type="dxa"/>
                </w:tblCellMar>
              </w:tblPrEx>
              <w:trPr>
                <w:cantSplit/>
                <w:jc w:val="center"/>
              </w:trPr>
              <w:tc>
                <w:tcPr>
                  <w:tcW w:w="4067" w:type="dxa"/>
                  <w:tcMar>
                    <w:top w:w="17" w:type="dxa"/>
                    <w:left w:w="17" w:type="dxa"/>
                    <w:bottom w:w="0" w:type="dxa"/>
                    <w:right w:w="17" w:type="dxa"/>
                  </w:tcMar>
                  <w:vAlign w:val="center"/>
                </w:tcPr>
                <w:p w14:paraId="109E5DF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昼间</w:t>
                  </w:r>
                </w:p>
              </w:tc>
              <w:tc>
                <w:tcPr>
                  <w:tcW w:w="3871" w:type="dxa"/>
                  <w:tcMar>
                    <w:top w:w="17" w:type="dxa"/>
                    <w:left w:w="17" w:type="dxa"/>
                    <w:bottom w:w="0" w:type="dxa"/>
                    <w:right w:w="17" w:type="dxa"/>
                  </w:tcMar>
                  <w:vAlign w:val="center"/>
                </w:tcPr>
                <w:p w14:paraId="2687C5B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夜间</w:t>
                  </w:r>
                </w:p>
              </w:tc>
            </w:tr>
            <w:tr w14:paraId="39B60365">
              <w:tblPrEx>
                <w:tblBorders>
                  <w:top w:val="single" w:color="auto" w:sz="12" w:space="0"/>
                  <w:left w:val="none" w:color="auto" w:sz="0" w:space="0"/>
                  <w:bottom w:val="single" w:color="auto" w:sz="12" w:space="0"/>
                  <w:right w:val="none" w:color="auto" w:sz="0" w:space="0"/>
                  <w:insideH w:val="single" w:color="000000" w:sz="6" w:space="0"/>
                  <w:insideV w:val="single" w:color="000000" w:sz="6" w:space="0"/>
                </w:tblBorders>
                <w:tblCellMar>
                  <w:top w:w="0" w:type="dxa"/>
                  <w:left w:w="0" w:type="dxa"/>
                  <w:bottom w:w="0" w:type="dxa"/>
                  <w:right w:w="0" w:type="dxa"/>
                </w:tblCellMar>
              </w:tblPrEx>
              <w:trPr>
                <w:cantSplit/>
                <w:jc w:val="center"/>
              </w:trPr>
              <w:tc>
                <w:tcPr>
                  <w:tcW w:w="4067" w:type="dxa"/>
                  <w:tcMar>
                    <w:top w:w="17" w:type="dxa"/>
                    <w:left w:w="17" w:type="dxa"/>
                    <w:bottom w:w="0" w:type="dxa"/>
                    <w:right w:w="17" w:type="dxa"/>
                  </w:tcMar>
                  <w:vAlign w:val="center"/>
                </w:tcPr>
                <w:p w14:paraId="0FAA320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70</w:t>
                  </w:r>
                </w:p>
              </w:tc>
              <w:tc>
                <w:tcPr>
                  <w:tcW w:w="3871" w:type="dxa"/>
                  <w:tcMar>
                    <w:top w:w="17" w:type="dxa"/>
                    <w:left w:w="17" w:type="dxa"/>
                    <w:bottom w:w="0" w:type="dxa"/>
                    <w:right w:w="17" w:type="dxa"/>
                  </w:tcMar>
                  <w:vAlign w:val="center"/>
                </w:tcPr>
                <w:p w14:paraId="0F4DE0C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55</w:t>
                  </w:r>
                </w:p>
              </w:tc>
            </w:tr>
          </w:tbl>
          <w:p w14:paraId="16AD1B40">
            <w:pPr>
              <w:adjustRightInd w:val="0"/>
              <w:spacing w:line="360" w:lineRule="auto"/>
              <w:ind w:firstLine="480" w:firstLineChars="200"/>
              <w:textAlignment w:val="baseline"/>
              <w:rPr>
                <w:rFonts w:hint="eastAsia" w:eastAsia="宋体"/>
                <w:color w:val="000000" w:themeColor="text1"/>
                <w:sz w:val="24"/>
                <w:lang w:val="en-US" w:eastAsia="zh-CN"/>
                <w14:textFill>
                  <w14:solidFill>
                    <w14:schemeClr w14:val="tx1"/>
                  </w14:solidFill>
                </w14:textFill>
              </w:rPr>
            </w:pPr>
            <w:r>
              <w:rPr>
                <w:rFonts w:eastAsia="Times New Roman"/>
                <w:color w:val="000000" w:themeColor="text1"/>
                <w:sz w:val="24"/>
                <w14:textFill>
                  <w14:solidFill>
                    <w14:schemeClr w14:val="tx1"/>
                  </w14:solidFill>
                </w14:textFill>
              </w:rPr>
              <w:t>本项目位于伊春市伊美区兰新经营所，</w:t>
            </w:r>
            <w:r>
              <w:rPr>
                <w:color w:val="000000" w:themeColor="text1"/>
                <w:sz w:val="24"/>
                <w:lang w:bidi="ar"/>
                <w14:textFill>
                  <w14:solidFill>
                    <w14:schemeClr w14:val="tx1"/>
                  </w14:solidFill>
                </w14:textFill>
              </w:rPr>
              <w:t>本项目北侧和东侧为空地，南侧为废弃厂房，西侧隔兰新路为居民住宅</w:t>
            </w:r>
            <w:r>
              <w:rPr>
                <w:color w:val="000000" w:themeColor="text1"/>
                <w:sz w:val="24"/>
                <w14:textFill>
                  <w14:solidFill>
                    <w14:schemeClr w14:val="tx1"/>
                  </w14:solidFill>
                </w14:textFill>
              </w:rPr>
              <w:t>。</w:t>
            </w:r>
            <w:r>
              <w:rPr>
                <w:rFonts w:eastAsia="Times New Roman"/>
                <w:color w:val="000000" w:themeColor="text1"/>
                <w:sz w:val="24"/>
                <w14:textFill>
                  <w14:solidFill>
                    <w14:schemeClr w14:val="tx1"/>
                  </w14:solidFill>
                </w14:textFill>
              </w:rPr>
              <w:t>本项目</w:t>
            </w:r>
            <w:r>
              <w:rPr>
                <w:rFonts w:hint="eastAsia" w:eastAsia="宋体"/>
                <w:color w:val="000000" w:themeColor="text1"/>
                <w:sz w:val="24"/>
                <w:lang w:val="en-US" w:eastAsia="zh-CN"/>
                <w14:textFill>
                  <w14:solidFill>
                    <w14:schemeClr w14:val="tx1"/>
                  </w14:solidFill>
                </w14:textFill>
              </w:rPr>
              <w:t>厂界北侧、东侧和南侧</w:t>
            </w:r>
            <w:r>
              <w:rPr>
                <w:rFonts w:eastAsia="Times New Roman"/>
                <w:color w:val="000000" w:themeColor="text1"/>
                <w:sz w:val="24"/>
                <w14:textFill>
                  <w14:solidFill>
                    <w14:schemeClr w14:val="tx1"/>
                  </w14:solidFill>
                </w14:textFill>
              </w:rPr>
              <w:t>运营期噪声执行《工业企业厂界环境噪声排放标准》</w:t>
            </w:r>
            <w:r>
              <w:rPr>
                <w:rFonts w:hint="eastAsia" w:eastAsia="Times New Roman"/>
                <w:color w:val="000000" w:themeColor="text1"/>
                <w:sz w:val="24"/>
                <w14:textFill>
                  <w14:solidFill>
                    <w14:schemeClr w14:val="tx1"/>
                  </w14:solidFill>
                </w14:textFill>
              </w:rPr>
              <w:t>（</w:t>
            </w:r>
            <w:r>
              <w:rPr>
                <w:rFonts w:eastAsia="Times New Roman"/>
                <w:color w:val="000000" w:themeColor="text1"/>
                <w:sz w:val="24"/>
                <w14:textFill>
                  <w14:solidFill>
                    <w14:schemeClr w14:val="tx1"/>
                  </w14:solidFill>
                </w14:textFill>
              </w:rPr>
              <w:t>GB12348-2008</w:t>
            </w:r>
            <w:r>
              <w:rPr>
                <w:rFonts w:hint="eastAsia" w:eastAsia="Times New Roman"/>
                <w:color w:val="000000" w:themeColor="text1"/>
                <w:sz w:val="24"/>
                <w14:textFill>
                  <w14:solidFill>
                    <w14:schemeClr w14:val="tx1"/>
                  </w14:solidFill>
                </w14:textFill>
              </w:rPr>
              <w:t>）</w:t>
            </w:r>
            <w:r>
              <w:rPr>
                <w:rFonts w:eastAsia="Times New Roman"/>
                <w:color w:val="000000" w:themeColor="text1"/>
                <w:sz w:val="24"/>
                <w14:textFill>
                  <w14:solidFill>
                    <w14:schemeClr w14:val="tx1"/>
                  </w14:solidFill>
                </w14:textFill>
              </w:rPr>
              <w:t>表1中2类标准</w:t>
            </w:r>
            <w:r>
              <w:rPr>
                <w:rFonts w:hint="eastAsia" w:eastAsia="宋体"/>
                <w:color w:val="000000" w:themeColor="text1"/>
                <w:sz w:val="24"/>
                <w:lang w:eastAsia="zh-CN"/>
                <w14:textFill>
                  <w14:solidFill>
                    <w14:schemeClr w14:val="tx1"/>
                  </w14:solidFill>
                </w14:textFill>
              </w:rPr>
              <w:t>；</w:t>
            </w:r>
            <w:r>
              <w:rPr>
                <w:rFonts w:hint="eastAsia" w:eastAsia="宋体"/>
                <w:color w:val="000000" w:themeColor="text1"/>
                <w:sz w:val="24"/>
                <w:lang w:val="en-US" w:eastAsia="zh-CN"/>
                <w14:textFill>
                  <w14:solidFill>
                    <w14:schemeClr w14:val="tx1"/>
                  </w14:solidFill>
                </w14:textFill>
              </w:rPr>
              <w:t>厂界</w:t>
            </w:r>
            <w:r>
              <w:rPr>
                <w:color w:val="000000" w:themeColor="text1"/>
                <w:sz w:val="24"/>
                <w:lang w:bidi="ar"/>
                <w14:textFill>
                  <w14:solidFill>
                    <w14:schemeClr w14:val="tx1"/>
                  </w14:solidFill>
                </w14:textFill>
              </w:rPr>
              <w:t>西侧</w:t>
            </w:r>
            <w:r>
              <w:rPr>
                <w:rFonts w:eastAsia="Times New Roman"/>
                <w:color w:val="000000" w:themeColor="text1"/>
                <w:sz w:val="24"/>
                <w14:textFill>
                  <w14:solidFill>
                    <w14:schemeClr w14:val="tx1"/>
                  </w14:solidFill>
                </w14:textFill>
              </w:rPr>
              <w:t>执行《工业企业厂界环境噪声排放标准》</w:t>
            </w:r>
            <w:r>
              <w:rPr>
                <w:rFonts w:hint="eastAsia" w:eastAsia="Times New Roman"/>
                <w:color w:val="000000" w:themeColor="text1"/>
                <w:sz w:val="24"/>
                <w14:textFill>
                  <w14:solidFill>
                    <w14:schemeClr w14:val="tx1"/>
                  </w14:solidFill>
                </w14:textFill>
              </w:rPr>
              <w:t>（</w:t>
            </w:r>
            <w:r>
              <w:rPr>
                <w:rFonts w:eastAsia="Times New Roman"/>
                <w:color w:val="000000" w:themeColor="text1"/>
                <w:sz w:val="24"/>
                <w14:textFill>
                  <w14:solidFill>
                    <w14:schemeClr w14:val="tx1"/>
                  </w14:solidFill>
                </w14:textFill>
              </w:rPr>
              <w:t>GB12348-2008</w:t>
            </w:r>
            <w:r>
              <w:rPr>
                <w:rFonts w:hint="eastAsia" w:eastAsia="Times New Roman"/>
                <w:color w:val="000000" w:themeColor="text1"/>
                <w:sz w:val="24"/>
                <w14:textFill>
                  <w14:solidFill>
                    <w14:schemeClr w14:val="tx1"/>
                  </w14:solidFill>
                </w14:textFill>
              </w:rPr>
              <w:t>）</w:t>
            </w:r>
            <w:r>
              <w:rPr>
                <w:rFonts w:eastAsia="Times New Roman"/>
                <w:color w:val="000000" w:themeColor="text1"/>
                <w:sz w:val="24"/>
                <w14:textFill>
                  <w14:solidFill>
                    <w14:schemeClr w14:val="tx1"/>
                  </w14:solidFill>
                </w14:textFill>
              </w:rPr>
              <w:t>表1中</w:t>
            </w:r>
            <w:r>
              <w:rPr>
                <w:rFonts w:hint="eastAsia" w:eastAsia="宋体"/>
                <w:color w:val="000000" w:themeColor="text1"/>
                <w:sz w:val="24"/>
                <w:lang w:val="en-US" w:eastAsia="zh-CN"/>
                <w14:textFill>
                  <w14:solidFill>
                    <w14:schemeClr w14:val="tx1"/>
                  </w14:solidFill>
                </w14:textFill>
              </w:rPr>
              <w:t>1</w:t>
            </w:r>
            <w:r>
              <w:rPr>
                <w:rFonts w:eastAsia="Times New Roman"/>
                <w:color w:val="000000" w:themeColor="text1"/>
                <w:sz w:val="24"/>
                <w14:textFill>
                  <w14:solidFill>
                    <w14:schemeClr w14:val="tx1"/>
                  </w14:solidFill>
                </w14:textFill>
              </w:rPr>
              <w:t>类标准</w:t>
            </w:r>
            <w:r>
              <w:rPr>
                <w:rFonts w:hint="eastAsia" w:eastAsia="宋体"/>
                <w:color w:val="000000" w:themeColor="text1"/>
                <w:sz w:val="24"/>
                <w:lang w:eastAsia="zh-CN"/>
                <w14:textFill>
                  <w14:solidFill>
                    <w14:schemeClr w14:val="tx1"/>
                  </w14:solidFill>
                </w14:textFill>
              </w:rPr>
              <w:t>。</w:t>
            </w:r>
          </w:p>
          <w:p w14:paraId="09FB2CC3">
            <w:pPr>
              <w:jc w:val="center"/>
              <w:rPr>
                <w:b/>
                <w:bCs/>
                <w:color w:val="000000" w:themeColor="text1"/>
                <w:sz w:val="24"/>
                <w:szCs w:val="32"/>
                <w14:textFill>
                  <w14:solidFill>
                    <w14:schemeClr w14:val="tx1"/>
                  </w14:solidFill>
                </w14:textFill>
              </w:rPr>
            </w:pPr>
            <w:r>
              <w:rPr>
                <w:b/>
                <w:bCs/>
                <w:color w:val="000000" w:themeColor="text1"/>
                <w:sz w:val="24"/>
                <w:szCs w:val="32"/>
                <w14:textFill>
                  <w14:solidFill>
                    <w14:schemeClr w14:val="tx1"/>
                  </w14:solidFill>
                </w14:textFill>
              </w:rPr>
              <w:t>表3-10 《工业企业厂界环境噪声排放标准》</w:t>
            </w:r>
            <w:r>
              <w:rPr>
                <w:rFonts w:hint="eastAsia"/>
                <w:b/>
                <w:bCs/>
                <w:color w:val="000000" w:themeColor="text1"/>
                <w:sz w:val="24"/>
                <w:szCs w:val="32"/>
                <w14:textFill>
                  <w14:solidFill>
                    <w14:schemeClr w14:val="tx1"/>
                  </w14:solidFill>
                </w14:textFill>
              </w:rPr>
              <w:t>（</w:t>
            </w:r>
            <w:r>
              <w:rPr>
                <w:b/>
                <w:bCs/>
                <w:color w:val="000000" w:themeColor="text1"/>
                <w:sz w:val="24"/>
                <w:szCs w:val="32"/>
                <w14:textFill>
                  <w14:solidFill>
                    <w14:schemeClr w14:val="tx1"/>
                  </w14:solidFill>
                </w14:textFill>
              </w:rPr>
              <w:t>GB12348-2008)</w:t>
            </w:r>
          </w:p>
          <w:tbl>
            <w:tblPr>
              <w:tblStyle w:val="24"/>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23"/>
              <w:gridCol w:w="1110"/>
              <w:gridCol w:w="1245"/>
              <w:gridCol w:w="4141"/>
            </w:tblGrid>
            <w:tr w14:paraId="6583D5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1923" w:type="dxa"/>
                  <w:vAlign w:val="center"/>
                </w:tcPr>
                <w:p w14:paraId="03F0E566">
                  <w:pPr>
                    <w:spacing w:line="320" w:lineRule="exact"/>
                    <w:jc w:val="center"/>
                    <w:rPr>
                      <w:color w:val="000000" w:themeColor="text1"/>
                      <w:spacing w:val="5"/>
                      <w:szCs w:val="21"/>
                      <w14:textFill>
                        <w14:solidFill>
                          <w14:schemeClr w14:val="tx1"/>
                        </w14:solidFill>
                      </w14:textFill>
                    </w:rPr>
                  </w:pPr>
                  <w:r>
                    <w:rPr>
                      <w:color w:val="000000" w:themeColor="text1"/>
                      <w:spacing w:val="5"/>
                      <w:szCs w:val="21"/>
                      <w14:textFill>
                        <w14:solidFill>
                          <w14:schemeClr w14:val="tx1"/>
                        </w14:solidFill>
                      </w14:textFill>
                    </w:rPr>
                    <w:t>项目</w:t>
                  </w:r>
                </w:p>
              </w:tc>
              <w:tc>
                <w:tcPr>
                  <w:tcW w:w="1110" w:type="dxa"/>
                  <w:shd w:val="clear" w:color="auto" w:fill="auto"/>
                  <w:vAlign w:val="center"/>
                </w:tcPr>
                <w:p w14:paraId="5B9B07A5">
                  <w:pPr>
                    <w:spacing w:line="320" w:lineRule="exact"/>
                    <w:jc w:val="center"/>
                    <w:rPr>
                      <w:rFonts w:ascii="Times New Roman" w:hAnsi="Times New Roman" w:eastAsia="宋体" w:cs="Times New Roman"/>
                      <w:color w:val="000000" w:themeColor="text1"/>
                      <w:spacing w:val="5"/>
                      <w:kern w:val="2"/>
                      <w:sz w:val="21"/>
                      <w:szCs w:val="21"/>
                      <w:lang w:val="en-US" w:eastAsia="zh-CN" w:bidi="ar-SA"/>
                      <w14:textFill>
                        <w14:solidFill>
                          <w14:schemeClr w14:val="tx1"/>
                        </w14:solidFill>
                      </w14:textFill>
                    </w:rPr>
                  </w:pPr>
                  <w:r>
                    <w:rPr>
                      <w:color w:val="000000" w:themeColor="text1"/>
                      <w:spacing w:val="5"/>
                      <w:szCs w:val="21"/>
                      <w14:textFill>
                        <w14:solidFill>
                          <w14:schemeClr w14:val="tx1"/>
                        </w14:solidFill>
                      </w14:textFill>
                    </w:rPr>
                    <w:t>昼间</w:t>
                  </w:r>
                </w:p>
              </w:tc>
              <w:tc>
                <w:tcPr>
                  <w:tcW w:w="1245" w:type="dxa"/>
                  <w:shd w:val="clear" w:color="auto" w:fill="auto"/>
                  <w:vAlign w:val="center"/>
                </w:tcPr>
                <w:p w14:paraId="3E177513">
                  <w:pPr>
                    <w:spacing w:line="320" w:lineRule="exact"/>
                    <w:jc w:val="center"/>
                    <w:rPr>
                      <w:rFonts w:ascii="Times New Roman" w:hAnsi="Times New Roman" w:eastAsia="宋体" w:cs="Times New Roman"/>
                      <w:color w:val="000000" w:themeColor="text1"/>
                      <w:spacing w:val="5"/>
                      <w:kern w:val="2"/>
                      <w:sz w:val="21"/>
                      <w:szCs w:val="21"/>
                      <w:lang w:val="en-US" w:eastAsia="zh-CN" w:bidi="ar-SA"/>
                      <w14:textFill>
                        <w14:solidFill>
                          <w14:schemeClr w14:val="tx1"/>
                        </w14:solidFill>
                      </w14:textFill>
                    </w:rPr>
                  </w:pPr>
                  <w:r>
                    <w:rPr>
                      <w:color w:val="000000" w:themeColor="text1"/>
                      <w:spacing w:val="5"/>
                      <w:szCs w:val="21"/>
                      <w14:textFill>
                        <w14:solidFill>
                          <w14:schemeClr w14:val="tx1"/>
                        </w14:solidFill>
                      </w14:textFill>
                    </w:rPr>
                    <w:t>夜间</w:t>
                  </w:r>
                </w:p>
              </w:tc>
              <w:tc>
                <w:tcPr>
                  <w:tcW w:w="4141" w:type="dxa"/>
                  <w:vAlign w:val="center"/>
                </w:tcPr>
                <w:p w14:paraId="6F66115C">
                  <w:pPr>
                    <w:spacing w:line="320" w:lineRule="exact"/>
                    <w:jc w:val="center"/>
                    <w:rPr>
                      <w:rFonts w:hint="eastAsia" w:eastAsia="宋体"/>
                      <w:color w:val="000000" w:themeColor="text1"/>
                      <w:spacing w:val="5"/>
                      <w:szCs w:val="21"/>
                      <w:lang w:val="en-US" w:eastAsia="zh-CN"/>
                      <w14:textFill>
                        <w14:solidFill>
                          <w14:schemeClr w14:val="tx1"/>
                        </w14:solidFill>
                      </w14:textFill>
                    </w:rPr>
                  </w:pPr>
                  <w:r>
                    <w:rPr>
                      <w:rFonts w:hint="eastAsia"/>
                      <w:color w:val="000000" w:themeColor="text1"/>
                      <w:spacing w:val="5"/>
                      <w:szCs w:val="21"/>
                      <w:lang w:val="en-US" w:eastAsia="zh-CN"/>
                      <w14:textFill>
                        <w14:solidFill>
                          <w14:schemeClr w14:val="tx1"/>
                        </w14:solidFill>
                      </w14:textFill>
                    </w:rPr>
                    <w:t>标准</w:t>
                  </w:r>
                </w:p>
              </w:tc>
            </w:tr>
            <w:tr w14:paraId="3680E3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1923" w:type="dxa"/>
                  <w:vAlign w:val="center"/>
                </w:tcPr>
                <w:p w14:paraId="0D99C070">
                  <w:pPr>
                    <w:spacing w:line="320" w:lineRule="exact"/>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厂界东侧、北侧、南侧</w:t>
                  </w:r>
                </w:p>
              </w:tc>
              <w:tc>
                <w:tcPr>
                  <w:tcW w:w="1110" w:type="dxa"/>
                  <w:shd w:val="clear" w:color="auto" w:fill="auto"/>
                  <w:vAlign w:val="center"/>
                </w:tcPr>
                <w:p w14:paraId="416EB9B5">
                  <w:pPr>
                    <w:spacing w:line="320" w:lineRule="exact"/>
                    <w:jc w:val="center"/>
                    <w:rPr>
                      <w:rFonts w:hint="eastAsia" w:ascii="Times New Roman" w:hAnsi="Times New Roman" w:eastAsia="宋体" w:cs="Times New Roman"/>
                      <w:color w:val="000000" w:themeColor="text1"/>
                      <w:spacing w:val="5"/>
                      <w:kern w:val="2"/>
                      <w:sz w:val="21"/>
                      <w:szCs w:val="21"/>
                      <w:lang w:val="en-US" w:eastAsia="zh-CN" w:bidi="ar-SA"/>
                      <w14:textFill>
                        <w14:solidFill>
                          <w14:schemeClr w14:val="tx1"/>
                        </w14:solidFill>
                      </w14:textFill>
                    </w:rPr>
                  </w:pPr>
                  <w:r>
                    <w:rPr>
                      <w:color w:val="000000" w:themeColor="text1"/>
                      <w:spacing w:val="5"/>
                      <w:szCs w:val="21"/>
                      <w14:textFill>
                        <w14:solidFill>
                          <w14:schemeClr w14:val="tx1"/>
                        </w14:solidFill>
                      </w14:textFill>
                    </w:rPr>
                    <w:t>60dB（A</w:t>
                  </w:r>
                  <w:r>
                    <w:rPr>
                      <w:rFonts w:hint="eastAsia"/>
                      <w:color w:val="000000" w:themeColor="text1"/>
                      <w:spacing w:val="5"/>
                      <w:szCs w:val="21"/>
                      <w:lang w:eastAsia="zh-CN"/>
                      <w14:textFill>
                        <w14:solidFill>
                          <w14:schemeClr w14:val="tx1"/>
                        </w14:solidFill>
                      </w14:textFill>
                    </w:rPr>
                    <w:t>）</w:t>
                  </w:r>
                </w:p>
              </w:tc>
              <w:tc>
                <w:tcPr>
                  <w:tcW w:w="1245" w:type="dxa"/>
                  <w:shd w:val="clear" w:color="auto" w:fill="auto"/>
                  <w:vAlign w:val="center"/>
                </w:tcPr>
                <w:p w14:paraId="172FDAA5">
                  <w:pPr>
                    <w:spacing w:line="320" w:lineRule="exact"/>
                    <w:jc w:val="center"/>
                    <w:rPr>
                      <w:rFonts w:hint="eastAsia" w:ascii="Times New Roman" w:hAnsi="Times New Roman" w:eastAsia="宋体" w:cs="Times New Roman"/>
                      <w:color w:val="000000" w:themeColor="text1"/>
                      <w:spacing w:val="5"/>
                      <w:kern w:val="2"/>
                      <w:sz w:val="21"/>
                      <w:szCs w:val="21"/>
                      <w:lang w:val="en-US" w:eastAsia="zh-CN" w:bidi="ar-SA"/>
                      <w14:textFill>
                        <w14:solidFill>
                          <w14:schemeClr w14:val="tx1"/>
                        </w14:solidFill>
                      </w14:textFill>
                    </w:rPr>
                  </w:pPr>
                  <w:r>
                    <w:rPr>
                      <w:color w:val="000000" w:themeColor="text1"/>
                      <w:spacing w:val="5"/>
                      <w:szCs w:val="21"/>
                      <w14:textFill>
                        <w14:solidFill>
                          <w14:schemeClr w14:val="tx1"/>
                        </w14:solidFill>
                      </w14:textFill>
                    </w:rPr>
                    <w:t>50dB（A</w:t>
                  </w:r>
                  <w:r>
                    <w:rPr>
                      <w:rFonts w:hint="eastAsia"/>
                      <w:color w:val="000000" w:themeColor="text1"/>
                      <w:spacing w:val="5"/>
                      <w:szCs w:val="21"/>
                      <w:lang w:eastAsia="zh-CN"/>
                      <w14:textFill>
                        <w14:solidFill>
                          <w14:schemeClr w14:val="tx1"/>
                        </w14:solidFill>
                      </w14:textFill>
                    </w:rPr>
                    <w:t>）</w:t>
                  </w:r>
                </w:p>
              </w:tc>
              <w:tc>
                <w:tcPr>
                  <w:tcW w:w="4141" w:type="dxa"/>
                  <w:vAlign w:val="center"/>
                </w:tcPr>
                <w:p w14:paraId="5E4D825A">
                  <w:pPr>
                    <w:spacing w:line="32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《工业企业厂界环境噪声排放标准》</w:t>
                  </w: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GB12348-2008</w:t>
                  </w: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表1中2类标准</w:t>
                  </w:r>
                </w:p>
              </w:tc>
            </w:tr>
            <w:tr w14:paraId="3F46C7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1923" w:type="dxa"/>
                  <w:vAlign w:val="center"/>
                </w:tcPr>
                <w:p w14:paraId="352FD629">
                  <w:pPr>
                    <w:spacing w:line="320" w:lineRule="exact"/>
                    <w:jc w:val="center"/>
                    <w:rPr>
                      <w:rFonts w:hint="default"/>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厂界西侧</w:t>
                  </w:r>
                </w:p>
              </w:tc>
              <w:tc>
                <w:tcPr>
                  <w:tcW w:w="1110" w:type="dxa"/>
                  <w:shd w:val="clear" w:color="auto" w:fill="auto"/>
                  <w:vAlign w:val="center"/>
                </w:tcPr>
                <w:p w14:paraId="052D3869">
                  <w:pPr>
                    <w:spacing w:line="320" w:lineRule="exact"/>
                    <w:jc w:val="center"/>
                    <w:rPr>
                      <w:rFonts w:hint="default" w:eastAsia="宋体"/>
                      <w:color w:val="000000" w:themeColor="text1"/>
                      <w:spacing w:val="5"/>
                      <w:szCs w:val="21"/>
                      <w:lang w:val="en-US" w:eastAsia="zh-CN"/>
                      <w14:textFill>
                        <w14:solidFill>
                          <w14:schemeClr w14:val="tx1"/>
                        </w14:solidFill>
                      </w14:textFill>
                    </w:rPr>
                  </w:pPr>
                  <w:r>
                    <w:rPr>
                      <w:rFonts w:hint="eastAsia"/>
                      <w:color w:val="000000" w:themeColor="text1"/>
                      <w:spacing w:val="5"/>
                      <w:szCs w:val="21"/>
                      <w:lang w:val="en-US" w:eastAsia="zh-CN"/>
                      <w14:textFill>
                        <w14:solidFill>
                          <w14:schemeClr w14:val="tx1"/>
                        </w14:solidFill>
                      </w14:textFill>
                    </w:rPr>
                    <w:t>55</w:t>
                  </w:r>
                  <w:r>
                    <w:rPr>
                      <w:color w:val="000000" w:themeColor="text1"/>
                      <w:spacing w:val="5"/>
                      <w:szCs w:val="21"/>
                      <w14:textFill>
                        <w14:solidFill>
                          <w14:schemeClr w14:val="tx1"/>
                        </w14:solidFill>
                      </w14:textFill>
                    </w:rPr>
                    <w:t>dB（A</w:t>
                  </w:r>
                  <w:r>
                    <w:rPr>
                      <w:rFonts w:hint="eastAsia"/>
                      <w:color w:val="000000" w:themeColor="text1"/>
                      <w:spacing w:val="5"/>
                      <w:szCs w:val="21"/>
                      <w:lang w:eastAsia="zh-CN"/>
                      <w14:textFill>
                        <w14:solidFill>
                          <w14:schemeClr w14:val="tx1"/>
                        </w14:solidFill>
                      </w14:textFill>
                    </w:rPr>
                    <w:t>）</w:t>
                  </w:r>
                </w:p>
              </w:tc>
              <w:tc>
                <w:tcPr>
                  <w:tcW w:w="1245" w:type="dxa"/>
                  <w:shd w:val="clear" w:color="auto" w:fill="auto"/>
                  <w:vAlign w:val="center"/>
                </w:tcPr>
                <w:p w14:paraId="29AB591D">
                  <w:pPr>
                    <w:spacing w:line="320" w:lineRule="exact"/>
                    <w:jc w:val="center"/>
                    <w:rPr>
                      <w:rFonts w:hint="default" w:eastAsia="宋体"/>
                      <w:color w:val="000000" w:themeColor="text1"/>
                      <w:spacing w:val="5"/>
                      <w:szCs w:val="21"/>
                      <w:lang w:val="en-US" w:eastAsia="zh-CN"/>
                      <w14:textFill>
                        <w14:solidFill>
                          <w14:schemeClr w14:val="tx1"/>
                        </w14:solidFill>
                      </w14:textFill>
                    </w:rPr>
                  </w:pPr>
                  <w:r>
                    <w:rPr>
                      <w:rFonts w:hint="eastAsia"/>
                      <w:color w:val="000000" w:themeColor="text1"/>
                      <w:spacing w:val="5"/>
                      <w:szCs w:val="21"/>
                      <w:lang w:val="en-US" w:eastAsia="zh-CN"/>
                      <w14:textFill>
                        <w14:solidFill>
                          <w14:schemeClr w14:val="tx1"/>
                        </w14:solidFill>
                      </w14:textFill>
                    </w:rPr>
                    <w:t>45</w:t>
                  </w:r>
                  <w:r>
                    <w:rPr>
                      <w:color w:val="000000" w:themeColor="text1"/>
                      <w:spacing w:val="5"/>
                      <w:szCs w:val="21"/>
                      <w14:textFill>
                        <w14:solidFill>
                          <w14:schemeClr w14:val="tx1"/>
                        </w14:solidFill>
                      </w14:textFill>
                    </w:rPr>
                    <w:t>dB（A</w:t>
                  </w:r>
                  <w:r>
                    <w:rPr>
                      <w:rFonts w:hint="eastAsia"/>
                      <w:color w:val="000000" w:themeColor="text1"/>
                      <w:spacing w:val="5"/>
                      <w:szCs w:val="21"/>
                      <w:lang w:eastAsia="zh-CN"/>
                      <w14:textFill>
                        <w14:solidFill>
                          <w14:schemeClr w14:val="tx1"/>
                        </w14:solidFill>
                      </w14:textFill>
                    </w:rPr>
                    <w:t>）</w:t>
                  </w:r>
                </w:p>
              </w:tc>
              <w:tc>
                <w:tcPr>
                  <w:tcW w:w="4141" w:type="dxa"/>
                  <w:vAlign w:val="center"/>
                </w:tcPr>
                <w:p w14:paraId="79EF9812">
                  <w:pPr>
                    <w:spacing w:line="32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《工业企业厂界环境噪声排放标准》</w:t>
                  </w: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GB12348-2008</w:t>
                  </w: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表1中</w:t>
                  </w:r>
                  <w:r>
                    <w:rPr>
                      <w:rFonts w:hint="eastAsia"/>
                      <w:color w:val="000000" w:themeColor="text1"/>
                      <w:kern w:val="0"/>
                      <w:szCs w:val="21"/>
                      <w:lang w:val="en-US" w:eastAsia="zh-CN"/>
                      <w14:textFill>
                        <w14:solidFill>
                          <w14:schemeClr w14:val="tx1"/>
                        </w14:solidFill>
                      </w14:textFill>
                    </w:rPr>
                    <w:t>1</w:t>
                  </w:r>
                  <w:r>
                    <w:rPr>
                      <w:color w:val="000000" w:themeColor="text1"/>
                      <w:kern w:val="0"/>
                      <w:szCs w:val="21"/>
                      <w14:textFill>
                        <w14:solidFill>
                          <w14:schemeClr w14:val="tx1"/>
                        </w14:solidFill>
                      </w14:textFill>
                    </w:rPr>
                    <w:t>类标准</w:t>
                  </w:r>
                </w:p>
              </w:tc>
            </w:tr>
          </w:tbl>
          <w:p w14:paraId="09933541">
            <w:pPr>
              <w:numPr>
                <w:ilvl w:val="0"/>
                <w:numId w:val="4"/>
              </w:numPr>
              <w:adjustRightInd w:val="0"/>
              <w:snapToGrid w:val="0"/>
              <w:spacing w:line="360" w:lineRule="auto"/>
              <w:ind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固体废物排放标准</w:t>
            </w:r>
          </w:p>
          <w:p w14:paraId="6F6EB5AF">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sz w:val="24"/>
                <w14:textFill>
                  <w14:solidFill>
                    <w14:schemeClr w14:val="tx1"/>
                  </w14:solidFill>
                </w14:textFill>
              </w:rPr>
              <w:t>本项目运营期一般固体废物执行《一般工业固体废物贮存和填埋污染控制标准》（GB 18599-2020）、《固体废物分类与代码目录》（生态环境部2024年 第4号）。</w:t>
            </w:r>
          </w:p>
        </w:tc>
      </w:tr>
      <w:tr w14:paraId="4D7446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84" w:hRule="atLeast"/>
          <w:jc w:val="center"/>
        </w:trPr>
        <w:tc>
          <w:tcPr>
            <w:tcW w:w="424" w:type="dxa"/>
            <w:vAlign w:val="center"/>
          </w:tcPr>
          <w:p w14:paraId="0C9636D6">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总量</w:t>
            </w:r>
          </w:p>
          <w:p w14:paraId="79C27785">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控制</w:t>
            </w:r>
          </w:p>
          <w:p w14:paraId="347029F8">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指标</w:t>
            </w:r>
          </w:p>
        </w:tc>
        <w:tc>
          <w:tcPr>
            <w:tcW w:w="8637" w:type="dxa"/>
          </w:tcPr>
          <w:p w14:paraId="4E06E449">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本工程总量控制指标见表3-11。</w:t>
            </w:r>
          </w:p>
          <w:p w14:paraId="7970B283">
            <w:pPr>
              <w:pStyle w:val="136"/>
              <w:ind w:firstLine="482"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表3-11 工程“三本账”总量控制指标   单位：t/a</w:t>
            </w:r>
          </w:p>
          <w:tbl>
            <w:tblPr>
              <w:tblStyle w:val="2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57"/>
              <w:gridCol w:w="1760"/>
              <w:gridCol w:w="2216"/>
              <w:gridCol w:w="2688"/>
            </w:tblGrid>
            <w:tr w14:paraId="027928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43" w:type="pct"/>
                  <w:tcBorders>
                    <w:top w:val="single" w:color="auto" w:sz="12" w:space="0"/>
                    <w:left w:val="nil"/>
                    <w:bottom w:val="single" w:color="auto" w:sz="4" w:space="0"/>
                    <w:right w:val="single" w:color="auto" w:sz="4" w:space="0"/>
                  </w:tcBorders>
                  <w:vAlign w:val="center"/>
                </w:tcPr>
                <w:p w14:paraId="737D3E4D">
                  <w:pPr>
                    <w:adjustRightInd w:val="0"/>
                    <w:snapToGrid w:val="0"/>
                    <w:jc w:val="center"/>
                    <w:rPr>
                      <w:color w:val="000000" w:themeColor="text1"/>
                      <w:szCs w:val="21"/>
                      <w14:textFill>
                        <w14:solidFill>
                          <w14:schemeClr w14:val="tx1"/>
                        </w14:solidFill>
                      </w14:textFill>
                    </w:rPr>
                  </w:pPr>
                  <w:bookmarkStart w:id="31" w:name="_Hlk121745311"/>
                  <w:r>
                    <w:rPr>
                      <w:color w:val="000000" w:themeColor="text1"/>
                      <w:szCs w:val="21"/>
                      <w14:textFill>
                        <w14:solidFill>
                          <w14:schemeClr w14:val="tx1"/>
                        </w14:solidFill>
                      </w14:textFill>
                    </w:rPr>
                    <w:t>项目</w:t>
                  </w:r>
                </w:p>
              </w:tc>
              <w:tc>
                <w:tcPr>
                  <w:tcW w:w="1045" w:type="pct"/>
                  <w:tcBorders>
                    <w:top w:val="single" w:color="auto" w:sz="12" w:space="0"/>
                    <w:left w:val="nil"/>
                    <w:bottom w:val="single" w:color="auto" w:sz="4" w:space="0"/>
                    <w:right w:val="nil"/>
                  </w:tcBorders>
                  <w:vAlign w:val="center"/>
                </w:tcPr>
                <w:p w14:paraId="26CC13C6">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污染物名称</w:t>
                  </w:r>
                </w:p>
              </w:tc>
              <w:tc>
                <w:tcPr>
                  <w:tcW w:w="1315" w:type="pct"/>
                  <w:tcBorders>
                    <w:top w:val="single" w:color="auto" w:sz="12" w:space="0"/>
                    <w:left w:val="single" w:color="auto" w:sz="4" w:space="0"/>
                    <w:bottom w:val="single" w:color="auto" w:sz="4" w:space="0"/>
                    <w:right w:val="single" w:color="auto" w:sz="4" w:space="0"/>
                  </w:tcBorders>
                  <w:vAlign w:val="center"/>
                </w:tcPr>
                <w:p w14:paraId="7E1F59E2">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预测排放量</w:t>
                  </w:r>
                </w:p>
              </w:tc>
              <w:tc>
                <w:tcPr>
                  <w:tcW w:w="1595" w:type="pct"/>
                  <w:tcBorders>
                    <w:top w:val="single" w:color="auto" w:sz="12" w:space="0"/>
                    <w:left w:val="single" w:color="auto" w:sz="6" w:space="0"/>
                    <w:bottom w:val="single" w:color="auto" w:sz="4" w:space="0"/>
                    <w:right w:val="nil"/>
                  </w:tcBorders>
                  <w:vAlign w:val="center"/>
                </w:tcPr>
                <w:p w14:paraId="13C833D5">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核定排放量</w:t>
                  </w:r>
                </w:p>
              </w:tc>
            </w:tr>
            <w:tr w14:paraId="40642E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43" w:type="pct"/>
                  <w:vMerge w:val="restart"/>
                  <w:tcBorders>
                    <w:top w:val="single" w:color="auto" w:sz="12" w:space="0"/>
                    <w:left w:val="nil"/>
                    <w:right w:val="single" w:color="auto" w:sz="4" w:space="0"/>
                  </w:tcBorders>
                  <w:vAlign w:val="center"/>
                </w:tcPr>
                <w:p w14:paraId="7D0A1017">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废气</w:t>
                  </w:r>
                </w:p>
              </w:tc>
              <w:tc>
                <w:tcPr>
                  <w:tcW w:w="1045" w:type="pct"/>
                  <w:tcBorders>
                    <w:top w:val="single" w:color="auto" w:sz="12" w:space="0"/>
                    <w:left w:val="nil"/>
                    <w:bottom w:val="single" w:color="auto" w:sz="4" w:space="0"/>
                    <w:right w:val="nil"/>
                  </w:tcBorders>
                  <w:vAlign w:val="center"/>
                </w:tcPr>
                <w:p w14:paraId="06183155">
                  <w:pPr>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颗粒物</w:t>
                  </w:r>
                </w:p>
              </w:tc>
              <w:tc>
                <w:tcPr>
                  <w:tcW w:w="1315" w:type="pct"/>
                  <w:tcBorders>
                    <w:top w:val="single" w:color="auto" w:sz="12" w:space="0"/>
                    <w:left w:val="single" w:color="auto" w:sz="4" w:space="0"/>
                    <w:bottom w:val="single" w:color="auto" w:sz="4" w:space="0"/>
                    <w:right w:val="single" w:color="auto" w:sz="4" w:space="0"/>
                  </w:tcBorders>
                  <w:vAlign w:val="center"/>
                </w:tcPr>
                <w:p w14:paraId="69292E5E">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0.064</w:t>
                  </w:r>
                </w:p>
              </w:tc>
              <w:tc>
                <w:tcPr>
                  <w:tcW w:w="1595" w:type="pct"/>
                  <w:tcBorders>
                    <w:top w:val="single" w:color="auto" w:sz="12" w:space="0"/>
                    <w:left w:val="single" w:color="auto" w:sz="6" w:space="0"/>
                    <w:bottom w:val="single" w:color="auto" w:sz="4" w:space="0"/>
                    <w:right w:val="nil"/>
                  </w:tcBorders>
                  <w:vAlign w:val="center"/>
                </w:tcPr>
                <w:p w14:paraId="6BE4B798">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0.126</w:t>
                  </w:r>
                </w:p>
              </w:tc>
            </w:tr>
            <w:tr w14:paraId="572309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43" w:type="pct"/>
                  <w:vMerge w:val="continue"/>
                  <w:tcBorders>
                    <w:left w:val="nil"/>
                    <w:right w:val="single" w:color="auto" w:sz="4" w:space="0"/>
                  </w:tcBorders>
                  <w:vAlign w:val="center"/>
                </w:tcPr>
                <w:p w14:paraId="5E4CDDE6">
                  <w:pPr>
                    <w:adjustRightInd w:val="0"/>
                    <w:snapToGrid w:val="0"/>
                    <w:jc w:val="center"/>
                    <w:rPr>
                      <w:color w:val="000000" w:themeColor="text1"/>
                      <w:szCs w:val="21"/>
                      <w14:textFill>
                        <w14:solidFill>
                          <w14:schemeClr w14:val="tx1"/>
                        </w14:solidFill>
                      </w14:textFill>
                    </w:rPr>
                  </w:pPr>
                </w:p>
              </w:tc>
              <w:tc>
                <w:tcPr>
                  <w:tcW w:w="1045" w:type="pct"/>
                  <w:tcBorders>
                    <w:top w:val="single" w:color="auto" w:sz="4" w:space="0"/>
                    <w:left w:val="nil"/>
                    <w:bottom w:val="single" w:color="auto" w:sz="4" w:space="0"/>
                    <w:right w:val="nil"/>
                  </w:tcBorders>
                  <w:vAlign w:val="center"/>
                </w:tcPr>
                <w:p w14:paraId="45E9A110">
                  <w:pPr>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二氧化硫</w:t>
                  </w:r>
                </w:p>
              </w:tc>
              <w:tc>
                <w:tcPr>
                  <w:tcW w:w="1315" w:type="pct"/>
                  <w:tcBorders>
                    <w:top w:val="single" w:color="auto" w:sz="4" w:space="0"/>
                    <w:left w:val="single" w:color="auto" w:sz="4" w:space="0"/>
                    <w:bottom w:val="single" w:color="auto" w:sz="4" w:space="0"/>
                    <w:right w:val="single" w:color="auto" w:sz="4" w:space="0"/>
                  </w:tcBorders>
                  <w:vAlign w:val="center"/>
                </w:tcPr>
                <w:p w14:paraId="2ED4BADB">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0.059</w:t>
                  </w:r>
                </w:p>
              </w:tc>
              <w:tc>
                <w:tcPr>
                  <w:tcW w:w="1595" w:type="pct"/>
                  <w:tcBorders>
                    <w:top w:val="single" w:color="auto" w:sz="4" w:space="0"/>
                    <w:left w:val="single" w:color="auto" w:sz="6" w:space="0"/>
                    <w:bottom w:val="single" w:color="auto" w:sz="4" w:space="0"/>
                    <w:right w:val="nil"/>
                  </w:tcBorders>
                  <w:vAlign w:val="center"/>
                </w:tcPr>
                <w:p w14:paraId="32112772">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0.605</w:t>
                  </w:r>
                </w:p>
              </w:tc>
            </w:tr>
            <w:tr w14:paraId="4EE963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43" w:type="pct"/>
                  <w:vMerge w:val="continue"/>
                  <w:tcBorders>
                    <w:left w:val="nil"/>
                    <w:bottom w:val="single" w:color="auto" w:sz="12" w:space="0"/>
                    <w:right w:val="single" w:color="auto" w:sz="4" w:space="0"/>
                  </w:tcBorders>
                  <w:vAlign w:val="center"/>
                </w:tcPr>
                <w:p w14:paraId="7634DDFE">
                  <w:pPr>
                    <w:adjustRightInd w:val="0"/>
                    <w:snapToGrid w:val="0"/>
                    <w:jc w:val="center"/>
                    <w:rPr>
                      <w:color w:val="000000" w:themeColor="text1"/>
                      <w:szCs w:val="21"/>
                      <w14:textFill>
                        <w14:solidFill>
                          <w14:schemeClr w14:val="tx1"/>
                        </w14:solidFill>
                      </w14:textFill>
                    </w:rPr>
                  </w:pPr>
                </w:p>
              </w:tc>
              <w:tc>
                <w:tcPr>
                  <w:tcW w:w="1045" w:type="pct"/>
                  <w:tcBorders>
                    <w:top w:val="single" w:color="auto" w:sz="4" w:space="0"/>
                    <w:left w:val="nil"/>
                    <w:bottom w:val="single" w:color="auto" w:sz="12" w:space="0"/>
                    <w:right w:val="nil"/>
                  </w:tcBorders>
                  <w:vAlign w:val="center"/>
                </w:tcPr>
                <w:p w14:paraId="6535532E">
                  <w:pPr>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氮氧化物</w:t>
                  </w:r>
                </w:p>
              </w:tc>
              <w:tc>
                <w:tcPr>
                  <w:tcW w:w="1315" w:type="pct"/>
                  <w:tcBorders>
                    <w:top w:val="single" w:color="auto" w:sz="4" w:space="0"/>
                    <w:left w:val="single" w:color="auto" w:sz="4" w:space="0"/>
                    <w:bottom w:val="single" w:color="auto" w:sz="12" w:space="0"/>
                    <w:right w:val="single" w:color="auto" w:sz="4" w:space="0"/>
                  </w:tcBorders>
                  <w:vAlign w:val="center"/>
                </w:tcPr>
                <w:p w14:paraId="49C4F9EE">
                  <w:pPr>
                    <w:jc w:val="center"/>
                    <w:rPr>
                      <w:rFonts w:hint="default"/>
                      <w:color w:val="000000" w:themeColor="text1"/>
                      <w:szCs w:val="21"/>
                      <w:lang w:val="en-US"/>
                      <w14:textFill>
                        <w14:solidFill>
                          <w14:schemeClr w14:val="tx1"/>
                        </w14:solidFill>
                      </w14:textFill>
                    </w:rPr>
                  </w:pPr>
                  <w:r>
                    <w:rPr>
                      <w:rFonts w:hint="eastAsia"/>
                      <w:color w:val="000000" w:themeColor="text1"/>
                      <w:szCs w:val="21"/>
                      <w14:textFill>
                        <w14:solidFill>
                          <w14:schemeClr w14:val="tx1"/>
                        </w14:solidFill>
                      </w14:textFill>
                    </w:rPr>
                    <w:t>0.</w:t>
                  </w:r>
                  <w:r>
                    <w:rPr>
                      <w:rFonts w:hint="eastAsia"/>
                      <w:color w:val="000000" w:themeColor="text1"/>
                      <w:szCs w:val="21"/>
                      <w:lang w:val="en-US" w:eastAsia="zh-CN"/>
                      <w14:textFill>
                        <w14:solidFill>
                          <w14:schemeClr w14:val="tx1"/>
                        </w14:solidFill>
                      </w14:textFill>
                    </w:rPr>
                    <w:t>242</w:t>
                  </w:r>
                </w:p>
              </w:tc>
              <w:tc>
                <w:tcPr>
                  <w:tcW w:w="1595" w:type="pct"/>
                  <w:tcBorders>
                    <w:top w:val="single" w:color="auto" w:sz="4" w:space="0"/>
                    <w:left w:val="single" w:color="auto" w:sz="6" w:space="0"/>
                    <w:bottom w:val="single" w:color="auto" w:sz="12" w:space="0"/>
                    <w:right w:val="nil"/>
                  </w:tcBorders>
                  <w:vAlign w:val="center"/>
                </w:tcPr>
                <w:p w14:paraId="24B500B8">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0.756</w:t>
                  </w:r>
                </w:p>
              </w:tc>
            </w:tr>
            <w:bookmarkEnd w:id="31"/>
          </w:tbl>
          <w:p w14:paraId="6AA81681">
            <w:pPr>
              <w:rPr>
                <w:color w:val="000000" w:themeColor="text1"/>
                <w:kern w:val="0"/>
                <w:szCs w:val="21"/>
                <w14:textFill>
                  <w14:solidFill>
                    <w14:schemeClr w14:val="tx1"/>
                  </w14:solidFill>
                </w14:textFill>
              </w:rPr>
            </w:pPr>
          </w:p>
        </w:tc>
      </w:tr>
    </w:tbl>
    <w:p w14:paraId="00B51B19">
      <w:pPr>
        <w:pStyle w:val="20"/>
        <w:snapToGrid w:val="0"/>
        <w:spacing w:before="0" w:beforeAutospacing="0" w:after="0" w:afterAutospacing="0" w:line="360" w:lineRule="auto"/>
        <w:jc w:val="center"/>
        <w:outlineLvl w:val="0"/>
        <w:rPr>
          <w:rFonts w:ascii="Times New Roman" w:hAnsi="Times New Roman" w:eastAsia="黑体"/>
          <w:snapToGrid w:val="0"/>
          <w:color w:val="000000" w:themeColor="text1"/>
          <w:sz w:val="30"/>
          <w:szCs w:val="30"/>
          <w14:textFill>
            <w14:solidFill>
              <w14:schemeClr w14:val="tx1"/>
            </w14:solidFill>
          </w14:textFill>
        </w:rPr>
      </w:pPr>
      <w:r>
        <w:rPr>
          <w:rFonts w:ascii="Times New Roman" w:hAnsi="Times New Roman" w:eastAsia="黑体"/>
          <w:snapToGrid w:val="0"/>
          <w:color w:val="000000" w:themeColor="text1"/>
          <w:sz w:val="36"/>
          <w:szCs w:val="36"/>
          <w14:textFill>
            <w14:solidFill>
              <w14:schemeClr w14:val="tx1"/>
            </w14:solidFill>
          </w14:textFill>
        </w:rPr>
        <w:br w:type="page"/>
      </w:r>
      <w:bookmarkStart w:id="32" w:name="_Toc26819"/>
      <w:bookmarkStart w:id="33" w:name="_Toc11491"/>
      <w:r>
        <w:rPr>
          <w:rFonts w:ascii="Times New Roman" w:hAnsi="Times New Roman" w:eastAsia="黑体"/>
          <w:snapToGrid w:val="0"/>
          <w:color w:val="000000" w:themeColor="text1"/>
          <w:sz w:val="30"/>
          <w:szCs w:val="30"/>
          <w14:textFill>
            <w14:solidFill>
              <w14:schemeClr w14:val="tx1"/>
            </w14:solidFill>
          </w14:textFill>
        </w:rPr>
        <w:t>四、主要环境影响和保护措施</w:t>
      </w:r>
      <w:bookmarkEnd w:id="32"/>
      <w:bookmarkEnd w:id="33"/>
    </w:p>
    <w:tbl>
      <w:tblPr>
        <w:tblStyle w:val="24"/>
        <w:tblW w:w="89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85"/>
        <w:gridCol w:w="8396"/>
      </w:tblGrid>
      <w:tr w14:paraId="45DFA5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5" w:type="dxa"/>
            <w:tcMar>
              <w:left w:w="28" w:type="dxa"/>
              <w:right w:w="28" w:type="dxa"/>
            </w:tcMar>
            <w:vAlign w:val="center"/>
          </w:tcPr>
          <w:p w14:paraId="3EDD2D07">
            <w:pPr>
              <w:pStyle w:val="20"/>
              <w:adjustRightInd w:val="0"/>
              <w:snapToGrid w:val="0"/>
              <w:spacing w:before="0" w:beforeAutospacing="0" w:after="0" w:afterAutospacing="0"/>
              <w:jc w:val="center"/>
              <w:rPr>
                <w:rFonts w:ascii="Times New Roman" w:hAnsi="Times New Roman"/>
                <w:color w:val="000000" w:themeColor="text1"/>
                <w:kern w:val="2"/>
                <w:sz w:val="21"/>
                <w:szCs w:val="21"/>
                <w14:textFill>
                  <w14:solidFill>
                    <w14:schemeClr w14:val="tx1"/>
                  </w14:solidFill>
                </w14:textFill>
              </w:rPr>
            </w:pPr>
            <w:r>
              <w:rPr>
                <w:rFonts w:ascii="Times New Roman" w:hAnsi="Times New Roman"/>
                <w:color w:val="000000" w:themeColor="text1"/>
                <w:kern w:val="2"/>
                <w:sz w:val="21"/>
                <w:szCs w:val="21"/>
                <w14:textFill>
                  <w14:solidFill>
                    <w14:schemeClr w14:val="tx1"/>
                  </w14:solidFill>
                </w14:textFill>
              </w:rPr>
              <w:t>施工</w:t>
            </w:r>
          </w:p>
          <w:p w14:paraId="4615400F">
            <w:pPr>
              <w:pStyle w:val="20"/>
              <w:adjustRightInd w:val="0"/>
              <w:snapToGrid w:val="0"/>
              <w:spacing w:before="0" w:beforeAutospacing="0" w:after="0" w:afterAutospacing="0"/>
              <w:jc w:val="center"/>
              <w:rPr>
                <w:rFonts w:ascii="Times New Roman" w:hAnsi="Times New Roman"/>
                <w:color w:val="000000" w:themeColor="text1"/>
                <w:kern w:val="2"/>
                <w:sz w:val="21"/>
                <w:szCs w:val="21"/>
                <w14:textFill>
                  <w14:solidFill>
                    <w14:schemeClr w14:val="tx1"/>
                  </w14:solidFill>
                </w14:textFill>
              </w:rPr>
            </w:pPr>
            <w:r>
              <w:rPr>
                <w:rFonts w:ascii="Times New Roman" w:hAnsi="Times New Roman"/>
                <w:color w:val="000000" w:themeColor="text1"/>
                <w:kern w:val="2"/>
                <w:sz w:val="21"/>
                <w:szCs w:val="21"/>
                <w14:textFill>
                  <w14:solidFill>
                    <w14:schemeClr w14:val="tx1"/>
                  </w14:solidFill>
                </w14:textFill>
              </w:rPr>
              <w:t>期环</w:t>
            </w:r>
          </w:p>
          <w:p w14:paraId="38474E93">
            <w:pPr>
              <w:pStyle w:val="20"/>
              <w:adjustRightInd w:val="0"/>
              <w:snapToGrid w:val="0"/>
              <w:spacing w:before="0" w:beforeAutospacing="0" w:after="0" w:afterAutospacing="0"/>
              <w:jc w:val="center"/>
              <w:rPr>
                <w:rFonts w:ascii="Times New Roman" w:hAnsi="Times New Roman"/>
                <w:color w:val="000000" w:themeColor="text1"/>
                <w:kern w:val="2"/>
                <w:sz w:val="21"/>
                <w:szCs w:val="21"/>
                <w14:textFill>
                  <w14:solidFill>
                    <w14:schemeClr w14:val="tx1"/>
                  </w14:solidFill>
                </w14:textFill>
              </w:rPr>
            </w:pPr>
            <w:r>
              <w:rPr>
                <w:rFonts w:ascii="Times New Roman" w:hAnsi="Times New Roman"/>
                <w:color w:val="000000" w:themeColor="text1"/>
                <w:kern w:val="2"/>
                <w:sz w:val="21"/>
                <w:szCs w:val="21"/>
                <w14:textFill>
                  <w14:solidFill>
                    <w14:schemeClr w14:val="tx1"/>
                  </w14:solidFill>
                </w14:textFill>
              </w:rPr>
              <w:t>境保</w:t>
            </w:r>
          </w:p>
          <w:p w14:paraId="229E300D">
            <w:pPr>
              <w:pStyle w:val="20"/>
              <w:adjustRightInd w:val="0"/>
              <w:snapToGrid w:val="0"/>
              <w:spacing w:before="0" w:beforeAutospacing="0" w:after="0" w:afterAutospacing="0"/>
              <w:jc w:val="center"/>
              <w:rPr>
                <w:rFonts w:ascii="Times New Roman" w:hAnsi="Times New Roman"/>
                <w:color w:val="000000" w:themeColor="text1"/>
                <w:kern w:val="2"/>
                <w:sz w:val="21"/>
                <w:szCs w:val="21"/>
                <w14:textFill>
                  <w14:solidFill>
                    <w14:schemeClr w14:val="tx1"/>
                  </w14:solidFill>
                </w14:textFill>
              </w:rPr>
            </w:pPr>
            <w:r>
              <w:rPr>
                <w:rFonts w:ascii="Times New Roman" w:hAnsi="Times New Roman"/>
                <w:color w:val="000000" w:themeColor="text1"/>
                <w:kern w:val="2"/>
                <w:sz w:val="21"/>
                <w:szCs w:val="21"/>
                <w14:textFill>
                  <w14:solidFill>
                    <w14:schemeClr w14:val="tx1"/>
                  </w14:solidFill>
                </w14:textFill>
              </w:rPr>
              <w:t>护措</w:t>
            </w:r>
          </w:p>
          <w:p w14:paraId="29A6239D">
            <w:pPr>
              <w:pStyle w:val="20"/>
              <w:adjustRightInd w:val="0"/>
              <w:snapToGrid w:val="0"/>
              <w:spacing w:before="0" w:beforeAutospacing="0" w:after="0" w:afterAutospacing="0"/>
              <w:jc w:val="center"/>
              <w:rPr>
                <w:rFonts w:ascii="Times New Roman" w:hAnsi="Times New Roman"/>
                <w:bCs/>
                <w:color w:val="000000" w:themeColor="text1"/>
                <w:kern w:val="2"/>
                <w:sz w:val="21"/>
                <w:szCs w:val="21"/>
                <w14:textFill>
                  <w14:solidFill>
                    <w14:schemeClr w14:val="tx1"/>
                  </w14:solidFill>
                </w14:textFill>
              </w:rPr>
            </w:pPr>
            <w:r>
              <w:rPr>
                <w:rFonts w:ascii="Times New Roman" w:hAnsi="Times New Roman"/>
                <w:color w:val="000000" w:themeColor="text1"/>
                <w:kern w:val="2"/>
                <w:sz w:val="21"/>
                <w:szCs w:val="21"/>
                <w14:textFill>
                  <w14:solidFill>
                    <w14:schemeClr w14:val="tx1"/>
                  </w14:solidFill>
                </w14:textFill>
              </w:rPr>
              <w:t>施</w:t>
            </w:r>
          </w:p>
        </w:tc>
        <w:tc>
          <w:tcPr>
            <w:tcW w:w="8396" w:type="dxa"/>
          </w:tcPr>
          <w:p w14:paraId="65B0FD0C">
            <w:pPr>
              <w:pStyle w:val="94"/>
              <w:ind w:firstLine="480"/>
              <w:rPr>
                <w:rFonts w:ascii="Times New Roman" w:hAnsi="Times New Roman" w:cs="Times New Roman"/>
                <w:color w:val="000000" w:themeColor="text1"/>
                <w14:textFill>
                  <w14:solidFill>
                    <w14:schemeClr w14:val="tx1"/>
                  </w14:solidFill>
                </w14:textFill>
              </w:rPr>
            </w:pPr>
            <w:r>
              <w:rPr>
                <w:color w:val="000000" w:themeColor="text1"/>
                <w14:textFill>
                  <w14:solidFill>
                    <w14:schemeClr w14:val="tx1"/>
                  </w14:solidFill>
                </w14:textFill>
              </w:rPr>
              <w:t>本项目施工期的主要工作内容是安装锅炉及配套废气处理设施，施工期间会产生少量的生活污水、施工噪声和固体废物，本项目的施工工程量较小，施工期持续时间短，伴随着施工期的结束，施工期的环境影响也将随之消失。本项目施工期主要环境影响及保护措施如下：</w:t>
            </w:r>
          </w:p>
          <w:p w14:paraId="51E8AC58">
            <w:pPr>
              <w:pStyle w:val="94"/>
              <w:ind w:firstLine="480"/>
              <w:rPr>
                <w:rFonts w:hint="eastAsia"/>
                <w:color w:val="000000" w:themeColor="text1"/>
                <w14:textFill>
                  <w14:solidFill>
                    <w14:schemeClr w14:val="tx1"/>
                  </w14:solidFill>
                </w14:textFill>
              </w:rPr>
            </w:pPr>
            <w:r>
              <w:rPr>
                <w:color w:val="000000" w:themeColor="text1"/>
                <w14:textFill>
                  <w14:solidFill>
                    <w14:schemeClr w14:val="tx1"/>
                  </w14:solidFill>
                </w14:textFill>
              </w:rPr>
              <w:t>（1）施工期废气：施工期废气主要为施工扬尘和运输车辆尾气。采取的措施包括：对施工场地定期洒水降尘，每天洒水不少于4次；对易产生扬尘的建筑材料采取覆盖措施；运输车辆出场前冲洗轮胎，运输过程中加盖篷布；合理安排施工时间，避免大风天气进行土方作业。经上述措施处理后，施工场界颗粒物浓度满足《大气污染物综合排放标准》（GB16297-1996）中无组织排放限值要求。</w:t>
            </w:r>
          </w:p>
          <w:p w14:paraId="662896E4">
            <w:pPr>
              <w:pStyle w:val="94"/>
              <w:ind w:firstLine="480"/>
              <w:rPr>
                <w:rFonts w:hint="eastAsia"/>
                <w:color w:val="000000" w:themeColor="text1"/>
                <w14:textFill>
                  <w14:solidFill>
                    <w14:schemeClr w14:val="tx1"/>
                  </w14:solidFill>
                </w14:textFill>
              </w:rPr>
            </w:pPr>
            <w:r>
              <w:rPr>
                <w:color w:val="000000" w:themeColor="text1"/>
                <w14:textFill>
                  <w14:solidFill>
                    <w14:schemeClr w14:val="tx1"/>
                  </w14:solidFill>
                </w14:textFill>
              </w:rPr>
              <w:t>（2）施工期废水：施工期废水主要为施工人员生活污水和施工废水。生活污水排入临时防渗旱厕，定期清掏外运堆肥；施工废水（如混凝土养护废水、机械冲洗废水）经临时沉淀池沉淀后回用于场地洒水降尘，不外排。</w:t>
            </w:r>
          </w:p>
          <w:p w14:paraId="3E318A63">
            <w:pPr>
              <w:pStyle w:val="94"/>
              <w:ind w:firstLine="480"/>
              <w:rPr>
                <w:rFonts w:hint="eastAsia"/>
                <w:color w:val="000000" w:themeColor="text1"/>
                <w14:textFill>
                  <w14:solidFill>
                    <w14:schemeClr w14:val="tx1"/>
                  </w14:solidFill>
                </w14:textFill>
              </w:rPr>
            </w:pPr>
            <w:r>
              <w:rPr>
                <w:color w:val="000000" w:themeColor="text1"/>
                <w14:textFill>
                  <w14:solidFill>
                    <w14:schemeClr w14:val="tx1"/>
                  </w14:solidFill>
                </w14:textFill>
              </w:rPr>
              <w:t>（3）施工期噪声：施工期噪声主要来源于施工机械和运输车辆。采取的措施包括：选用低噪声施工设备，对高噪声设备采取减振、隔声措施；合理安排施工时间，夜间（22:00-6:00）禁止施工；运输车辆经过居民区时减速慢行，禁止鸣笛。经上述措施处理后，施工期厂界噪声满足《建筑施工噪声排放标准》（GB12523-2025）要求。</w:t>
            </w:r>
          </w:p>
          <w:p w14:paraId="0D96BE7A">
            <w:pPr>
              <w:pStyle w:val="94"/>
              <w:ind w:firstLine="480"/>
              <w:rPr>
                <w:rFonts w:hint="eastAsia"/>
                <w:color w:val="000000" w:themeColor="text1"/>
                <w14:textFill>
                  <w14:solidFill>
                    <w14:schemeClr w14:val="tx1"/>
                  </w14:solidFill>
                </w14:textFill>
              </w:rPr>
            </w:pPr>
            <w:r>
              <w:rPr>
                <w:color w:val="000000" w:themeColor="text1"/>
                <w14:textFill>
                  <w14:solidFill>
                    <w14:schemeClr w14:val="tx1"/>
                  </w14:solidFill>
                </w14:textFill>
              </w:rPr>
              <w:t>（4）施工期固体废物：施工期固体废物主要为建筑垃圾和施工人员生活垃圾。建筑垃圾集中收集后运至指定建筑垃圾消纳场处置；生活垃圾由环卫部门统一收集处理。施工期固体废物均得到妥善处置，不会对周边环境产生不良影响。</w:t>
            </w:r>
          </w:p>
          <w:p w14:paraId="6B15FEDF">
            <w:pPr>
              <w:pStyle w:val="94"/>
              <w:ind w:firstLine="480"/>
              <w:rPr>
                <w:rFonts w:hint="eastAsia"/>
                <w:color w:val="000000" w:themeColor="text1"/>
                <w14:textFill>
                  <w14:solidFill>
                    <w14:schemeClr w14:val="tx1"/>
                  </w14:solidFill>
                </w14:textFill>
              </w:rPr>
            </w:pPr>
            <w:r>
              <w:rPr>
                <w:color w:val="000000" w:themeColor="text1"/>
                <w14:textFill>
                  <w14:solidFill>
                    <w14:schemeClr w14:val="tx1"/>
                  </w14:solidFill>
                </w14:textFill>
              </w:rPr>
              <w:t>本项目施工工程量较小，施工期持续时间短，伴随着施工期的结束，施工期的环境影响也将随之消失。</w:t>
            </w:r>
          </w:p>
        </w:tc>
      </w:tr>
      <w:tr w14:paraId="217B69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5" w:type="dxa"/>
            <w:tcMar>
              <w:left w:w="28" w:type="dxa"/>
              <w:right w:w="28" w:type="dxa"/>
            </w:tcMar>
            <w:vAlign w:val="center"/>
          </w:tcPr>
          <w:p w14:paraId="2FE97063">
            <w:pPr>
              <w:adjustRightInd w:val="0"/>
              <w:snapToGrid w:val="0"/>
              <w:jc w:val="center"/>
              <w:rPr>
                <w:bCs/>
                <w:color w:val="000000" w:themeColor="text1"/>
                <w:szCs w:val="21"/>
                <w14:textFill>
                  <w14:solidFill>
                    <w14:schemeClr w14:val="tx1"/>
                  </w14:solidFill>
                </w14:textFill>
              </w:rPr>
            </w:pPr>
            <w:bookmarkStart w:id="34" w:name="_Toc22966"/>
            <w:bookmarkStart w:id="35" w:name="_Toc9091"/>
            <w:bookmarkStart w:id="36" w:name="_Toc15372"/>
            <w:bookmarkStart w:id="37" w:name="_Toc27064"/>
            <w:bookmarkStart w:id="38" w:name="_Toc30251"/>
            <w:bookmarkStart w:id="39" w:name="_Toc11268"/>
            <w:bookmarkStart w:id="40" w:name="_Toc18647"/>
            <w:r>
              <w:rPr>
                <w:bCs/>
                <w:color w:val="000000" w:themeColor="text1"/>
                <w:szCs w:val="21"/>
                <w14:textFill>
                  <w14:solidFill>
                    <w14:schemeClr w14:val="tx1"/>
                  </w14:solidFill>
                </w14:textFill>
              </w:rPr>
              <w:t>运营</w:t>
            </w:r>
          </w:p>
          <w:p w14:paraId="29894C8D">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期环</w:t>
            </w:r>
          </w:p>
          <w:p w14:paraId="134A74BF">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境影</w:t>
            </w:r>
          </w:p>
          <w:p w14:paraId="2A6D8DB8">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响和</w:t>
            </w:r>
          </w:p>
          <w:p w14:paraId="47E28683">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保护</w:t>
            </w:r>
          </w:p>
          <w:p w14:paraId="584F320B">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措施</w:t>
            </w:r>
          </w:p>
        </w:tc>
        <w:tc>
          <w:tcPr>
            <w:tcW w:w="8396" w:type="dxa"/>
          </w:tcPr>
          <w:p w14:paraId="713FC3C2">
            <w:pPr>
              <w:adjustRightInd w:val="0"/>
              <w:snapToGrid w:val="0"/>
              <w:spacing w:line="360" w:lineRule="auto"/>
              <w:rPr>
                <w:b/>
                <w:color w:val="000000" w:themeColor="text1"/>
                <w:spacing w:val="-10"/>
                <w:sz w:val="24"/>
                <w14:textFill>
                  <w14:solidFill>
                    <w14:schemeClr w14:val="tx1"/>
                  </w14:solidFill>
                </w14:textFill>
              </w:rPr>
            </w:pPr>
            <w:r>
              <w:rPr>
                <w:rFonts w:hint="eastAsia"/>
                <w:b/>
                <w:color w:val="000000" w:themeColor="text1"/>
                <w:spacing w:val="-10"/>
                <w:sz w:val="24"/>
                <w14:textFill>
                  <w14:solidFill>
                    <w14:schemeClr w14:val="tx1"/>
                  </w14:solidFill>
                </w14:textFill>
              </w:rPr>
              <w:t>1.</w:t>
            </w:r>
            <w:r>
              <w:rPr>
                <w:b/>
                <w:color w:val="000000" w:themeColor="text1"/>
                <w:spacing w:val="-10"/>
                <w:sz w:val="24"/>
                <w14:textFill>
                  <w14:solidFill>
                    <w14:schemeClr w14:val="tx1"/>
                  </w14:solidFill>
                </w14:textFill>
              </w:rPr>
              <w:t>废气</w:t>
            </w:r>
          </w:p>
          <w:p w14:paraId="3645DBAB">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（1）本项目废气产污节点及污染治理设施详情见表4-1。</w:t>
            </w:r>
          </w:p>
          <w:p w14:paraId="31090211">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表4-1废气产污节点及污染治理设施</w:t>
            </w:r>
            <w:r>
              <w:rPr>
                <w:rFonts w:hint="eastAsia"/>
                <w:b/>
                <w:color w:val="000000" w:themeColor="text1"/>
                <w:sz w:val="24"/>
                <w14:textFill>
                  <w14:solidFill>
                    <w14:schemeClr w14:val="tx1"/>
                  </w14:solidFill>
                </w14:textFill>
              </w:rPr>
              <w:t>一览表</w:t>
            </w:r>
          </w:p>
          <w:tbl>
            <w:tblPr>
              <w:tblStyle w:val="24"/>
              <w:tblW w:w="4998"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332"/>
              <w:gridCol w:w="1338"/>
              <w:gridCol w:w="1199"/>
              <w:gridCol w:w="1435"/>
              <w:gridCol w:w="1435"/>
              <w:gridCol w:w="1438"/>
            </w:tblGrid>
            <w:tr w14:paraId="6DC1DD5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1293" w:type="dxa"/>
                  <w:vMerge w:val="restart"/>
                  <w:tcBorders>
                    <w:tl2br w:val="nil"/>
                    <w:tr2bl w:val="nil"/>
                  </w:tcBorders>
                  <w:vAlign w:val="center"/>
                </w:tcPr>
                <w:p w14:paraId="41A122F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产污环节</w:t>
                  </w:r>
                </w:p>
              </w:tc>
              <w:tc>
                <w:tcPr>
                  <w:tcW w:w="1300" w:type="dxa"/>
                  <w:vMerge w:val="restart"/>
                  <w:tcBorders>
                    <w:tl2br w:val="nil"/>
                    <w:tr2bl w:val="nil"/>
                  </w:tcBorders>
                  <w:vAlign w:val="center"/>
                </w:tcPr>
                <w:p w14:paraId="5DC6261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污染物种类</w:t>
                  </w:r>
                </w:p>
              </w:tc>
              <w:tc>
                <w:tcPr>
                  <w:tcW w:w="1165" w:type="dxa"/>
                  <w:vMerge w:val="restart"/>
                  <w:tcBorders>
                    <w:tl2br w:val="nil"/>
                    <w:tr2bl w:val="nil"/>
                  </w:tcBorders>
                  <w:vAlign w:val="center"/>
                </w:tcPr>
                <w:p w14:paraId="15AFC5C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排放形式</w:t>
                  </w:r>
                </w:p>
              </w:tc>
              <w:tc>
                <w:tcPr>
                  <w:tcW w:w="4185" w:type="dxa"/>
                  <w:gridSpan w:val="3"/>
                  <w:tcBorders>
                    <w:tl2br w:val="nil"/>
                    <w:tr2bl w:val="nil"/>
                  </w:tcBorders>
                  <w:vAlign w:val="center"/>
                </w:tcPr>
                <w:p w14:paraId="1342339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污染防治设施</w:t>
                  </w:r>
                </w:p>
              </w:tc>
            </w:tr>
            <w:tr w14:paraId="2813E63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1293" w:type="dxa"/>
                  <w:vMerge w:val="continue"/>
                  <w:tcBorders>
                    <w:tl2br w:val="nil"/>
                    <w:tr2bl w:val="nil"/>
                  </w:tcBorders>
                  <w:vAlign w:val="center"/>
                </w:tcPr>
                <w:p w14:paraId="4155BA0F">
                  <w:pPr>
                    <w:jc w:val="center"/>
                    <w:rPr>
                      <w:color w:val="000000" w:themeColor="text1"/>
                      <w:szCs w:val="21"/>
                      <w14:textFill>
                        <w14:solidFill>
                          <w14:schemeClr w14:val="tx1"/>
                        </w14:solidFill>
                      </w14:textFill>
                    </w:rPr>
                  </w:pPr>
                </w:p>
              </w:tc>
              <w:tc>
                <w:tcPr>
                  <w:tcW w:w="1300" w:type="dxa"/>
                  <w:vMerge w:val="continue"/>
                  <w:tcBorders>
                    <w:tl2br w:val="nil"/>
                    <w:tr2bl w:val="nil"/>
                  </w:tcBorders>
                  <w:vAlign w:val="center"/>
                </w:tcPr>
                <w:p w14:paraId="10CFAEBD">
                  <w:pPr>
                    <w:jc w:val="center"/>
                    <w:rPr>
                      <w:color w:val="000000" w:themeColor="text1"/>
                      <w:szCs w:val="21"/>
                      <w14:textFill>
                        <w14:solidFill>
                          <w14:schemeClr w14:val="tx1"/>
                        </w14:solidFill>
                      </w14:textFill>
                    </w:rPr>
                  </w:pPr>
                </w:p>
              </w:tc>
              <w:tc>
                <w:tcPr>
                  <w:tcW w:w="1165" w:type="dxa"/>
                  <w:vMerge w:val="continue"/>
                  <w:tcBorders>
                    <w:tl2br w:val="nil"/>
                    <w:tr2bl w:val="nil"/>
                  </w:tcBorders>
                  <w:vAlign w:val="center"/>
                </w:tcPr>
                <w:p w14:paraId="0A6F419C">
                  <w:pPr>
                    <w:jc w:val="center"/>
                    <w:rPr>
                      <w:color w:val="000000" w:themeColor="text1"/>
                      <w:szCs w:val="21"/>
                      <w14:textFill>
                        <w14:solidFill>
                          <w14:schemeClr w14:val="tx1"/>
                        </w14:solidFill>
                      </w14:textFill>
                    </w:rPr>
                  </w:pPr>
                </w:p>
              </w:tc>
              <w:tc>
                <w:tcPr>
                  <w:tcW w:w="1394" w:type="dxa"/>
                  <w:tcBorders>
                    <w:tl2br w:val="nil"/>
                    <w:tr2bl w:val="nil"/>
                  </w:tcBorders>
                  <w:vAlign w:val="center"/>
                </w:tcPr>
                <w:p w14:paraId="6934B2F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污染防治设施名称</w:t>
                  </w:r>
                </w:p>
              </w:tc>
              <w:tc>
                <w:tcPr>
                  <w:tcW w:w="1394" w:type="dxa"/>
                  <w:tcBorders>
                    <w:tl2br w:val="nil"/>
                    <w:tr2bl w:val="nil"/>
                  </w:tcBorders>
                  <w:vAlign w:val="center"/>
                </w:tcPr>
                <w:p w14:paraId="25C1CD6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去除率</w:t>
                  </w:r>
                </w:p>
              </w:tc>
              <w:tc>
                <w:tcPr>
                  <w:tcW w:w="1397" w:type="dxa"/>
                  <w:tcBorders>
                    <w:tl2br w:val="nil"/>
                    <w:tr2bl w:val="nil"/>
                  </w:tcBorders>
                  <w:vAlign w:val="center"/>
                </w:tcPr>
                <w:p w14:paraId="16F09F1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是否为可行技术</w:t>
                  </w:r>
                </w:p>
              </w:tc>
            </w:tr>
            <w:tr w14:paraId="0CCA3D7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1293" w:type="dxa"/>
                  <w:vMerge w:val="restart"/>
                  <w:tcBorders>
                    <w:tl2br w:val="nil"/>
                    <w:tr2bl w:val="nil"/>
                  </w:tcBorders>
                  <w:vAlign w:val="center"/>
                </w:tcPr>
                <w:p w14:paraId="1E73699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锅炉</w:t>
                  </w:r>
                </w:p>
              </w:tc>
              <w:tc>
                <w:tcPr>
                  <w:tcW w:w="1300" w:type="dxa"/>
                  <w:tcBorders>
                    <w:tl2br w:val="nil"/>
                    <w:tr2bl w:val="nil"/>
                  </w:tcBorders>
                  <w:vAlign w:val="center"/>
                </w:tcPr>
                <w:p w14:paraId="4CA622F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颗粒物</w:t>
                  </w:r>
                </w:p>
              </w:tc>
              <w:tc>
                <w:tcPr>
                  <w:tcW w:w="1165" w:type="dxa"/>
                  <w:tcBorders>
                    <w:tl2br w:val="nil"/>
                    <w:tr2bl w:val="nil"/>
                  </w:tcBorders>
                  <w:vAlign w:val="center"/>
                </w:tcPr>
                <w:p w14:paraId="1C9738A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有组织</w:t>
                  </w:r>
                </w:p>
              </w:tc>
              <w:tc>
                <w:tcPr>
                  <w:tcW w:w="1394" w:type="dxa"/>
                  <w:tcBorders>
                    <w:tl2br w:val="nil"/>
                    <w:tr2bl w:val="nil"/>
                  </w:tcBorders>
                  <w:vAlign w:val="center"/>
                </w:tcPr>
                <w:p w14:paraId="7065A5AD">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干式除尘器+袋式除尘器</w:t>
                  </w:r>
                </w:p>
              </w:tc>
              <w:tc>
                <w:tcPr>
                  <w:tcW w:w="1394" w:type="dxa"/>
                  <w:tcBorders>
                    <w:tl2br w:val="nil"/>
                    <w:tr2bl w:val="nil"/>
                  </w:tcBorders>
                  <w:vAlign w:val="center"/>
                </w:tcPr>
                <w:p w14:paraId="0691C879">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99.5%</w:t>
                  </w:r>
                </w:p>
              </w:tc>
              <w:tc>
                <w:tcPr>
                  <w:tcW w:w="1397" w:type="dxa"/>
                  <w:tcBorders>
                    <w:tl2br w:val="nil"/>
                    <w:tr2bl w:val="nil"/>
                  </w:tcBorders>
                  <w:vAlign w:val="center"/>
                </w:tcPr>
                <w:p w14:paraId="21C48FB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是</w:t>
                  </w:r>
                </w:p>
              </w:tc>
            </w:tr>
            <w:tr w14:paraId="399555E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1293" w:type="dxa"/>
                  <w:vMerge w:val="continue"/>
                  <w:tcBorders>
                    <w:tl2br w:val="nil"/>
                    <w:tr2bl w:val="nil"/>
                  </w:tcBorders>
                  <w:vAlign w:val="center"/>
                </w:tcPr>
                <w:p w14:paraId="45A3E959">
                  <w:pPr>
                    <w:jc w:val="center"/>
                    <w:rPr>
                      <w:color w:val="000000" w:themeColor="text1"/>
                      <w:szCs w:val="21"/>
                      <w14:textFill>
                        <w14:solidFill>
                          <w14:schemeClr w14:val="tx1"/>
                        </w14:solidFill>
                      </w14:textFill>
                    </w:rPr>
                  </w:pPr>
                </w:p>
              </w:tc>
              <w:tc>
                <w:tcPr>
                  <w:tcW w:w="1300" w:type="dxa"/>
                  <w:tcBorders>
                    <w:tl2br w:val="nil"/>
                    <w:tr2bl w:val="nil"/>
                  </w:tcBorders>
                  <w:vAlign w:val="center"/>
                </w:tcPr>
                <w:p w14:paraId="3C3BD83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SO</w:t>
                  </w:r>
                  <w:r>
                    <w:rPr>
                      <w:color w:val="000000" w:themeColor="text1"/>
                      <w:szCs w:val="21"/>
                      <w:vertAlign w:val="subscript"/>
                      <w14:textFill>
                        <w14:solidFill>
                          <w14:schemeClr w14:val="tx1"/>
                        </w14:solidFill>
                      </w14:textFill>
                    </w:rPr>
                    <w:t>2</w:t>
                  </w:r>
                  <w:r>
                    <w:rPr>
                      <w:color w:val="000000" w:themeColor="text1"/>
                      <w:szCs w:val="21"/>
                      <w14:textFill>
                        <w14:solidFill>
                          <w14:schemeClr w14:val="tx1"/>
                        </w14:solidFill>
                      </w14:textFill>
                    </w:rPr>
                    <w:t>、NO</w:t>
                  </w:r>
                  <w:r>
                    <w:rPr>
                      <w:color w:val="000000" w:themeColor="text1"/>
                      <w:szCs w:val="21"/>
                      <w:vertAlign w:val="subscript"/>
                      <w14:textFill>
                        <w14:solidFill>
                          <w14:schemeClr w14:val="tx1"/>
                        </w14:solidFill>
                      </w14:textFill>
                    </w:rPr>
                    <w:t>X</w:t>
                  </w:r>
                  <w:r>
                    <w:rPr>
                      <w:color w:val="000000" w:themeColor="text1"/>
                      <w:szCs w:val="21"/>
                      <w14:textFill>
                        <w14:solidFill>
                          <w14:schemeClr w14:val="tx1"/>
                        </w14:solidFill>
                      </w14:textFill>
                    </w:rPr>
                    <w:t>、烟气黑度</w:t>
                  </w:r>
                </w:p>
              </w:tc>
              <w:tc>
                <w:tcPr>
                  <w:tcW w:w="1165" w:type="dxa"/>
                  <w:tcBorders>
                    <w:tl2br w:val="nil"/>
                    <w:tr2bl w:val="nil"/>
                  </w:tcBorders>
                  <w:vAlign w:val="center"/>
                </w:tcPr>
                <w:p w14:paraId="5EE3A55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有组织</w:t>
                  </w:r>
                </w:p>
              </w:tc>
              <w:tc>
                <w:tcPr>
                  <w:tcW w:w="1394" w:type="dxa"/>
                  <w:tcBorders>
                    <w:tl2br w:val="nil"/>
                    <w:tr2bl w:val="nil"/>
                  </w:tcBorders>
                  <w:vAlign w:val="center"/>
                </w:tcPr>
                <w:p w14:paraId="5E4B5DF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1394" w:type="dxa"/>
                  <w:tcBorders>
                    <w:tl2br w:val="nil"/>
                    <w:tr2bl w:val="nil"/>
                  </w:tcBorders>
                  <w:vAlign w:val="center"/>
                </w:tcPr>
                <w:p w14:paraId="0C5F9DC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1397" w:type="dxa"/>
                  <w:tcBorders>
                    <w:tl2br w:val="nil"/>
                    <w:tr2bl w:val="nil"/>
                  </w:tcBorders>
                  <w:vAlign w:val="center"/>
                </w:tcPr>
                <w:p w14:paraId="4B3489C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bl>
          <w:p w14:paraId="310D5FE0">
            <w:pPr>
              <w:numPr>
                <w:ilvl w:val="0"/>
                <w:numId w:val="5"/>
              </w:num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项目废气污染源</w:t>
            </w:r>
          </w:p>
          <w:p w14:paraId="6923EFDC">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表4-2废气源强核算表</w:t>
            </w:r>
          </w:p>
          <w:tbl>
            <w:tblPr>
              <w:tblStyle w:val="24"/>
              <w:tblW w:w="8152"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71"/>
              <w:gridCol w:w="448"/>
              <w:gridCol w:w="368"/>
              <w:gridCol w:w="620"/>
              <w:gridCol w:w="521"/>
              <w:gridCol w:w="507"/>
              <w:gridCol w:w="761"/>
              <w:gridCol w:w="627"/>
              <w:gridCol w:w="641"/>
              <w:gridCol w:w="654"/>
              <w:gridCol w:w="778"/>
              <w:gridCol w:w="872"/>
              <w:gridCol w:w="784"/>
            </w:tblGrid>
            <w:tr w14:paraId="0700E25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1" w:type="dxa"/>
                  <w:vMerge w:val="restart"/>
                  <w:tcBorders>
                    <w:tl2br w:val="nil"/>
                    <w:tr2bl w:val="nil"/>
                  </w:tcBorders>
                  <w:vAlign w:val="center"/>
                </w:tcPr>
                <w:p w14:paraId="22B5C2CF">
                  <w:pP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污染源</w:t>
                  </w:r>
                </w:p>
              </w:tc>
              <w:tc>
                <w:tcPr>
                  <w:tcW w:w="448" w:type="dxa"/>
                  <w:vMerge w:val="restart"/>
                  <w:tcBorders>
                    <w:tl2br w:val="nil"/>
                    <w:tr2bl w:val="nil"/>
                  </w:tcBorders>
                  <w:vAlign w:val="center"/>
                </w:tcPr>
                <w:p w14:paraId="31FF4AA7">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污染物</w:t>
                  </w:r>
                </w:p>
              </w:tc>
              <w:tc>
                <w:tcPr>
                  <w:tcW w:w="2016" w:type="dxa"/>
                  <w:gridSpan w:val="4"/>
                  <w:tcBorders>
                    <w:tl2br w:val="nil"/>
                    <w:tr2bl w:val="nil"/>
                  </w:tcBorders>
                  <w:vAlign w:val="center"/>
                </w:tcPr>
                <w:p w14:paraId="29DFBF23">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污染物产生</w:t>
                  </w:r>
                </w:p>
              </w:tc>
              <w:tc>
                <w:tcPr>
                  <w:tcW w:w="1388" w:type="dxa"/>
                  <w:gridSpan w:val="2"/>
                  <w:tcBorders>
                    <w:tl2br w:val="nil"/>
                    <w:tr2bl w:val="nil"/>
                  </w:tcBorders>
                  <w:vAlign w:val="center"/>
                </w:tcPr>
                <w:p w14:paraId="07B46CB9">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治理措施</w:t>
                  </w:r>
                </w:p>
              </w:tc>
              <w:tc>
                <w:tcPr>
                  <w:tcW w:w="2945" w:type="dxa"/>
                  <w:gridSpan w:val="4"/>
                  <w:tcBorders>
                    <w:tl2br w:val="nil"/>
                    <w:tr2bl w:val="nil"/>
                  </w:tcBorders>
                  <w:vAlign w:val="center"/>
                </w:tcPr>
                <w:p w14:paraId="2FBBA1DE">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污染物排放</w:t>
                  </w:r>
                </w:p>
              </w:tc>
              <w:tc>
                <w:tcPr>
                  <w:tcW w:w="784" w:type="dxa"/>
                  <w:vMerge w:val="restart"/>
                  <w:tcBorders>
                    <w:tl2br w:val="nil"/>
                    <w:tr2bl w:val="nil"/>
                  </w:tcBorders>
                  <w:vAlign w:val="center"/>
                </w:tcPr>
                <w:p w14:paraId="3DFC2DBD">
                  <w:pPr>
                    <w:jc w:val="center"/>
                    <w:rPr>
                      <w:rFonts w:hint="eastAsia"/>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运行时间</w:t>
                  </w:r>
                </w:p>
                <w:p w14:paraId="1ECB8032">
                  <w:pPr>
                    <w:jc w:val="center"/>
                    <w:rPr>
                      <w:rFonts w:hint="default"/>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（h）</w:t>
                  </w:r>
                </w:p>
              </w:tc>
            </w:tr>
            <w:tr w14:paraId="7A99C38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1" w:type="dxa"/>
                  <w:vMerge w:val="continue"/>
                  <w:tcBorders>
                    <w:tl2br w:val="nil"/>
                    <w:tr2bl w:val="nil"/>
                  </w:tcBorders>
                  <w:vAlign w:val="center"/>
                </w:tcPr>
                <w:p w14:paraId="6E3E8D39">
                  <w:pPr>
                    <w:jc w:val="center"/>
                    <w:rPr>
                      <w:color w:val="000000" w:themeColor="text1"/>
                      <w:szCs w:val="21"/>
                      <w14:textFill>
                        <w14:solidFill>
                          <w14:schemeClr w14:val="tx1"/>
                        </w14:solidFill>
                      </w14:textFill>
                    </w:rPr>
                  </w:pPr>
                </w:p>
              </w:tc>
              <w:tc>
                <w:tcPr>
                  <w:tcW w:w="448" w:type="dxa"/>
                  <w:vMerge w:val="continue"/>
                  <w:tcBorders>
                    <w:tl2br w:val="nil"/>
                    <w:tr2bl w:val="nil"/>
                  </w:tcBorders>
                  <w:vAlign w:val="center"/>
                </w:tcPr>
                <w:p w14:paraId="70BCBC90">
                  <w:pPr>
                    <w:jc w:val="center"/>
                    <w:rPr>
                      <w:color w:val="000000" w:themeColor="text1"/>
                      <w:szCs w:val="21"/>
                      <w14:textFill>
                        <w14:solidFill>
                          <w14:schemeClr w14:val="tx1"/>
                        </w14:solidFill>
                      </w14:textFill>
                    </w:rPr>
                  </w:pPr>
                </w:p>
              </w:tc>
              <w:tc>
                <w:tcPr>
                  <w:tcW w:w="368" w:type="dxa"/>
                  <w:tcBorders>
                    <w:tl2br w:val="nil"/>
                    <w:tr2bl w:val="nil"/>
                  </w:tcBorders>
                  <w:vAlign w:val="center"/>
                </w:tcPr>
                <w:p w14:paraId="139AE011">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核算方法</w:t>
                  </w:r>
                </w:p>
              </w:tc>
              <w:tc>
                <w:tcPr>
                  <w:tcW w:w="620" w:type="dxa"/>
                  <w:tcBorders>
                    <w:tl2br w:val="nil"/>
                    <w:tr2bl w:val="nil"/>
                  </w:tcBorders>
                  <w:vAlign w:val="center"/>
                </w:tcPr>
                <w:p w14:paraId="3792BA7A">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废气量m</w:t>
                  </w:r>
                  <w:r>
                    <w:rPr>
                      <w:color w:val="000000" w:themeColor="text1"/>
                      <w:kern w:val="0"/>
                      <w:szCs w:val="21"/>
                      <w:vertAlign w:val="superscript"/>
                      <w14:textFill>
                        <w14:solidFill>
                          <w14:schemeClr w14:val="tx1"/>
                        </w14:solidFill>
                      </w14:textFill>
                    </w:rPr>
                    <w:t>3</w:t>
                  </w:r>
                  <w:r>
                    <w:rPr>
                      <w:color w:val="000000" w:themeColor="text1"/>
                      <w:kern w:val="0"/>
                      <w:szCs w:val="21"/>
                      <w14:textFill>
                        <w14:solidFill>
                          <w14:schemeClr w14:val="tx1"/>
                        </w14:solidFill>
                      </w14:textFill>
                    </w:rPr>
                    <w:t>/h</w:t>
                  </w:r>
                </w:p>
              </w:tc>
              <w:tc>
                <w:tcPr>
                  <w:tcW w:w="521" w:type="dxa"/>
                  <w:tcBorders>
                    <w:tl2br w:val="nil"/>
                    <w:tr2bl w:val="nil"/>
                  </w:tcBorders>
                  <w:vAlign w:val="center"/>
                </w:tcPr>
                <w:p w14:paraId="1308AD0B">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产生浓度mg/m</w:t>
                  </w:r>
                  <w:r>
                    <w:rPr>
                      <w:color w:val="000000" w:themeColor="text1"/>
                      <w:kern w:val="0"/>
                      <w:szCs w:val="21"/>
                      <w:vertAlign w:val="superscript"/>
                      <w14:textFill>
                        <w14:solidFill>
                          <w14:schemeClr w14:val="tx1"/>
                        </w14:solidFill>
                      </w14:textFill>
                    </w:rPr>
                    <w:t>3</w:t>
                  </w:r>
                </w:p>
              </w:tc>
              <w:tc>
                <w:tcPr>
                  <w:tcW w:w="507" w:type="dxa"/>
                  <w:tcBorders>
                    <w:tl2br w:val="nil"/>
                    <w:tr2bl w:val="nil"/>
                  </w:tcBorders>
                  <w:vAlign w:val="center"/>
                </w:tcPr>
                <w:p w14:paraId="4EE346DA">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产生量t/a</w:t>
                  </w:r>
                </w:p>
              </w:tc>
              <w:tc>
                <w:tcPr>
                  <w:tcW w:w="761" w:type="dxa"/>
                  <w:tcBorders>
                    <w:tl2br w:val="nil"/>
                    <w:tr2bl w:val="nil"/>
                  </w:tcBorders>
                  <w:vAlign w:val="center"/>
                </w:tcPr>
                <w:p w14:paraId="0021FA75">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工艺</w:t>
                  </w:r>
                </w:p>
              </w:tc>
              <w:tc>
                <w:tcPr>
                  <w:tcW w:w="627" w:type="dxa"/>
                  <w:tcBorders>
                    <w:tl2br w:val="nil"/>
                    <w:tr2bl w:val="nil"/>
                  </w:tcBorders>
                  <w:vAlign w:val="center"/>
                </w:tcPr>
                <w:p w14:paraId="32920524">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效率（%）</w:t>
                  </w:r>
                </w:p>
              </w:tc>
              <w:tc>
                <w:tcPr>
                  <w:tcW w:w="641" w:type="dxa"/>
                  <w:tcBorders>
                    <w:tl2br w:val="nil"/>
                    <w:tr2bl w:val="nil"/>
                  </w:tcBorders>
                  <w:vAlign w:val="center"/>
                </w:tcPr>
                <w:p w14:paraId="26DBF71F">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核算方法</w:t>
                  </w:r>
                </w:p>
              </w:tc>
              <w:tc>
                <w:tcPr>
                  <w:tcW w:w="654" w:type="dxa"/>
                  <w:tcBorders>
                    <w:tl2br w:val="nil"/>
                    <w:tr2bl w:val="nil"/>
                  </w:tcBorders>
                  <w:vAlign w:val="center"/>
                </w:tcPr>
                <w:p w14:paraId="5FA4153C">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废气量m</w:t>
                  </w:r>
                  <w:r>
                    <w:rPr>
                      <w:color w:val="000000" w:themeColor="text1"/>
                      <w:kern w:val="0"/>
                      <w:szCs w:val="21"/>
                      <w:vertAlign w:val="superscript"/>
                      <w14:textFill>
                        <w14:solidFill>
                          <w14:schemeClr w14:val="tx1"/>
                        </w14:solidFill>
                      </w14:textFill>
                    </w:rPr>
                    <w:t>3</w:t>
                  </w:r>
                  <w:r>
                    <w:rPr>
                      <w:color w:val="000000" w:themeColor="text1"/>
                      <w:kern w:val="0"/>
                      <w:szCs w:val="21"/>
                      <w14:textFill>
                        <w14:solidFill>
                          <w14:schemeClr w14:val="tx1"/>
                        </w14:solidFill>
                      </w14:textFill>
                    </w:rPr>
                    <w:t>/h</w:t>
                  </w:r>
                </w:p>
              </w:tc>
              <w:tc>
                <w:tcPr>
                  <w:tcW w:w="778" w:type="dxa"/>
                  <w:tcBorders>
                    <w:tl2br w:val="nil"/>
                    <w:tr2bl w:val="nil"/>
                  </w:tcBorders>
                  <w:vAlign w:val="center"/>
                </w:tcPr>
                <w:p w14:paraId="34CF88BF">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排放浓度mg/m</w:t>
                  </w:r>
                  <w:r>
                    <w:rPr>
                      <w:color w:val="000000" w:themeColor="text1"/>
                      <w:kern w:val="0"/>
                      <w:szCs w:val="21"/>
                      <w:vertAlign w:val="superscript"/>
                      <w14:textFill>
                        <w14:solidFill>
                          <w14:schemeClr w14:val="tx1"/>
                        </w14:solidFill>
                      </w14:textFill>
                    </w:rPr>
                    <w:t>3</w:t>
                  </w:r>
                </w:p>
              </w:tc>
              <w:tc>
                <w:tcPr>
                  <w:tcW w:w="872" w:type="dxa"/>
                  <w:tcBorders>
                    <w:tl2br w:val="nil"/>
                    <w:tr2bl w:val="nil"/>
                  </w:tcBorders>
                  <w:vAlign w:val="center"/>
                </w:tcPr>
                <w:p w14:paraId="18BDDB16">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排放量t/a</w:t>
                  </w:r>
                </w:p>
              </w:tc>
              <w:tc>
                <w:tcPr>
                  <w:tcW w:w="784" w:type="dxa"/>
                  <w:vMerge w:val="continue"/>
                  <w:tcBorders>
                    <w:tl2br w:val="nil"/>
                    <w:tr2bl w:val="nil"/>
                  </w:tcBorders>
                  <w:vAlign w:val="center"/>
                </w:tcPr>
                <w:p w14:paraId="1BC6D899">
                  <w:pPr>
                    <w:jc w:val="center"/>
                    <w:rPr>
                      <w:color w:val="000000" w:themeColor="text1"/>
                      <w:kern w:val="0"/>
                      <w:szCs w:val="21"/>
                      <w14:textFill>
                        <w14:solidFill>
                          <w14:schemeClr w14:val="tx1"/>
                        </w14:solidFill>
                      </w14:textFill>
                    </w:rPr>
                  </w:pPr>
                </w:p>
              </w:tc>
            </w:tr>
            <w:tr w14:paraId="0925C1C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71" w:type="dxa"/>
                  <w:vMerge w:val="restart"/>
                  <w:tcBorders>
                    <w:tl2br w:val="nil"/>
                    <w:tr2bl w:val="nil"/>
                  </w:tcBorders>
                  <w:vAlign w:val="center"/>
                </w:tcPr>
                <w:p w14:paraId="4BEA4A6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DA001</w:t>
                  </w:r>
                </w:p>
              </w:tc>
              <w:tc>
                <w:tcPr>
                  <w:tcW w:w="448" w:type="dxa"/>
                  <w:tcBorders>
                    <w:tl2br w:val="nil"/>
                    <w:tr2bl w:val="nil"/>
                  </w:tcBorders>
                  <w:vAlign w:val="center"/>
                </w:tcPr>
                <w:p w14:paraId="7634411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颗粒物</w:t>
                  </w:r>
                </w:p>
              </w:tc>
              <w:tc>
                <w:tcPr>
                  <w:tcW w:w="368" w:type="dxa"/>
                  <w:vMerge w:val="restart"/>
                  <w:tcBorders>
                    <w:tl2br w:val="nil"/>
                    <w:tr2bl w:val="nil"/>
                  </w:tcBorders>
                  <w:vAlign w:val="center"/>
                </w:tcPr>
                <w:p w14:paraId="4DB288CB">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产污系数法</w:t>
                  </w:r>
                </w:p>
              </w:tc>
              <w:tc>
                <w:tcPr>
                  <w:tcW w:w="620" w:type="dxa"/>
                  <w:vMerge w:val="restart"/>
                  <w:tcBorders>
                    <w:tl2br w:val="nil"/>
                    <w:tr2bl w:val="nil"/>
                  </w:tcBorders>
                  <w:vAlign w:val="center"/>
                </w:tcPr>
                <w:p w14:paraId="5536A172">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3285.48</w:t>
                  </w:r>
                </w:p>
              </w:tc>
              <w:tc>
                <w:tcPr>
                  <w:tcW w:w="521" w:type="dxa"/>
                  <w:tcBorders>
                    <w:tl2br w:val="nil"/>
                    <w:tr2bl w:val="nil"/>
                  </w:tcBorders>
                  <w:vAlign w:val="center"/>
                </w:tcPr>
                <w:p w14:paraId="2BDC7A1E">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5072.01</w:t>
                  </w:r>
                </w:p>
              </w:tc>
              <w:tc>
                <w:tcPr>
                  <w:tcW w:w="507" w:type="dxa"/>
                  <w:tcBorders>
                    <w:tl2br w:val="nil"/>
                    <w:tr2bl w:val="nil"/>
                  </w:tcBorders>
                  <w:vAlign w:val="center"/>
                </w:tcPr>
                <w:p w14:paraId="4445935C">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12.81</w:t>
                  </w:r>
                </w:p>
              </w:tc>
              <w:tc>
                <w:tcPr>
                  <w:tcW w:w="761" w:type="dxa"/>
                  <w:tcBorders>
                    <w:tl2br w:val="nil"/>
                    <w:tr2bl w:val="nil"/>
                  </w:tcBorders>
                  <w:vAlign w:val="center"/>
                </w:tcPr>
                <w:p w14:paraId="3C330EAF">
                  <w:pPr>
                    <w:jc w:val="center"/>
                    <w:rPr>
                      <w:color w:val="000000" w:themeColor="text1"/>
                      <w:szCs w:val="21"/>
                      <w14:textFill>
                        <w14:solidFill>
                          <w14:schemeClr w14:val="tx1"/>
                        </w14:solidFill>
                      </w14:textFill>
                    </w:rPr>
                  </w:pPr>
                  <w:r>
                    <w:rPr>
                      <w:rFonts w:hint="eastAsia"/>
                      <w:color w:val="000000" w:themeColor="text1"/>
                      <w:szCs w:val="21"/>
                      <w:lang w:eastAsia="zh-CN"/>
                      <w14:textFill>
                        <w14:solidFill>
                          <w14:schemeClr w14:val="tx1"/>
                        </w14:solidFill>
                      </w14:textFill>
                    </w:rPr>
                    <w:t>干式</w:t>
                  </w:r>
                  <w:r>
                    <w:rPr>
                      <w:rFonts w:hint="eastAsia"/>
                      <w:color w:val="000000" w:themeColor="text1"/>
                      <w:szCs w:val="21"/>
                      <w14:textFill>
                        <w14:solidFill>
                          <w14:schemeClr w14:val="tx1"/>
                        </w14:solidFill>
                      </w14:textFill>
                    </w:rPr>
                    <w:t>除尘器+袋式除尘器</w:t>
                  </w:r>
                </w:p>
              </w:tc>
              <w:tc>
                <w:tcPr>
                  <w:tcW w:w="627" w:type="dxa"/>
                  <w:tcBorders>
                    <w:tl2br w:val="nil"/>
                    <w:tr2bl w:val="nil"/>
                  </w:tcBorders>
                  <w:vAlign w:val="center"/>
                </w:tcPr>
                <w:p w14:paraId="0DC7166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99.</w:t>
                  </w:r>
                  <w:r>
                    <w:rPr>
                      <w:rFonts w:hint="eastAsia"/>
                      <w:color w:val="000000" w:themeColor="text1"/>
                      <w:szCs w:val="21"/>
                      <w14:textFill>
                        <w14:solidFill>
                          <w14:schemeClr w14:val="tx1"/>
                        </w14:solidFill>
                      </w14:textFill>
                    </w:rPr>
                    <w:t>5</w:t>
                  </w:r>
                </w:p>
              </w:tc>
              <w:tc>
                <w:tcPr>
                  <w:tcW w:w="641" w:type="dxa"/>
                  <w:vMerge w:val="restart"/>
                  <w:tcBorders>
                    <w:tl2br w:val="nil"/>
                    <w:tr2bl w:val="nil"/>
                  </w:tcBorders>
                  <w:vAlign w:val="center"/>
                </w:tcPr>
                <w:p w14:paraId="29B27A08">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产污系数法</w:t>
                  </w:r>
                </w:p>
              </w:tc>
              <w:tc>
                <w:tcPr>
                  <w:tcW w:w="654" w:type="dxa"/>
                  <w:vMerge w:val="restart"/>
                  <w:tcBorders>
                    <w:tl2br w:val="nil"/>
                    <w:tr2bl w:val="nil"/>
                  </w:tcBorders>
                  <w:vAlign w:val="center"/>
                </w:tcPr>
                <w:p w14:paraId="3F0042DF">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3285.48</w:t>
                  </w:r>
                </w:p>
              </w:tc>
              <w:tc>
                <w:tcPr>
                  <w:tcW w:w="778" w:type="dxa"/>
                  <w:tcBorders>
                    <w:tl2br w:val="nil"/>
                    <w:tr2bl w:val="nil"/>
                  </w:tcBorders>
                  <w:vAlign w:val="center"/>
                </w:tcPr>
                <w:p w14:paraId="0812472C">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25.13</w:t>
                  </w:r>
                </w:p>
              </w:tc>
              <w:tc>
                <w:tcPr>
                  <w:tcW w:w="872" w:type="dxa"/>
                  <w:tcBorders>
                    <w:tl2br w:val="nil"/>
                    <w:tr2bl w:val="nil"/>
                  </w:tcBorders>
                  <w:vAlign w:val="center"/>
                </w:tcPr>
                <w:p w14:paraId="40411483">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0.064</w:t>
                  </w:r>
                </w:p>
              </w:tc>
              <w:tc>
                <w:tcPr>
                  <w:tcW w:w="784" w:type="dxa"/>
                  <w:vMerge w:val="restart"/>
                  <w:tcBorders>
                    <w:tl2br w:val="nil"/>
                    <w:tr2bl w:val="nil"/>
                  </w:tcBorders>
                  <w:vAlign w:val="center"/>
                </w:tcPr>
                <w:p w14:paraId="0CE70F9B">
                  <w:pPr>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4320</w:t>
                  </w:r>
                </w:p>
              </w:tc>
            </w:tr>
            <w:tr w14:paraId="3C82CA9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1" w:type="dxa"/>
                  <w:vMerge w:val="continue"/>
                  <w:tcBorders>
                    <w:tl2br w:val="nil"/>
                    <w:tr2bl w:val="nil"/>
                  </w:tcBorders>
                  <w:vAlign w:val="center"/>
                </w:tcPr>
                <w:p w14:paraId="33678C5E">
                  <w:pPr>
                    <w:jc w:val="center"/>
                    <w:rPr>
                      <w:color w:val="000000" w:themeColor="text1"/>
                      <w:szCs w:val="21"/>
                      <w14:textFill>
                        <w14:solidFill>
                          <w14:schemeClr w14:val="tx1"/>
                        </w14:solidFill>
                      </w14:textFill>
                    </w:rPr>
                  </w:pPr>
                </w:p>
              </w:tc>
              <w:tc>
                <w:tcPr>
                  <w:tcW w:w="448" w:type="dxa"/>
                  <w:tcBorders>
                    <w:tl2br w:val="nil"/>
                    <w:tr2bl w:val="nil"/>
                  </w:tcBorders>
                  <w:vAlign w:val="center"/>
                </w:tcPr>
                <w:p w14:paraId="2680B6A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SO</w:t>
                  </w:r>
                  <w:r>
                    <w:rPr>
                      <w:color w:val="000000" w:themeColor="text1"/>
                      <w:szCs w:val="21"/>
                      <w:vertAlign w:val="subscript"/>
                      <w14:textFill>
                        <w14:solidFill>
                          <w14:schemeClr w14:val="tx1"/>
                        </w14:solidFill>
                      </w14:textFill>
                    </w:rPr>
                    <w:t>2</w:t>
                  </w:r>
                </w:p>
              </w:tc>
              <w:tc>
                <w:tcPr>
                  <w:tcW w:w="368" w:type="dxa"/>
                  <w:vMerge w:val="continue"/>
                  <w:tcBorders>
                    <w:tl2br w:val="nil"/>
                    <w:tr2bl w:val="nil"/>
                  </w:tcBorders>
                  <w:vAlign w:val="center"/>
                </w:tcPr>
                <w:p w14:paraId="32EB3F71">
                  <w:pPr>
                    <w:jc w:val="center"/>
                    <w:rPr>
                      <w:color w:val="000000" w:themeColor="text1"/>
                      <w:szCs w:val="21"/>
                      <w14:textFill>
                        <w14:solidFill>
                          <w14:schemeClr w14:val="tx1"/>
                        </w14:solidFill>
                      </w14:textFill>
                    </w:rPr>
                  </w:pPr>
                </w:p>
              </w:tc>
              <w:tc>
                <w:tcPr>
                  <w:tcW w:w="620" w:type="dxa"/>
                  <w:vMerge w:val="continue"/>
                  <w:tcBorders>
                    <w:tl2br w:val="nil"/>
                    <w:tr2bl w:val="nil"/>
                  </w:tcBorders>
                  <w:vAlign w:val="center"/>
                </w:tcPr>
                <w:p w14:paraId="05ED9CAF">
                  <w:pPr>
                    <w:jc w:val="center"/>
                    <w:rPr>
                      <w:color w:val="000000" w:themeColor="text1"/>
                      <w:szCs w:val="21"/>
                      <w14:textFill>
                        <w14:solidFill>
                          <w14:schemeClr w14:val="tx1"/>
                        </w14:solidFill>
                      </w14:textFill>
                    </w:rPr>
                  </w:pPr>
                </w:p>
              </w:tc>
              <w:tc>
                <w:tcPr>
                  <w:tcW w:w="521" w:type="dxa"/>
                  <w:tcBorders>
                    <w:tl2br w:val="nil"/>
                    <w:tr2bl w:val="nil"/>
                  </w:tcBorders>
                  <w:vAlign w:val="center"/>
                </w:tcPr>
                <w:p w14:paraId="07A095C2">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23.44</w:t>
                  </w:r>
                </w:p>
              </w:tc>
              <w:tc>
                <w:tcPr>
                  <w:tcW w:w="507" w:type="dxa"/>
                  <w:tcBorders>
                    <w:tl2br w:val="nil"/>
                    <w:tr2bl w:val="nil"/>
                  </w:tcBorders>
                  <w:vAlign w:val="center"/>
                </w:tcPr>
                <w:p w14:paraId="369DDF16">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0.059</w:t>
                  </w:r>
                </w:p>
              </w:tc>
              <w:tc>
                <w:tcPr>
                  <w:tcW w:w="761" w:type="dxa"/>
                  <w:tcBorders>
                    <w:tl2br w:val="nil"/>
                    <w:tr2bl w:val="nil"/>
                  </w:tcBorders>
                  <w:vAlign w:val="center"/>
                </w:tcPr>
                <w:p w14:paraId="61841DE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627" w:type="dxa"/>
                  <w:tcBorders>
                    <w:tl2br w:val="nil"/>
                    <w:tr2bl w:val="nil"/>
                  </w:tcBorders>
                  <w:vAlign w:val="center"/>
                </w:tcPr>
                <w:p w14:paraId="247B97E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641" w:type="dxa"/>
                  <w:vMerge w:val="continue"/>
                  <w:tcBorders>
                    <w:tl2br w:val="nil"/>
                    <w:tr2bl w:val="nil"/>
                  </w:tcBorders>
                  <w:vAlign w:val="center"/>
                </w:tcPr>
                <w:p w14:paraId="34807914">
                  <w:pPr>
                    <w:jc w:val="center"/>
                    <w:rPr>
                      <w:color w:val="000000" w:themeColor="text1"/>
                      <w:szCs w:val="21"/>
                      <w14:textFill>
                        <w14:solidFill>
                          <w14:schemeClr w14:val="tx1"/>
                        </w14:solidFill>
                      </w14:textFill>
                    </w:rPr>
                  </w:pPr>
                </w:p>
              </w:tc>
              <w:tc>
                <w:tcPr>
                  <w:tcW w:w="654" w:type="dxa"/>
                  <w:vMerge w:val="continue"/>
                  <w:tcBorders>
                    <w:tl2br w:val="nil"/>
                    <w:tr2bl w:val="nil"/>
                  </w:tcBorders>
                  <w:vAlign w:val="center"/>
                </w:tcPr>
                <w:p w14:paraId="3FB1B228">
                  <w:pPr>
                    <w:jc w:val="center"/>
                    <w:rPr>
                      <w:color w:val="000000" w:themeColor="text1"/>
                      <w:szCs w:val="21"/>
                      <w14:textFill>
                        <w14:solidFill>
                          <w14:schemeClr w14:val="tx1"/>
                        </w14:solidFill>
                      </w14:textFill>
                    </w:rPr>
                  </w:pPr>
                </w:p>
              </w:tc>
              <w:tc>
                <w:tcPr>
                  <w:tcW w:w="778" w:type="dxa"/>
                  <w:tcBorders>
                    <w:tl2br w:val="nil"/>
                    <w:tr2bl w:val="nil"/>
                  </w:tcBorders>
                  <w:vAlign w:val="center"/>
                </w:tcPr>
                <w:p w14:paraId="1F0C83B9">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23.44</w:t>
                  </w:r>
                </w:p>
              </w:tc>
              <w:tc>
                <w:tcPr>
                  <w:tcW w:w="872" w:type="dxa"/>
                  <w:tcBorders>
                    <w:tl2br w:val="nil"/>
                    <w:tr2bl w:val="nil"/>
                  </w:tcBorders>
                  <w:vAlign w:val="center"/>
                </w:tcPr>
                <w:p w14:paraId="3E2605DB">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0.059</w:t>
                  </w:r>
                </w:p>
              </w:tc>
              <w:tc>
                <w:tcPr>
                  <w:tcW w:w="784" w:type="dxa"/>
                  <w:vMerge w:val="continue"/>
                  <w:tcBorders>
                    <w:tl2br w:val="nil"/>
                    <w:tr2bl w:val="nil"/>
                  </w:tcBorders>
                  <w:vAlign w:val="center"/>
                </w:tcPr>
                <w:p w14:paraId="536C3C2E">
                  <w:pPr>
                    <w:jc w:val="center"/>
                    <w:rPr>
                      <w:rFonts w:hint="eastAsia"/>
                      <w:color w:val="000000" w:themeColor="text1"/>
                      <w:szCs w:val="21"/>
                      <w14:textFill>
                        <w14:solidFill>
                          <w14:schemeClr w14:val="tx1"/>
                        </w14:solidFill>
                      </w14:textFill>
                    </w:rPr>
                  </w:pPr>
                </w:p>
              </w:tc>
            </w:tr>
            <w:tr w14:paraId="25241E8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571" w:type="dxa"/>
                  <w:vMerge w:val="continue"/>
                  <w:tcBorders>
                    <w:tl2br w:val="nil"/>
                    <w:tr2bl w:val="nil"/>
                  </w:tcBorders>
                  <w:vAlign w:val="center"/>
                </w:tcPr>
                <w:p w14:paraId="5AF0A31B">
                  <w:pPr>
                    <w:jc w:val="center"/>
                    <w:rPr>
                      <w:color w:val="000000" w:themeColor="text1"/>
                      <w:szCs w:val="21"/>
                      <w14:textFill>
                        <w14:solidFill>
                          <w14:schemeClr w14:val="tx1"/>
                        </w14:solidFill>
                      </w14:textFill>
                    </w:rPr>
                  </w:pPr>
                </w:p>
              </w:tc>
              <w:tc>
                <w:tcPr>
                  <w:tcW w:w="448" w:type="dxa"/>
                  <w:tcBorders>
                    <w:tl2br w:val="nil"/>
                    <w:tr2bl w:val="nil"/>
                  </w:tcBorders>
                  <w:vAlign w:val="center"/>
                </w:tcPr>
                <w:p w14:paraId="5CAE1BE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NOx</w:t>
                  </w:r>
                </w:p>
              </w:tc>
              <w:tc>
                <w:tcPr>
                  <w:tcW w:w="368" w:type="dxa"/>
                  <w:tcBorders>
                    <w:tl2br w:val="nil"/>
                    <w:tr2bl w:val="nil"/>
                  </w:tcBorders>
                  <w:vAlign w:val="center"/>
                </w:tcPr>
                <w:p w14:paraId="1E711F4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系数法</w:t>
                  </w:r>
                </w:p>
              </w:tc>
              <w:tc>
                <w:tcPr>
                  <w:tcW w:w="620" w:type="dxa"/>
                  <w:vMerge w:val="continue"/>
                  <w:tcBorders>
                    <w:tl2br w:val="nil"/>
                    <w:tr2bl w:val="nil"/>
                  </w:tcBorders>
                  <w:vAlign w:val="center"/>
                </w:tcPr>
                <w:p w14:paraId="74C9764D">
                  <w:pPr>
                    <w:jc w:val="center"/>
                    <w:rPr>
                      <w:color w:val="000000" w:themeColor="text1"/>
                      <w:szCs w:val="21"/>
                      <w14:textFill>
                        <w14:solidFill>
                          <w14:schemeClr w14:val="tx1"/>
                        </w14:solidFill>
                      </w14:textFill>
                    </w:rPr>
                  </w:pPr>
                </w:p>
              </w:tc>
              <w:tc>
                <w:tcPr>
                  <w:tcW w:w="521" w:type="dxa"/>
                  <w:tcBorders>
                    <w:tl2br w:val="nil"/>
                    <w:tr2bl w:val="nil"/>
                  </w:tcBorders>
                  <w:vAlign w:val="center"/>
                </w:tcPr>
                <w:p w14:paraId="6FCC58D0">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136.66</w:t>
                  </w:r>
                </w:p>
              </w:tc>
              <w:tc>
                <w:tcPr>
                  <w:tcW w:w="507" w:type="dxa"/>
                  <w:tcBorders>
                    <w:tl2br w:val="nil"/>
                    <w:tr2bl w:val="nil"/>
                  </w:tcBorders>
                  <w:vAlign w:val="center"/>
                </w:tcPr>
                <w:p w14:paraId="0D7812AF">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0.345</w:t>
                  </w:r>
                </w:p>
              </w:tc>
              <w:tc>
                <w:tcPr>
                  <w:tcW w:w="761" w:type="dxa"/>
                  <w:tcBorders>
                    <w:tl2br w:val="nil"/>
                    <w:tr2bl w:val="nil"/>
                  </w:tcBorders>
                  <w:vAlign w:val="center"/>
                </w:tcPr>
                <w:p w14:paraId="5271856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627" w:type="dxa"/>
                  <w:tcBorders>
                    <w:tl2br w:val="nil"/>
                    <w:tr2bl w:val="nil"/>
                  </w:tcBorders>
                  <w:vAlign w:val="center"/>
                </w:tcPr>
                <w:p w14:paraId="6818E69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641" w:type="dxa"/>
                  <w:vMerge w:val="continue"/>
                  <w:tcBorders>
                    <w:tl2br w:val="nil"/>
                    <w:tr2bl w:val="nil"/>
                  </w:tcBorders>
                  <w:vAlign w:val="center"/>
                </w:tcPr>
                <w:p w14:paraId="1E520A17">
                  <w:pPr>
                    <w:jc w:val="center"/>
                    <w:rPr>
                      <w:color w:val="000000" w:themeColor="text1"/>
                      <w:szCs w:val="21"/>
                      <w14:textFill>
                        <w14:solidFill>
                          <w14:schemeClr w14:val="tx1"/>
                        </w14:solidFill>
                      </w14:textFill>
                    </w:rPr>
                  </w:pPr>
                </w:p>
              </w:tc>
              <w:tc>
                <w:tcPr>
                  <w:tcW w:w="654" w:type="dxa"/>
                  <w:vMerge w:val="continue"/>
                  <w:tcBorders>
                    <w:tl2br w:val="nil"/>
                    <w:tr2bl w:val="nil"/>
                  </w:tcBorders>
                  <w:vAlign w:val="center"/>
                </w:tcPr>
                <w:p w14:paraId="4C59DDC9">
                  <w:pPr>
                    <w:jc w:val="center"/>
                    <w:rPr>
                      <w:color w:val="000000" w:themeColor="text1"/>
                      <w:szCs w:val="21"/>
                      <w14:textFill>
                        <w14:solidFill>
                          <w14:schemeClr w14:val="tx1"/>
                        </w14:solidFill>
                      </w14:textFill>
                    </w:rPr>
                  </w:pPr>
                </w:p>
              </w:tc>
              <w:tc>
                <w:tcPr>
                  <w:tcW w:w="778" w:type="dxa"/>
                  <w:tcBorders>
                    <w:tl2br w:val="nil"/>
                    <w:tr2bl w:val="nil"/>
                  </w:tcBorders>
                  <w:vAlign w:val="center"/>
                </w:tcPr>
                <w:p w14:paraId="2E9E4229">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136.66</w:t>
                  </w:r>
                </w:p>
              </w:tc>
              <w:tc>
                <w:tcPr>
                  <w:tcW w:w="872" w:type="dxa"/>
                  <w:tcBorders>
                    <w:tl2br w:val="nil"/>
                    <w:tr2bl w:val="nil"/>
                  </w:tcBorders>
                  <w:vAlign w:val="center"/>
                </w:tcPr>
                <w:p w14:paraId="085CE615">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0.345</w:t>
                  </w:r>
                </w:p>
              </w:tc>
              <w:tc>
                <w:tcPr>
                  <w:tcW w:w="784" w:type="dxa"/>
                  <w:vMerge w:val="continue"/>
                  <w:tcBorders>
                    <w:tl2br w:val="nil"/>
                    <w:tr2bl w:val="nil"/>
                  </w:tcBorders>
                  <w:vAlign w:val="center"/>
                </w:tcPr>
                <w:p w14:paraId="2FC7D201">
                  <w:pPr>
                    <w:jc w:val="center"/>
                    <w:rPr>
                      <w:rFonts w:hint="eastAsia"/>
                      <w:color w:val="000000" w:themeColor="text1"/>
                      <w:szCs w:val="21"/>
                      <w14:textFill>
                        <w14:solidFill>
                          <w14:schemeClr w14:val="tx1"/>
                        </w14:solidFill>
                      </w14:textFill>
                    </w:rPr>
                  </w:pPr>
                </w:p>
              </w:tc>
            </w:tr>
            <w:tr w14:paraId="12B2872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71" w:type="dxa"/>
                  <w:vMerge w:val="continue"/>
                  <w:tcBorders>
                    <w:tl2br w:val="nil"/>
                    <w:tr2bl w:val="nil"/>
                  </w:tcBorders>
                  <w:vAlign w:val="center"/>
                </w:tcPr>
                <w:p w14:paraId="083DA5B6">
                  <w:pPr>
                    <w:jc w:val="center"/>
                    <w:rPr>
                      <w:color w:val="000000" w:themeColor="text1"/>
                      <w:szCs w:val="21"/>
                      <w14:textFill>
                        <w14:solidFill>
                          <w14:schemeClr w14:val="tx1"/>
                        </w14:solidFill>
                      </w14:textFill>
                    </w:rPr>
                  </w:pPr>
                </w:p>
              </w:tc>
              <w:tc>
                <w:tcPr>
                  <w:tcW w:w="448" w:type="dxa"/>
                  <w:tcBorders>
                    <w:tl2br w:val="nil"/>
                    <w:tr2bl w:val="nil"/>
                  </w:tcBorders>
                  <w:vAlign w:val="center"/>
                </w:tcPr>
                <w:p w14:paraId="400AF4C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烟气黑度</w:t>
                  </w:r>
                </w:p>
              </w:tc>
              <w:tc>
                <w:tcPr>
                  <w:tcW w:w="368" w:type="dxa"/>
                  <w:tcBorders>
                    <w:tl2br w:val="nil"/>
                    <w:tr2bl w:val="nil"/>
                  </w:tcBorders>
                  <w:vAlign w:val="center"/>
                </w:tcPr>
                <w:p w14:paraId="7F5D894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620" w:type="dxa"/>
                  <w:vMerge w:val="continue"/>
                  <w:tcBorders>
                    <w:tl2br w:val="nil"/>
                    <w:tr2bl w:val="nil"/>
                  </w:tcBorders>
                  <w:vAlign w:val="center"/>
                </w:tcPr>
                <w:p w14:paraId="42693759">
                  <w:pPr>
                    <w:jc w:val="center"/>
                    <w:rPr>
                      <w:color w:val="000000" w:themeColor="text1"/>
                      <w:szCs w:val="21"/>
                      <w14:textFill>
                        <w14:solidFill>
                          <w14:schemeClr w14:val="tx1"/>
                        </w14:solidFill>
                      </w14:textFill>
                    </w:rPr>
                  </w:pPr>
                </w:p>
              </w:tc>
              <w:tc>
                <w:tcPr>
                  <w:tcW w:w="521" w:type="dxa"/>
                  <w:tcBorders>
                    <w:tl2br w:val="nil"/>
                    <w:tr2bl w:val="nil"/>
                  </w:tcBorders>
                  <w:vAlign w:val="center"/>
                </w:tcPr>
                <w:p w14:paraId="597D2C3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507" w:type="dxa"/>
                  <w:tcBorders>
                    <w:tl2br w:val="nil"/>
                    <w:tr2bl w:val="nil"/>
                  </w:tcBorders>
                  <w:vAlign w:val="center"/>
                </w:tcPr>
                <w:p w14:paraId="321646D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761" w:type="dxa"/>
                  <w:tcBorders>
                    <w:tl2br w:val="nil"/>
                    <w:tr2bl w:val="nil"/>
                  </w:tcBorders>
                  <w:vAlign w:val="center"/>
                </w:tcPr>
                <w:p w14:paraId="1BA8B8E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627" w:type="dxa"/>
                  <w:tcBorders>
                    <w:tl2br w:val="nil"/>
                    <w:tr2bl w:val="nil"/>
                  </w:tcBorders>
                  <w:vAlign w:val="center"/>
                </w:tcPr>
                <w:p w14:paraId="32C9D64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641" w:type="dxa"/>
                  <w:tcBorders>
                    <w:tl2br w:val="nil"/>
                    <w:tr2bl w:val="nil"/>
                  </w:tcBorders>
                  <w:vAlign w:val="center"/>
                </w:tcPr>
                <w:p w14:paraId="042F08C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烟气黑度</w:t>
                  </w:r>
                </w:p>
              </w:tc>
              <w:tc>
                <w:tcPr>
                  <w:tcW w:w="654" w:type="dxa"/>
                  <w:vMerge w:val="continue"/>
                  <w:tcBorders>
                    <w:tl2br w:val="nil"/>
                    <w:tr2bl w:val="nil"/>
                  </w:tcBorders>
                  <w:vAlign w:val="center"/>
                </w:tcPr>
                <w:p w14:paraId="1B70E56F">
                  <w:pPr>
                    <w:jc w:val="center"/>
                    <w:rPr>
                      <w:color w:val="000000" w:themeColor="text1"/>
                      <w:szCs w:val="21"/>
                      <w14:textFill>
                        <w14:solidFill>
                          <w14:schemeClr w14:val="tx1"/>
                        </w14:solidFill>
                      </w14:textFill>
                    </w:rPr>
                  </w:pPr>
                </w:p>
              </w:tc>
              <w:tc>
                <w:tcPr>
                  <w:tcW w:w="778" w:type="dxa"/>
                  <w:tcBorders>
                    <w:tl2br w:val="nil"/>
                    <w:tr2bl w:val="nil"/>
                  </w:tcBorders>
                  <w:vAlign w:val="center"/>
                </w:tcPr>
                <w:p w14:paraId="551E81B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872" w:type="dxa"/>
                  <w:tcBorders>
                    <w:tl2br w:val="nil"/>
                    <w:tr2bl w:val="nil"/>
                  </w:tcBorders>
                  <w:vAlign w:val="center"/>
                </w:tcPr>
                <w:p w14:paraId="0E62C0F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784" w:type="dxa"/>
                  <w:vMerge w:val="continue"/>
                  <w:tcBorders>
                    <w:tl2br w:val="nil"/>
                    <w:tr2bl w:val="nil"/>
                  </w:tcBorders>
                  <w:vAlign w:val="center"/>
                </w:tcPr>
                <w:p w14:paraId="5B5343CE">
                  <w:pPr>
                    <w:jc w:val="center"/>
                    <w:rPr>
                      <w:color w:val="000000" w:themeColor="text1"/>
                      <w:szCs w:val="21"/>
                      <w14:textFill>
                        <w14:solidFill>
                          <w14:schemeClr w14:val="tx1"/>
                        </w14:solidFill>
                      </w14:textFill>
                    </w:rPr>
                  </w:pPr>
                </w:p>
              </w:tc>
            </w:tr>
          </w:tbl>
          <w:p w14:paraId="2FC7B7D1">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①锅炉废气</w:t>
            </w:r>
          </w:p>
          <w:p w14:paraId="1BE3A1F9">
            <w:pPr>
              <w:spacing w:line="360" w:lineRule="auto"/>
              <w:ind w:firstLine="480" w:firstLineChars="200"/>
              <w:rPr>
                <w:bCs/>
                <w:color w:val="000000" w:themeColor="text1"/>
                <w:kern w:val="0"/>
                <w:sz w:val="24"/>
                <w14:textFill>
                  <w14:solidFill>
                    <w14:schemeClr w14:val="tx1"/>
                  </w14:solidFill>
                </w14:textFill>
              </w:rPr>
            </w:pPr>
            <w:r>
              <w:rPr>
                <w:bCs/>
                <w:color w:val="000000" w:themeColor="text1"/>
                <w:kern w:val="0"/>
                <w:sz w:val="24"/>
                <w14:textFill>
                  <w14:solidFill>
                    <w14:schemeClr w14:val="tx1"/>
                  </w14:solidFill>
                </w14:textFill>
              </w:rPr>
              <w:t>参照《污染源源强核算技术指南锅炉》，新建项目有组织废气核算因子核算方法的优先次序为物料衡算法、类比法、产污系数法。颗粒物、SO</w:t>
            </w:r>
            <w:r>
              <w:rPr>
                <w:bCs/>
                <w:color w:val="000000" w:themeColor="text1"/>
                <w:kern w:val="0"/>
                <w:sz w:val="24"/>
                <w:vertAlign w:val="subscript"/>
                <w14:textFill>
                  <w14:solidFill>
                    <w14:schemeClr w14:val="tx1"/>
                  </w14:solidFill>
                </w14:textFill>
              </w:rPr>
              <w:t>2</w:t>
            </w:r>
            <w:r>
              <w:rPr>
                <w:bCs/>
                <w:color w:val="000000" w:themeColor="text1"/>
                <w:kern w:val="0"/>
                <w:sz w:val="24"/>
                <w14:textFill>
                  <w14:solidFill>
                    <w14:schemeClr w14:val="tx1"/>
                  </w14:solidFill>
                </w14:textFill>
              </w:rPr>
              <w:t>源强采用物料衡算法进行计算，项目没有锅炉生产商提供的氮氧化物控制保证浓度值及类比资料，NOx源强采用产污系数法进行计算。</w:t>
            </w:r>
          </w:p>
          <w:p w14:paraId="06C98728">
            <w:pPr>
              <w:spacing w:line="360" w:lineRule="auto"/>
              <w:ind w:firstLine="480" w:firstLineChars="200"/>
              <w:rPr>
                <w:bCs/>
                <w:color w:val="000000" w:themeColor="text1"/>
                <w:kern w:val="0"/>
                <w:sz w:val="24"/>
                <w14:textFill>
                  <w14:solidFill>
                    <w14:schemeClr w14:val="tx1"/>
                  </w14:solidFill>
                </w14:textFill>
              </w:rPr>
            </w:pPr>
            <w:r>
              <w:rPr>
                <w:bCs/>
                <w:color w:val="000000" w:themeColor="text1"/>
                <w:kern w:val="0"/>
                <w:sz w:val="24"/>
                <w14:textFill>
                  <w14:solidFill>
                    <w14:schemeClr w14:val="tx1"/>
                  </w14:solidFill>
                </w14:textFill>
              </w:rPr>
              <w:t>烟气量的计算：</w:t>
            </w:r>
          </w:p>
          <w:p w14:paraId="7C52B7C2">
            <w:pPr>
              <w:spacing w:line="360" w:lineRule="auto"/>
              <w:ind w:firstLine="480" w:firstLineChars="200"/>
              <w:outlineLvl w:val="0"/>
              <w:rPr>
                <w:color w:val="000000" w:themeColor="text1"/>
                <w:sz w:val="24"/>
                <w14:textFill>
                  <w14:solidFill>
                    <w14:schemeClr w14:val="tx1"/>
                  </w14:solidFill>
                </w14:textFill>
              </w:rPr>
            </w:pPr>
            <w:bookmarkStart w:id="41" w:name="_Toc14126"/>
            <w:r>
              <w:rPr>
                <w:color w:val="000000" w:themeColor="text1"/>
                <w:sz w:val="24"/>
                <w14:textFill>
                  <w14:solidFill>
                    <w14:schemeClr w14:val="tx1"/>
                  </w14:solidFill>
                </w14:textFill>
              </w:rPr>
              <w:t>根据《污染源源强核算技术指南锅炉》（HJ991-2018）中C.5没有元素分析时，按照HJ953进行计算，</w:t>
            </w:r>
            <w:bookmarkEnd w:id="34"/>
            <w:bookmarkEnd w:id="35"/>
            <w:bookmarkEnd w:id="36"/>
            <w:bookmarkEnd w:id="37"/>
            <w:bookmarkEnd w:id="38"/>
            <w:bookmarkEnd w:id="39"/>
            <w:bookmarkEnd w:id="40"/>
            <w:r>
              <w:rPr>
                <w:color w:val="000000" w:themeColor="text1"/>
                <w:sz w:val="24"/>
                <w14:textFill>
                  <w14:solidFill>
                    <w14:schemeClr w14:val="tx1"/>
                  </w14:solidFill>
                </w14:textFill>
              </w:rPr>
              <w:t>根据《排污许可证申请与核发技术规范 锅炉》（HJ953-2018），基准烟气量计算公式选取依据：本项目燃料为生物质成型燃料，燃料干燥无灰基挥发分Vdaf=70.12%（大于65%），燃料收到基低位发热量Qnet,ar=16.77MJ/kg，符合经验公式V0=0.393Qnet,ar+0.876的适用条件（适用于Vdaf&gt;65%的燃料）。</w:t>
            </w:r>
            <w:bookmarkEnd w:id="41"/>
          </w:p>
          <w:p w14:paraId="0C609074">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基准烟气量=0.393Q</w:t>
            </w:r>
            <w:r>
              <w:rPr>
                <w:color w:val="000000" w:themeColor="text1"/>
                <w:sz w:val="24"/>
                <w:vertAlign w:val="subscript"/>
                <w14:textFill>
                  <w14:solidFill>
                    <w14:schemeClr w14:val="tx1"/>
                  </w14:solidFill>
                </w14:textFill>
              </w:rPr>
              <w:t>net，ar</w:t>
            </w:r>
            <w:r>
              <w:rPr>
                <w:color w:val="000000" w:themeColor="text1"/>
                <w:sz w:val="24"/>
                <w14:textFill>
                  <w14:solidFill>
                    <w14:schemeClr w14:val="tx1"/>
                  </w14:solidFill>
                </w14:textFill>
              </w:rPr>
              <w:t>+0.876=0.393×16.77+0.876=7.467Nm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kg</w:t>
            </w:r>
          </w:p>
          <w:p w14:paraId="6F927918">
            <w:pPr>
              <w:adjustRightInd w:val="0"/>
              <w:spacing w:line="360" w:lineRule="auto"/>
              <w:ind w:firstLine="480" w:firstLineChars="200"/>
              <w:rPr>
                <w:color w:val="000000" w:themeColor="text1"/>
                <w:sz w:val="24"/>
                <w:vertAlign w:val="superscript"/>
                <w14:textFill>
                  <w14:solidFill>
                    <w14:schemeClr w14:val="tx1"/>
                  </w14:solidFill>
                </w14:textFill>
              </w:rPr>
            </w:pPr>
            <w:r>
              <w:rPr>
                <w:rFonts w:hint="eastAsia"/>
                <w:color w:val="000000" w:themeColor="text1"/>
                <w:sz w:val="24"/>
                <w14:textFill>
                  <w14:solidFill>
                    <w14:schemeClr w14:val="tx1"/>
                  </w14:solidFill>
                </w14:textFill>
              </w:rPr>
              <w:t>小时最大</w:t>
            </w:r>
            <w:r>
              <w:rPr>
                <w:color w:val="000000" w:themeColor="text1"/>
                <w:sz w:val="24"/>
                <w14:textFill>
                  <w14:solidFill>
                    <w14:schemeClr w14:val="tx1"/>
                  </w14:solidFill>
                </w14:textFill>
              </w:rPr>
              <w:t>烟气量=7.467Nm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kg</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0.44t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3285.48</w:t>
            </w:r>
            <w:r>
              <w:rPr>
                <w:color w:val="000000" w:themeColor="text1"/>
                <w:sz w:val="24"/>
                <w14:textFill>
                  <w14:solidFill>
                    <w14:schemeClr w14:val="tx1"/>
                  </w14:solidFill>
                </w14:textFill>
              </w:rPr>
              <w:t>Nm</w:t>
            </w:r>
            <w:r>
              <w:rPr>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w:t>
            </w:r>
          </w:p>
          <w:p w14:paraId="613C8E72">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烟尘排放量按下</w:t>
            </w:r>
            <w:r>
              <w:rPr>
                <w:rFonts w:hint="eastAsia"/>
                <w:color w:val="000000" w:themeColor="text1"/>
                <w:sz w:val="24"/>
                <w14:textFill>
                  <w14:solidFill>
                    <w14:schemeClr w14:val="tx1"/>
                  </w14:solidFill>
                </w14:textFill>
              </w:rPr>
              <w:t>式</w:t>
            </w:r>
            <w:r>
              <w:rPr>
                <w:color w:val="000000" w:themeColor="text1"/>
                <w:sz w:val="24"/>
                <w14:textFill>
                  <w14:solidFill>
                    <w14:schemeClr w14:val="tx1"/>
                  </w14:solidFill>
                </w14:textFill>
              </w:rPr>
              <w:t>计算：</w:t>
            </w:r>
          </w:p>
          <w:p w14:paraId="6B3187A6">
            <w:pPr>
              <w:adjustRightInd w:val="0"/>
              <w:spacing w:line="360" w:lineRule="auto"/>
              <w:ind w:firstLine="480" w:firstLineChars="200"/>
              <w:jc w:val="center"/>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drawing>
                <wp:inline distT="0" distB="0" distL="114300" distR="114300">
                  <wp:extent cx="4248150" cy="1295400"/>
                  <wp:effectExtent l="0" t="0" r="0" b="0"/>
                  <wp:docPr id="28"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14"/>
                          <pic:cNvPicPr>
                            <a:picLocks noChangeAspect="1"/>
                          </pic:cNvPicPr>
                        </pic:nvPicPr>
                        <pic:blipFill>
                          <a:blip r:embed="rId17"/>
                          <a:stretch>
                            <a:fillRect/>
                          </a:stretch>
                        </pic:blipFill>
                        <pic:spPr>
                          <a:xfrm>
                            <a:off x="0" y="0"/>
                            <a:ext cx="4248150" cy="1295400"/>
                          </a:xfrm>
                          <a:prstGeom prst="rect">
                            <a:avLst/>
                          </a:prstGeom>
                          <a:noFill/>
                          <a:ln>
                            <a:noFill/>
                          </a:ln>
                        </pic:spPr>
                      </pic:pic>
                    </a:graphicData>
                  </a:graphic>
                </wp:inline>
              </w:drawing>
            </w:r>
          </w:p>
          <w:p w14:paraId="662DDC25">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式中：E</w:t>
            </w:r>
            <w:r>
              <w:rPr>
                <w:color w:val="000000" w:themeColor="text1"/>
                <w:sz w:val="24"/>
                <w:vertAlign w:val="subscript"/>
                <w14:textFill>
                  <w14:solidFill>
                    <w14:schemeClr w14:val="tx1"/>
                  </w14:solidFill>
                </w14:textFill>
              </w:rPr>
              <w:t>A</w:t>
            </w:r>
            <w:r>
              <w:rPr>
                <w:color w:val="000000" w:themeColor="text1"/>
                <w:sz w:val="24"/>
                <w14:textFill>
                  <w14:solidFill>
                    <w14:schemeClr w14:val="tx1"/>
                  </w14:solidFill>
                </w14:textFill>
              </w:rPr>
              <w:t>—核算时段内烟尘排放量，t；</w:t>
            </w:r>
          </w:p>
          <w:p w14:paraId="08636690">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R—核算时段内锅炉燃</w:t>
            </w:r>
            <w:r>
              <w:rPr>
                <w:rFonts w:hint="eastAsia"/>
                <w:color w:val="000000" w:themeColor="text1"/>
                <w:sz w:val="24"/>
                <w14:textFill>
                  <w14:solidFill>
                    <w14:schemeClr w14:val="tx1"/>
                  </w14:solidFill>
                </w14:textFill>
              </w:rPr>
              <w:t>料消</w:t>
            </w:r>
            <w:r>
              <w:rPr>
                <w:color w:val="000000" w:themeColor="text1"/>
                <w:sz w:val="24"/>
                <w14:textFill>
                  <w14:solidFill>
                    <w14:schemeClr w14:val="tx1"/>
                  </w14:solidFill>
                </w14:textFill>
              </w:rPr>
              <w:t>耗量，t；</w:t>
            </w:r>
          </w:p>
          <w:p w14:paraId="68626419">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η</w:t>
            </w:r>
            <w:r>
              <w:rPr>
                <w:color w:val="000000" w:themeColor="text1"/>
                <w:sz w:val="24"/>
                <w:vertAlign w:val="subscript"/>
                <w14:textFill>
                  <w14:solidFill>
                    <w14:schemeClr w14:val="tx1"/>
                  </w14:solidFill>
                </w14:textFill>
              </w:rPr>
              <w:t>c</w:t>
            </w:r>
            <w:r>
              <w:rPr>
                <w:color w:val="000000" w:themeColor="text1"/>
                <w:sz w:val="24"/>
                <w14:textFill>
                  <w14:solidFill>
                    <w14:schemeClr w14:val="tx1"/>
                  </w14:solidFill>
                </w14:textFill>
              </w:rPr>
              <w:t>—综合除尘效率；本次评价取99.5；</w:t>
            </w:r>
          </w:p>
          <w:p w14:paraId="21A6FF5B">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Aar—收到基灰分的质量分数，本次评价取6.5</w:t>
            </w:r>
            <w:r>
              <w:rPr>
                <w:rFonts w:hint="eastAsia"/>
                <w:color w:val="000000" w:themeColor="text1"/>
                <w:sz w:val="24"/>
                <w14:textFill>
                  <w14:solidFill>
                    <w14:schemeClr w14:val="tx1"/>
                  </w14:solidFill>
                </w14:textFill>
              </w:rPr>
              <w:t>9</w:t>
            </w:r>
            <w:r>
              <w:rPr>
                <w:color w:val="000000" w:themeColor="text1"/>
                <w:sz w:val="24"/>
                <w14:textFill>
                  <w14:solidFill>
                    <w14:schemeClr w14:val="tx1"/>
                  </w14:solidFill>
                </w14:textFill>
              </w:rPr>
              <w:t>；</w:t>
            </w:r>
          </w:p>
          <w:p w14:paraId="1E9F0B98">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收到基灰分换算过程：根据燃料分析报告，空气干燥基灰分Aad=6.56%，收到基全水分Mt,ar=5.50%，空气干燥基水分Mad=5.55%，按公式Aar=Aad×(100-Mt,ar)/(100-Mad)=6.56×(100-5.50)/(100-5.55)=6.56×94.50/94.45=6.56%，本次评价取6.59%（含分析误差）。</w:t>
            </w:r>
          </w:p>
          <w:p w14:paraId="568C8F46">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d</w:t>
            </w:r>
            <w:r>
              <w:rPr>
                <w:color w:val="000000" w:themeColor="text1"/>
                <w:sz w:val="24"/>
                <w:vertAlign w:val="subscript"/>
                <w14:textFill>
                  <w14:solidFill>
                    <w14:schemeClr w14:val="tx1"/>
                  </w14:solidFill>
                </w14:textFill>
              </w:rPr>
              <w:t>fh</w:t>
            </w:r>
            <w:r>
              <w:rPr>
                <w:color w:val="000000" w:themeColor="text1"/>
                <w:sz w:val="24"/>
                <w14:textFill>
                  <w14:solidFill>
                    <w14:schemeClr w14:val="tx1"/>
                  </w14:solidFill>
                </w14:textFill>
              </w:rPr>
              <w:t>—锅炉烟气带出的飞灰份额，%；本次评价取50。</w:t>
            </w:r>
          </w:p>
          <w:p w14:paraId="69614E16">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C</w:t>
            </w:r>
            <w:r>
              <w:rPr>
                <w:color w:val="000000" w:themeColor="text1"/>
                <w:sz w:val="24"/>
                <w:vertAlign w:val="subscript"/>
                <w14:textFill>
                  <w14:solidFill>
                    <w14:schemeClr w14:val="tx1"/>
                  </w14:solidFill>
                </w14:textFill>
              </w:rPr>
              <w:t>fh</w:t>
            </w:r>
            <w:r>
              <w:rPr>
                <w:color w:val="000000" w:themeColor="text1"/>
                <w:sz w:val="24"/>
                <w14:textFill>
                  <w14:solidFill>
                    <w14:schemeClr w14:val="tx1"/>
                  </w14:solidFill>
                </w14:textFill>
              </w:rPr>
              <w:t>—飞灰中的可燃物含量，%；本次评价取13。</w:t>
            </w:r>
          </w:p>
          <w:p w14:paraId="54FDA424">
            <w:pPr>
              <w:spacing w:line="360" w:lineRule="auto"/>
              <w:ind w:firstLine="480" w:firstLineChars="200"/>
              <w:rPr>
                <w:color w:val="000000" w:themeColor="text1"/>
                <w:kern w:val="0"/>
                <w:sz w:val="24"/>
                <w:lang w:bidi="ar"/>
                <w14:textFill>
                  <w14:solidFill>
                    <w14:schemeClr w14:val="tx1"/>
                  </w14:solidFill>
                </w14:textFill>
              </w:rPr>
            </w:pPr>
            <w:r>
              <w:rPr>
                <w:color w:val="000000" w:themeColor="text1"/>
                <w:sz w:val="24"/>
                <w14:textFill>
                  <w14:solidFill>
                    <w14:schemeClr w14:val="tx1"/>
                  </w14:solidFill>
                </w14:textFill>
              </w:rPr>
              <w:t>经计算，本项目锅炉烟尘产生浓度为</w:t>
            </w:r>
            <w:r>
              <w:rPr>
                <w:rFonts w:hint="eastAsia"/>
                <w:color w:val="000000" w:themeColor="text1"/>
                <w:sz w:val="24"/>
                <w14:textFill>
                  <w14:solidFill>
                    <w14:schemeClr w14:val="tx1"/>
                  </w14:solidFill>
                </w14:textFill>
              </w:rPr>
              <w:t>5072.01</w:t>
            </w:r>
            <w:r>
              <w:rPr>
                <w:color w:val="000000" w:themeColor="text1"/>
                <w:sz w:val="24"/>
                <w14:textFill>
                  <w14:solidFill>
                    <w14:schemeClr w14:val="tx1"/>
                  </w14:solidFill>
                </w14:textFill>
              </w:rPr>
              <w:t>mg/m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，产生量为</w:t>
            </w:r>
            <w:r>
              <w:rPr>
                <w:rFonts w:hint="eastAsia"/>
                <w:color w:val="000000" w:themeColor="text1"/>
                <w:sz w:val="24"/>
                <w14:textFill>
                  <w14:solidFill>
                    <w14:schemeClr w14:val="tx1"/>
                  </w14:solidFill>
                </w14:textFill>
              </w:rPr>
              <w:t>16.664</w:t>
            </w:r>
            <w:r>
              <w:rPr>
                <w:color w:val="000000" w:themeColor="text1"/>
                <w:kern w:val="0"/>
                <w:sz w:val="24"/>
                <w:lang w:bidi="ar"/>
                <w14:textFill>
                  <w14:solidFill>
                    <w14:schemeClr w14:val="tx1"/>
                  </w14:solidFill>
                </w14:textFill>
              </w:rPr>
              <w:t>kg/h</w:t>
            </w:r>
            <w:r>
              <w:rPr>
                <w:color w:val="000000" w:themeColor="text1"/>
                <w:sz w:val="24"/>
                <w14:textFill>
                  <w14:solidFill>
                    <w14:schemeClr w14:val="tx1"/>
                  </w14:solidFill>
                </w14:textFill>
              </w:rPr>
              <w:t>，</w:t>
            </w:r>
            <w:r>
              <w:rPr>
                <w:rFonts w:hint="eastAsia"/>
                <w:color w:val="000000" w:themeColor="text1"/>
                <w:kern w:val="0"/>
                <w:sz w:val="24"/>
                <w:lang w:bidi="ar"/>
                <w14:textFill>
                  <w14:solidFill>
                    <w14:schemeClr w14:val="tx1"/>
                  </w14:solidFill>
                </w14:textFill>
              </w:rPr>
              <w:t>12.81</w:t>
            </w:r>
            <w:r>
              <w:rPr>
                <w:color w:val="000000" w:themeColor="text1"/>
                <w:kern w:val="0"/>
                <w:sz w:val="24"/>
                <w:lang w:bidi="ar"/>
                <w14:textFill>
                  <w14:solidFill>
                    <w14:schemeClr w14:val="tx1"/>
                  </w14:solidFill>
                </w14:textFill>
              </w:rPr>
              <w:t>t/a；</w:t>
            </w:r>
            <w:r>
              <w:rPr>
                <w:color w:val="000000" w:themeColor="text1"/>
                <w:sz w:val="24"/>
                <w14:textFill>
                  <w14:solidFill>
                    <w14:schemeClr w14:val="tx1"/>
                  </w14:solidFill>
                </w14:textFill>
              </w:rPr>
              <w:t>排放浓度为</w:t>
            </w:r>
            <w:r>
              <w:rPr>
                <w:rFonts w:hint="eastAsia"/>
                <w:color w:val="000000" w:themeColor="text1"/>
                <w:sz w:val="24"/>
                <w14:textFill>
                  <w14:solidFill>
                    <w14:schemeClr w14:val="tx1"/>
                  </w14:solidFill>
                </w14:textFill>
              </w:rPr>
              <w:t>25.13</w:t>
            </w:r>
            <w:r>
              <w:rPr>
                <w:color w:val="000000" w:themeColor="text1"/>
                <w:sz w:val="24"/>
                <w14:textFill>
                  <w14:solidFill>
                    <w14:schemeClr w14:val="tx1"/>
                  </w14:solidFill>
                </w14:textFill>
              </w:rPr>
              <w:t>mg/m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，排放量为</w:t>
            </w:r>
            <w:r>
              <w:rPr>
                <w:rFonts w:hint="eastAsia"/>
                <w:color w:val="000000" w:themeColor="text1"/>
                <w:sz w:val="24"/>
                <w14:textFill>
                  <w14:solidFill>
                    <w14:schemeClr w14:val="tx1"/>
                  </w14:solidFill>
                </w14:textFill>
              </w:rPr>
              <w:t>0.083</w:t>
            </w:r>
            <w:r>
              <w:rPr>
                <w:color w:val="000000" w:themeColor="text1"/>
                <w:kern w:val="0"/>
                <w:sz w:val="24"/>
                <w:lang w:bidi="ar"/>
                <w14:textFill>
                  <w14:solidFill>
                    <w14:schemeClr w14:val="tx1"/>
                  </w14:solidFill>
                </w14:textFill>
              </w:rPr>
              <w:t>kg/h</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0.064</w:t>
            </w:r>
            <w:r>
              <w:rPr>
                <w:color w:val="000000" w:themeColor="text1"/>
                <w:kern w:val="0"/>
                <w:sz w:val="24"/>
                <w:lang w:bidi="ar"/>
                <w14:textFill>
                  <w14:solidFill>
                    <w14:schemeClr w14:val="tx1"/>
                  </w14:solidFill>
                </w14:textFill>
              </w:rPr>
              <w:t>t/a。</w:t>
            </w:r>
          </w:p>
          <w:p w14:paraId="218EE67A">
            <w:pPr>
              <w:spacing w:line="360" w:lineRule="auto"/>
              <w:ind w:firstLine="480" w:firstLineChars="200"/>
              <w:rPr>
                <w:color w:val="000000" w:themeColor="text1"/>
                <w:sz w:val="24"/>
                <w:lang w:bidi="zh-CN"/>
                <w14:textFill>
                  <w14:solidFill>
                    <w14:schemeClr w14:val="tx1"/>
                  </w14:solidFill>
                </w14:textFill>
              </w:rPr>
            </w:pPr>
            <w:r>
              <w:rPr>
                <w:color w:val="000000" w:themeColor="text1"/>
                <w:sz w:val="24"/>
                <w:lang w:bidi="zh-CN"/>
                <w14:textFill>
                  <w14:solidFill>
                    <w14:schemeClr w14:val="tx1"/>
                  </w14:solidFill>
                </w14:textFill>
              </w:rPr>
              <w:t>二氧化硫计算：</w:t>
            </w:r>
          </w:p>
          <w:p w14:paraId="022C914B">
            <w:pPr>
              <w:adjustRightInd w:val="0"/>
              <w:snapToGrid w:val="0"/>
              <w:spacing w:line="360" w:lineRule="auto"/>
              <w:ind w:firstLine="480" w:firstLineChars="20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drawing>
                <wp:inline distT="0" distB="0" distL="114300" distR="114300">
                  <wp:extent cx="3466465" cy="554990"/>
                  <wp:effectExtent l="0" t="0" r="635" b="16510"/>
                  <wp:docPr id="29" name="图片 116" descr="15775857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16" descr="1577585754(1)"/>
                          <pic:cNvPicPr>
                            <a:picLocks noChangeAspect="1"/>
                          </pic:cNvPicPr>
                        </pic:nvPicPr>
                        <pic:blipFill>
                          <a:blip r:embed="rId18"/>
                          <a:stretch>
                            <a:fillRect/>
                          </a:stretch>
                        </pic:blipFill>
                        <pic:spPr>
                          <a:xfrm>
                            <a:off x="0" y="0"/>
                            <a:ext cx="3466465" cy="554990"/>
                          </a:xfrm>
                          <a:prstGeom prst="rect">
                            <a:avLst/>
                          </a:prstGeom>
                          <a:noFill/>
                          <a:ln>
                            <a:noFill/>
                          </a:ln>
                        </pic:spPr>
                      </pic:pic>
                    </a:graphicData>
                  </a:graphic>
                </wp:inline>
              </w:drawing>
            </w:r>
          </w:p>
          <w:p w14:paraId="02CE9BDA">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式中：E</w:t>
            </w:r>
            <w:r>
              <w:rPr>
                <w:color w:val="000000" w:themeColor="text1"/>
                <w:sz w:val="24"/>
                <w:vertAlign w:val="subscript"/>
                <w14:textFill>
                  <w14:solidFill>
                    <w14:schemeClr w14:val="tx1"/>
                  </w14:solidFill>
                </w14:textFill>
              </w:rPr>
              <w:t>SO2</w:t>
            </w:r>
            <w:r>
              <w:rPr>
                <w:color w:val="000000" w:themeColor="text1"/>
                <w:sz w:val="24"/>
                <w14:textFill>
                  <w14:solidFill>
                    <w14:schemeClr w14:val="tx1"/>
                  </w14:solidFill>
                </w14:textFill>
              </w:rPr>
              <w:t>—核算时段内二氧化硫排放量，t；</w:t>
            </w:r>
          </w:p>
          <w:p w14:paraId="4B3DB71D">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R—核算时段内锅炉燃</w:t>
            </w:r>
            <w:r>
              <w:rPr>
                <w:rFonts w:hint="eastAsia"/>
                <w:color w:val="000000" w:themeColor="text1"/>
                <w:sz w:val="24"/>
                <w14:textFill>
                  <w14:solidFill>
                    <w14:schemeClr w14:val="tx1"/>
                  </w14:solidFill>
                </w14:textFill>
              </w:rPr>
              <w:t>料消</w:t>
            </w:r>
            <w:r>
              <w:rPr>
                <w:color w:val="000000" w:themeColor="text1"/>
                <w:sz w:val="24"/>
                <w14:textFill>
                  <w14:solidFill>
                    <w14:schemeClr w14:val="tx1"/>
                  </w14:solidFill>
                </w14:textFill>
              </w:rPr>
              <w:t>耗量，t；</w:t>
            </w:r>
          </w:p>
          <w:p w14:paraId="19A6B7DD">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q</w:t>
            </w:r>
            <w:r>
              <w:rPr>
                <w:color w:val="000000" w:themeColor="text1"/>
                <w:sz w:val="24"/>
                <w:vertAlign w:val="subscript"/>
                <w14:textFill>
                  <w14:solidFill>
                    <w14:schemeClr w14:val="tx1"/>
                  </w14:solidFill>
                </w14:textFill>
              </w:rPr>
              <w:t>4</w:t>
            </w:r>
            <w:r>
              <w:rPr>
                <w:color w:val="000000" w:themeColor="text1"/>
                <w:sz w:val="24"/>
                <w14:textFill>
                  <w14:solidFill>
                    <w14:schemeClr w14:val="tx1"/>
                  </w14:solidFill>
                </w14:textFill>
              </w:rPr>
              <w:t>—锅炉机械不完全燃烧热损失，本次评价取12；</w:t>
            </w:r>
          </w:p>
          <w:p w14:paraId="2BE84D70">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S</w:t>
            </w:r>
            <w:r>
              <w:rPr>
                <w:color w:val="000000" w:themeColor="text1"/>
                <w:sz w:val="24"/>
                <w:vertAlign w:val="subscript"/>
                <w14:textFill>
                  <w14:solidFill>
                    <w14:schemeClr w14:val="tx1"/>
                  </w14:solidFill>
                </w14:textFill>
              </w:rPr>
              <w:t>ar</w:t>
            </w:r>
            <w:r>
              <w:rPr>
                <w:color w:val="000000" w:themeColor="text1"/>
                <w:sz w:val="24"/>
                <w14:textFill>
                  <w14:solidFill>
                    <w14:schemeClr w14:val="tx1"/>
                  </w14:solidFill>
                </w14:textFill>
              </w:rPr>
              <w:t>—收到基硫的质量分数，本次</w:t>
            </w:r>
            <w:r>
              <w:rPr>
                <w:color w:val="000000" w:themeColor="text1"/>
                <w:kern w:val="0"/>
                <w:sz w:val="24"/>
                <w:lang w:bidi="ar"/>
                <w14:textFill>
                  <w14:solidFill>
                    <w14:schemeClr w14:val="tx1"/>
                  </w14:solidFill>
                </w14:textFill>
              </w:rPr>
              <w:t>评价取</w:t>
            </w:r>
            <w:r>
              <w:rPr>
                <w:color w:val="000000" w:themeColor="text1"/>
                <w:sz w:val="24"/>
                <w14:textFill>
                  <w14:solidFill>
                    <w14:schemeClr w14:val="tx1"/>
                  </w14:solidFill>
                </w14:textFill>
              </w:rPr>
              <w:t>0.02；</w:t>
            </w:r>
          </w:p>
          <w:p w14:paraId="09EF855A">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收到基硫分换算过程：根据燃料分析报告，空气干燥基全硫St,ad=0.021%，收到基全水分Mt,ar=5.50%，空气干燥基水分Mad=5.55%，按公式St,ar=St,ad×(100-Mt,ar)/(100-Mad)=0.021×(100-5.50)/(100-5.55)=0.021×94.50/94.45=0.021%，本次评价取0.02%。</w:t>
            </w:r>
          </w:p>
          <w:p w14:paraId="44DB81FF">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ƞs——脱硫效率，0；</w:t>
            </w:r>
          </w:p>
          <w:p w14:paraId="3416E53C">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K—燃料中硫燃烧后氧化成二氧化硫的份额，本次评价取0.5。</w:t>
            </w:r>
          </w:p>
          <w:p w14:paraId="6D650137">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经计算，本项目锅炉二氧化硫产生浓度为</w:t>
            </w:r>
            <w:r>
              <w:rPr>
                <w:rFonts w:hint="eastAsia"/>
                <w:color w:val="000000" w:themeColor="text1"/>
                <w:sz w:val="24"/>
                <w14:textFill>
                  <w14:solidFill>
                    <w14:schemeClr w14:val="tx1"/>
                  </w14:solidFill>
                </w14:textFill>
              </w:rPr>
              <w:t>23.44</w:t>
            </w:r>
            <w:r>
              <w:rPr>
                <w:color w:val="000000" w:themeColor="text1"/>
                <w:sz w:val="24"/>
                <w14:textFill>
                  <w14:solidFill>
                    <w14:schemeClr w14:val="tx1"/>
                  </w14:solidFill>
                </w14:textFill>
              </w:rPr>
              <w:t>mg/m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，产生量为</w:t>
            </w:r>
            <w:r>
              <w:rPr>
                <w:rFonts w:hint="eastAsia"/>
                <w:color w:val="000000" w:themeColor="text1"/>
                <w:sz w:val="24"/>
                <w14:textFill>
                  <w14:solidFill>
                    <w14:schemeClr w14:val="tx1"/>
                  </w14:solidFill>
                </w14:textFill>
              </w:rPr>
              <w:t>0.064</w:t>
            </w:r>
            <w:r>
              <w:rPr>
                <w:color w:val="000000" w:themeColor="text1"/>
                <w:sz w:val="24"/>
                <w14:textFill>
                  <w14:solidFill>
                    <w14:schemeClr w14:val="tx1"/>
                  </w14:solidFill>
                </w14:textFill>
              </w:rPr>
              <w:t>kg/h，</w:t>
            </w:r>
            <w:r>
              <w:rPr>
                <w:rFonts w:hint="eastAsia"/>
                <w:color w:val="000000" w:themeColor="text1"/>
                <w:sz w:val="24"/>
                <w14:textFill>
                  <w14:solidFill>
                    <w14:schemeClr w14:val="tx1"/>
                  </w14:solidFill>
                </w14:textFill>
              </w:rPr>
              <w:t>0.059</w:t>
            </w:r>
            <w:r>
              <w:rPr>
                <w:color w:val="000000" w:themeColor="text1"/>
                <w:sz w:val="24"/>
                <w14:textFill>
                  <w14:solidFill>
                    <w14:schemeClr w14:val="tx1"/>
                  </w14:solidFill>
                </w14:textFill>
              </w:rPr>
              <w:t>t/a；二氧化硫排放浓度为</w:t>
            </w:r>
            <w:r>
              <w:rPr>
                <w:rFonts w:hint="eastAsia"/>
                <w:color w:val="000000" w:themeColor="text1"/>
                <w:sz w:val="24"/>
                <w14:textFill>
                  <w14:solidFill>
                    <w14:schemeClr w14:val="tx1"/>
                  </w14:solidFill>
                </w14:textFill>
              </w:rPr>
              <w:t>23.44</w:t>
            </w:r>
            <w:r>
              <w:rPr>
                <w:color w:val="000000" w:themeColor="text1"/>
                <w:sz w:val="24"/>
                <w14:textFill>
                  <w14:solidFill>
                    <w14:schemeClr w14:val="tx1"/>
                  </w14:solidFill>
                </w14:textFill>
              </w:rPr>
              <w:t>mg/m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，排放量为</w:t>
            </w:r>
            <w:r>
              <w:rPr>
                <w:rFonts w:hint="eastAsia"/>
                <w:color w:val="000000" w:themeColor="text1"/>
                <w:sz w:val="24"/>
                <w14:textFill>
                  <w14:solidFill>
                    <w14:schemeClr w14:val="tx1"/>
                  </w14:solidFill>
                </w14:textFill>
              </w:rPr>
              <w:t>0.064</w:t>
            </w:r>
            <w:r>
              <w:rPr>
                <w:color w:val="000000" w:themeColor="text1"/>
                <w:sz w:val="24"/>
                <w14:textFill>
                  <w14:solidFill>
                    <w14:schemeClr w14:val="tx1"/>
                  </w14:solidFill>
                </w14:textFill>
              </w:rPr>
              <w:t>kg/h，</w:t>
            </w:r>
            <w:r>
              <w:rPr>
                <w:rFonts w:hint="eastAsia"/>
                <w:color w:val="000000" w:themeColor="text1"/>
                <w:sz w:val="24"/>
                <w14:textFill>
                  <w14:solidFill>
                    <w14:schemeClr w14:val="tx1"/>
                  </w14:solidFill>
                </w14:textFill>
              </w:rPr>
              <w:t>0.059</w:t>
            </w:r>
            <w:r>
              <w:rPr>
                <w:color w:val="000000" w:themeColor="text1"/>
                <w:sz w:val="24"/>
                <w14:textFill>
                  <w14:solidFill>
                    <w14:schemeClr w14:val="tx1"/>
                  </w14:solidFill>
                </w14:textFill>
              </w:rPr>
              <w:t>t/a。</w:t>
            </w:r>
          </w:p>
          <w:p w14:paraId="56EC93B0">
            <w:pPr>
              <w:spacing w:line="360" w:lineRule="auto"/>
              <w:ind w:firstLine="480" w:firstLineChars="200"/>
              <w:rPr>
                <w:color w:val="000000" w:themeColor="text1"/>
                <w:sz w:val="24"/>
                <w:lang w:bidi="zh-CN"/>
                <w14:textFill>
                  <w14:solidFill>
                    <w14:schemeClr w14:val="tx1"/>
                  </w14:solidFill>
                </w14:textFill>
              </w:rPr>
            </w:pPr>
            <w:r>
              <w:rPr>
                <w:color w:val="000000" w:themeColor="text1"/>
                <w:sz w:val="24"/>
                <w:lang w:bidi="zh-CN"/>
                <w14:textFill>
                  <w14:solidFill>
                    <w14:schemeClr w14:val="tx1"/>
                  </w14:solidFill>
                </w14:textFill>
              </w:rPr>
              <w:t>氮氧化物：</w:t>
            </w:r>
          </w:p>
          <w:p w14:paraId="4CEAB8C1">
            <w:pPr>
              <w:spacing w:line="360" w:lineRule="auto"/>
              <w:ind w:firstLine="480" w:firstLineChars="200"/>
              <w:rPr>
                <w:bCs/>
                <w:color w:val="000000" w:themeColor="text1"/>
                <w:kern w:val="0"/>
                <w:sz w:val="24"/>
                <w14:textFill>
                  <w14:solidFill>
                    <w14:schemeClr w14:val="tx1"/>
                  </w14:solidFill>
                </w14:textFill>
              </w:rPr>
            </w:pPr>
            <w:r>
              <w:rPr>
                <w:bCs/>
                <w:color w:val="000000" w:themeColor="text1"/>
                <w:kern w:val="0"/>
                <w:sz w:val="24"/>
                <w14:textFill>
                  <w14:solidFill>
                    <w14:schemeClr w14:val="tx1"/>
                  </w14:solidFill>
                </w14:textFill>
              </w:rPr>
              <w:t>氮氧化物参照《排放源统计调查产排污核算方法和系数手册》，表“4430工业锅炉（热力生产和供应行业）产污系数表-工业锅炉”计算，产污系数见表4-3。</w:t>
            </w:r>
          </w:p>
          <w:p w14:paraId="63BE9A94">
            <w:pPr>
              <w:adjustRightInd w:val="0"/>
              <w:snapToGrid w:val="0"/>
              <w:ind w:firstLine="482" w:firstLineChars="200"/>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表4-3热力生产和供应行业产污系数表-燃煤工业锅炉</w:t>
            </w:r>
          </w:p>
          <w:tbl>
            <w:tblPr>
              <w:tblStyle w:val="24"/>
              <w:tblW w:w="4998"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24"/>
              <w:gridCol w:w="1136"/>
              <w:gridCol w:w="1158"/>
              <w:gridCol w:w="1722"/>
              <w:gridCol w:w="1653"/>
              <w:gridCol w:w="1184"/>
            </w:tblGrid>
            <w:tr w14:paraId="379008E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9" w:type="pct"/>
                  <w:tcBorders>
                    <w:tl2br w:val="nil"/>
                    <w:tr2bl w:val="nil"/>
                  </w:tcBorders>
                  <w:vAlign w:val="center"/>
                </w:tcPr>
                <w:p w14:paraId="223D1122">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产品名称</w:t>
                  </w:r>
                </w:p>
              </w:tc>
              <w:tc>
                <w:tcPr>
                  <w:tcW w:w="694" w:type="pct"/>
                  <w:tcBorders>
                    <w:tl2br w:val="nil"/>
                    <w:tr2bl w:val="nil"/>
                  </w:tcBorders>
                  <w:vAlign w:val="center"/>
                </w:tcPr>
                <w:p w14:paraId="1BC71860">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原料名称</w:t>
                  </w:r>
                </w:p>
              </w:tc>
              <w:tc>
                <w:tcPr>
                  <w:tcW w:w="708" w:type="pct"/>
                  <w:tcBorders>
                    <w:tl2br w:val="nil"/>
                    <w:tr2bl w:val="nil"/>
                  </w:tcBorders>
                  <w:vAlign w:val="center"/>
                </w:tcPr>
                <w:p w14:paraId="3FFED83E">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规模等级</w:t>
                  </w:r>
                </w:p>
              </w:tc>
              <w:tc>
                <w:tcPr>
                  <w:tcW w:w="1052" w:type="pct"/>
                  <w:tcBorders>
                    <w:tl2br w:val="nil"/>
                    <w:tr2bl w:val="nil"/>
                  </w:tcBorders>
                  <w:vAlign w:val="center"/>
                </w:tcPr>
                <w:p w14:paraId="2EBA934C">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污染物指标</w:t>
                  </w:r>
                </w:p>
              </w:tc>
              <w:tc>
                <w:tcPr>
                  <w:tcW w:w="1010" w:type="pct"/>
                  <w:tcBorders>
                    <w:tl2br w:val="nil"/>
                    <w:tr2bl w:val="nil"/>
                  </w:tcBorders>
                  <w:vAlign w:val="center"/>
                </w:tcPr>
                <w:p w14:paraId="46B19D1B">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单位</w:t>
                  </w:r>
                </w:p>
              </w:tc>
              <w:tc>
                <w:tcPr>
                  <w:tcW w:w="723" w:type="pct"/>
                  <w:tcBorders>
                    <w:tl2br w:val="nil"/>
                    <w:tr2bl w:val="nil"/>
                  </w:tcBorders>
                  <w:vAlign w:val="center"/>
                </w:tcPr>
                <w:p w14:paraId="26E4EE20">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产污系数</w:t>
                  </w:r>
                </w:p>
              </w:tc>
            </w:tr>
            <w:tr w14:paraId="748CA23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9" w:type="pct"/>
                  <w:tcBorders>
                    <w:tl2br w:val="nil"/>
                    <w:tr2bl w:val="nil"/>
                  </w:tcBorders>
                  <w:vAlign w:val="center"/>
                </w:tcPr>
                <w:p w14:paraId="2BB195FA">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蒸汽/热水/其他</w:t>
                  </w:r>
                </w:p>
              </w:tc>
              <w:tc>
                <w:tcPr>
                  <w:tcW w:w="694" w:type="pct"/>
                  <w:tcBorders>
                    <w:tl2br w:val="nil"/>
                    <w:tr2bl w:val="nil"/>
                  </w:tcBorders>
                  <w:vAlign w:val="center"/>
                </w:tcPr>
                <w:p w14:paraId="56D3636C">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生物质燃料</w:t>
                  </w:r>
                </w:p>
              </w:tc>
              <w:tc>
                <w:tcPr>
                  <w:tcW w:w="708" w:type="pct"/>
                  <w:tcBorders>
                    <w:tl2br w:val="nil"/>
                    <w:tr2bl w:val="nil"/>
                  </w:tcBorders>
                  <w:vAlign w:val="center"/>
                </w:tcPr>
                <w:p w14:paraId="069A0AA4">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所有规模</w:t>
                  </w:r>
                </w:p>
              </w:tc>
              <w:tc>
                <w:tcPr>
                  <w:tcW w:w="1052" w:type="pct"/>
                  <w:tcBorders>
                    <w:tl2br w:val="nil"/>
                    <w:tr2bl w:val="nil"/>
                  </w:tcBorders>
                  <w:vAlign w:val="center"/>
                </w:tcPr>
                <w:p w14:paraId="5E96F856">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氮氧化物</w:t>
                  </w:r>
                </w:p>
              </w:tc>
              <w:tc>
                <w:tcPr>
                  <w:tcW w:w="1010" w:type="pct"/>
                  <w:tcBorders>
                    <w:tl2br w:val="nil"/>
                    <w:tr2bl w:val="nil"/>
                  </w:tcBorders>
                  <w:vAlign w:val="center"/>
                </w:tcPr>
                <w:p w14:paraId="60C1F560">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千克/吨-原料</w:t>
                  </w:r>
                </w:p>
              </w:tc>
              <w:tc>
                <w:tcPr>
                  <w:tcW w:w="723" w:type="pct"/>
                  <w:tcBorders>
                    <w:tl2br w:val="nil"/>
                    <w:tr2bl w:val="nil"/>
                  </w:tcBorders>
                  <w:vAlign w:val="center"/>
                </w:tcPr>
                <w:p w14:paraId="0BEF4091">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1.02</w:t>
                  </w:r>
                </w:p>
              </w:tc>
            </w:tr>
          </w:tbl>
          <w:p w14:paraId="5238D467">
            <w:pPr>
              <w:spacing w:line="360" w:lineRule="auto"/>
              <w:ind w:firstLine="480" w:firstLineChars="200"/>
              <w:rPr>
                <w:color w:val="000000" w:themeColor="text1"/>
                <w:sz w:val="24"/>
                <w14:textFill>
                  <w14:solidFill>
                    <w14:schemeClr w14:val="tx1"/>
                  </w14:solidFill>
                </w14:textFill>
              </w:rPr>
            </w:pPr>
            <w:r>
              <w:rPr>
                <w:rFonts w:eastAsia="Times New Roman"/>
                <w:color w:val="000000" w:themeColor="text1"/>
                <w:sz w:val="24"/>
                <w14:textFill>
                  <w14:solidFill>
                    <w14:schemeClr w14:val="tx1"/>
                  </w14:solidFill>
                </w14:textFill>
              </w:rPr>
              <w:t>经计算，本项目锅炉氮氧化物产生浓度为95.66mg/m</w:t>
            </w:r>
            <w:r>
              <w:rPr>
                <w:rFonts w:eastAsia="Times New Roman"/>
                <w:color w:val="000000" w:themeColor="text1"/>
                <w:sz w:val="24"/>
                <w:vertAlign w:val="superscript"/>
                <w14:textFill>
                  <w14:solidFill>
                    <w14:schemeClr w14:val="tx1"/>
                  </w14:solidFill>
                </w14:textFill>
              </w:rPr>
              <w:t>3</w:t>
            </w:r>
            <w:r>
              <w:rPr>
                <w:rFonts w:eastAsia="Times New Roman"/>
                <w:color w:val="000000" w:themeColor="text1"/>
                <w:sz w:val="24"/>
                <w14:textFill>
                  <w14:solidFill>
                    <w14:schemeClr w14:val="tx1"/>
                  </w14:solidFill>
                </w14:textFill>
              </w:rPr>
              <w:t>，产生量为0.449kg/h，</w:t>
            </w:r>
            <w:r>
              <w:rPr>
                <w:rFonts w:hint="eastAsia"/>
                <w:color w:val="000000" w:themeColor="text1"/>
                <w:sz w:val="24"/>
                <w:lang w:val="en-US" w:eastAsia="zh-CN"/>
                <w14:textFill>
                  <w14:solidFill>
                    <w14:schemeClr w14:val="tx1"/>
                  </w14:solidFill>
                </w14:textFill>
              </w:rPr>
              <w:t>0.345</w:t>
            </w:r>
            <w:r>
              <w:rPr>
                <w:rFonts w:eastAsia="Times New Roman"/>
                <w:color w:val="000000" w:themeColor="text1"/>
                <w:sz w:val="24"/>
                <w14:textFill>
                  <w14:solidFill>
                    <w14:schemeClr w14:val="tx1"/>
                  </w14:solidFill>
                </w14:textFill>
              </w:rPr>
              <w:t>t/a。本项目锅炉采用低氮燃烧技术（分级配风+烟气再循环），根据《排污许可证申请与核发技术规范 锅炉》（HJ953-2018）表7，低氮燃烧为氮氧化物治理可行技术，氮氧化物去除效率按30%计。经低氮燃烧处理后，氮氧化物排放浓度为95.66mg/m</w:t>
            </w:r>
            <w:r>
              <w:rPr>
                <w:rFonts w:eastAsia="Times New Roman"/>
                <w:color w:val="000000" w:themeColor="text1"/>
                <w:sz w:val="24"/>
                <w:vertAlign w:val="superscript"/>
                <w14:textFill>
                  <w14:solidFill>
                    <w14:schemeClr w14:val="tx1"/>
                  </w14:solidFill>
                </w14:textFill>
              </w:rPr>
              <w:t>3</w:t>
            </w:r>
            <w:r>
              <w:rPr>
                <w:rFonts w:eastAsia="Times New Roman"/>
                <w:color w:val="000000" w:themeColor="text1"/>
                <w:sz w:val="24"/>
                <w14:textFill>
                  <w14:solidFill>
                    <w14:schemeClr w14:val="tx1"/>
                  </w14:solidFill>
                </w14:textFill>
              </w:rPr>
              <w:t>，排放量为0.314kg/h，0.242t/a。</w:t>
            </w:r>
          </w:p>
          <w:p w14:paraId="69394FF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汞及其化合物：本项目燃烧生物质成型颗粒，</w:t>
            </w:r>
            <w:r>
              <w:rPr>
                <w:rFonts w:hint="eastAsia"/>
                <w:color w:val="000000" w:themeColor="text1"/>
                <w:sz w:val="24"/>
                <w14:textFill>
                  <w14:solidFill>
                    <w14:schemeClr w14:val="tx1"/>
                  </w14:solidFill>
                </w14:textFill>
              </w:rPr>
              <w:t>分析报告中未给出汞的含量，根据《直接法测定固体生物质燃料中汞的试验研究》（煤质技术，2020年）可知，生物质汞含量为 15.47ng/g，生物质燃料汞含量极低，故本次不考虑汞的排放。</w:t>
            </w:r>
          </w:p>
          <w:p w14:paraId="56BD29FE">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低氮燃烧技术论述：本项目1.75MW燃生物质热水锅炉采用低氮燃烧技术，主要通过分级配风和烟气再循环方式控制氮氧化物的生成。分级配风将燃烧所需空气分为一次风和二次风，一次风从炉排下方送入，二次风从炉膛上部送入，使燃烧过程分为还原区和氧化区，在还原区抑制燃料型NOx的生成；烟气再循环将部分低温烟气送回炉膛，降低燃烧区温度和氧浓度，从而抑制热力型NOx的生成。根据《排污许可证申请与核发技术规范 锅炉》（HJ953-2018）表7，低氮燃烧属于生物质锅炉氮氧化物治理的可行技术，综合脱硝效率可达30%以上。</w:t>
            </w:r>
          </w:p>
          <w:p w14:paraId="3200D3C2">
            <w:pPr>
              <w:spacing w:line="360" w:lineRule="auto"/>
              <w:ind w:firstLine="480" w:firstLineChars="200"/>
              <w:rPr>
                <w:bCs/>
                <w:color w:val="000000" w:themeColor="text1"/>
                <w:kern w:val="0"/>
                <w:sz w:val="24"/>
                <w14:textFill>
                  <w14:solidFill>
                    <w14:schemeClr w14:val="tx1"/>
                  </w14:solidFill>
                </w14:textFill>
              </w:rPr>
            </w:pPr>
            <w:r>
              <w:rPr>
                <w:color w:val="000000" w:themeColor="text1"/>
                <w:sz w:val="24"/>
                <w14:textFill>
                  <w14:solidFill>
                    <w14:schemeClr w14:val="tx1"/>
                  </w14:solidFill>
                </w14:textFill>
              </w:rPr>
              <w:t>②</w:t>
            </w:r>
            <w:r>
              <w:rPr>
                <w:bCs/>
                <w:color w:val="000000" w:themeColor="text1"/>
                <w:kern w:val="0"/>
                <w:sz w:val="24"/>
                <w14:textFill>
                  <w14:solidFill>
                    <w14:schemeClr w14:val="tx1"/>
                  </w14:solidFill>
                </w14:textFill>
              </w:rPr>
              <w:t>锅炉灰渣储运扬尘</w:t>
            </w:r>
          </w:p>
          <w:p w14:paraId="64C89530">
            <w:pPr>
              <w:spacing w:line="360" w:lineRule="auto"/>
              <w:ind w:firstLine="480" w:firstLineChars="200"/>
              <w:rPr>
                <w:color w:val="000000" w:themeColor="text1"/>
                <w:sz w:val="24"/>
                <w14:textFill>
                  <w14:solidFill>
                    <w14:schemeClr w14:val="tx1"/>
                  </w14:solidFill>
                </w14:textFill>
              </w:rPr>
            </w:pPr>
            <w:r>
              <w:rPr>
                <w:bCs/>
                <w:color w:val="000000" w:themeColor="text1"/>
                <w:kern w:val="0"/>
                <w:sz w:val="24"/>
                <w14:textFill>
                  <w14:solidFill>
                    <w14:schemeClr w14:val="tx1"/>
                  </w14:solidFill>
                </w14:textFill>
              </w:rPr>
              <w:t>本项目锅炉灰渣储</w:t>
            </w:r>
            <w:r>
              <w:rPr>
                <w:rStyle w:val="30"/>
                <w:rFonts w:hint="eastAsia"/>
                <w:bCs/>
                <w:color w:val="000000" w:themeColor="text1"/>
                <w:kern w:val="0"/>
                <w:sz w:val="24"/>
                <w:lang w:val="en-US" w:eastAsia="zh-CN"/>
                <w14:textFill>
                  <w14:solidFill>
                    <w14:schemeClr w14:val="tx1"/>
                  </w14:solidFill>
                </w14:textFill>
              </w:rPr>
              <w:t>采用袋装形式</w:t>
            </w:r>
            <w:r>
              <w:rPr>
                <w:bCs/>
                <w:color w:val="000000" w:themeColor="text1"/>
                <w:kern w:val="0"/>
                <w:sz w:val="24"/>
                <w14:textFill>
                  <w14:solidFill>
                    <w14:schemeClr w14:val="tx1"/>
                  </w14:solidFill>
                </w14:textFill>
              </w:rPr>
              <w:t>存在库房内，灰渣储存及外运过程将产生扬尘，对灰渣暂存位置、灰渣装运过</w:t>
            </w:r>
            <w:r>
              <w:rPr>
                <w:rFonts w:hint="eastAsia"/>
                <w:bCs/>
                <w:color w:val="000000" w:themeColor="text1"/>
                <w:kern w:val="0"/>
                <w:sz w:val="24"/>
                <w14:textFill>
                  <w14:solidFill>
                    <w14:schemeClr w14:val="tx1"/>
                  </w14:solidFill>
                </w14:textFill>
              </w:rPr>
              <w:t>程中</w:t>
            </w:r>
            <w:r>
              <w:rPr>
                <w:bCs/>
                <w:color w:val="000000" w:themeColor="text1"/>
                <w:kern w:val="0"/>
                <w:sz w:val="24"/>
                <w14:textFill>
                  <w14:solidFill>
                    <w14:schemeClr w14:val="tx1"/>
                  </w14:solidFill>
                </w14:textFill>
              </w:rPr>
              <w:t>采取洒水降尘措施，</w:t>
            </w:r>
            <w:r>
              <w:rPr>
                <w:rFonts w:hint="eastAsia"/>
                <w:bCs/>
                <w:color w:val="000000" w:themeColor="text1"/>
                <w:kern w:val="0"/>
                <w:sz w:val="24"/>
                <w14:textFill>
                  <w14:solidFill>
                    <w14:schemeClr w14:val="tx1"/>
                  </w14:solidFill>
                </w14:textFill>
              </w:rPr>
              <w:t>每天洒水5次，</w:t>
            </w:r>
            <w:r>
              <w:rPr>
                <w:bCs/>
                <w:color w:val="000000" w:themeColor="text1"/>
                <w:kern w:val="0"/>
                <w:sz w:val="24"/>
                <w14:textFill>
                  <w14:solidFill>
                    <w14:schemeClr w14:val="tx1"/>
                  </w14:solidFill>
                </w14:textFill>
              </w:rPr>
              <w:t>可有效控制扬尘污染，本次不对其进行定量分析。</w:t>
            </w:r>
          </w:p>
          <w:p w14:paraId="7E1038DC">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（3）排放口基本情况</w:t>
            </w:r>
          </w:p>
          <w:p w14:paraId="4F625BBD">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表4-4排放口基本情况表</w:t>
            </w:r>
          </w:p>
          <w:tbl>
            <w:tblPr>
              <w:tblStyle w:val="24"/>
              <w:tblW w:w="4996"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641"/>
              <w:gridCol w:w="551"/>
              <w:gridCol w:w="1194"/>
              <w:gridCol w:w="1144"/>
              <w:gridCol w:w="744"/>
              <w:gridCol w:w="744"/>
              <w:gridCol w:w="798"/>
              <w:gridCol w:w="577"/>
              <w:gridCol w:w="1780"/>
            </w:tblGrid>
            <w:tr w14:paraId="294D103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7" w:hRule="atLeast"/>
                <w:tblHeader/>
                <w:jc w:val="center"/>
              </w:trPr>
              <w:tc>
                <w:tcPr>
                  <w:tcW w:w="624" w:type="dxa"/>
                  <w:vMerge w:val="restart"/>
                  <w:tcBorders>
                    <w:tl2br w:val="nil"/>
                    <w:tr2bl w:val="nil"/>
                  </w:tcBorders>
                  <w:vAlign w:val="center"/>
                </w:tcPr>
                <w:p w14:paraId="0B663968">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排放口编号</w:t>
                  </w:r>
                </w:p>
              </w:tc>
              <w:tc>
                <w:tcPr>
                  <w:tcW w:w="536" w:type="dxa"/>
                  <w:vMerge w:val="restart"/>
                  <w:tcBorders>
                    <w:tl2br w:val="nil"/>
                    <w:tr2bl w:val="nil"/>
                  </w:tcBorders>
                  <w:vAlign w:val="center"/>
                </w:tcPr>
                <w:p w14:paraId="6BB4F2CA">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排放口名称</w:t>
                  </w:r>
                </w:p>
              </w:tc>
              <w:tc>
                <w:tcPr>
                  <w:tcW w:w="2275" w:type="dxa"/>
                  <w:gridSpan w:val="2"/>
                  <w:tcBorders>
                    <w:tl2br w:val="nil"/>
                    <w:tr2bl w:val="nil"/>
                  </w:tcBorders>
                  <w:vAlign w:val="center"/>
                </w:tcPr>
                <w:p w14:paraId="17D32F70">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排放口地理坐标</w:t>
                  </w:r>
                </w:p>
              </w:tc>
              <w:tc>
                <w:tcPr>
                  <w:tcW w:w="724" w:type="dxa"/>
                  <w:vMerge w:val="restart"/>
                  <w:tcBorders>
                    <w:tl2br w:val="nil"/>
                    <w:tr2bl w:val="nil"/>
                  </w:tcBorders>
                  <w:vAlign w:val="center"/>
                </w:tcPr>
                <w:p w14:paraId="1BCF9F80">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排气筒高度（m）</w:t>
                  </w:r>
                </w:p>
              </w:tc>
              <w:tc>
                <w:tcPr>
                  <w:tcW w:w="724" w:type="dxa"/>
                  <w:vMerge w:val="restart"/>
                  <w:tcBorders>
                    <w:tl2br w:val="nil"/>
                    <w:tr2bl w:val="nil"/>
                  </w:tcBorders>
                  <w:vAlign w:val="center"/>
                </w:tcPr>
                <w:p w14:paraId="0726B3BE">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排气筒出口内径（m）</w:t>
                  </w:r>
                </w:p>
              </w:tc>
              <w:tc>
                <w:tcPr>
                  <w:tcW w:w="777" w:type="dxa"/>
                  <w:vMerge w:val="restart"/>
                  <w:tcBorders>
                    <w:tl2br w:val="nil"/>
                    <w:tr2bl w:val="nil"/>
                  </w:tcBorders>
                  <w:vAlign w:val="center"/>
                </w:tcPr>
                <w:p w14:paraId="72CA2303">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排气温度（℃）</w:t>
                  </w:r>
                </w:p>
              </w:tc>
              <w:tc>
                <w:tcPr>
                  <w:tcW w:w="561" w:type="dxa"/>
                  <w:vMerge w:val="restart"/>
                  <w:tcBorders>
                    <w:tl2br w:val="nil"/>
                    <w:tr2bl w:val="nil"/>
                  </w:tcBorders>
                  <w:vAlign w:val="center"/>
                </w:tcPr>
                <w:p w14:paraId="4FAE239F">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类型</w:t>
                  </w:r>
                </w:p>
              </w:tc>
              <w:tc>
                <w:tcPr>
                  <w:tcW w:w="1732" w:type="dxa"/>
                  <w:vMerge w:val="restart"/>
                  <w:tcBorders>
                    <w:tl2br w:val="nil"/>
                    <w:tr2bl w:val="nil"/>
                  </w:tcBorders>
                  <w:vAlign w:val="center"/>
                </w:tcPr>
                <w:p w14:paraId="66997C93">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执行标准</w:t>
                  </w:r>
                </w:p>
              </w:tc>
            </w:tr>
            <w:tr w14:paraId="0C371FE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2" w:hRule="atLeast"/>
                <w:tblHeader/>
                <w:jc w:val="center"/>
              </w:trPr>
              <w:tc>
                <w:tcPr>
                  <w:tcW w:w="624" w:type="dxa"/>
                  <w:vMerge w:val="continue"/>
                  <w:tcBorders>
                    <w:tl2br w:val="nil"/>
                    <w:tr2bl w:val="nil"/>
                  </w:tcBorders>
                  <w:vAlign w:val="center"/>
                </w:tcPr>
                <w:p w14:paraId="0C7498CE">
                  <w:pPr>
                    <w:jc w:val="center"/>
                    <w:rPr>
                      <w:color w:val="000000" w:themeColor="text1"/>
                      <w:sz w:val="18"/>
                      <w:szCs w:val="18"/>
                      <w14:textFill>
                        <w14:solidFill>
                          <w14:schemeClr w14:val="tx1"/>
                        </w14:solidFill>
                      </w14:textFill>
                    </w:rPr>
                  </w:pPr>
                </w:p>
              </w:tc>
              <w:tc>
                <w:tcPr>
                  <w:tcW w:w="536" w:type="dxa"/>
                  <w:vMerge w:val="continue"/>
                  <w:tcBorders>
                    <w:tl2br w:val="nil"/>
                    <w:tr2bl w:val="nil"/>
                  </w:tcBorders>
                  <w:vAlign w:val="center"/>
                </w:tcPr>
                <w:p w14:paraId="7016C37E">
                  <w:pPr>
                    <w:jc w:val="center"/>
                    <w:rPr>
                      <w:color w:val="000000" w:themeColor="text1"/>
                      <w:sz w:val="18"/>
                      <w:szCs w:val="18"/>
                      <w14:textFill>
                        <w14:solidFill>
                          <w14:schemeClr w14:val="tx1"/>
                        </w14:solidFill>
                      </w14:textFill>
                    </w:rPr>
                  </w:pPr>
                </w:p>
              </w:tc>
              <w:tc>
                <w:tcPr>
                  <w:tcW w:w="1162" w:type="dxa"/>
                  <w:tcBorders>
                    <w:tl2br w:val="nil"/>
                    <w:tr2bl w:val="nil"/>
                  </w:tcBorders>
                  <w:vAlign w:val="center"/>
                </w:tcPr>
                <w:p w14:paraId="34569C81">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经度</w:t>
                  </w:r>
                </w:p>
              </w:tc>
              <w:tc>
                <w:tcPr>
                  <w:tcW w:w="1113" w:type="dxa"/>
                  <w:tcBorders>
                    <w:tl2br w:val="nil"/>
                    <w:tr2bl w:val="nil"/>
                  </w:tcBorders>
                  <w:vAlign w:val="center"/>
                </w:tcPr>
                <w:p w14:paraId="79BED1B5">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纬度</w:t>
                  </w:r>
                </w:p>
              </w:tc>
              <w:tc>
                <w:tcPr>
                  <w:tcW w:w="724" w:type="dxa"/>
                  <w:vMerge w:val="continue"/>
                  <w:tcBorders>
                    <w:tl2br w:val="nil"/>
                    <w:tr2bl w:val="nil"/>
                  </w:tcBorders>
                  <w:vAlign w:val="center"/>
                </w:tcPr>
                <w:p w14:paraId="28800C95">
                  <w:pPr>
                    <w:jc w:val="center"/>
                    <w:rPr>
                      <w:color w:val="000000" w:themeColor="text1"/>
                      <w:sz w:val="18"/>
                      <w:szCs w:val="18"/>
                      <w14:textFill>
                        <w14:solidFill>
                          <w14:schemeClr w14:val="tx1"/>
                        </w14:solidFill>
                      </w14:textFill>
                    </w:rPr>
                  </w:pPr>
                </w:p>
              </w:tc>
              <w:tc>
                <w:tcPr>
                  <w:tcW w:w="724" w:type="dxa"/>
                  <w:vMerge w:val="continue"/>
                  <w:tcBorders>
                    <w:tl2br w:val="nil"/>
                    <w:tr2bl w:val="nil"/>
                  </w:tcBorders>
                  <w:vAlign w:val="center"/>
                </w:tcPr>
                <w:p w14:paraId="536F8579">
                  <w:pPr>
                    <w:jc w:val="center"/>
                    <w:rPr>
                      <w:color w:val="000000" w:themeColor="text1"/>
                      <w:sz w:val="18"/>
                      <w:szCs w:val="18"/>
                      <w14:textFill>
                        <w14:solidFill>
                          <w14:schemeClr w14:val="tx1"/>
                        </w14:solidFill>
                      </w14:textFill>
                    </w:rPr>
                  </w:pPr>
                </w:p>
              </w:tc>
              <w:tc>
                <w:tcPr>
                  <w:tcW w:w="777" w:type="dxa"/>
                  <w:vMerge w:val="continue"/>
                  <w:tcBorders>
                    <w:tl2br w:val="nil"/>
                    <w:tr2bl w:val="nil"/>
                  </w:tcBorders>
                  <w:vAlign w:val="center"/>
                </w:tcPr>
                <w:p w14:paraId="78604886">
                  <w:pPr>
                    <w:jc w:val="center"/>
                    <w:rPr>
                      <w:color w:val="000000" w:themeColor="text1"/>
                      <w:sz w:val="18"/>
                      <w:szCs w:val="18"/>
                      <w14:textFill>
                        <w14:solidFill>
                          <w14:schemeClr w14:val="tx1"/>
                        </w14:solidFill>
                      </w14:textFill>
                    </w:rPr>
                  </w:pPr>
                </w:p>
              </w:tc>
              <w:tc>
                <w:tcPr>
                  <w:tcW w:w="561" w:type="dxa"/>
                  <w:vMerge w:val="continue"/>
                  <w:tcBorders>
                    <w:tl2br w:val="nil"/>
                    <w:tr2bl w:val="nil"/>
                  </w:tcBorders>
                  <w:vAlign w:val="center"/>
                </w:tcPr>
                <w:p w14:paraId="20CB2728">
                  <w:pPr>
                    <w:jc w:val="center"/>
                    <w:rPr>
                      <w:color w:val="000000" w:themeColor="text1"/>
                      <w:sz w:val="18"/>
                      <w:szCs w:val="18"/>
                      <w14:textFill>
                        <w14:solidFill>
                          <w14:schemeClr w14:val="tx1"/>
                        </w14:solidFill>
                      </w14:textFill>
                    </w:rPr>
                  </w:pPr>
                </w:p>
              </w:tc>
              <w:tc>
                <w:tcPr>
                  <w:tcW w:w="1732" w:type="dxa"/>
                  <w:vMerge w:val="continue"/>
                  <w:tcBorders>
                    <w:tl2br w:val="nil"/>
                    <w:tr2bl w:val="nil"/>
                  </w:tcBorders>
                  <w:vAlign w:val="center"/>
                </w:tcPr>
                <w:p w14:paraId="2CA9E15B">
                  <w:pPr>
                    <w:jc w:val="center"/>
                    <w:rPr>
                      <w:color w:val="000000" w:themeColor="text1"/>
                      <w:sz w:val="18"/>
                      <w:szCs w:val="18"/>
                      <w14:textFill>
                        <w14:solidFill>
                          <w14:schemeClr w14:val="tx1"/>
                        </w14:solidFill>
                      </w14:textFill>
                    </w:rPr>
                  </w:pPr>
                </w:p>
              </w:tc>
            </w:tr>
            <w:tr w14:paraId="7335B70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2" w:hRule="atLeast"/>
                <w:tblHeader/>
                <w:jc w:val="center"/>
              </w:trPr>
              <w:tc>
                <w:tcPr>
                  <w:tcW w:w="624" w:type="dxa"/>
                  <w:tcBorders>
                    <w:tl2br w:val="nil"/>
                    <w:tr2bl w:val="nil"/>
                  </w:tcBorders>
                  <w:vAlign w:val="center"/>
                </w:tcPr>
                <w:p w14:paraId="39CF8B1A">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DA001</w:t>
                  </w:r>
                </w:p>
              </w:tc>
              <w:tc>
                <w:tcPr>
                  <w:tcW w:w="536" w:type="dxa"/>
                  <w:tcBorders>
                    <w:tl2br w:val="nil"/>
                    <w:tr2bl w:val="nil"/>
                  </w:tcBorders>
                  <w:vAlign w:val="center"/>
                </w:tcPr>
                <w:p w14:paraId="6A184866">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烟囱</w:t>
                  </w:r>
                </w:p>
              </w:tc>
              <w:tc>
                <w:tcPr>
                  <w:tcW w:w="1162" w:type="dxa"/>
                  <w:tcBorders>
                    <w:tl2br w:val="nil"/>
                    <w:tr2bl w:val="nil"/>
                  </w:tcBorders>
                  <w:vAlign w:val="center"/>
                </w:tcPr>
                <w:p w14:paraId="409E56BC">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129.102987</w:t>
                  </w:r>
                </w:p>
              </w:tc>
              <w:tc>
                <w:tcPr>
                  <w:tcW w:w="1113" w:type="dxa"/>
                  <w:tcBorders>
                    <w:tl2br w:val="nil"/>
                    <w:tr2bl w:val="nil"/>
                  </w:tcBorders>
                  <w:vAlign w:val="center"/>
                </w:tcPr>
                <w:p w14:paraId="1572306F">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47.610072</w:t>
                  </w:r>
                </w:p>
              </w:tc>
              <w:tc>
                <w:tcPr>
                  <w:tcW w:w="724" w:type="dxa"/>
                  <w:tcBorders>
                    <w:tl2br w:val="nil"/>
                    <w:tr2bl w:val="nil"/>
                  </w:tcBorders>
                  <w:vAlign w:val="center"/>
                </w:tcPr>
                <w:p w14:paraId="58B8C666">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30</w:t>
                  </w:r>
                </w:p>
              </w:tc>
              <w:tc>
                <w:tcPr>
                  <w:tcW w:w="724" w:type="dxa"/>
                  <w:tcBorders>
                    <w:tl2br w:val="nil"/>
                    <w:tr2bl w:val="nil"/>
                  </w:tcBorders>
                  <w:vAlign w:val="center"/>
                </w:tcPr>
                <w:p w14:paraId="43A01A1C">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0.28</w:t>
                  </w:r>
                </w:p>
              </w:tc>
              <w:tc>
                <w:tcPr>
                  <w:tcW w:w="777" w:type="dxa"/>
                  <w:tcBorders>
                    <w:tl2br w:val="nil"/>
                    <w:tr2bl w:val="nil"/>
                  </w:tcBorders>
                  <w:vAlign w:val="center"/>
                </w:tcPr>
                <w:p w14:paraId="701682F4">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140</w:t>
                  </w:r>
                </w:p>
              </w:tc>
              <w:tc>
                <w:tcPr>
                  <w:tcW w:w="561" w:type="dxa"/>
                  <w:tcBorders>
                    <w:tl2br w:val="nil"/>
                    <w:tr2bl w:val="nil"/>
                  </w:tcBorders>
                  <w:vAlign w:val="center"/>
                </w:tcPr>
                <w:p w14:paraId="2AAAC23A">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一般排放口</w:t>
                  </w:r>
                </w:p>
              </w:tc>
              <w:tc>
                <w:tcPr>
                  <w:tcW w:w="1732" w:type="dxa"/>
                  <w:tcBorders>
                    <w:tl2br w:val="nil"/>
                    <w:tr2bl w:val="nil"/>
                  </w:tcBorders>
                  <w:vAlign w:val="center"/>
                </w:tcPr>
                <w:p w14:paraId="73EA0103">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《锅炉大气污染物排放标准》（GB13271-2014）表2燃煤</w:t>
                  </w:r>
                </w:p>
              </w:tc>
            </w:tr>
          </w:tbl>
          <w:p w14:paraId="6B350E12">
            <w:pPr>
              <w:adjustRightInd w:val="0"/>
              <w:snapToGrid w:val="0"/>
              <w:spacing w:line="360" w:lineRule="auto"/>
              <w:ind w:firstLine="480" w:firstLineChars="200"/>
              <w:rPr>
                <w:rFonts w:hint="eastAsia" w:eastAsia="宋体"/>
                <w:bCs/>
                <w:color w:val="000000" w:themeColor="text1"/>
                <w:sz w:val="24"/>
                <w:lang w:eastAsia="zh-CN"/>
                <w14:textFill>
                  <w14:solidFill>
                    <w14:schemeClr w14:val="tx1"/>
                  </w14:solidFill>
                </w14:textFill>
              </w:rPr>
            </w:pPr>
            <w:r>
              <w:rPr>
                <w:rFonts w:hint="eastAsia" w:eastAsia="宋体"/>
                <w:bCs/>
                <w:color w:val="000000" w:themeColor="text1"/>
                <w:sz w:val="24"/>
                <w:lang w:eastAsia="zh-CN"/>
                <w14:textFill>
                  <w14:solidFill>
                    <w14:schemeClr w14:val="tx1"/>
                  </w14:solidFill>
                </w14:textFill>
              </w:rPr>
              <w:t>注:根据《大气污染治理工程技术导则》</w:t>
            </w:r>
            <w:r>
              <w:rPr>
                <w:rFonts w:hint="eastAsia"/>
                <w:bCs/>
                <w:color w:val="000000" w:themeColor="text1"/>
                <w:sz w:val="24"/>
                <w:lang w:eastAsia="zh-CN"/>
                <w14:textFill>
                  <w14:solidFill>
                    <w14:schemeClr w14:val="tx1"/>
                  </w14:solidFill>
                </w14:textFill>
              </w:rPr>
              <w:t>（</w:t>
            </w:r>
            <w:r>
              <w:rPr>
                <w:rFonts w:hint="eastAsia" w:eastAsia="宋体"/>
                <w:bCs/>
                <w:color w:val="000000" w:themeColor="text1"/>
                <w:sz w:val="24"/>
                <w:lang w:eastAsia="zh-CN"/>
                <w14:textFill>
                  <w14:solidFill>
                    <w14:schemeClr w14:val="tx1"/>
                  </w14:solidFill>
                </w14:textFill>
              </w:rPr>
              <w:t>HJ2000-2010</w:t>
            </w:r>
            <w:r>
              <w:rPr>
                <w:rFonts w:hint="eastAsia"/>
                <w:bCs/>
                <w:color w:val="000000" w:themeColor="text1"/>
                <w:sz w:val="24"/>
                <w:lang w:eastAsia="zh-CN"/>
                <w14:textFill>
                  <w14:solidFill>
                    <w14:schemeClr w14:val="tx1"/>
                  </w14:solidFill>
                </w14:textFill>
              </w:rPr>
              <w:t>）</w:t>
            </w:r>
            <w:r>
              <w:rPr>
                <w:rFonts w:hint="eastAsia" w:eastAsia="宋体"/>
                <w:bCs/>
                <w:color w:val="000000" w:themeColor="text1"/>
                <w:sz w:val="24"/>
                <w:lang w:eastAsia="zh-CN"/>
                <w14:textFill>
                  <w14:solidFill>
                    <w14:schemeClr w14:val="tx1"/>
                  </w14:solidFill>
                </w14:textFill>
              </w:rPr>
              <w:t>中“5.3.5排气筒的出口直径应根据出口流速确定，流速直取15m/s左右。当采用钢管烟囱且高度较高时或烟气量较大时，可话当提高出口流速至20~25m/s</w:t>
            </w:r>
            <w:r>
              <w:rPr>
                <w:rFonts w:hint="eastAsia"/>
                <w:bCs/>
                <w:color w:val="000000" w:themeColor="text1"/>
                <w:sz w:val="24"/>
                <w:lang w:eastAsia="zh-CN"/>
                <w14:textFill>
                  <w14:solidFill>
                    <w14:schemeClr w14:val="tx1"/>
                  </w14:solidFill>
                </w14:textFill>
              </w:rPr>
              <w:t>”。</w:t>
            </w:r>
            <w:r>
              <w:rPr>
                <w:rFonts w:hint="eastAsia" w:eastAsia="宋体"/>
                <w:bCs/>
                <w:color w:val="000000" w:themeColor="text1"/>
                <w:sz w:val="24"/>
                <w:lang w:eastAsia="zh-CN"/>
                <w14:textFill>
                  <w14:solidFill>
                    <w14:schemeClr w14:val="tx1"/>
                  </w14:solidFill>
                </w14:textFill>
              </w:rPr>
              <w:t>项目流速取15m/s</w:t>
            </w:r>
            <w:r>
              <w:rPr>
                <w:rFonts w:hint="eastAsia"/>
                <w:bCs/>
                <w:color w:val="000000" w:themeColor="text1"/>
                <w:sz w:val="24"/>
                <w:lang w:eastAsia="zh-CN"/>
                <w14:textFill>
                  <w14:solidFill>
                    <w14:schemeClr w14:val="tx1"/>
                  </w14:solidFill>
                </w14:textFill>
              </w:rPr>
              <w:t>，</w:t>
            </w:r>
            <w:r>
              <w:rPr>
                <w:rFonts w:hint="eastAsia" w:eastAsia="宋体"/>
                <w:bCs/>
                <w:color w:val="000000" w:themeColor="text1"/>
                <w:sz w:val="24"/>
                <w:lang w:eastAsia="zh-CN"/>
                <w14:textFill>
                  <w14:solidFill>
                    <w14:schemeClr w14:val="tx1"/>
                  </w14:solidFill>
                </w14:textFill>
              </w:rPr>
              <w:t>烟气封为3285.</w:t>
            </w:r>
            <w:r>
              <w:rPr>
                <w:rFonts w:hint="eastAsia"/>
                <w:bCs/>
                <w:color w:val="000000" w:themeColor="text1"/>
                <w:sz w:val="24"/>
                <w:lang w:val="en-US" w:eastAsia="zh-CN"/>
                <w14:textFill>
                  <w14:solidFill>
                    <w14:schemeClr w14:val="tx1"/>
                  </w14:solidFill>
                </w14:textFill>
              </w:rPr>
              <w:t>861</w:t>
            </w:r>
            <w:r>
              <w:rPr>
                <w:rFonts w:hint="eastAsia" w:eastAsia="宋体"/>
                <w:bCs/>
                <w:color w:val="000000" w:themeColor="text1"/>
                <w:sz w:val="24"/>
                <w:lang w:eastAsia="zh-CN"/>
                <w14:textFill>
                  <w14:solidFill>
                    <w14:schemeClr w14:val="tx1"/>
                  </w14:solidFill>
                </w14:textFill>
              </w:rPr>
              <w:t>m</w:t>
            </w:r>
            <w:r>
              <w:rPr>
                <w:rFonts w:hint="eastAsia" w:eastAsia="宋体"/>
                <w:bCs/>
                <w:color w:val="000000" w:themeColor="text1"/>
                <w:sz w:val="24"/>
                <w:vertAlign w:val="superscript"/>
                <w:lang w:eastAsia="zh-CN"/>
                <w14:textFill>
                  <w14:solidFill>
                    <w14:schemeClr w14:val="tx1"/>
                  </w14:solidFill>
                </w14:textFill>
              </w:rPr>
              <w:t>2</w:t>
            </w:r>
            <w:r>
              <w:rPr>
                <w:rFonts w:hint="eastAsia"/>
                <w:bCs/>
                <w:color w:val="000000" w:themeColor="text1"/>
                <w:sz w:val="24"/>
                <w:lang w:val="en-US" w:eastAsia="zh-CN"/>
                <w14:textFill>
                  <w14:solidFill>
                    <w14:schemeClr w14:val="tx1"/>
                  </w14:solidFill>
                </w14:textFill>
              </w:rPr>
              <w:t>/h，</w:t>
            </w:r>
            <w:r>
              <w:rPr>
                <w:rFonts w:hint="eastAsia" w:eastAsia="宋体"/>
                <w:bCs/>
                <w:color w:val="000000" w:themeColor="text1"/>
                <w:sz w:val="24"/>
                <w:lang w:eastAsia="zh-CN"/>
                <w14:textFill>
                  <w14:solidFill>
                    <w14:schemeClr w14:val="tx1"/>
                  </w14:solidFill>
                </w14:textFill>
              </w:rPr>
              <w:t>维计算内径:</w:t>
            </w:r>
          </w:p>
          <w:p w14:paraId="11BA7FC4">
            <w:pPr>
              <w:adjustRightInd w:val="0"/>
              <w:snapToGrid w:val="0"/>
              <w:spacing w:line="360" w:lineRule="auto"/>
              <w:ind w:firstLine="480" w:firstLineChars="200"/>
              <w:jc w:val="left"/>
              <w:rPr>
                <w:rFonts w:hint="eastAsia" w:eastAsia="宋体"/>
                <w:bCs/>
                <w:color w:val="000000" w:themeColor="text1"/>
                <w:sz w:val="24"/>
                <w:lang w:eastAsia="zh-CN"/>
                <w14:textFill>
                  <w14:solidFill>
                    <w14:schemeClr w14:val="tx1"/>
                  </w14:solidFill>
                </w14:textFill>
              </w:rPr>
            </w:pPr>
            <w:r>
              <w:rPr>
                <w:rFonts w:hint="eastAsia" w:eastAsia="宋体"/>
                <w:bCs/>
                <w:color w:val="000000" w:themeColor="text1"/>
                <w:sz w:val="24"/>
                <w:lang w:eastAsia="zh-CN"/>
                <w14:textFill>
                  <w14:solidFill>
                    <w14:schemeClr w14:val="tx1"/>
                  </w14:solidFill>
                </w14:textFill>
              </w:rPr>
              <w:t>r</w:t>
            </w:r>
            <w:r>
              <w:rPr>
                <w:rFonts w:hint="eastAsia" w:eastAsia="宋体"/>
                <w:bCs/>
                <w:color w:val="000000" w:themeColor="text1"/>
                <w:sz w:val="24"/>
                <w:vertAlign w:val="superscript"/>
                <w:lang w:eastAsia="zh-CN"/>
                <w14:textFill>
                  <w14:solidFill>
                    <w14:schemeClr w14:val="tx1"/>
                  </w14:solidFill>
                </w14:textFill>
              </w:rPr>
              <w:t>2</w:t>
            </w:r>
            <w:r>
              <w:rPr>
                <w:rFonts w:hint="eastAsia" w:eastAsia="宋体"/>
                <w:bCs/>
                <w:color w:val="000000" w:themeColor="text1"/>
                <w:sz w:val="24"/>
                <w:lang w:eastAsia="zh-CN"/>
                <w14:textFill>
                  <w14:solidFill>
                    <w14:schemeClr w14:val="tx1"/>
                  </w14:solidFill>
                </w14:textFill>
              </w:rPr>
              <w:t>=3285.</w:t>
            </w:r>
            <w:r>
              <w:rPr>
                <w:rFonts w:hint="eastAsia"/>
                <w:bCs/>
                <w:color w:val="000000" w:themeColor="text1"/>
                <w:sz w:val="24"/>
                <w:lang w:val="en-US" w:eastAsia="zh-CN"/>
                <w14:textFill>
                  <w14:solidFill>
                    <w14:schemeClr w14:val="tx1"/>
                  </w14:solidFill>
                </w14:textFill>
              </w:rPr>
              <w:t>861</w:t>
            </w:r>
            <w:r>
              <w:rPr>
                <w:rFonts w:hint="eastAsia" w:eastAsia="宋体"/>
                <w:bCs/>
                <w:color w:val="000000" w:themeColor="text1"/>
                <w:sz w:val="24"/>
                <w:lang w:eastAsia="zh-CN"/>
                <w14:textFill>
                  <w14:solidFill>
                    <w14:schemeClr w14:val="tx1"/>
                  </w14:solidFill>
                </w14:textFill>
              </w:rPr>
              <w:t>/3600/15/3.14=0.01</w:t>
            </w:r>
            <w:r>
              <w:rPr>
                <w:rFonts w:hint="eastAsia"/>
                <w:bCs/>
                <w:color w:val="000000" w:themeColor="text1"/>
                <w:sz w:val="24"/>
                <w:lang w:val="en-US" w:eastAsia="zh-CN"/>
                <w14:textFill>
                  <w14:solidFill>
                    <w14:schemeClr w14:val="tx1"/>
                  </w14:solidFill>
                </w14:textFill>
              </w:rPr>
              <w:t>94</w:t>
            </w:r>
            <w:r>
              <w:rPr>
                <w:rFonts w:hint="eastAsia" w:eastAsia="宋体"/>
                <w:bCs/>
                <w:color w:val="000000" w:themeColor="text1"/>
                <w:sz w:val="24"/>
                <w:lang w:eastAsia="zh-CN"/>
                <w14:textFill>
                  <w14:solidFill>
                    <w14:schemeClr w14:val="tx1"/>
                  </w14:solidFill>
                </w14:textFill>
              </w:rPr>
              <w:t>m</w:t>
            </w:r>
          </w:p>
          <w:p w14:paraId="5778709C">
            <w:pPr>
              <w:adjustRightInd w:val="0"/>
              <w:snapToGrid w:val="0"/>
              <w:spacing w:line="360" w:lineRule="auto"/>
              <w:ind w:firstLine="480" w:firstLineChars="200"/>
              <w:jc w:val="left"/>
              <w:rPr>
                <w:rFonts w:hint="eastAsia" w:eastAsia="宋体"/>
                <w:bCs/>
                <w:color w:val="000000" w:themeColor="text1"/>
                <w:sz w:val="24"/>
                <w:lang w:eastAsia="zh-CN"/>
                <w14:textFill>
                  <w14:solidFill>
                    <w14:schemeClr w14:val="tx1"/>
                  </w14:solidFill>
                </w14:textFill>
              </w:rPr>
            </w:pPr>
            <w:r>
              <w:rPr>
                <w:rFonts w:hint="eastAsia" w:eastAsia="宋体"/>
                <w:bCs/>
                <w:color w:val="000000" w:themeColor="text1"/>
                <w:sz w:val="24"/>
                <w:lang w:eastAsia="zh-CN"/>
                <w14:textFill>
                  <w14:solidFill>
                    <w14:schemeClr w14:val="tx1"/>
                  </w14:solidFill>
                </w14:textFill>
              </w:rPr>
              <w:t>r=0.1</w:t>
            </w:r>
            <w:r>
              <w:rPr>
                <w:rFonts w:hint="eastAsia"/>
                <w:bCs/>
                <w:color w:val="000000" w:themeColor="text1"/>
                <w:sz w:val="24"/>
                <w:lang w:val="en-US" w:eastAsia="zh-CN"/>
                <w14:textFill>
                  <w14:solidFill>
                    <w14:schemeClr w14:val="tx1"/>
                  </w14:solidFill>
                </w14:textFill>
              </w:rPr>
              <w:t>4</w:t>
            </w:r>
            <w:r>
              <w:rPr>
                <w:rFonts w:hint="eastAsia" w:eastAsia="宋体"/>
                <w:bCs/>
                <w:color w:val="000000" w:themeColor="text1"/>
                <w:sz w:val="24"/>
                <w:lang w:eastAsia="zh-CN"/>
                <w14:textFill>
                  <w14:solidFill>
                    <w14:schemeClr w14:val="tx1"/>
                  </w14:solidFill>
                </w14:textFill>
              </w:rPr>
              <w:t>m</w:t>
            </w:r>
            <w:r>
              <w:rPr>
                <w:rFonts w:hint="eastAsia"/>
                <w:bCs/>
                <w:color w:val="000000" w:themeColor="text1"/>
                <w:sz w:val="24"/>
                <w:lang w:eastAsia="zh-CN"/>
                <w14:textFill>
                  <w14:solidFill>
                    <w14:schemeClr w14:val="tx1"/>
                  </w14:solidFill>
                </w14:textFill>
              </w:rPr>
              <w:t>，</w:t>
            </w:r>
            <w:r>
              <w:rPr>
                <w:rFonts w:hint="eastAsia" w:eastAsia="宋体"/>
                <w:bCs/>
                <w:color w:val="000000" w:themeColor="text1"/>
                <w:sz w:val="24"/>
                <w:lang w:eastAsia="zh-CN"/>
                <w14:textFill>
                  <w14:solidFill>
                    <w14:schemeClr w14:val="tx1"/>
                  </w14:solidFill>
                </w14:textFill>
              </w:rPr>
              <w:t>d=0.2</w:t>
            </w:r>
            <w:r>
              <w:rPr>
                <w:rFonts w:hint="eastAsia"/>
                <w:bCs/>
                <w:color w:val="000000" w:themeColor="text1"/>
                <w:sz w:val="24"/>
                <w:lang w:val="en-US" w:eastAsia="zh-CN"/>
                <w14:textFill>
                  <w14:solidFill>
                    <w14:schemeClr w14:val="tx1"/>
                  </w14:solidFill>
                </w14:textFill>
              </w:rPr>
              <w:t>8</w:t>
            </w:r>
            <w:r>
              <w:rPr>
                <w:rFonts w:hint="eastAsia" w:eastAsia="宋体"/>
                <w:bCs/>
                <w:color w:val="000000" w:themeColor="text1"/>
                <w:sz w:val="24"/>
                <w:lang w:eastAsia="zh-CN"/>
                <w14:textFill>
                  <w14:solidFill>
                    <w14:schemeClr w14:val="tx1"/>
                  </w14:solidFill>
                </w14:textFill>
              </w:rPr>
              <w:t>m。</w:t>
            </w:r>
          </w:p>
          <w:p w14:paraId="6EBBEAA6">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（4）监测要求</w:t>
            </w:r>
          </w:p>
          <w:p w14:paraId="3A25D16D">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锅炉参照《排污单位自行监测技术指南火力发电及锅炉》（HJ820-2017），详见表4-5。</w:t>
            </w:r>
          </w:p>
          <w:p w14:paraId="57E00475">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表4-5监测要求</w:t>
            </w:r>
          </w:p>
          <w:tbl>
            <w:tblPr>
              <w:tblStyle w:val="24"/>
              <w:tblW w:w="0" w:type="auto"/>
              <w:tblInd w:w="5"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646"/>
              <w:gridCol w:w="2647"/>
              <w:gridCol w:w="2648"/>
            </w:tblGrid>
            <w:tr w14:paraId="06AF600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6" w:type="dxa"/>
                  <w:tcBorders>
                    <w:top w:val="single" w:color="auto" w:sz="8" w:space="0"/>
                    <w:bottom w:val="single" w:color="auto" w:sz="4" w:space="0"/>
                    <w:right w:val="single" w:color="auto" w:sz="4" w:space="0"/>
                    <w:tl2br w:val="nil"/>
                    <w:tr2bl w:val="nil"/>
                  </w:tcBorders>
                  <w:vAlign w:val="center"/>
                </w:tcPr>
                <w:p w14:paraId="4817EFBE">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监测点位</w:t>
                  </w:r>
                </w:p>
              </w:tc>
              <w:tc>
                <w:tcPr>
                  <w:tcW w:w="2647" w:type="dxa"/>
                  <w:tcBorders>
                    <w:top w:val="single" w:color="auto" w:sz="8" w:space="0"/>
                    <w:left w:val="single" w:color="auto" w:sz="4" w:space="0"/>
                    <w:bottom w:val="single" w:color="auto" w:sz="4" w:space="0"/>
                    <w:right w:val="single" w:color="auto" w:sz="4" w:space="0"/>
                    <w:tl2br w:val="nil"/>
                    <w:tr2bl w:val="nil"/>
                  </w:tcBorders>
                  <w:vAlign w:val="center"/>
                </w:tcPr>
                <w:p w14:paraId="595533CC">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监测因子</w:t>
                  </w:r>
                </w:p>
              </w:tc>
              <w:tc>
                <w:tcPr>
                  <w:tcW w:w="2648" w:type="dxa"/>
                  <w:tcBorders>
                    <w:top w:val="single" w:color="auto" w:sz="8" w:space="0"/>
                    <w:left w:val="single" w:color="auto" w:sz="4" w:space="0"/>
                    <w:bottom w:val="single" w:color="auto" w:sz="4" w:space="0"/>
                    <w:tl2br w:val="nil"/>
                    <w:tr2bl w:val="nil"/>
                  </w:tcBorders>
                  <w:vAlign w:val="center"/>
                </w:tcPr>
                <w:p w14:paraId="34B108E7">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监测频次</w:t>
                  </w:r>
                </w:p>
              </w:tc>
            </w:tr>
            <w:tr w14:paraId="48CBE78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6" w:type="dxa"/>
                  <w:tcBorders>
                    <w:top w:val="single" w:color="auto" w:sz="4" w:space="0"/>
                    <w:bottom w:val="single" w:color="auto" w:sz="4" w:space="0"/>
                    <w:right w:val="single" w:color="auto" w:sz="4" w:space="0"/>
                    <w:tl2br w:val="nil"/>
                    <w:tr2bl w:val="nil"/>
                  </w:tcBorders>
                  <w:vAlign w:val="center"/>
                </w:tcPr>
                <w:p w14:paraId="1104E6A2">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DA001</w:t>
                  </w:r>
                </w:p>
              </w:tc>
              <w:tc>
                <w:tcPr>
                  <w:tcW w:w="2647" w:type="dxa"/>
                  <w:tcBorders>
                    <w:top w:val="single" w:color="auto" w:sz="4" w:space="0"/>
                    <w:left w:val="single" w:color="auto" w:sz="4" w:space="0"/>
                    <w:bottom w:val="single" w:color="auto" w:sz="4" w:space="0"/>
                    <w:right w:val="single" w:color="auto" w:sz="4" w:space="0"/>
                    <w:tl2br w:val="nil"/>
                    <w:tr2bl w:val="nil"/>
                  </w:tcBorders>
                  <w:vAlign w:val="center"/>
                </w:tcPr>
                <w:p w14:paraId="04109DC3">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颗粒物、SO</w:t>
                  </w:r>
                  <w:r>
                    <w:rPr>
                      <w:bCs/>
                      <w:color w:val="000000" w:themeColor="text1"/>
                      <w:szCs w:val="21"/>
                      <w:vertAlign w:val="subscript"/>
                      <w14:textFill>
                        <w14:solidFill>
                          <w14:schemeClr w14:val="tx1"/>
                        </w14:solidFill>
                      </w14:textFill>
                    </w:rPr>
                    <w:t>2</w:t>
                  </w:r>
                  <w:r>
                    <w:rPr>
                      <w:bCs/>
                      <w:color w:val="000000" w:themeColor="text1"/>
                      <w:szCs w:val="21"/>
                      <w14:textFill>
                        <w14:solidFill>
                          <w14:schemeClr w14:val="tx1"/>
                        </w14:solidFill>
                      </w14:textFill>
                    </w:rPr>
                    <w:t>、NO</w:t>
                  </w:r>
                  <w:r>
                    <w:rPr>
                      <w:bCs/>
                      <w:color w:val="000000" w:themeColor="text1"/>
                      <w:szCs w:val="21"/>
                      <w:vertAlign w:val="subscript"/>
                      <w14:textFill>
                        <w14:solidFill>
                          <w14:schemeClr w14:val="tx1"/>
                        </w14:solidFill>
                      </w14:textFill>
                    </w:rPr>
                    <w:t>X</w:t>
                  </w:r>
                  <w:r>
                    <w:rPr>
                      <w:bCs/>
                      <w:color w:val="000000" w:themeColor="text1"/>
                      <w:szCs w:val="21"/>
                      <w14:textFill>
                        <w14:solidFill>
                          <w14:schemeClr w14:val="tx1"/>
                        </w14:solidFill>
                      </w14:textFill>
                    </w:rPr>
                    <w:t>、</w:t>
                  </w:r>
                  <w:r>
                    <w:rPr>
                      <w:rFonts w:hint="eastAsia"/>
                      <w:bCs/>
                      <w:color w:val="000000" w:themeColor="text1"/>
                      <w:szCs w:val="21"/>
                      <w:lang w:val="en-US" w:eastAsia="zh-CN"/>
                      <w14:textFill>
                        <w14:solidFill>
                          <w14:schemeClr w14:val="tx1"/>
                        </w14:solidFill>
                      </w14:textFill>
                    </w:rPr>
                    <w:t>汞及其化合物、</w:t>
                  </w:r>
                  <w:r>
                    <w:rPr>
                      <w:bCs/>
                      <w:color w:val="000000" w:themeColor="text1"/>
                      <w:szCs w:val="21"/>
                      <w14:textFill>
                        <w14:solidFill>
                          <w14:schemeClr w14:val="tx1"/>
                        </w14:solidFill>
                      </w14:textFill>
                    </w:rPr>
                    <w:t>烟气黑度</w:t>
                  </w:r>
                </w:p>
              </w:tc>
              <w:tc>
                <w:tcPr>
                  <w:tcW w:w="2648" w:type="dxa"/>
                  <w:tcBorders>
                    <w:top w:val="single" w:color="auto" w:sz="4" w:space="0"/>
                    <w:left w:val="single" w:color="auto" w:sz="4" w:space="0"/>
                    <w:bottom w:val="single" w:color="auto" w:sz="4" w:space="0"/>
                    <w:tl2br w:val="nil"/>
                    <w:tr2bl w:val="nil"/>
                  </w:tcBorders>
                  <w:vAlign w:val="center"/>
                </w:tcPr>
                <w:p w14:paraId="0C80EB34">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1次/月</w:t>
                  </w:r>
                </w:p>
              </w:tc>
            </w:tr>
            <w:tr w14:paraId="450744A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6" w:type="dxa"/>
                  <w:tcBorders>
                    <w:top w:val="single" w:color="auto" w:sz="4" w:space="0"/>
                    <w:bottom w:val="single" w:color="auto" w:sz="4" w:space="0"/>
                    <w:right w:val="single" w:color="auto" w:sz="4" w:space="0"/>
                    <w:tl2br w:val="nil"/>
                    <w:tr2bl w:val="nil"/>
                  </w:tcBorders>
                  <w:vAlign w:val="center"/>
                </w:tcPr>
                <w:p w14:paraId="517F1F3B">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厂界</w:t>
                  </w:r>
                </w:p>
              </w:tc>
              <w:tc>
                <w:tcPr>
                  <w:tcW w:w="2647" w:type="dxa"/>
                  <w:tcBorders>
                    <w:top w:val="single" w:color="auto" w:sz="4" w:space="0"/>
                    <w:left w:val="single" w:color="auto" w:sz="4" w:space="0"/>
                    <w:bottom w:val="single" w:color="auto" w:sz="4" w:space="0"/>
                    <w:right w:val="single" w:color="auto" w:sz="4" w:space="0"/>
                    <w:tl2br w:val="nil"/>
                    <w:tr2bl w:val="nil"/>
                  </w:tcBorders>
                  <w:vAlign w:val="center"/>
                </w:tcPr>
                <w:p w14:paraId="14DE02D0">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颗粒物</w:t>
                  </w:r>
                </w:p>
              </w:tc>
              <w:tc>
                <w:tcPr>
                  <w:tcW w:w="2648" w:type="dxa"/>
                  <w:tcBorders>
                    <w:top w:val="single" w:color="auto" w:sz="4" w:space="0"/>
                    <w:left w:val="single" w:color="auto" w:sz="4" w:space="0"/>
                    <w:bottom w:val="single" w:color="auto" w:sz="4" w:space="0"/>
                    <w:tl2br w:val="nil"/>
                    <w:tr2bl w:val="nil"/>
                  </w:tcBorders>
                  <w:vAlign w:val="center"/>
                </w:tcPr>
                <w:p w14:paraId="241E9A04">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1次/季</w:t>
                  </w:r>
                </w:p>
              </w:tc>
            </w:tr>
          </w:tbl>
          <w:p w14:paraId="42E0784E">
            <w:pPr>
              <w:adjustRightInd w:val="0"/>
              <w:snapToGrid w:val="0"/>
              <w:rPr>
                <w:bCs/>
                <w:color w:val="000000" w:themeColor="text1"/>
                <w:sz w:val="24"/>
                <w14:textFill>
                  <w14:solidFill>
                    <w14:schemeClr w14:val="tx1"/>
                  </w14:solidFill>
                </w14:textFill>
              </w:rPr>
            </w:pPr>
            <w:r>
              <w:rPr>
                <w:color w:val="000000" w:themeColor="text1"/>
                <w14:textFill>
                  <w14:solidFill>
                    <w14:schemeClr w14:val="tx1"/>
                  </w14:solidFill>
                </w14:textFill>
              </w:rPr>
              <w:t>注：烟气黑度监测点位为烟囱出口处，而非烟道内。</w:t>
            </w:r>
          </w:p>
          <w:p w14:paraId="38741B6F">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（5）非正常排放</w:t>
            </w:r>
          </w:p>
          <w:p w14:paraId="594D35A8">
            <w:pPr>
              <w:spacing w:line="360" w:lineRule="auto"/>
              <w:ind w:firstLine="480" w:firstLineChars="200"/>
              <w:rPr>
                <w:color w:val="000000" w:themeColor="text1"/>
                <w:sz w:val="24"/>
                <w14:textFill>
                  <w14:solidFill>
                    <w14:schemeClr w14:val="tx1"/>
                  </w14:solidFill>
                </w14:textFill>
              </w:rPr>
            </w:pPr>
            <w:r>
              <w:rPr>
                <w:rFonts w:eastAsia="Times New Roman"/>
                <w:color w:val="000000" w:themeColor="text1"/>
                <w:sz w:val="24"/>
                <w14:textFill>
                  <w14:solidFill>
                    <w14:schemeClr w14:val="tx1"/>
                  </w14:solidFill>
                </w14:textFill>
              </w:rPr>
              <w:t>本项目非正常工况主要为干式除尘器+袋式除尘器损坏，除尘效率降至50％，本项目非正常工况设定情景如下：</w:t>
            </w:r>
          </w:p>
          <w:p w14:paraId="0210610D">
            <w:pPr>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表4-6非正常排放参数表</w:t>
            </w:r>
          </w:p>
          <w:tbl>
            <w:tblPr>
              <w:tblStyle w:val="24"/>
              <w:tblW w:w="7937"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64"/>
              <w:gridCol w:w="2126"/>
              <w:gridCol w:w="1132"/>
              <w:gridCol w:w="1282"/>
              <w:gridCol w:w="993"/>
              <w:gridCol w:w="940"/>
            </w:tblGrid>
            <w:tr w14:paraId="2969202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4" w:type="dxa"/>
                  <w:tcBorders>
                    <w:tl2br w:val="nil"/>
                    <w:tr2bl w:val="nil"/>
                  </w:tcBorders>
                  <w:vAlign w:val="center"/>
                </w:tcPr>
                <w:p w14:paraId="4967DC3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非正常排放源</w:t>
                  </w:r>
                </w:p>
              </w:tc>
              <w:tc>
                <w:tcPr>
                  <w:tcW w:w="2126" w:type="dxa"/>
                  <w:tcBorders>
                    <w:tl2br w:val="nil"/>
                    <w:tr2bl w:val="nil"/>
                  </w:tcBorders>
                  <w:vAlign w:val="center"/>
                </w:tcPr>
                <w:p w14:paraId="3078993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非正常排放原因</w:t>
                  </w:r>
                </w:p>
              </w:tc>
              <w:tc>
                <w:tcPr>
                  <w:tcW w:w="1132" w:type="dxa"/>
                  <w:tcBorders>
                    <w:tl2br w:val="nil"/>
                    <w:tr2bl w:val="nil"/>
                  </w:tcBorders>
                  <w:vAlign w:val="center"/>
                </w:tcPr>
                <w:p w14:paraId="1D9B3617">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污染物</w:t>
                  </w:r>
                </w:p>
              </w:tc>
              <w:tc>
                <w:tcPr>
                  <w:tcW w:w="1282" w:type="dxa"/>
                  <w:tcBorders>
                    <w:tl2br w:val="nil"/>
                    <w:tr2bl w:val="nil"/>
                  </w:tcBorders>
                  <w:vAlign w:val="center"/>
                </w:tcPr>
                <w:p w14:paraId="6676D90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非正常排放速率/</w:t>
                  </w:r>
                  <w:r>
                    <w:rPr>
                      <w:snapToGrid w:val="0"/>
                      <w:color w:val="000000" w:themeColor="text1"/>
                      <w:szCs w:val="21"/>
                      <w14:textFill>
                        <w14:solidFill>
                          <w14:schemeClr w14:val="tx1"/>
                        </w14:solidFill>
                      </w14:textFill>
                    </w:rPr>
                    <w:t>kg/h</w:t>
                  </w:r>
                </w:p>
              </w:tc>
              <w:tc>
                <w:tcPr>
                  <w:tcW w:w="993" w:type="dxa"/>
                  <w:tcBorders>
                    <w:tl2br w:val="nil"/>
                    <w:tr2bl w:val="nil"/>
                  </w:tcBorders>
                  <w:vAlign w:val="center"/>
                </w:tcPr>
                <w:p w14:paraId="78710F73">
                  <w:pPr>
                    <w:ind w:left="-42" w:leftChars="-20" w:right="-42" w:rightChars="-20"/>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单次持续时间</w:t>
                  </w:r>
                  <w:r>
                    <w:rPr>
                      <w:color w:val="000000" w:themeColor="text1"/>
                      <w:szCs w:val="21"/>
                      <w14:textFill>
                        <w14:solidFill>
                          <w14:schemeClr w14:val="tx1"/>
                        </w14:solidFill>
                      </w14:textFill>
                    </w:rPr>
                    <w:t>/</w:t>
                  </w:r>
                  <w:r>
                    <w:rPr>
                      <w:snapToGrid w:val="0"/>
                      <w:color w:val="000000" w:themeColor="text1"/>
                      <w:szCs w:val="21"/>
                      <w14:textFill>
                        <w14:solidFill>
                          <w14:schemeClr w14:val="tx1"/>
                        </w14:solidFill>
                      </w14:textFill>
                    </w:rPr>
                    <w:t>h</w:t>
                  </w:r>
                </w:p>
              </w:tc>
              <w:tc>
                <w:tcPr>
                  <w:tcW w:w="940" w:type="dxa"/>
                  <w:tcBorders>
                    <w:tl2br w:val="nil"/>
                    <w:tr2bl w:val="nil"/>
                  </w:tcBorders>
                  <w:vAlign w:val="center"/>
                </w:tcPr>
                <w:p w14:paraId="246A9F2C">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年发生频次</w:t>
                  </w:r>
                  <w:r>
                    <w:rPr>
                      <w:color w:val="000000" w:themeColor="text1"/>
                      <w:szCs w:val="21"/>
                      <w14:textFill>
                        <w14:solidFill>
                          <w14:schemeClr w14:val="tx1"/>
                        </w14:solidFill>
                      </w14:textFill>
                    </w:rPr>
                    <w:t>/次</w:t>
                  </w:r>
                </w:p>
              </w:tc>
            </w:tr>
            <w:tr w14:paraId="7E7830E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4" w:type="dxa"/>
                  <w:tcBorders>
                    <w:tl2br w:val="nil"/>
                    <w:tr2bl w:val="nil"/>
                  </w:tcBorders>
                  <w:vAlign w:val="center"/>
                </w:tcPr>
                <w:p w14:paraId="4102F80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DA001</w:t>
                  </w:r>
                </w:p>
              </w:tc>
              <w:tc>
                <w:tcPr>
                  <w:tcW w:w="2126" w:type="dxa"/>
                  <w:tcBorders>
                    <w:tl2br w:val="nil"/>
                    <w:tr2bl w:val="nil"/>
                  </w:tcBorders>
                  <w:vAlign w:val="center"/>
                </w:tcPr>
                <w:p w14:paraId="29F1A3B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除尘器效率降低50%</w:t>
                  </w:r>
                </w:p>
              </w:tc>
              <w:tc>
                <w:tcPr>
                  <w:tcW w:w="1132" w:type="dxa"/>
                  <w:tcBorders>
                    <w:tl2br w:val="nil"/>
                    <w:tr2bl w:val="nil"/>
                  </w:tcBorders>
                  <w:vAlign w:val="center"/>
                </w:tcPr>
                <w:p w14:paraId="3622A3C2">
                  <w:pPr>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颗粒物</w:t>
                  </w:r>
                </w:p>
              </w:tc>
              <w:tc>
                <w:tcPr>
                  <w:tcW w:w="1282" w:type="dxa"/>
                  <w:tcBorders>
                    <w:tl2br w:val="nil"/>
                    <w:tr2bl w:val="nil"/>
                  </w:tcBorders>
                  <w:vAlign w:val="center"/>
                </w:tcPr>
                <w:p w14:paraId="69F1221D">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8.33</w:t>
                  </w:r>
                </w:p>
              </w:tc>
              <w:tc>
                <w:tcPr>
                  <w:tcW w:w="993" w:type="dxa"/>
                  <w:tcBorders>
                    <w:tl2br w:val="nil"/>
                    <w:tr2bl w:val="nil"/>
                  </w:tcBorders>
                  <w:vAlign w:val="center"/>
                </w:tcPr>
                <w:p w14:paraId="62B6AE2A">
                  <w:pPr>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0.5</w:t>
                  </w:r>
                </w:p>
              </w:tc>
              <w:tc>
                <w:tcPr>
                  <w:tcW w:w="940" w:type="dxa"/>
                  <w:tcBorders>
                    <w:tl2br w:val="nil"/>
                    <w:tr2bl w:val="nil"/>
                  </w:tcBorders>
                  <w:vAlign w:val="center"/>
                </w:tcPr>
                <w:p w14:paraId="15447639">
                  <w:pPr>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r>
          </w:tbl>
          <w:p w14:paraId="63FA44EC">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（6）环境影响分析</w:t>
            </w:r>
          </w:p>
          <w:p w14:paraId="1332F491">
            <w:pPr>
              <w:adjustRightInd w:val="0"/>
              <w:snapToGrid w:val="0"/>
              <w:spacing w:line="360" w:lineRule="auto"/>
              <w:ind w:firstLine="480" w:firstLineChars="200"/>
              <w:rPr>
                <w:bCs/>
                <w:color w:val="000000" w:themeColor="text1"/>
                <w:sz w:val="24"/>
                <w14:textFill>
                  <w14:solidFill>
                    <w14:schemeClr w14:val="tx1"/>
                  </w14:solidFill>
                </w14:textFill>
              </w:rPr>
            </w:pPr>
            <w:r>
              <w:rPr>
                <w:color w:val="000000" w:themeColor="text1"/>
                <w:sz w:val="24"/>
                <w14:textFill>
                  <w14:solidFill>
                    <w14:schemeClr w14:val="tx1"/>
                  </w14:solidFill>
                </w14:textFill>
              </w:rPr>
              <w:t>废气污染治理设施可行性分析：本项目锅炉烟气采用干式除尘器+布袋除尘器处理颗粒物，采用低氮燃烧技术控制氮氧化物。①颗粒物治理：根据《排污许可证申请与核发技术规范 锅炉》（HJ953-2018）表7，袋式除尘器为生物质锅炉颗粒物治理的可行技术，除尘效率可达99%以上。本项目采用干式+布袋两级除尘，综合除尘效率为99.5%，颗粒物排放浓度为25.13mg/m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，满足《锅炉大气污染物排放标准》（GB13271-2014）表2标准要求（50mg/m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），治理技术可行。②氮氧化物治理：根据《排污许可证申请与核发技术规范 锅炉》（HJ953-2018）表7，低氮燃烧为生物质锅炉氮氧化物治理的可行技术。本项目采用分级配风+烟气再循环的低氮燃烧技术，脱硝效率按30%计，氮氧化物排放浓度为95.66mg/m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，满足《锅炉大气污染物排放标准》（GB13271-2014）表2标准要求（300mg/m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），治理技术可行。③二氧化硫：本项目燃料为生物质成型燃料，含硫量极低（Sar=0.02%），二氧化硫排放浓度为23.44mg/m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，远低于标准限值（300mg/m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），无需脱硫设施。</w:t>
            </w:r>
          </w:p>
          <w:p w14:paraId="24DD288F">
            <w:pPr>
              <w:adjustRightInd w:val="0"/>
              <w:snapToGrid w:val="0"/>
              <w:spacing w:line="360" w:lineRule="auto"/>
              <w:ind w:firstLine="480" w:firstLineChars="200"/>
              <w:rPr>
                <w:color w:val="000000" w:themeColor="text1"/>
                <w:kern w:val="0"/>
                <w:sz w:val="24"/>
                <w14:textFill>
                  <w14:solidFill>
                    <w14:schemeClr w14:val="tx1"/>
                  </w14:solidFill>
                </w14:textFill>
              </w:rPr>
            </w:pPr>
            <w:r>
              <w:rPr>
                <w:bCs/>
                <w:color w:val="000000" w:themeColor="text1"/>
                <w:sz w:val="24"/>
                <w14:textFill>
                  <w14:solidFill>
                    <w14:schemeClr w14:val="tx1"/>
                  </w14:solidFill>
                </w14:textFill>
              </w:rPr>
              <w:t>本项目所在区域为环境质量达标区，排放浓度满足《锅炉大气污染物排放标准》（GB13271-2014）表2燃煤锅炉排放限值</w:t>
            </w:r>
            <w:r>
              <w:rPr>
                <w:color w:val="000000" w:themeColor="text1"/>
                <w:kern w:val="0"/>
                <w:sz w:val="24"/>
                <w14:textFill>
                  <w14:solidFill>
                    <w14:schemeClr w14:val="tx1"/>
                  </w14:solidFill>
                </w14:textFill>
              </w:rPr>
              <w:t>。</w:t>
            </w:r>
          </w:p>
          <w:p w14:paraId="5369AD2C">
            <w:pPr>
              <w:tabs>
                <w:tab w:val="left" w:pos="2395"/>
              </w:tabs>
              <w:spacing w:line="360" w:lineRule="auto"/>
              <w:ind w:firstLine="480" w:firstLineChars="200"/>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根据《锅炉大气污染物排放标准》</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GB13271-2014</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4.5条规定，“每个新建燃煤锅炉房只能设一根烟囱，烟囱高度应根据锅炉房装机总容量，按表4规定执行，燃油、燃气锅炉烟囱不低于8米，锅炉烟囱的具体高度按批复的环境影响评价文件确定。新建锅炉房的烟囱周围半径200m距离内有建筑物时，其烟囱应高出最高建筑物3m以上”，</w:t>
            </w:r>
            <w:r>
              <w:rPr>
                <w:color w:val="000000" w:themeColor="text1"/>
                <w:sz w:val="24"/>
                <w:szCs w:val="21"/>
                <w14:textFill>
                  <w14:solidFill>
                    <w14:schemeClr w14:val="tx1"/>
                  </w14:solidFill>
                </w14:textFill>
              </w:rPr>
              <w:t>参照</w:t>
            </w:r>
            <w:r>
              <w:rPr>
                <w:color w:val="000000" w:themeColor="text1"/>
                <w:sz w:val="24"/>
                <w14:textFill>
                  <w14:solidFill>
                    <w14:schemeClr w14:val="tx1"/>
                  </w14:solidFill>
                </w14:textFill>
              </w:rPr>
              <w:t>《锅炉大气污染物排放标准》</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GB13271-2014</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表4燃煤锅炉房烟囱最低允许高度，锅炉房装机总容量为</w:t>
            </w:r>
            <w:r>
              <w:rPr>
                <w:rFonts w:hint="eastAsia"/>
                <w:color w:val="000000" w:themeColor="text1"/>
                <w:sz w:val="24"/>
                <w:szCs w:val="21"/>
                <w14:textFill>
                  <w14:solidFill>
                    <w14:schemeClr w14:val="tx1"/>
                  </w14:solidFill>
                </w14:textFill>
              </w:rPr>
              <w:t>1.75MW</w:t>
            </w:r>
            <w:r>
              <w:rPr>
                <w:rFonts w:hint="eastAsia"/>
                <w:color w:val="000000" w:themeColor="text1"/>
                <w:sz w:val="24"/>
                <w:szCs w:val="21"/>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小于</w:t>
            </w:r>
            <w:r>
              <w:rPr>
                <w:rFonts w:hint="eastAsia"/>
                <w:color w:val="000000" w:themeColor="text1"/>
                <w:sz w:val="24"/>
                <w14:textFill>
                  <w14:solidFill>
                    <w14:schemeClr w14:val="tx1"/>
                  </w14:solidFill>
                </w14:textFill>
              </w:rPr>
              <w:t>2.8MW</w:t>
            </w:r>
            <w:r>
              <w:rPr>
                <w:color w:val="000000" w:themeColor="text1"/>
                <w:sz w:val="24"/>
                <w14:textFill>
                  <w14:solidFill>
                    <w14:schemeClr w14:val="tx1"/>
                  </w14:solidFill>
                </w14:textFill>
              </w:rPr>
              <w:t>，</w:t>
            </w:r>
            <w:r>
              <w:rPr>
                <w:rFonts w:hint="eastAsia" w:ascii="宋体" w:hAnsi="宋体" w:cs="宋体"/>
                <w:color w:val="000000" w:themeColor="text1"/>
                <w:sz w:val="24"/>
                <w:lang w:val="en-US" w:eastAsia="zh-CN"/>
                <w14:textFill>
                  <w14:solidFill>
                    <w14:schemeClr w14:val="tx1"/>
                  </w14:solidFill>
                </w14:textFill>
              </w:rPr>
              <w:t>大于</w:t>
            </w:r>
            <w:r>
              <w:rPr>
                <w:rFonts w:hint="eastAsia"/>
                <w:color w:val="000000" w:themeColor="text1"/>
                <w:sz w:val="24"/>
                <w14:textFill>
                  <w14:solidFill>
                    <w14:schemeClr w14:val="tx1"/>
                  </w14:solidFill>
                </w14:textFill>
              </w:rPr>
              <w:t>1.4MW，</w:t>
            </w:r>
            <w:r>
              <w:rPr>
                <w:color w:val="000000" w:themeColor="text1"/>
                <w:sz w:val="24"/>
                <w14:textFill>
                  <w14:solidFill>
                    <w14:schemeClr w14:val="tx1"/>
                  </w14:solidFill>
                </w14:textFill>
              </w:rPr>
              <w:t>烟囱最低允许高度为</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0m。本项目</w:t>
            </w:r>
            <w:r>
              <w:rPr>
                <w:color w:val="000000" w:themeColor="text1"/>
                <w:sz w:val="24"/>
                <w:szCs w:val="21"/>
                <w14:textFill>
                  <w14:solidFill>
                    <w14:schemeClr w14:val="tx1"/>
                  </w14:solidFill>
                </w14:textFill>
              </w:rPr>
              <w:t>锅炉房装机容量为</w:t>
            </w:r>
            <w:r>
              <w:rPr>
                <w:rFonts w:hint="eastAsia"/>
                <w:color w:val="000000" w:themeColor="text1"/>
                <w:sz w:val="24"/>
                <w:szCs w:val="21"/>
                <w14:textFill>
                  <w14:solidFill>
                    <w14:schemeClr w14:val="tx1"/>
                  </w14:solidFill>
                </w14:textFill>
              </w:rPr>
              <w:t>1.75MW</w:t>
            </w:r>
            <w:r>
              <w:rPr>
                <w:color w:val="000000" w:themeColor="text1"/>
                <w:sz w:val="24"/>
                <w:szCs w:val="21"/>
                <w14:textFill>
                  <w14:solidFill>
                    <w14:schemeClr w14:val="tx1"/>
                  </w14:solidFill>
                </w14:textFill>
              </w:rPr>
              <w:t>，且项目周边200m范围内最高建筑物为</w:t>
            </w:r>
            <w:r>
              <w:rPr>
                <w:rFonts w:hint="eastAsia"/>
                <w:color w:val="000000" w:themeColor="text1"/>
                <w:sz w:val="24"/>
                <w:szCs w:val="21"/>
                <w14:textFill>
                  <w14:solidFill>
                    <w14:schemeClr w14:val="tx1"/>
                  </w14:solidFill>
                </w14:textFill>
              </w:rPr>
              <w:t>经营所</w:t>
            </w:r>
            <w:r>
              <w:rPr>
                <w:color w:val="000000" w:themeColor="text1"/>
                <w:sz w:val="24"/>
                <w:szCs w:val="21"/>
                <w14:textFill>
                  <w14:solidFill>
                    <w14:schemeClr w14:val="tx1"/>
                  </w14:solidFill>
                </w14:textFill>
              </w:rPr>
              <w:t>办公楼，高度约为</w:t>
            </w:r>
            <w:r>
              <w:rPr>
                <w:rFonts w:hint="eastAsia"/>
                <w:color w:val="000000" w:themeColor="text1"/>
                <w:sz w:val="24"/>
                <w:szCs w:val="21"/>
                <w14:textFill>
                  <w14:solidFill>
                    <w14:schemeClr w14:val="tx1"/>
                  </w14:solidFill>
                </w14:textFill>
              </w:rPr>
              <w:t>6</w:t>
            </w:r>
            <w:r>
              <w:rPr>
                <w:color w:val="000000" w:themeColor="text1"/>
                <w:sz w:val="24"/>
                <w:szCs w:val="21"/>
                <w14:textFill>
                  <w14:solidFill>
                    <w14:schemeClr w14:val="tx1"/>
                  </w14:solidFill>
                </w14:textFill>
              </w:rPr>
              <w:t>m，项目排气筒高度</w:t>
            </w:r>
            <w:r>
              <w:rPr>
                <w:rFonts w:hint="eastAsia"/>
                <w:color w:val="000000" w:themeColor="text1"/>
                <w:sz w:val="24"/>
                <w:szCs w:val="21"/>
                <w14:textFill>
                  <w14:solidFill>
                    <w14:schemeClr w14:val="tx1"/>
                  </w14:solidFill>
                </w14:textFill>
              </w:rPr>
              <w:t>3</w:t>
            </w:r>
            <w:r>
              <w:rPr>
                <w:color w:val="000000" w:themeColor="text1"/>
                <w:sz w:val="24"/>
                <w:szCs w:val="21"/>
                <w14:textFill>
                  <w14:solidFill>
                    <w14:schemeClr w14:val="tx1"/>
                  </w14:solidFill>
                </w14:textFill>
              </w:rPr>
              <w:t>0m，高于周围半径200m范围内的建筑</w:t>
            </w:r>
            <w:r>
              <w:rPr>
                <w:rFonts w:hint="eastAsia"/>
                <w:color w:val="000000" w:themeColor="text1"/>
                <w:sz w:val="24"/>
                <w:szCs w:val="21"/>
                <w:lang w:val="en-US" w:eastAsia="zh-CN"/>
                <w14:textFill>
                  <w14:solidFill>
                    <w14:schemeClr w14:val="tx1"/>
                  </w14:solidFill>
                </w14:textFill>
              </w:rPr>
              <w:t>3m以上</w:t>
            </w:r>
            <w:r>
              <w:rPr>
                <w:color w:val="000000" w:themeColor="text1"/>
                <w:sz w:val="24"/>
                <w:szCs w:val="21"/>
                <w14:textFill>
                  <w14:solidFill>
                    <w14:schemeClr w14:val="tx1"/>
                  </w14:solidFill>
                </w14:textFill>
              </w:rPr>
              <w:t>，项目排放的废气能得到及时扩散。</w:t>
            </w:r>
          </w:p>
          <w:p w14:paraId="182545CE">
            <w:pPr>
              <w:pStyle w:val="52"/>
              <w:adjustRightInd w:val="0"/>
              <w:snapToGrid w:val="0"/>
              <w:ind w:firstLine="480"/>
              <w:rPr>
                <w:rFonts w:cs="Times New Roman"/>
                <w:color w:val="000000" w:themeColor="text1"/>
                <w:kern w:val="0"/>
                <w:sz w:val="24"/>
                <w14:textFill>
                  <w14:solidFill>
                    <w14:schemeClr w14:val="tx1"/>
                  </w14:solidFill>
                </w14:textFill>
              </w:rPr>
            </w:pPr>
            <w:r>
              <w:rPr>
                <w:rFonts w:hint="eastAsia" w:cs="Times New Roman"/>
                <w:color w:val="000000" w:themeColor="text1"/>
                <w:kern w:val="0"/>
                <w:sz w:val="24"/>
                <w14:textFill>
                  <w14:solidFill>
                    <w14:schemeClr w14:val="tx1"/>
                  </w14:solidFill>
                </w14:textFill>
              </w:rPr>
              <w:t>（7）</w:t>
            </w:r>
            <w:r>
              <w:rPr>
                <w:rFonts w:cs="Times New Roman"/>
                <w:color w:val="000000" w:themeColor="text1"/>
                <w:kern w:val="0"/>
                <w:sz w:val="24"/>
                <w14:textFill>
                  <w14:solidFill>
                    <w14:schemeClr w14:val="tx1"/>
                  </w14:solidFill>
                </w14:textFill>
              </w:rPr>
              <w:t>废气排污口标牌设置</w:t>
            </w:r>
          </w:p>
          <w:p w14:paraId="68F3BAFD">
            <w:pPr>
              <w:pStyle w:val="52"/>
              <w:adjustRightInd w:val="0"/>
              <w:snapToGrid w:val="0"/>
              <w:ind w:firstLine="480"/>
              <w:rPr>
                <w:rFonts w:cs="Times New Roman"/>
                <w:color w:val="000000" w:themeColor="text1"/>
                <w:kern w:val="0"/>
                <w:sz w:val="24"/>
                <w14:textFill>
                  <w14:solidFill>
                    <w14:schemeClr w14:val="tx1"/>
                  </w14:solidFill>
                </w14:textFill>
              </w:rPr>
            </w:pPr>
            <w:r>
              <w:rPr>
                <w:rFonts w:cs="Times New Roman"/>
                <w:color w:val="000000" w:themeColor="text1"/>
                <w:kern w:val="0"/>
                <w:sz w:val="24"/>
                <w14:textFill>
                  <w14:solidFill>
                    <w14:schemeClr w14:val="tx1"/>
                  </w14:solidFill>
                </w14:textFill>
              </w:rPr>
              <w:t>废气排放口标识牌的设置应遵循以下规定：</w:t>
            </w:r>
          </w:p>
          <w:p w14:paraId="69595CDD">
            <w:pPr>
              <w:pStyle w:val="52"/>
              <w:adjustRightInd w:val="0"/>
              <w:snapToGrid w:val="0"/>
              <w:ind w:firstLine="480"/>
              <w:rPr>
                <w:rFonts w:cs="Times New Roman"/>
                <w:color w:val="000000" w:themeColor="text1"/>
                <w:kern w:val="0"/>
                <w:sz w:val="24"/>
                <w14:textFill>
                  <w14:solidFill>
                    <w14:schemeClr w14:val="tx1"/>
                  </w14:solidFill>
                </w14:textFill>
              </w:rPr>
            </w:pPr>
            <w:r>
              <w:rPr>
                <w:rFonts w:cs="Times New Roman"/>
                <w:color w:val="000000" w:themeColor="text1"/>
                <w:kern w:val="0"/>
                <w:sz w:val="24"/>
                <w14:textFill>
                  <w14:solidFill>
                    <w14:schemeClr w14:val="tx1"/>
                  </w14:solidFill>
                </w14:textFill>
              </w:rPr>
              <w:fldChar w:fldCharType="begin"/>
            </w:r>
            <w:r>
              <w:rPr>
                <w:rFonts w:cs="Times New Roman"/>
                <w:color w:val="000000" w:themeColor="text1"/>
                <w:kern w:val="0"/>
                <w:sz w:val="24"/>
                <w14:textFill>
                  <w14:solidFill>
                    <w14:schemeClr w14:val="tx1"/>
                  </w14:solidFill>
                </w14:textFill>
              </w:rPr>
              <w:instrText xml:space="preserve"> = 1 \* GB3 \* MERGEFORMAT </w:instrText>
            </w:r>
            <w:r>
              <w:rPr>
                <w:rFonts w:cs="Times New Roman"/>
                <w:color w:val="000000" w:themeColor="text1"/>
                <w:kern w:val="0"/>
                <w:sz w:val="24"/>
                <w14:textFill>
                  <w14:solidFill>
                    <w14:schemeClr w14:val="tx1"/>
                  </w14:solidFill>
                </w14:textFill>
              </w:rPr>
              <w:fldChar w:fldCharType="separate"/>
            </w:r>
            <w:r>
              <w:rPr>
                <w:color w:val="000000" w:themeColor="text1"/>
                <w14:textFill>
                  <w14:solidFill>
                    <w14:schemeClr w14:val="tx1"/>
                  </w14:solidFill>
                </w14:textFill>
              </w:rPr>
              <w:t>①</w:t>
            </w:r>
            <w:r>
              <w:rPr>
                <w:rFonts w:cs="Times New Roman"/>
                <w:color w:val="000000" w:themeColor="text1"/>
                <w:kern w:val="0"/>
                <w:sz w:val="24"/>
                <w14:textFill>
                  <w14:solidFill>
                    <w14:schemeClr w14:val="tx1"/>
                  </w14:solidFill>
                </w14:textFill>
              </w:rPr>
              <w:fldChar w:fldCharType="end"/>
            </w:r>
            <w:r>
              <w:rPr>
                <w:rFonts w:cs="Times New Roman"/>
                <w:color w:val="000000" w:themeColor="text1"/>
                <w:kern w:val="0"/>
                <w:sz w:val="24"/>
                <w14:textFill>
                  <w14:solidFill>
                    <w14:schemeClr w14:val="tx1"/>
                  </w14:solidFill>
                </w14:textFill>
              </w:rPr>
              <w:t>标识牌的尺寸及颜色</w:t>
            </w:r>
          </w:p>
          <w:p w14:paraId="244C8C23">
            <w:pPr>
              <w:pStyle w:val="52"/>
              <w:adjustRightInd w:val="0"/>
              <w:snapToGrid w:val="0"/>
              <w:ind w:firstLine="480"/>
              <w:rPr>
                <w:rFonts w:cs="Times New Roman"/>
                <w:color w:val="000000" w:themeColor="text1"/>
                <w:kern w:val="0"/>
                <w:sz w:val="24"/>
                <w14:textFill>
                  <w14:solidFill>
                    <w14:schemeClr w14:val="tx1"/>
                  </w14:solidFill>
                </w14:textFill>
              </w:rPr>
            </w:pPr>
            <w:r>
              <w:rPr>
                <w:rFonts w:cs="Times New Roman"/>
                <w:color w:val="000000" w:themeColor="text1"/>
                <w:kern w:val="0"/>
                <w:sz w:val="24"/>
                <w14:textFill>
                  <w14:solidFill>
                    <w14:schemeClr w14:val="tx1"/>
                  </w14:solidFill>
                </w14:textFill>
              </w:rPr>
              <w:t>废气排放口标识牌的尺寸一般为48×30厘米，若采用立式标识牌，其尺寸应为42×42厘米。标识牌的底色应为绿色，文字采用黑体字，颜色为白色。若条件限制无法悬挂，可采用立式标识牌。</w:t>
            </w:r>
          </w:p>
          <w:p w14:paraId="27A8EC3D">
            <w:pPr>
              <w:pStyle w:val="52"/>
              <w:adjustRightInd w:val="0"/>
              <w:snapToGrid w:val="0"/>
              <w:ind w:firstLine="480"/>
              <w:rPr>
                <w:rFonts w:cs="Times New Roman"/>
                <w:color w:val="000000" w:themeColor="text1"/>
                <w:kern w:val="0"/>
                <w:sz w:val="24"/>
                <w14:textFill>
                  <w14:solidFill>
                    <w14:schemeClr w14:val="tx1"/>
                  </w14:solidFill>
                </w14:textFill>
              </w:rPr>
            </w:pPr>
            <w:r>
              <w:rPr>
                <w:rFonts w:cs="Times New Roman"/>
                <w:color w:val="000000" w:themeColor="text1"/>
                <w:kern w:val="0"/>
                <w:sz w:val="24"/>
                <w14:textFill>
                  <w14:solidFill>
                    <w14:schemeClr w14:val="tx1"/>
                  </w14:solidFill>
                </w14:textFill>
              </w:rPr>
              <w:fldChar w:fldCharType="begin"/>
            </w:r>
            <w:r>
              <w:rPr>
                <w:rFonts w:cs="Times New Roman"/>
                <w:color w:val="000000" w:themeColor="text1"/>
                <w:kern w:val="0"/>
                <w:sz w:val="24"/>
                <w14:textFill>
                  <w14:solidFill>
                    <w14:schemeClr w14:val="tx1"/>
                  </w14:solidFill>
                </w14:textFill>
              </w:rPr>
              <w:instrText xml:space="preserve"> = 2 \* GB3 \* MERGEFORMAT </w:instrText>
            </w:r>
            <w:r>
              <w:rPr>
                <w:rFonts w:cs="Times New Roman"/>
                <w:color w:val="000000" w:themeColor="text1"/>
                <w:kern w:val="0"/>
                <w:sz w:val="24"/>
                <w14:textFill>
                  <w14:solidFill>
                    <w14:schemeClr w14:val="tx1"/>
                  </w14:solidFill>
                </w14:textFill>
              </w:rPr>
              <w:fldChar w:fldCharType="separate"/>
            </w:r>
            <w:r>
              <w:rPr>
                <w:color w:val="000000" w:themeColor="text1"/>
                <w14:textFill>
                  <w14:solidFill>
                    <w14:schemeClr w14:val="tx1"/>
                  </w14:solidFill>
                </w14:textFill>
              </w:rPr>
              <w:t>②</w:t>
            </w:r>
            <w:r>
              <w:rPr>
                <w:rFonts w:cs="Times New Roman"/>
                <w:color w:val="000000" w:themeColor="text1"/>
                <w:kern w:val="0"/>
                <w:sz w:val="24"/>
                <w14:textFill>
                  <w14:solidFill>
                    <w14:schemeClr w14:val="tx1"/>
                  </w14:solidFill>
                </w14:textFill>
              </w:rPr>
              <w:fldChar w:fldCharType="end"/>
            </w:r>
            <w:r>
              <w:rPr>
                <w:rFonts w:cs="Times New Roman"/>
                <w:color w:val="000000" w:themeColor="text1"/>
                <w:kern w:val="0"/>
                <w:sz w:val="24"/>
                <w14:textFill>
                  <w14:solidFill>
                    <w14:schemeClr w14:val="tx1"/>
                  </w14:solidFill>
                </w14:textFill>
              </w:rPr>
              <w:t>排放口的编号</w:t>
            </w:r>
          </w:p>
          <w:p w14:paraId="167BAB9E">
            <w:pPr>
              <w:pStyle w:val="52"/>
              <w:adjustRightInd w:val="0"/>
              <w:snapToGrid w:val="0"/>
              <w:ind w:firstLine="480"/>
              <w:rPr>
                <w:rFonts w:cs="Times New Roman"/>
                <w:color w:val="000000" w:themeColor="text1"/>
                <w:kern w:val="0"/>
                <w:sz w:val="24"/>
                <w14:textFill>
                  <w14:solidFill>
                    <w14:schemeClr w14:val="tx1"/>
                  </w14:solidFill>
                </w14:textFill>
              </w:rPr>
            </w:pPr>
            <w:r>
              <w:rPr>
                <w:rFonts w:cs="Times New Roman"/>
                <w:color w:val="000000" w:themeColor="text1"/>
                <w:kern w:val="0"/>
                <w:sz w:val="24"/>
                <w14:textFill>
                  <w14:solidFill>
                    <w14:schemeClr w14:val="tx1"/>
                  </w14:solidFill>
                </w14:textFill>
              </w:rPr>
              <w:t>废气排放口应按照一定的顺序进行编号，编号应与排污许可证上的内容保持一致，例如DA001等。</w:t>
            </w:r>
          </w:p>
          <w:p w14:paraId="21737C81">
            <w:pPr>
              <w:pStyle w:val="52"/>
              <w:adjustRightInd w:val="0"/>
              <w:snapToGrid w:val="0"/>
              <w:ind w:firstLine="480"/>
              <w:rPr>
                <w:rFonts w:cs="Times New Roman"/>
                <w:color w:val="000000" w:themeColor="text1"/>
                <w:kern w:val="0"/>
                <w:sz w:val="24"/>
                <w14:textFill>
                  <w14:solidFill>
                    <w14:schemeClr w14:val="tx1"/>
                  </w14:solidFill>
                </w14:textFill>
              </w:rPr>
            </w:pPr>
            <w:r>
              <w:rPr>
                <w:rFonts w:cs="Times New Roman"/>
                <w:color w:val="000000" w:themeColor="text1"/>
                <w:kern w:val="0"/>
                <w:sz w:val="24"/>
                <w14:textFill>
                  <w14:solidFill>
                    <w14:schemeClr w14:val="tx1"/>
                  </w14:solidFill>
                </w14:textFill>
              </w:rPr>
              <w:fldChar w:fldCharType="begin"/>
            </w:r>
            <w:r>
              <w:rPr>
                <w:rFonts w:cs="Times New Roman"/>
                <w:color w:val="000000" w:themeColor="text1"/>
                <w:kern w:val="0"/>
                <w:sz w:val="24"/>
                <w14:textFill>
                  <w14:solidFill>
                    <w14:schemeClr w14:val="tx1"/>
                  </w14:solidFill>
                </w14:textFill>
              </w:rPr>
              <w:instrText xml:space="preserve"> = 3 \* GB3 \* MERGEFORMAT </w:instrText>
            </w:r>
            <w:r>
              <w:rPr>
                <w:rFonts w:cs="Times New Roman"/>
                <w:color w:val="000000" w:themeColor="text1"/>
                <w:kern w:val="0"/>
                <w:sz w:val="24"/>
                <w14:textFill>
                  <w14:solidFill>
                    <w14:schemeClr w14:val="tx1"/>
                  </w14:solidFill>
                </w14:textFill>
              </w:rPr>
              <w:fldChar w:fldCharType="separate"/>
            </w:r>
            <w:r>
              <w:rPr>
                <w:color w:val="000000" w:themeColor="text1"/>
                <w14:textFill>
                  <w14:solidFill>
                    <w14:schemeClr w14:val="tx1"/>
                  </w14:solidFill>
                </w14:textFill>
              </w:rPr>
              <w:t>③</w:t>
            </w:r>
            <w:r>
              <w:rPr>
                <w:rFonts w:cs="Times New Roman"/>
                <w:color w:val="000000" w:themeColor="text1"/>
                <w:kern w:val="0"/>
                <w:sz w:val="24"/>
                <w14:textFill>
                  <w14:solidFill>
                    <w14:schemeClr w14:val="tx1"/>
                  </w14:solidFill>
                </w14:textFill>
              </w:rPr>
              <w:fldChar w:fldCharType="end"/>
            </w:r>
            <w:r>
              <w:rPr>
                <w:rFonts w:cs="Times New Roman"/>
                <w:color w:val="000000" w:themeColor="text1"/>
                <w:kern w:val="0"/>
                <w:sz w:val="24"/>
                <w14:textFill>
                  <w14:solidFill>
                    <w14:schemeClr w14:val="tx1"/>
                  </w14:solidFill>
                </w14:textFill>
              </w:rPr>
              <w:t>标识牌的材质</w:t>
            </w:r>
          </w:p>
          <w:p w14:paraId="667C2BDD">
            <w:pPr>
              <w:pStyle w:val="52"/>
              <w:adjustRightInd w:val="0"/>
              <w:snapToGrid w:val="0"/>
              <w:ind w:firstLine="480"/>
              <w:rPr>
                <w:rFonts w:cs="Times New Roman"/>
                <w:color w:val="000000" w:themeColor="text1"/>
                <w:kern w:val="0"/>
                <w:sz w:val="24"/>
                <w14:textFill>
                  <w14:solidFill>
                    <w14:schemeClr w14:val="tx1"/>
                  </w14:solidFill>
                </w14:textFill>
              </w:rPr>
            </w:pPr>
            <w:r>
              <w:rPr>
                <w:rFonts w:cs="Times New Roman"/>
                <w:color w:val="000000" w:themeColor="text1"/>
                <w:kern w:val="0"/>
                <w:sz w:val="24"/>
                <w14:textFill>
                  <w14:solidFill>
                    <w14:schemeClr w14:val="tx1"/>
                  </w14:solidFill>
                </w14:textFill>
              </w:rPr>
              <w:t>废气排放口标识牌应采用1.5至2毫米厚的冷轧钢板制作，表面可采用搪瓷或反光贴膜处理，以增强标识牌的耐久性和可见性。</w:t>
            </w:r>
          </w:p>
          <w:p w14:paraId="44ABB6AB">
            <w:pPr>
              <w:pStyle w:val="52"/>
              <w:adjustRightInd w:val="0"/>
              <w:snapToGrid w:val="0"/>
              <w:ind w:firstLine="480"/>
              <w:rPr>
                <w:rFonts w:cs="Times New Roman"/>
                <w:color w:val="000000" w:themeColor="text1"/>
                <w:kern w:val="0"/>
                <w:sz w:val="24"/>
                <w14:textFill>
                  <w14:solidFill>
                    <w14:schemeClr w14:val="tx1"/>
                  </w14:solidFill>
                </w14:textFill>
              </w:rPr>
            </w:pPr>
            <w:r>
              <w:rPr>
                <w:rFonts w:cs="Times New Roman"/>
                <w:color w:val="000000" w:themeColor="text1"/>
                <w:kern w:val="0"/>
                <w:sz w:val="24"/>
                <w14:textFill>
                  <w14:solidFill>
                    <w14:schemeClr w14:val="tx1"/>
                  </w14:solidFill>
                </w14:textFill>
              </w:rPr>
              <w:fldChar w:fldCharType="begin"/>
            </w:r>
            <w:r>
              <w:rPr>
                <w:rFonts w:cs="Times New Roman"/>
                <w:color w:val="000000" w:themeColor="text1"/>
                <w:kern w:val="0"/>
                <w:sz w:val="24"/>
                <w14:textFill>
                  <w14:solidFill>
                    <w14:schemeClr w14:val="tx1"/>
                  </w14:solidFill>
                </w14:textFill>
              </w:rPr>
              <w:instrText xml:space="preserve"> = 4 \* GB3 \* MERGEFORMAT </w:instrText>
            </w:r>
            <w:r>
              <w:rPr>
                <w:rFonts w:cs="Times New Roman"/>
                <w:color w:val="000000" w:themeColor="text1"/>
                <w:kern w:val="0"/>
                <w:sz w:val="24"/>
                <w14:textFill>
                  <w14:solidFill>
                    <w14:schemeClr w14:val="tx1"/>
                  </w14:solidFill>
                </w14:textFill>
              </w:rPr>
              <w:fldChar w:fldCharType="separate"/>
            </w:r>
            <w:r>
              <w:rPr>
                <w:color w:val="000000" w:themeColor="text1"/>
                <w14:textFill>
                  <w14:solidFill>
                    <w14:schemeClr w14:val="tx1"/>
                  </w14:solidFill>
                </w14:textFill>
              </w:rPr>
              <w:t>④</w:t>
            </w:r>
            <w:r>
              <w:rPr>
                <w:rFonts w:cs="Times New Roman"/>
                <w:color w:val="000000" w:themeColor="text1"/>
                <w:kern w:val="0"/>
                <w:sz w:val="24"/>
                <w14:textFill>
                  <w14:solidFill>
                    <w14:schemeClr w14:val="tx1"/>
                  </w14:solidFill>
                </w14:textFill>
              </w:rPr>
              <w:fldChar w:fldCharType="end"/>
            </w:r>
            <w:r>
              <w:rPr>
                <w:rFonts w:cs="Times New Roman"/>
                <w:color w:val="000000" w:themeColor="text1"/>
                <w:kern w:val="0"/>
                <w:sz w:val="24"/>
                <w14:textFill>
                  <w14:solidFill>
                    <w14:schemeClr w14:val="tx1"/>
                  </w14:solidFill>
                </w14:textFill>
              </w:rPr>
              <w:t>标识牌的悬挂位置</w:t>
            </w:r>
          </w:p>
          <w:p w14:paraId="0A8BA1DB">
            <w:pPr>
              <w:pStyle w:val="52"/>
              <w:adjustRightInd w:val="0"/>
              <w:snapToGrid w:val="0"/>
              <w:ind w:firstLine="480"/>
              <w:rPr>
                <w:rFonts w:cs="Times New Roman"/>
                <w:color w:val="000000" w:themeColor="text1"/>
                <w:kern w:val="0"/>
                <w:sz w:val="24"/>
                <w14:textFill>
                  <w14:solidFill>
                    <w14:schemeClr w14:val="tx1"/>
                  </w14:solidFill>
                </w14:textFill>
              </w:rPr>
            </w:pPr>
            <w:r>
              <w:rPr>
                <w:rFonts w:cs="Times New Roman"/>
                <w:color w:val="000000" w:themeColor="text1"/>
                <w:kern w:val="0"/>
                <w:sz w:val="24"/>
                <w14:textFill>
                  <w14:solidFill>
                    <w14:schemeClr w14:val="tx1"/>
                  </w14:solidFill>
                </w14:textFill>
              </w:rPr>
              <w:t>废气排放口标识牌应设置在便于观察的位置，且应靠近采样点。标识牌的上缘距离地面的高度应为2米。若排放口附近1米范围内有建筑物，应设置平面式标识牌；若无建筑物，则应设置立式标识牌。</w:t>
            </w:r>
          </w:p>
          <w:p w14:paraId="29CCF8F8">
            <w:pPr>
              <w:pStyle w:val="52"/>
              <w:adjustRightInd w:val="0"/>
              <w:snapToGrid w:val="0"/>
              <w:ind w:firstLine="480"/>
              <w:rPr>
                <w:rFonts w:cs="Times New Roman"/>
                <w:color w:val="000000" w:themeColor="text1"/>
                <w:kern w:val="0"/>
                <w:sz w:val="24"/>
                <w14:textFill>
                  <w14:solidFill>
                    <w14:schemeClr w14:val="tx1"/>
                  </w14:solidFill>
                </w14:textFill>
              </w:rPr>
            </w:pPr>
            <w:r>
              <w:rPr>
                <w:rFonts w:cs="Times New Roman"/>
                <w:color w:val="000000" w:themeColor="text1"/>
                <w:kern w:val="0"/>
                <w:sz w:val="24"/>
                <w14:textFill>
                  <w14:solidFill>
                    <w14:schemeClr w14:val="tx1"/>
                  </w14:solidFill>
                </w14:textFill>
              </w:rPr>
              <w:fldChar w:fldCharType="begin"/>
            </w:r>
            <w:r>
              <w:rPr>
                <w:rFonts w:cs="Times New Roman"/>
                <w:color w:val="000000" w:themeColor="text1"/>
                <w:kern w:val="0"/>
                <w:sz w:val="24"/>
                <w14:textFill>
                  <w14:solidFill>
                    <w14:schemeClr w14:val="tx1"/>
                  </w14:solidFill>
                </w14:textFill>
              </w:rPr>
              <w:instrText xml:space="preserve"> = 5 \* GB3 \* MERGEFORMAT </w:instrText>
            </w:r>
            <w:r>
              <w:rPr>
                <w:rFonts w:cs="Times New Roman"/>
                <w:color w:val="000000" w:themeColor="text1"/>
                <w:kern w:val="0"/>
                <w:sz w:val="24"/>
                <w14:textFill>
                  <w14:solidFill>
                    <w14:schemeClr w14:val="tx1"/>
                  </w14:solidFill>
                </w14:textFill>
              </w:rPr>
              <w:fldChar w:fldCharType="separate"/>
            </w:r>
            <w:r>
              <w:rPr>
                <w:color w:val="000000" w:themeColor="text1"/>
                <w14:textFill>
                  <w14:solidFill>
                    <w14:schemeClr w14:val="tx1"/>
                  </w14:solidFill>
                </w14:textFill>
              </w:rPr>
              <w:t>⑤</w:t>
            </w:r>
            <w:r>
              <w:rPr>
                <w:rFonts w:cs="Times New Roman"/>
                <w:color w:val="000000" w:themeColor="text1"/>
                <w:kern w:val="0"/>
                <w:sz w:val="24"/>
                <w14:textFill>
                  <w14:solidFill>
                    <w14:schemeClr w14:val="tx1"/>
                  </w14:solidFill>
                </w14:textFill>
              </w:rPr>
              <w:fldChar w:fldCharType="end"/>
            </w:r>
            <w:r>
              <w:rPr>
                <w:rFonts w:cs="Times New Roman"/>
                <w:color w:val="000000" w:themeColor="text1"/>
                <w:kern w:val="0"/>
                <w:sz w:val="24"/>
                <w14:textFill>
                  <w14:solidFill>
                    <w14:schemeClr w14:val="tx1"/>
                  </w14:solidFill>
                </w14:textFill>
              </w:rPr>
              <w:t>标识牌的内容</w:t>
            </w:r>
          </w:p>
          <w:p w14:paraId="37781497">
            <w:pPr>
              <w:pStyle w:val="52"/>
              <w:adjustRightInd w:val="0"/>
              <w:snapToGrid w:val="0"/>
              <w:ind w:firstLine="480"/>
              <w:rPr>
                <w:rFonts w:cs="Times New Roman"/>
                <w:color w:val="000000" w:themeColor="text1"/>
                <w:kern w:val="0"/>
                <w:sz w:val="24"/>
                <w14:textFill>
                  <w14:solidFill>
                    <w14:schemeClr w14:val="tx1"/>
                  </w14:solidFill>
                </w14:textFill>
              </w:rPr>
            </w:pPr>
            <w:r>
              <w:rPr>
                <w:rFonts w:cs="Times New Roman"/>
                <w:color w:val="000000" w:themeColor="text1"/>
                <w:kern w:val="0"/>
                <w:sz w:val="24"/>
                <w14:textFill>
                  <w14:solidFill>
                    <w14:schemeClr w14:val="tx1"/>
                  </w14:solidFill>
                </w14:textFill>
              </w:rPr>
              <w:t>废气排放口标识牌上应明确标注项目名称、污染物排放类型、建设单位等信息，以便于环保部门进行监管和公众进行监督。</w:t>
            </w:r>
          </w:p>
          <w:p w14:paraId="14BABE2C">
            <w:pPr>
              <w:pStyle w:val="52"/>
              <w:adjustRightInd w:val="0"/>
              <w:snapToGrid w:val="0"/>
              <w:ind w:firstLine="480"/>
              <w:rPr>
                <w:rFonts w:cs="Times New Roman"/>
                <w:color w:val="000000" w:themeColor="text1"/>
                <w:kern w:val="0"/>
                <w:sz w:val="24"/>
                <w14:textFill>
                  <w14:solidFill>
                    <w14:schemeClr w14:val="tx1"/>
                  </w14:solidFill>
                </w14:textFill>
              </w:rPr>
            </w:pPr>
            <w:r>
              <w:rPr>
                <w:rFonts w:cs="Times New Roman"/>
                <w:color w:val="000000" w:themeColor="text1"/>
                <w:kern w:val="0"/>
                <w:sz w:val="24"/>
                <w14:textFill>
                  <w14:solidFill>
                    <w14:schemeClr w14:val="tx1"/>
                  </w14:solidFill>
                </w14:textFill>
              </w:rPr>
              <w:fldChar w:fldCharType="begin"/>
            </w:r>
            <w:r>
              <w:rPr>
                <w:rFonts w:cs="Times New Roman"/>
                <w:color w:val="000000" w:themeColor="text1"/>
                <w:kern w:val="0"/>
                <w:sz w:val="24"/>
                <w14:textFill>
                  <w14:solidFill>
                    <w14:schemeClr w14:val="tx1"/>
                  </w14:solidFill>
                </w14:textFill>
              </w:rPr>
              <w:instrText xml:space="preserve"> = 6 \* GB3 \* MERGEFORMAT </w:instrText>
            </w:r>
            <w:r>
              <w:rPr>
                <w:rFonts w:cs="Times New Roman"/>
                <w:color w:val="000000" w:themeColor="text1"/>
                <w:kern w:val="0"/>
                <w:sz w:val="24"/>
                <w14:textFill>
                  <w14:solidFill>
                    <w14:schemeClr w14:val="tx1"/>
                  </w14:solidFill>
                </w14:textFill>
              </w:rPr>
              <w:fldChar w:fldCharType="separate"/>
            </w:r>
            <w:r>
              <w:rPr>
                <w:color w:val="000000" w:themeColor="text1"/>
                <w14:textFill>
                  <w14:solidFill>
                    <w14:schemeClr w14:val="tx1"/>
                  </w14:solidFill>
                </w14:textFill>
              </w:rPr>
              <w:t>⑥</w:t>
            </w:r>
            <w:r>
              <w:rPr>
                <w:rFonts w:cs="Times New Roman"/>
                <w:color w:val="000000" w:themeColor="text1"/>
                <w:kern w:val="0"/>
                <w:sz w:val="24"/>
                <w14:textFill>
                  <w14:solidFill>
                    <w14:schemeClr w14:val="tx1"/>
                  </w14:solidFill>
                </w14:textFill>
              </w:rPr>
              <w:fldChar w:fldCharType="end"/>
            </w:r>
            <w:r>
              <w:rPr>
                <w:rFonts w:cs="Times New Roman"/>
                <w:color w:val="000000" w:themeColor="text1"/>
                <w:kern w:val="0"/>
                <w:sz w:val="24"/>
                <w14:textFill>
                  <w14:solidFill>
                    <w14:schemeClr w14:val="tx1"/>
                  </w14:solidFill>
                </w14:textFill>
              </w:rPr>
              <w:t>其他注意事项</w:t>
            </w:r>
          </w:p>
          <w:p w14:paraId="5B1E653D">
            <w:pPr>
              <w:adjustRightInd w:val="0"/>
              <w:snapToGrid w:val="0"/>
              <w:spacing w:line="360" w:lineRule="auto"/>
              <w:ind w:firstLine="480" w:firstLineChars="200"/>
              <w:rPr>
                <w:b/>
                <w:color w:val="000000" w:themeColor="text1"/>
                <w:spacing w:val="-10"/>
                <w:sz w:val="24"/>
                <w14:textFill>
                  <w14:solidFill>
                    <w14:schemeClr w14:val="tx1"/>
                  </w14:solidFill>
                </w14:textFill>
              </w:rPr>
            </w:pPr>
            <w:r>
              <w:rPr>
                <w:color w:val="000000" w:themeColor="text1"/>
                <w:kern w:val="0"/>
                <w:sz w:val="24"/>
                <w14:textFill>
                  <w14:solidFill>
                    <w14:schemeClr w14:val="tx1"/>
                  </w14:solidFill>
                </w14:textFill>
              </w:rPr>
              <w:t>废气排放口标识牌的设置应符合国家环保法规和标准的要求，确保排放口的规范化管理。企业应定期进行巡查和维护，确保标识牌的清晰、完整和可见性。</w:t>
            </w:r>
          </w:p>
          <w:p w14:paraId="381ECB66">
            <w:pPr>
              <w:adjustRightInd w:val="0"/>
              <w:snapToGrid w:val="0"/>
              <w:spacing w:line="360" w:lineRule="auto"/>
              <w:rPr>
                <w:b/>
                <w:color w:val="000000" w:themeColor="text1"/>
                <w:spacing w:val="-10"/>
                <w:sz w:val="24"/>
                <w14:textFill>
                  <w14:solidFill>
                    <w14:schemeClr w14:val="tx1"/>
                  </w14:solidFill>
                </w14:textFill>
              </w:rPr>
            </w:pPr>
            <w:r>
              <w:rPr>
                <w:rFonts w:hint="eastAsia"/>
                <w:b/>
                <w:color w:val="000000" w:themeColor="text1"/>
                <w:spacing w:val="-10"/>
                <w:sz w:val="24"/>
                <w14:textFill>
                  <w14:solidFill>
                    <w14:schemeClr w14:val="tx1"/>
                  </w14:solidFill>
                </w14:textFill>
              </w:rPr>
              <w:t>2.</w:t>
            </w:r>
            <w:r>
              <w:rPr>
                <w:b/>
                <w:color w:val="000000" w:themeColor="text1"/>
                <w:spacing w:val="-10"/>
                <w:sz w:val="24"/>
                <w14:textFill>
                  <w14:solidFill>
                    <w14:schemeClr w14:val="tx1"/>
                  </w14:solidFill>
                </w14:textFill>
              </w:rPr>
              <w:t>废水</w:t>
            </w:r>
          </w:p>
          <w:p w14:paraId="106DD3A9">
            <w:pPr>
              <w:pStyle w:val="20"/>
              <w:snapToGrid w:val="0"/>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color w:val="000000" w:themeColor="text1"/>
                <w14:textFill>
                  <w14:solidFill>
                    <w14:schemeClr w14:val="tx1"/>
                  </w14:solidFill>
                </w14:textFill>
              </w:rPr>
              <w:t>本项目实施后，运营期产生的废水主要为生活污水、锅炉排污水及软化系统排污水，不产生生产废水。</w:t>
            </w:r>
          </w:p>
          <w:p w14:paraId="605DB86F">
            <w:pPr>
              <w:pStyle w:val="20"/>
              <w:numPr>
                <w:ilvl w:val="0"/>
                <w:numId w:val="6"/>
              </w:numPr>
              <w:snapToGrid w:val="0"/>
              <w:spacing w:before="0" w:beforeAutospacing="0" w:after="0" w:afterAutospacing="0" w:line="360" w:lineRule="auto"/>
              <w:ind w:firstLine="480" w:firstLineChars="200"/>
              <w:rPr>
                <w:rStyle w:val="27"/>
                <w:rFonts w:hint="eastAsia"/>
                <w:b w:val="0"/>
                <w:color w:val="000000" w:themeColor="text1"/>
                <w14:textFill>
                  <w14:solidFill>
                    <w14:schemeClr w14:val="tx1"/>
                  </w14:solidFill>
                </w14:textFill>
              </w:rPr>
            </w:pPr>
            <w:r>
              <w:rPr>
                <w:rStyle w:val="27"/>
                <w:b w:val="0"/>
                <w:color w:val="000000" w:themeColor="text1"/>
                <w14:textFill>
                  <w14:solidFill>
                    <w14:schemeClr w14:val="tx1"/>
                  </w14:solidFill>
                </w14:textFill>
              </w:rPr>
              <w:t>生活污水</w:t>
            </w:r>
          </w:p>
          <w:p w14:paraId="06796374">
            <w:pPr>
              <w:pStyle w:val="20"/>
              <w:snapToGrid w:val="0"/>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color w:val="000000" w:themeColor="text1"/>
                <w14:textFill>
                  <w14:solidFill>
                    <w14:schemeClr w14:val="tx1"/>
                  </w14:solidFill>
                </w14:textFill>
              </w:rPr>
              <w:t>主要为职工日常办公及生活所产生，主要污染因子为</w:t>
            </w:r>
            <w:r>
              <w:rPr>
                <w:rFonts w:hint="default" w:ascii="Times New Roman" w:hAnsi="Times New Roman" w:cs="Times New Roman"/>
                <w:color w:val="000000" w:themeColor="text1"/>
                <w14:textFill>
                  <w14:solidFill>
                    <w14:schemeClr w14:val="tx1"/>
                  </w14:solidFill>
                </w14:textFill>
              </w:rPr>
              <w:t>COD、BOD₅、SS、NH₃-N</w:t>
            </w:r>
            <w:r>
              <w:rPr>
                <w:color w:val="000000" w:themeColor="text1"/>
                <w14:textFill>
                  <w14:solidFill>
                    <w14:schemeClr w14:val="tx1"/>
                  </w14:solidFill>
                </w14:textFill>
              </w:rPr>
              <w:t xml:space="preserve"> 等。项目区设置防渗旱厕，生活污水经防渗旱厕收集后，定期清掏，用作农肥堆肥，不外排，不进入地表水体。</w:t>
            </w:r>
          </w:p>
          <w:p w14:paraId="79E9068B">
            <w:pPr>
              <w:pStyle w:val="20"/>
              <w:numPr>
                <w:ilvl w:val="0"/>
                <w:numId w:val="6"/>
              </w:numPr>
              <w:snapToGrid w:val="0"/>
              <w:spacing w:before="0" w:beforeAutospacing="0" w:after="0" w:afterAutospacing="0" w:line="360" w:lineRule="auto"/>
              <w:ind w:firstLine="480" w:firstLineChars="200"/>
              <w:rPr>
                <w:rStyle w:val="27"/>
                <w:rFonts w:hint="eastAsia"/>
                <w:b w:val="0"/>
                <w:color w:val="000000" w:themeColor="text1"/>
                <w14:textFill>
                  <w14:solidFill>
                    <w14:schemeClr w14:val="tx1"/>
                  </w14:solidFill>
                </w14:textFill>
              </w:rPr>
            </w:pPr>
            <w:r>
              <w:rPr>
                <w:rStyle w:val="27"/>
                <w:b w:val="0"/>
                <w:color w:val="000000" w:themeColor="text1"/>
                <w14:textFill>
                  <w14:solidFill>
                    <w14:schemeClr w14:val="tx1"/>
                  </w14:solidFill>
                </w14:textFill>
              </w:rPr>
              <w:t>锅炉排污水及软化系统排污水</w:t>
            </w:r>
          </w:p>
          <w:p w14:paraId="7BAD058B">
            <w:pPr>
              <w:pStyle w:val="20"/>
              <w:snapToGrid w:val="0"/>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color w:val="000000" w:themeColor="text1"/>
                <w14:textFill>
                  <w14:solidFill>
                    <w14:schemeClr w14:val="tx1"/>
                  </w14:solidFill>
                </w14:textFill>
              </w:rPr>
              <w:t>主要为锅炉定期排污及软化水制备装置再生冲洗产生的废水，主要污染因子为悬浮物、无机盐类等。上述废水经收集后全部用于</w:t>
            </w:r>
            <w:r>
              <w:rPr>
                <w:rFonts w:ascii="Times New Roman" w:hAnsi="Times New Roman"/>
                <w:color w:val="000000" w:themeColor="text1"/>
                <w14:textFill>
                  <w14:solidFill>
                    <w14:schemeClr w14:val="tx1"/>
                  </w14:solidFill>
                </w14:textFill>
              </w:rPr>
              <w:t>冲渣和厂区洒水降尘</w:t>
            </w:r>
            <w:r>
              <w:rPr>
                <w:color w:val="000000" w:themeColor="text1"/>
                <w14:textFill>
                  <w14:solidFill>
                    <w14:schemeClr w14:val="tx1"/>
                  </w14:solidFill>
                </w14:textFill>
              </w:rPr>
              <w:t>，实现综合利用，不外排。</w:t>
            </w:r>
          </w:p>
          <w:p w14:paraId="37BA99DC">
            <w:pPr>
              <w:pStyle w:val="20"/>
              <w:snapToGrid w:val="0"/>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color w:val="000000" w:themeColor="text1"/>
                <w14:textFill>
                  <w14:solidFill>
                    <w14:schemeClr w14:val="tx1"/>
                  </w14:solidFill>
                </w14:textFill>
              </w:rPr>
              <w:t>综上所述，本项目废水产生量较小、污染因子单一，经上述措施处理后全部实现综合利用或妥善处置，不外排，对周边地表水及地下水环境影响很小。</w:t>
            </w:r>
          </w:p>
          <w:p w14:paraId="0CAD6A36">
            <w:pPr>
              <w:pStyle w:val="20"/>
              <w:snapToGrid w:val="0"/>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color w:val="000000" w:themeColor="text1"/>
                <w14:textFill>
                  <w14:solidFill>
                    <w14:schemeClr w14:val="tx1"/>
                  </w14:solidFill>
                </w14:textFill>
              </w:rPr>
              <w:t>由于本项目各类废水均不外排、无废水排放口，本次评价仅对废水的产生环节、处置方式及综合利用情况进行</w:t>
            </w:r>
            <w:r>
              <w:rPr>
                <w:rStyle w:val="27"/>
                <w:b w:val="0"/>
                <w:color w:val="000000" w:themeColor="text1"/>
                <w14:textFill>
                  <w14:solidFill>
                    <w14:schemeClr w14:val="tx1"/>
                  </w14:solidFill>
                </w14:textFill>
              </w:rPr>
              <w:t>定性分析</w:t>
            </w:r>
            <w:r>
              <w:rPr>
                <w:color w:val="000000" w:themeColor="text1"/>
                <w14:textFill>
                  <w14:solidFill>
                    <w14:schemeClr w14:val="tx1"/>
                  </w14:solidFill>
                </w14:textFill>
              </w:rPr>
              <w:t>，不进行水量、污染物浓度及排放量等方面的</w:t>
            </w:r>
            <w:r>
              <w:rPr>
                <w:rStyle w:val="27"/>
                <w:b w:val="0"/>
                <w:color w:val="000000" w:themeColor="text1"/>
                <w14:textFill>
                  <w14:solidFill>
                    <w14:schemeClr w14:val="tx1"/>
                  </w14:solidFill>
                </w14:textFill>
              </w:rPr>
              <w:t>定量分析</w:t>
            </w:r>
            <w:r>
              <w:rPr>
                <w:color w:val="000000" w:themeColor="text1"/>
                <w14:textFill>
                  <w14:solidFill>
                    <w14:schemeClr w14:val="tx1"/>
                  </w14:solidFill>
                </w14:textFill>
              </w:rPr>
              <w:t>。</w:t>
            </w:r>
          </w:p>
          <w:p w14:paraId="73D0528F">
            <w:pPr>
              <w:adjustRightInd w:val="0"/>
              <w:snapToGrid w:val="0"/>
              <w:spacing w:line="360" w:lineRule="auto"/>
              <w:rPr>
                <w:b/>
                <w:color w:val="000000" w:themeColor="text1"/>
                <w:spacing w:val="-10"/>
                <w:sz w:val="24"/>
                <w14:textFill>
                  <w14:solidFill>
                    <w14:schemeClr w14:val="tx1"/>
                  </w14:solidFill>
                </w14:textFill>
              </w:rPr>
            </w:pPr>
            <w:r>
              <w:rPr>
                <w:rFonts w:hint="eastAsia"/>
                <w:b/>
                <w:color w:val="000000" w:themeColor="text1"/>
                <w:spacing w:val="-10"/>
                <w:sz w:val="24"/>
                <w14:textFill>
                  <w14:solidFill>
                    <w14:schemeClr w14:val="tx1"/>
                  </w14:solidFill>
                </w14:textFill>
              </w:rPr>
              <w:t>3.</w:t>
            </w:r>
            <w:r>
              <w:rPr>
                <w:b/>
                <w:color w:val="000000" w:themeColor="text1"/>
                <w:spacing w:val="-10"/>
                <w:sz w:val="24"/>
                <w14:textFill>
                  <w14:solidFill>
                    <w14:schemeClr w14:val="tx1"/>
                  </w14:solidFill>
                </w14:textFill>
              </w:rPr>
              <w:t>噪声</w:t>
            </w:r>
          </w:p>
          <w:p w14:paraId="19FC39F4">
            <w:pPr>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（1）噪声污染源源强核算结果及相关参数</w:t>
            </w:r>
          </w:p>
          <w:p w14:paraId="7C47FECF">
            <w:pPr>
              <w:spacing w:line="360" w:lineRule="auto"/>
              <w:ind w:firstLine="480" w:firstLineChars="200"/>
              <w:rPr>
                <w:bCs/>
                <w:color w:val="000000" w:themeColor="text1"/>
                <w:sz w:val="24"/>
                <w14:textFill>
                  <w14:solidFill>
                    <w14:schemeClr w14:val="tx1"/>
                  </w14:solidFill>
                </w14:textFill>
              </w:rPr>
            </w:pPr>
            <w:r>
              <w:rPr>
                <w:color w:val="000000" w:themeColor="text1"/>
                <w:sz w:val="24"/>
                <w14:textFill>
                  <w14:solidFill>
                    <w14:schemeClr w14:val="tx1"/>
                  </w14:solidFill>
                </w14:textFill>
              </w:rPr>
              <w:t>本项目主要噪声来源为设备运行过程中产生的噪声。根据设备类型经查找资料可知，项目选用设备噪声约在80~85dB（A）之间</w:t>
            </w:r>
            <w:r>
              <w:rPr>
                <w:bCs/>
                <w:color w:val="000000" w:themeColor="text1"/>
                <w:sz w:val="24"/>
                <w14:textFill>
                  <w14:solidFill>
                    <w14:schemeClr w14:val="tx1"/>
                  </w14:solidFill>
                </w14:textFill>
              </w:rPr>
              <w:t>，项目运行工况最大时主要噪声源强见表4-7。</w:t>
            </w:r>
          </w:p>
          <w:p w14:paraId="71073BBD">
            <w:pPr>
              <w:jc w:val="center"/>
              <w:textAlignment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表4-7噪声污染源源强核算结果及相关参数一览表</w:t>
            </w:r>
          </w:p>
          <w:tbl>
            <w:tblPr>
              <w:tblStyle w:val="24"/>
              <w:tblW w:w="4998"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022"/>
              <w:gridCol w:w="725"/>
              <w:gridCol w:w="708"/>
              <w:gridCol w:w="900"/>
              <w:gridCol w:w="1491"/>
              <w:gridCol w:w="950"/>
              <w:gridCol w:w="959"/>
              <w:gridCol w:w="666"/>
            </w:tblGrid>
            <w:tr w14:paraId="227D96D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vMerge w:val="restart"/>
                  <w:tcBorders>
                    <w:tl2br w:val="nil"/>
                    <w:tr2bl w:val="nil"/>
                  </w:tcBorders>
                  <w:vAlign w:val="center"/>
                </w:tcPr>
                <w:p w14:paraId="3D8BBB45">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工序</w:t>
                  </w:r>
                </w:p>
              </w:tc>
              <w:tc>
                <w:tcPr>
                  <w:tcW w:w="1022" w:type="dxa"/>
                  <w:vMerge w:val="restart"/>
                  <w:tcBorders>
                    <w:tl2br w:val="nil"/>
                    <w:tr2bl w:val="nil"/>
                  </w:tcBorders>
                  <w:vAlign w:val="center"/>
                </w:tcPr>
                <w:p w14:paraId="349C186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噪声源</w:t>
                  </w:r>
                </w:p>
              </w:tc>
              <w:tc>
                <w:tcPr>
                  <w:tcW w:w="725" w:type="dxa"/>
                  <w:vMerge w:val="restart"/>
                  <w:tcBorders>
                    <w:tl2br w:val="nil"/>
                    <w:tr2bl w:val="nil"/>
                  </w:tcBorders>
                  <w:vAlign w:val="center"/>
                </w:tcPr>
                <w:p w14:paraId="636165E2">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声源</w:t>
                  </w:r>
                </w:p>
                <w:p w14:paraId="2A8E84F7">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类型</w:t>
                  </w:r>
                </w:p>
              </w:tc>
              <w:tc>
                <w:tcPr>
                  <w:tcW w:w="1608" w:type="dxa"/>
                  <w:gridSpan w:val="2"/>
                  <w:tcBorders>
                    <w:tl2br w:val="nil"/>
                    <w:tr2bl w:val="nil"/>
                  </w:tcBorders>
                  <w:vAlign w:val="center"/>
                </w:tcPr>
                <w:p w14:paraId="388FC6DB">
                  <w:pPr>
                    <w:ind w:hanging="66"/>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噪声源强</w:t>
                  </w:r>
                </w:p>
              </w:tc>
              <w:tc>
                <w:tcPr>
                  <w:tcW w:w="2441" w:type="dxa"/>
                  <w:gridSpan w:val="2"/>
                  <w:tcBorders>
                    <w:tl2br w:val="nil"/>
                    <w:tr2bl w:val="nil"/>
                  </w:tcBorders>
                  <w:vAlign w:val="center"/>
                </w:tcPr>
                <w:p w14:paraId="7ECC9233">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降噪措施</w:t>
                  </w:r>
                </w:p>
              </w:tc>
              <w:tc>
                <w:tcPr>
                  <w:tcW w:w="959" w:type="dxa"/>
                  <w:tcBorders>
                    <w:tl2br w:val="nil"/>
                    <w:tr2bl w:val="nil"/>
                  </w:tcBorders>
                  <w:vAlign w:val="center"/>
                </w:tcPr>
                <w:p w14:paraId="0911BC25">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噪声排放值</w:t>
                  </w:r>
                </w:p>
              </w:tc>
              <w:tc>
                <w:tcPr>
                  <w:tcW w:w="666" w:type="dxa"/>
                  <w:vMerge w:val="restart"/>
                  <w:tcBorders>
                    <w:tl2br w:val="nil"/>
                    <w:tr2bl w:val="nil"/>
                  </w:tcBorders>
                  <w:vAlign w:val="center"/>
                </w:tcPr>
                <w:p w14:paraId="086B969C">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持续时间/h</w:t>
                  </w:r>
                </w:p>
              </w:tc>
            </w:tr>
            <w:tr w14:paraId="4A1135E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vMerge w:val="continue"/>
                  <w:tcBorders>
                    <w:tl2br w:val="nil"/>
                    <w:tr2bl w:val="nil"/>
                  </w:tcBorders>
                  <w:vAlign w:val="center"/>
                </w:tcPr>
                <w:p w14:paraId="4711A554">
                  <w:pPr>
                    <w:widowControl/>
                    <w:jc w:val="left"/>
                    <w:rPr>
                      <w:color w:val="000000" w:themeColor="text1"/>
                      <w:szCs w:val="21"/>
                      <w14:textFill>
                        <w14:solidFill>
                          <w14:schemeClr w14:val="tx1"/>
                        </w14:solidFill>
                      </w14:textFill>
                    </w:rPr>
                  </w:pPr>
                </w:p>
              </w:tc>
              <w:tc>
                <w:tcPr>
                  <w:tcW w:w="1022" w:type="dxa"/>
                  <w:vMerge w:val="continue"/>
                  <w:tcBorders>
                    <w:tl2br w:val="nil"/>
                    <w:tr2bl w:val="nil"/>
                  </w:tcBorders>
                  <w:vAlign w:val="center"/>
                </w:tcPr>
                <w:p w14:paraId="0B0069D3">
                  <w:pPr>
                    <w:widowControl/>
                    <w:jc w:val="left"/>
                    <w:rPr>
                      <w:color w:val="000000" w:themeColor="text1"/>
                      <w:szCs w:val="21"/>
                      <w14:textFill>
                        <w14:solidFill>
                          <w14:schemeClr w14:val="tx1"/>
                        </w14:solidFill>
                      </w14:textFill>
                    </w:rPr>
                  </w:pPr>
                </w:p>
              </w:tc>
              <w:tc>
                <w:tcPr>
                  <w:tcW w:w="725" w:type="dxa"/>
                  <w:vMerge w:val="continue"/>
                  <w:tcBorders>
                    <w:tl2br w:val="nil"/>
                    <w:tr2bl w:val="nil"/>
                  </w:tcBorders>
                  <w:vAlign w:val="center"/>
                </w:tcPr>
                <w:p w14:paraId="29E8831E">
                  <w:pPr>
                    <w:widowControl/>
                    <w:jc w:val="left"/>
                    <w:rPr>
                      <w:color w:val="000000" w:themeColor="text1"/>
                      <w:szCs w:val="21"/>
                      <w14:textFill>
                        <w14:solidFill>
                          <w14:schemeClr w14:val="tx1"/>
                        </w14:solidFill>
                      </w14:textFill>
                    </w:rPr>
                  </w:pPr>
                </w:p>
              </w:tc>
              <w:tc>
                <w:tcPr>
                  <w:tcW w:w="708" w:type="dxa"/>
                  <w:tcBorders>
                    <w:tl2br w:val="nil"/>
                    <w:tr2bl w:val="nil"/>
                  </w:tcBorders>
                  <w:vAlign w:val="center"/>
                </w:tcPr>
                <w:p w14:paraId="57FAE9F8">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核算方法</w:t>
                  </w:r>
                </w:p>
              </w:tc>
              <w:tc>
                <w:tcPr>
                  <w:tcW w:w="900" w:type="dxa"/>
                  <w:tcBorders>
                    <w:tl2br w:val="nil"/>
                    <w:tr2bl w:val="nil"/>
                  </w:tcBorders>
                  <w:vAlign w:val="center"/>
                </w:tcPr>
                <w:p w14:paraId="4FEEA14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噪声值/（dB）</w:t>
                  </w:r>
                </w:p>
              </w:tc>
              <w:tc>
                <w:tcPr>
                  <w:tcW w:w="1491" w:type="dxa"/>
                  <w:tcBorders>
                    <w:tl2br w:val="nil"/>
                    <w:tr2bl w:val="nil"/>
                  </w:tcBorders>
                  <w:vAlign w:val="center"/>
                </w:tcPr>
                <w:p w14:paraId="10AE77B1">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工艺</w:t>
                  </w:r>
                </w:p>
              </w:tc>
              <w:tc>
                <w:tcPr>
                  <w:tcW w:w="950" w:type="dxa"/>
                  <w:tcBorders>
                    <w:tl2br w:val="nil"/>
                    <w:tr2bl w:val="nil"/>
                  </w:tcBorders>
                  <w:vAlign w:val="center"/>
                </w:tcPr>
                <w:p w14:paraId="103272AF">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降噪效果/（dB）</w:t>
                  </w:r>
                </w:p>
              </w:tc>
              <w:tc>
                <w:tcPr>
                  <w:tcW w:w="959" w:type="dxa"/>
                  <w:tcBorders>
                    <w:tl2br w:val="nil"/>
                    <w:tr2bl w:val="nil"/>
                  </w:tcBorders>
                  <w:vAlign w:val="center"/>
                </w:tcPr>
                <w:p w14:paraId="7A664B9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噪声值/（dB）</w:t>
                  </w:r>
                </w:p>
              </w:tc>
              <w:tc>
                <w:tcPr>
                  <w:tcW w:w="666" w:type="dxa"/>
                  <w:vMerge w:val="continue"/>
                  <w:tcBorders>
                    <w:tl2br w:val="nil"/>
                    <w:tr2bl w:val="nil"/>
                  </w:tcBorders>
                  <w:vAlign w:val="center"/>
                </w:tcPr>
                <w:p w14:paraId="416E932E">
                  <w:pPr>
                    <w:widowControl/>
                    <w:jc w:val="left"/>
                    <w:rPr>
                      <w:color w:val="000000" w:themeColor="text1"/>
                      <w:kern w:val="0"/>
                      <w:szCs w:val="21"/>
                      <w14:textFill>
                        <w14:solidFill>
                          <w14:schemeClr w14:val="tx1"/>
                        </w14:solidFill>
                      </w14:textFill>
                    </w:rPr>
                  </w:pPr>
                </w:p>
              </w:tc>
            </w:tr>
            <w:tr w14:paraId="151A317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vMerge w:val="restart"/>
                  <w:tcBorders>
                    <w:tl2br w:val="nil"/>
                    <w:tr2bl w:val="nil"/>
                  </w:tcBorders>
                  <w:vAlign w:val="center"/>
                </w:tcPr>
                <w:p w14:paraId="114D07B4">
                  <w:pPr>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锅炉房</w:t>
                  </w:r>
                </w:p>
              </w:tc>
              <w:tc>
                <w:tcPr>
                  <w:tcW w:w="1022" w:type="dxa"/>
                  <w:tcBorders>
                    <w:tl2br w:val="nil"/>
                    <w:tr2bl w:val="nil"/>
                  </w:tcBorders>
                  <w:vAlign w:val="center"/>
                </w:tcPr>
                <w:p w14:paraId="532D4DB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风机</w:t>
                  </w:r>
                </w:p>
              </w:tc>
              <w:tc>
                <w:tcPr>
                  <w:tcW w:w="725" w:type="dxa"/>
                  <w:vMerge w:val="restart"/>
                  <w:tcBorders>
                    <w:tl2br w:val="nil"/>
                    <w:tr2bl w:val="nil"/>
                  </w:tcBorders>
                  <w:vAlign w:val="center"/>
                </w:tcPr>
                <w:p w14:paraId="0C0C6B90">
                  <w:pPr>
                    <w:pStyle w:val="122"/>
                    <w:spacing w:line="320" w:lineRule="exact"/>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频发</w:t>
                  </w:r>
                </w:p>
              </w:tc>
              <w:tc>
                <w:tcPr>
                  <w:tcW w:w="708" w:type="dxa"/>
                  <w:vMerge w:val="restart"/>
                  <w:tcBorders>
                    <w:tl2br w:val="nil"/>
                    <w:tr2bl w:val="nil"/>
                  </w:tcBorders>
                  <w:vAlign w:val="center"/>
                </w:tcPr>
                <w:p w14:paraId="53871840">
                  <w:pPr>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类比法</w:t>
                  </w:r>
                </w:p>
              </w:tc>
              <w:tc>
                <w:tcPr>
                  <w:tcW w:w="900" w:type="dxa"/>
                  <w:tcBorders>
                    <w:tl2br w:val="nil"/>
                    <w:tr2bl w:val="nil"/>
                  </w:tcBorders>
                  <w:vAlign w:val="center"/>
                </w:tcPr>
                <w:p w14:paraId="00BA3E26">
                  <w:pPr>
                    <w:jc w:val="center"/>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85</w:t>
                  </w:r>
                </w:p>
              </w:tc>
              <w:tc>
                <w:tcPr>
                  <w:tcW w:w="1491" w:type="dxa"/>
                  <w:vMerge w:val="restart"/>
                  <w:tcBorders>
                    <w:tl2br w:val="nil"/>
                    <w:tr2bl w:val="nil"/>
                  </w:tcBorders>
                  <w:vAlign w:val="center"/>
                </w:tcPr>
                <w:p w14:paraId="03EEE4B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基础</w:t>
                  </w:r>
                  <w:r>
                    <w:rPr>
                      <w:rFonts w:hint="eastAsia"/>
                      <w:color w:val="000000" w:themeColor="text1"/>
                      <w:szCs w:val="21"/>
                      <w14:textFill>
                        <w14:solidFill>
                          <w14:schemeClr w14:val="tx1"/>
                        </w14:solidFill>
                      </w14:textFill>
                    </w:rPr>
                    <w:t>减振</w:t>
                  </w:r>
                  <w:r>
                    <w:rPr>
                      <w:color w:val="000000" w:themeColor="text1"/>
                      <w:szCs w:val="21"/>
                      <w14:textFill>
                        <w14:solidFill>
                          <w14:schemeClr w14:val="tx1"/>
                        </w14:solidFill>
                      </w14:textFill>
                    </w:rPr>
                    <w:t>，厂房隔声；对风机采取基座减振、厂房隔声、进出口软连接等措施。</w:t>
                  </w:r>
                </w:p>
              </w:tc>
              <w:tc>
                <w:tcPr>
                  <w:tcW w:w="950" w:type="dxa"/>
                  <w:vMerge w:val="restart"/>
                  <w:tcBorders>
                    <w:tl2br w:val="nil"/>
                    <w:tr2bl w:val="nil"/>
                  </w:tcBorders>
                  <w:vAlign w:val="center"/>
                </w:tcPr>
                <w:p w14:paraId="7EC8063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25</w:t>
                  </w:r>
                </w:p>
              </w:tc>
              <w:tc>
                <w:tcPr>
                  <w:tcW w:w="959" w:type="dxa"/>
                  <w:tcBorders>
                    <w:tl2br w:val="nil"/>
                    <w:tr2bl w:val="nil"/>
                  </w:tcBorders>
                  <w:vAlign w:val="center"/>
                </w:tcPr>
                <w:p w14:paraId="5AA31586">
                  <w:pPr>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60</w:t>
                  </w:r>
                </w:p>
              </w:tc>
              <w:tc>
                <w:tcPr>
                  <w:tcW w:w="666" w:type="dxa"/>
                  <w:vMerge w:val="restart"/>
                  <w:tcBorders>
                    <w:tl2br w:val="nil"/>
                    <w:tr2bl w:val="nil"/>
                  </w:tcBorders>
                  <w:vAlign w:val="center"/>
                </w:tcPr>
                <w:p w14:paraId="3D7D906B">
                  <w:pPr>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4320</w:t>
                  </w:r>
                </w:p>
              </w:tc>
            </w:tr>
            <w:tr w14:paraId="3C9CECD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vMerge w:val="continue"/>
                  <w:tcBorders>
                    <w:tl2br w:val="nil"/>
                    <w:tr2bl w:val="nil"/>
                  </w:tcBorders>
                  <w:vAlign w:val="center"/>
                </w:tcPr>
                <w:p w14:paraId="28E763FD">
                  <w:pPr>
                    <w:jc w:val="center"/>
                    <w:textAlignment w:val="center"/>
                    <w:rPr>
                      <w:color w:val="000000" w:themeColor="text1"/>
                      <w:szCs w:val="21"/>
                      <w14:textFill>
                        <w14:solidFill>
                          <w14:schemeClr w14:val="tx1"/>
                        </w14:solidFill>
                      </w14:textFill>
                    </w:rPr>
                  </w:pPr>
                </w:p>
              </w:tc>
              <w:tc>
                <w:tcPr>
                  <w:tcW w:w="1022" w:type="dxa"/>
                  <w:tcBorders>
                    <w:tl2br w:val="nil"/>
                    <w:tr2bl w:val="nil"/>
                  </w:tcBorders>
                  <w:vAlign w:val="center"/>
                </w:tcPr>
                <w:p w14:paraId="4FF3B3A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水泵</w:t>
                  </w:r>
                </w:p>
              </w:tc>
              <w:tc>
                <w:tcPr>
                  <w:tcW w:w="725" w:type="dxa"/>
                  <w:vMerge w:val="continue"/>
                  <w:tcBorders>
                    <w:tl2br w:val="nil"/>
                    <w:tr2bl w:val="nil"/>
                  </w:tcBorders>
                  <w:vAlign w:val="center"/>
                </w:tcPr>
                <w:p w14:paraId="533F15B5">
                  <w:pPr>
                    <w:widowControl/>
                    <w:jc w:val="center"/>
                    <w:rPr>
                      <w:color w:val="000000" w:themeColor="text1"/>
                      <w:kern w:val="0"/>
                      <w:szCs w:val="21"/>
                      <w14:textFill>
                        <w14:solidFill>
                          <w14:schemeClr w14:val="tx1"/>
                        </w14:solidFill>
                      </w14:textFill>
                    </w:rPr>
                  </w:pPr>
                </w:p>
              </w:tc>
              <w:tc>
                <w:tcPr>
                  <w:tcW w:w="708" w:type="dxa"/>
                  <w:vMerge w:val="continue"/>
                  <w:tcBorders>
                    <w:tl2br w:val="nil"/>
                    <w:tr2bl w:val="nil"/>
                  </w:tcBorders>
                  <w:vAlign w:val="center"/>
                </w:tcPr>
                <w:p w14:paraId="3630A203">
                  <w:pPr>
                    <w:jc w:val="center"/>
                    <w:textAlignment w:val="center"/>
                    <w:rPr>
                      <w:color w:val="000000" w:themeColor="text1"/>
                      <w:szCs w:val="21"/>
                      <w14:textFill>
                        <w14:solidFill>
                          <w14:schemeClr w14:val="tx1"/>
                        </w14:solidFill>
                      </w14:textFill>
                    </w:rPr>
                  </w:pPr>
                </w:p>
              </w:tc>
              <w:tc>
                <w:tcPr>
                  <w:tcW w:w="900" w:type="dxa"/>
                  <w:tcBorders>
                    <w:tl2br w:val="nil"/>
                    <w:tr2bl w:val="nil"/>
                  </w:tcBorders>
                  <w:vAlign w:val="center"/>
                </w:tcPr>
                <w:p w14:paraId="02C41E17">
                  <w:pPr>
                    <w:jc w:val="center"/>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80</w:t>
                  </w:r>
                </w:p>
              </w:tc>
              <w:tc>
                <w:tcPr>
                  <w:tcW w:w="1491" w:type="dxa"/>
                  <w:vMerge w:val="continue"/>
                  <w:tcBorders>
                    <w:tl2br w:val="nil"/>
                    <w:tr2bl w:val="nil"/>
                  </w:tcBorders>
                  <w:vAlign w:val="center"/>
                </w:tcPr>
                <w:p w14:paraId="38C31965">
                  <w:pPr>
                    <w:jc w:val="center"/>
                    <w:textAlignment w:val="center"/>
                    <w:rPr>
                      <w:color w:val="000000" w:themeColor="text1"/>
                      <w:szCs w:val="21"/>
                      <w14:textFill>
                        <w14:solidFill>
                          <w14:schemeClr w14:val="tx1"/>
                        </w14:solidFill>
                      </w14:textFill>
                    </w:rPr>
                  </w:pPr>
                </w:p>
              </w:tc>
              <w:tc>
                <w:tcPr>
                  <w:tcW w:w="950" w:type="dxa"/>
                  <w:vMerge w:val="continue"/>
                  <w:tcBorders>
                    <w:tl2br w:val="nil"/>
                    <w:tr2bl w:val="nil"/>
                  </w:tcBorders>
                  <w:vAlign w:val="center"/>
                </w:tcPr>
                <w:p w14:paraId="2FB204A5">
                  <w:pPr>
                    <w:jc w:val="center"/>
                    <w:textAlignment w:val="center"/>
                    <w:rPr>
                      <w:color w:val="000000" w:themeColor="text1"/>
                      <w:szCs w:val="21"/>
                      <w14:textFill>
                        <w14:solidFill>
                          <w14:schemeClr w14:val="tx1"/>
                        </w14:solidFill>
                      </w14:textFill>
                    </w:rPr>
                  </w:pPr>
                </w:p>
              </w:tc>
              <w:tc>
                <w:tcPr>
                  <w:tcW w:w="959" w:type="dxa"/>
                  <w:tcBorders>
                    <w:tl2br w:val="nil"/>
                    <w:tr2bl w:val="nil"/>
                  </w:tcBorders>
                  <w:vAlign w:val="center"/>
                </w:tcPr>
                <w:p w14:paraId="5B690D53">
                  <w:pPr>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55</w:t>
                  </w:r>
                </w:p>
              </w:tc>
              <w:tc>
                <w:tcPr>
                  <w:tcW w:w="666" w:type="dxa"/>
                  <w:vMerge w:val="continue"/>
                  <w:tcBorders>
                    <w:tl2br w:val="nil"/>
                    <w:tr2bl w:val="nil"/>
                  </w:tcBorders>
                  <w:vAlign w:val="center"/>
                </w:tcPr>
                <w:p w14:paraId="68310BC1">
                  <w:pPr>
                    <w:jc w:val="center"/>
                    <w:textAlignment w:val="center"/>
                    <w:rPr>
                      <w:color w:val="000000" w:themeColor="text1"/>
                      <w:szCs w:val="21"/>
                      <w14:textFill>
                        <w14:solidFill>
                          <w14:schemeClr w14:val="tx1"/>
                        </w14:solidFill>
                      </w14:textFill>
                    </w:rPr>
                  </w:pPr>
                </w:p>
              </w:tc>
            </w:tr>
          </w:tbl>
          <w:p w14:paraId="6B35D182">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如果声源处于半自由声场，计算公式如下：</w:t>
            </w:r>
          </w:p>
          <w:p w14:paraId="0AB3624A">
            <w:pPr>
              <w:adjustRightInd w:val="0"/>
              <w:snapToGrid w:val="0"/>
              <w:spacing w:line="360" w:lineRule="auto"/>
              <w:jc w:val="center"/>
              <w:rPr>
                <w:bCs/>
                <w:color w:val="000000" w:themeColor="text1"/>
                <w:sz w:val="24"/>
                <w14:textFill>
                  <w14:solidFill>
                    <w14:schemeClr w14:val="tx1"/>
                  </w14:solidFill>
                </w14:textFill>
              </w:rPr>
            </w:pPr>
            <w:r>
              <w:rPr>
                <w:color w:val="000000" w:themeColor="text1"/>
                <w:position w:val="-14"/>
                <w:sz w:val="24"/>
                <w14:textFill>
                  <w14:solidFill>
                    <w14:schemeClr w14:val="tx1"/>
                  </w14:solidFill>
                </w14:textFill>
              </w:rPr>
              <w:object>
                <v:shape id="_x0000_i1025" o:spt="75" type="#_x0000_t75" style="height:18.8pt;width:110.2pt;" o:ole="t" filled="f" o:preferrelative="t" stroked="f" coordsize="21600,21600">
                  <v:path/>
                  <v:fill on="f" focussize="0,0"/>
                  <v:stroke on="f" joinstyle="miter"/>
                  <v:imagedata r:id="rId20" embosscolor="#FFFFFF" o:title=""/>
                  <o:lock v:ext="edit" aspectratio="t"/>
                  <w10:wrap type="none"/>
                  <w10:anchorlock/>
                </v:shape>
                <o:OLEObject Type="Embed" ProgID="Equation.3" ShapeID="_x0000_i1025" DrawAspect="Content" ObjectID="_1468075725" r:id="rId19">
                  <o:LockedField>false</o:LockedField>
                </o:OLEObject>
              </w:object>
            </w:r>
          </w:p>
          <w:p w14:paraId="1ECE6051">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式中：L</w:t>
            </w:r>
            <w:r>
              <w:rPr>
                <w:bCs/>
                <w:color w:val="000000" w:themeColor="text1"/>
                <w:sz w:val="24"/>
                <w:vertAlign w:val="subscript"/>
                <w14:textFill>
                  <w14:solidFill>
                    <w14:schemeClr w14:val="tx1"/>
                  </w14:solidFill>
                </w14:textFill>
              </w:rPr>
              <w:t>p</w:t>
            </w:r>
            <w:r>
              <w:rPr>
                <w:bCs/>
                <w:color w:val="000000" w:themeColor="text1"/>
                <w:sz w:val="24"/>
                <w14:textFill>
                  <w14:solidFill>
                    <w14:schemeClr w14:val="tx1"/>
                  </w14:solidFill>
                </w14:textFill>
              </w:rPr>
              <w:t>（r）——预测点处声压级，dB；</w:t>
            </w:r>
          </w:p>
          <w:p w14:paraId="6E51B613">
            <w:pPr>
              <w:adjustRightInd w:val="0"/>
              <w:snapToGrid w:val="0"/>
              <w:spacing w:line="360" w:lineRule="auto"/>
              <w:ind w:firstLine="1200" w:firstLineChars="5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L</w:t>
            </w:r>
            <w:r>
              <w:rPr>
                <w:bCs/>
                <w:color w:val="000000" w:themeColor="text1"/>
                <w:sz w:val="24"/>
                <w:vertAlign w:val="subscript"/>
                <w14:textFill>
                  <w14:solidFill>
                    <w14:schemeClr w14:val="tx1"/>
                  </w14:solidFill>
                </w14:textFill>
              </w:rPr>
              <w:t>w</w:t>
            </w:r>
            <w:r>
              <w:rPr>
                <w:bCs/>
                <w:color w:val="000000" w:themeColor="text1"/>
                <w:sz w:val="24"/>
                <w14:textFill>
                  <w14:solidFill>
                    <w14:schemeClr w14:val="tx1"/>
                  </w14:solidFill>
                </w14:textFill>
              </w:rPr>
              <w:t>——由点声源产生的倍频带声功率级，dB；</w:t>
            </w:r>
          </w:p>
          <w:p w14:paraId="4FC2EF03">
            <w:pPr>
              <w:adjustRightInd w:val="0"/>
              <w:snapToGrid w:val="0"/>
              <w:spacing w:line="360" w:lineRule="auto"/>
              <w:ind w:firstLine="1200" w:firstLineChars="5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r——预测点距声源的距离。</w:t>
            </w:r>
          </w:p>
          <w:p w14:paraId="04582687">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噪声贡献值</w:t>
            </w:r>
            <w:r>
              <w:rPr>
                <w:color w:val="000000" w:themeColor="text1"/>
                <w:sz w:val="24"/>
                <w14:textFill>
                  <w14:solidFill>
                    <w14:schemeClr w14:val="tx1"/>
                  </w14:solidFill>
                </w14:textFill>
              </w:rPr>
              <w:t>计算公式</w:t>
            </w:r>
            <w:r>
              <w:rPr>
                <w:bCs/>
                <w:color w:val="000000" w:themeColor="text1"/>
                <w:sz w:val="24"/>
                <w14:textFill>
                  <w14:solidFill>
                    <w14:schemeClr w14:val="tx1"/>
                  </w14:solidFill>
                </w14:textFill>
              </w:rPr>
              <w:t>：</w:t>
            </w:r>
          </w:p>
          <w:p w14:paraId="44CAB3C1">
            <w:pPr>
              <w:adjustRightInd w:val="0"/>
              <w:snapToGrid w:val="0"/>
              <w:spacing w:line="360" w:lineRule="auto"/>
              <w:jc w:val="center"/>
              <w:rPr>
                <w:color w:val="000000" w:themeColor="text1"/>
                <w:sz w:val="24"/>
                <w14:textFill>
                  <w14:solidFill>
                    <w14:schemeClr w14:val="tx1"/>
                  </w14:solidFill>
                </w14:textFill>
              </w:rPr>
            </w:pPr>
            <w:r>
              <w:rPr>
                <w:color w:val="000000" w:themeColor="text1"/>
                <w:position w:val="-34"/>
                <w:sz w:val="24"/>
                <w14:textFill>
                  <w14:solidFill>
                    <w14:schemeClr w14:val="tx1"/>
                  </w14:solidFill>
                </w14:textFill>
              </w:rPr>
              <w:object>
                <v:shape id="_x0000_i1026" o:spt="75" type="#_x0000_t75" style="height:40.05pt;width:204.75pt;" o:ole="t" filled="f" o:preferrelative="t" stroked="f" coordsize="21600,21600">
                  <v:path/>
                  <v:fill on="f" focussize="0,0"/>
                  <v:stroke on="f" joinstyle="miter"/>
                  <v:imagedata r:id="rId22" embosscolor="#FFFFFF" o:title=""/>
                  <o:lock v:ext="edit" aspectratio="t"/>
                  <w10:wrap type="none"/>
                  <w10:anchorlock/>
                </v:shape>
                <o:OLEObject Type="Embed" ProgID="Equation.3" ShapeID="_x0000_i1026" DrawAspect="Content" ObjectID="_1468075726" r:id="rId21">
                  <o:LockedField>false</o:LockedField>
                </o:OLEObject>
              </w:object>
            </w:r>
          </w:p>
          <w:p w14:paraId="2F5EBB1F">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式中：L</w:t>
            </w:r>
            <w:r>
              <w:rPr>
                <w:color w:val="000000" w:themeColor="text1"/>
                <w:sz w:val="24"/>
                <w:vertAlign w:val="subscript"/>
                <w14:textFill>
                  <w14:solidFill>
                    <w14:schemeClr w14:val="tx1"/>
                  </w14:solidFill>
                </w14:textFill>
              </w:rPr>
              <w:t>eqg</w:t>
            </w:r>
            <w:r>
              <w:rPr>
                <w:color w:val="000000" w:themeColor="text1"/>
                <w:sz w:val="24"/>
                <w14:textFill>
                  <w14:solidFill>
                    <w14:schemeClr w14:val="tx1"/>
                  </w14:solidFill>
                </w14:textFill>
              </w:rPr>
              <w:t>——建设项目声源在预测点产生的噪声贡献值，dB；</w:t>
            </w:r>
          </w:p>
          <w:p w14:paraId="603D5D17">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T——用于计算等效声级的时间，s；</w:t>
            </w:r>
          </w:p>
          <w:p w14:paraId="2D292A7A">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N——室外声源个数；</w:t>
            </w:r>
          </w:p>
          <w:p w14:paraId="1F4F4C1C">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t</w:t>
            </w:r>
            <w:r>
              <w:rPr>
                <w:color w:val="000000" w:themeColor="text1"/>
                <w:sz w:val="24"/>
                <w:vertAlign w:val="subscript"/>
                <w14:textFill>
                  <w14:solidFill>
                    <w14:schemeClr w14:val="tx1"/>
                  </w14:solidFill>
                </w14:textFill>
              </w:rPr>
              <w:t>i</w:t>
            </w:r>
            <w:r>
              <w:rPr>
                <w:color w:val="000000" w:themeColor="text1"/>
                <w:sz w:val="24"/>
                <w14:textFill>
                  <w14:solidFill>
                    <w14:schemeClr w14:val="tx1"/>
                  </w14:solidFill>
                </w14:textFill>
              </w:rPr>
              <w:t>——在T时间内i声源工作时间，s；</w:t>
            </w:r>
          </w:p>
          <w:p w14:paraId="40279415">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M——等效室外声源个数；</w:t>
            </w:r>
          </w:p>
          <w:p w14:paraId="4968AF2A">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t</w:t>
            </w:r>
            <w:r>
              <w:rPr>
                <w:color w:val="000000" w:themeColor="text1"/>
                <w:sz w:val="24"/>
                <w:vertAlign w:val="subscript"/>
                <w14:textFill>
                  <w14:solidFill>
                    <w14:schemeClr w14:val="tx1"/>
                  </w14:solidFill>
                </w14:textFill>
              </w:rPr>
              <w:t>j</w:t>
            </w:r>
            <w:r>
              <w:rPr>
                <w:color w:val="000000" w:themeColor="text1"/>
                <w:sz w:val="24"/>
                <w14:textFill>
                  <w14:solidFill>
                    <w14:schemeClr w14:val="tx1"/>
                  </w14:solidFill>
                </w14:textFill>
              </w:rPr>
              <w:t>——在T时间内j声源工作时间，s。</w:t>
            </w:r>
          </w:p>
          <w:p w14:paraId="5014A750">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噪声预测值计算公式：</w:t>
            </w:r>
          </w:p>
          <w:p w14:paraId="436385B9">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预测点的贡献值和背景值按能量叠加方法计算得到声级。</w:t>
            </w:r>
          </w:p>
          <w:p w14:paraId="5C0DE5FE">
            <w:pPr>
              <w:ind w:firstLine="420"/>
              <w:rPr>
                <w:color w:val="000000" w:themeColor="text1"/>
                <w:sz w:val="24"/>
                <w14:textFill>
                  <w14:solidFill>
                    <w14:schemeClr w14:val="tx1"/>
                  </w14:solidFill>
                </w14:textFill>
              </w:rPr>
            </w:pPr>
            <w:r>
              <w:rPr>
                <w:color w:val="000000" w:themeColor="text1"/>
                <w:sz w:val="24"/>
                <w14:textFill>
                  <w14:solidFill>
                    <w14:schemeClr w14:val="tx1"/>
                  </w14:solidFill>
                </w14:textFill>
              </w:rPr>
              <w:t>噪声预测值计算公式为：</w:t>
            </w:r>
          </w:p>
          <w:p w14:paraId="1C3D2EAC">
            <w:pPr>
              <w:spacing w:line="360" w:lineRule="auto"/>
              <w:jc w:val="center"/>
              <w:rPr>
                <w:color w:val="000000" w:themeColor="text1"/>
                <w:sz w:val="24"/>
                <w14:textFill>
                  <w14:solidFill>
                    <w14:schemeClr w14:val="tx1"/>
                  </w14:solidFill>
                </w14:textFill>
              </w:rPr>
            </w:pPr>
            <w:r>
              <w:rPr>
                <w:color w:val="000000" w:themeColor="text1"/>
                <w:position w:val="-14"/>
                <w:sz w:val="24"/>
                <w14:textFill>
                  <w14:solidFill>
                    <w14:schemeClr w14:val="tx1"/>
                  </w14:solidFill>
                </w14:textFill>
              </w:rPr>
              <w:object>
                <v:shape id="_x0000_i1027" o:spt="75" type="#_x0000_t75" style="height:21.3pt;width:135.25pt;" o:ole="t" filled="f" o:preferrelative="t" stroked="f" coordsize="21600,21600">
                  <v:path/>
                  <v:fill on="f" focussize="0,0"/>
                  <v:stroke on="f" joinstyle="miter"/>
                  <v:imagedata r:id="rId24" embosscolor="#FFFFFF" o:title=""/>
                  <o:lock v:ext="edit" aspectratio="t"/>
                  <w10:wrap type="none"/>
                  <w10:anchorlock/>
                </v:shape>
                <o:OLEObject Type="Embed" ProgID="Equation.3" ShapeID="_x0000_i1027" DrawAspect="Content" ObjectID="_1468075727" r:id="rId23">
                  <o:LockedField>false</o:LockedField>
                </o:OLEObject>
              </w:object>
            </w:r>
          </w:p>
          <w:p w14:paraId="7234377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其中：L</w:t>
            </w:r>
            <w:r>
              <w:rPr>
                <w:color w:val="000000" w:themeColor="text1"/>
                <w:sz w:val="24"/>
                <w:vertAlign w:val="subscript"/>
                <w14:textFill>
                  <w14:solidFill>
                    <w14:schemeClr w14:val="tx1"/>
                  </w14:solidFill>
                </w14:textFill>
              </w:rPr>
              <w:t>eq</w:t>
            </w:r>
            <w:r>
              <w:rPr>
                <w:color w:val="000000" w:themeColor="text1"/>
                <w:sz w:val="24"/>
                <w14:textFill>
                  <w14:solidFill>
                    <w14:schemeClr w14:val="tx1"/>
                  </w14:solidFill>
                </w14:textFill>
              </w:rPr>
              <w:t>——预测点的噪声预测值，dB；</w:t>
            </w:r>
          </w:p>
          <w:p w14:paraId="5840351B">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L</w:t>
            </w:r>
            <w:r>
              <w:rPr>
                <w:color w:val="000000" w:themeColor="text1"/>
                <w:sz w:val="24"/>
                <w:vertAlign w:val="subscript"/>
                <w14:textFill>
                  <w14:solidFill>
                    <w14:schemeClr w14:val="tx1"/>
                  </w14:solidFill>
                </w14:textFill>
              </w:rPr>
              <w:t>eqg</w:t>
            </w:r>
            <w:r>
              <w:rPr>
                <w:color w:val="000000" w:themeColor="text1"/>
                <w:sz w:val="24"/>
                <w14:textFill>
                  <w14:solidFill>
                    <w14:schemeClr w14:val="tx1"/>
                  </w14:solidFill>
                </w14:textFill>
              </w:rPr>
              <w:t>——建设项目声源在预测点产生的噪声贡献值，dB；</w:t>
            </w:r>
          </w:p>
          <w:p w14:paraId="3242303D">
            <w:pPr>
              <w:adjustRightInd w:val="0"/>
              <w:spacing w:line="360" w:lineRule="auto"/>
              <w:ind w:firstLine="1200" w:firstLineChars="500"/>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L</w:t>
            </w:r>
            <w:r>
              <w:rPr>
                <w:color w:val="000000" w:themeColor="text1"/>
                <w:sz w:val="24"/>
                <w:vertAlign w:val="subscript"/>
                <w14:textFill>
                  <w14:solidFill>
                    <w14:schemeClr w14:val="tx1"/>
                  </w14:solidFill>
                </w14:textFill>
              </w:rPr>
              <w:t>eqb</w:t>
            </w:r>
            <w:r>
              <w:rPr>
                <w:color w:val="000000" w:themeColor="text1"/>
                <w:sz w:val="24"/>
                <w14:textFill>
                  <w14:solidFill>
                    <w14:schemeClr w14:val="tx1"/>
                  </w14:solidFill>
                </w14:textFill>
              </w:rPr>
              <w:t>——预测点的背景噪声值，dB。</w:t>
            </w:r>
          </w:p>
          <w:p w14:paraId="30416F6D">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经上述公式计算，噪声预测结果见下表。</w:t>
            </w:r>
          </w:p>
          <w:p w14:paraId="595C6537">
            <w:pPr>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表4-8厂界噪声预测结果单位：dB（A）</w:t>
            </w:r>
          </w:p>
          <w:tbl>
            <w:tblPr>
              <w:tblStyle w:val="24"/>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99"/>
              <w:gridCol w:w="1111"/>
              <w:gridCol w:w="1111"/>
              <w:gridCol w:w="1112"/>
              <w:gridCol w:w="1112"/>
              <w:gridCol w:w="1112"/>
              <w:gridCol w:w="1123"/>
            </w:tblGrid>
            <w:tr w14:paraId="5421092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8" w:type="dxa"/>
                  <w:vMerge w:val="restart"/>
                  <w:tcBorders>
                    <w:tl2br w:val="nil"/>
                    <w:tr2bl w:val="nil"/>
                  </w:tcBorders>
                  <w:vAlign w:val="center"/>
                </w:tcPr>
                <w:p w14:paraId="48A3C6C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项目</w:t>
                  </w:r>
                </w:p>
              </w:tc>
              <w:tc>
                <w:tcPr>
                  <w:tcW w:w="2162" w:type="dxa"/>
                  <w:gridSpan w:val="2"/>
                  <w:tcBorders>
                    <w:tl2br w:val="nil"/>
                    <w:tr2bl w:val="nil"/>
                  </w:tcBorders>
                  <w:vAlign w:val="center"/>
                </w:tcPr>
                <w:p w14:paraId="4E0E5574">
                  <w:pPr>
                    <w:widowControl/>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贡献值</w:t>
                  </w:r>
                </w:p>
              </w:tc>
              <w:tc>
                <w:tcPr>
                  <w:tcW w:w="2164" w:type="dxa"/>
                  <w:gridSpan w:val="2"/>
                  <w:tcBorders>
                    <w:tl2br w:val="nil"/>
                    <w:tr2bl w:val="nil"/>
                  </w:tcBorders>
                  <w:vAlign w:val="center"/>
                </w:tcPr>
                <w:p w14:paraId="16F118B6">
                  <w:pPr>
                    <w:widowControl/>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标准值</w:t>
                  </w:r>
                </w:p>
              </w:tc>
              <w:tc>
                <w:tcPr>
                  <w:tcW w:w="2175" w:type="dxa"/>
                  <w:gridSpan w:val="2"/>
                  <w:tcBorders>
                    <w:tl2br w:val="nil"/>
                    <w:tr2bl w:val="nil"/>
                  </w:tcBorders>
                  <w:vAlign w:val="center"/>
                </w:tcPr>
                <w:p w14:paraId="3A4DC23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超标和达标情况</w:t>
                  </w:r>
                </w:p>
              </w:tc>
            </w:tr>
            <w:tr w14:paraId="79EA075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8" w:type="dxa"/>
                  <w:vMerge w:val="continue"/>
                  <w:tcBorders>
                    <w:tl2br w:val="nil"/>
                    <w:tr2bl w:val="nil"/>
                  </w:tcBorders>
                  <w:vAlign w:val="center"/>
                </w:tcPr>
                <w:p w14:paraId="126A08F3">
                  <w:pPr>
                    <w:jc w:val="center"/>
                    <w:rPr>
                      <w:color w:val="000000" w:themeColor="text1"/>
                      <w:szCs w:val="21"/>
                      <w14:textFill>
                        <w14:solidFill>
                          <w14:schemeClr w14:val="tx1"/>
                        </w14:solidFill>
                      </w14:textFill>
                    </w:rPr>
                  </w:pPr>
                </w:p>
              </w:tc>
              <w:tc>
                <w:tcPr>
                  <w:tcW w:w="1081" w:type="dxa"/>
                  <w:tcBorders>
                    <w:tl2br w:val="nil"/>
                    <w:tr2bl w:val="nil"/>
                  </w:tcBorders>
                  <w:vAlign w:val="center"/>
                </w:tcPr>
                <w:p w14:paraId="08E60096">
                  <w:pPr>
                    <w:widowControl/>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昼间</w:t>
                  </w:r>
                </w:p>
              </w:tc>
              <w:tc>
                <w:tcPr>
                  <w:tcW w:w="1081" w:type="dxa"/>
                  <w:tcBorders>
                    <w:tl2br w:val="nil"/>
                    <w:tr2bl w:val="nil"/>
                  </w:tcBorders>
                  <w:vAlign w:val="center"/>
                </w:tcPr>
                <w:p w14:paraId="7AB137B5">
                  <w:pPr>
                    <w:widowControl/>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夜间</w:t>
                  </w:r>
                </w:p>
              </w:tc>
              <w:tc>
                <w:tcPr>
                  <w:tcW w:w="1082" w:type="dxa"/>
                  <w:tcBorders>
                    <w:tl2br w:val="nil"/>
                    <w:tr2bl w:val="nil"/>
                  </w:tcBorders>
                  <w:vAlign w:val="center"/>
                </w:tcPr>
                <w:p w14:paraId="7BB303F3">
                  <w:pPr>
                    <w:widowControl/>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昼间</w:t>
                  </w:r>
                </w:p>
              </w:tc>
              <w:tc>
                <w:tcPr>
                  <w:tcW w:w="1082" w:type="dxa"/>
                  <w:tcBorders>
                    <w:tl2br w:val="nil"/>
                    <w:tr2bl w:val="nil"/>
                  </w:tcBorders>
                  <w:vAlign w:val="center"/>
                </w:tcPr>
                <w:p w14:paraId="1DAB8262">
                  <w:pPr>
                    <w:widowControl/>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夜间</w:t>
                  </w:r>
                </w:p>
              </w:tc>
              <w:tc>
                <w:tcPr>
                  <w:tcW w:w="1082" w:type="dxa"/>
                  <w:tcBorders>
                    <w:tl2br w:val="nil"/>
                    <w:tr2bl w:val="nil"/>
                  </w:tcBorders>
                  <w:vAlign w:val="center"/>
                </w:tcPr>
                <w:p w14:paraId="57B59BE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昼间</w:t>
                  </w:r>
                </w:p>
              </w:tc>
              <w:tc>
                <w:tcPr>
                  <w:tcW w:w="1093" w:type="dxa"/>
                  <w:tcBorders>
                    <w:tl2br w:val="nil"/>
                    <w:tr2bl w:val="nil"/>
                  </w:tcBorders>
                  <w:vAlign w:val="center"/>
                </w:tcPr>
                <w:p w14:paraId="6D29DC0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夜间</w:t>
                  </w:r>
                </w:p>
              </w:tc>
            </w:tr>
            <w:tr w14:paraId="1D09910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8" w:type="dxa"/>
                  <w:tcBorders>
                    <w:tl2br w:val="nil"/>
                    <w:tr2bl w:val="nil"/>
                  </w:tcBorders>
                  <w:vAlign w:val="center"/>
                </w:tcPr>
                <w:p w14:paraId="2227E9D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厂界东侧</w:t>
                  </w:r>
                </w:p>
              </w:tc>
              <w:tc>
                <w:tcPr>
                  <w:tcW w:w="1081" w:type="dxa"/>
                  <w:tcBorders>
                    <w:tl2br w:val="nil"/>
                    <w:tr2bl w:val="nil"/>
                  </w:tcBorders>
                  <w:vAlign w:val="center"/>
                </w:tcPr>
                <w:p w14:paraId="70420211">
                  <w:pPr>
                    <w:widowControl/>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37.5</w:t>
                  </w:r>
                </w:p>
              </w:tc>
              <w:tc>
                <w:tcPr>
                  <w:tcW w:w="1081" w:type="dxa"/>
                  <w:tcBorders>
                    <w:tl2br w:val="nil"/>
                    <w:tr2bl w:val="nil"/>
                  </w:tcBorders>
                  <w:vAlign w:val="center"/>
                </w:tcPr>
                <w:p w14:paraId="2F562BC8">
                  <w:pPr>
                    <w:widowControl/>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37.5</w:t>
                  </w:r>
                </w:p>
              </w:tc>
              <w:tc>
                <w:tcPr>
                  <w:tcW w:w="1082" w:type="dxa"/>
                  <w:tcBorders>
                    <w:tl2br w:val="nil"/>
                    <w:tr2bl w:val="nil"/>
                  </w:tcBorders>
                  <w:vAlign w:val="center"/>
                </w:tcPr>
                <w:p w14:paraId="17DA56D3">
                  <w:pPr>
                    <w:widowControl/>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60</w:t>
                  </w:r>
                </w:p>
              </w:tc>
              <w:tc>
                <w:tcPr>
                  <w:tcW w:w="1082" w:type="dxa"/>
                  <w:tcBorders>
                    <w:tl2br w:val="nil"/>
                    <w:tr2bl w:val="nil"/>
                  </w:tcBorders>
                  <w:vAlign w:val="center"/>
                </w:tcPr>
                <w:p w14:paraId="2E4194DA">
                  <w:pPr>
                    <w:widowControl/>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50</w:t>
                  </w:r>
                </w:p>
              </w:tc>
              <w:tc>
                <w:tcPr>
                  <w:tcW w:w="1082" w:type="dxa"/>
                  <w:tcBorders>
                    <w:tl2br w:val="nil"/>
                    <w:tr2bl w:val="nil"/>
                  </w:tcBorders>
                  <w:vAlign w:val="center"/>
                </w:tcPr>
                <w:p w14:paraId="24F82B8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c>
                <w:tcPr>
                  <w:tcW w:w="1093" w:type="dxa"/>
                  <w:tcBorders>
                    <w:tl2br w:val="nil"/>
                    <w:tr2bl w:val="nil"/>
                  </w:tcBorders>
                  <w:vAlign w:val="center"/>
                </w:tcPr>
                <w:p w14:paraId="5FAA22E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r>
            <w:tr w14:paraId="2E6FDE0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8" w:type="dxa"/>
                  <w:tcBorders>
                    <w:tl2br w:val="nil"/>
                    <w:tr2bl w:val="nil"/>
                  </w:tcBorders>
                  <w:vAlign w:val="center"/>
                </w:tcPr>
                <w:p w14:paraId="130D40E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厂界南侧</w:t>
                  </w:r>
                </w:p>
              </w:tc>
              <w:tc>
                <w:tcPr>
                  <w:tcW w:w="1081" w:type="dxa"/>
                  <w:tcBorders>
                    <w:tl2br w:val="nil"/>
                    <w:tr2bl w:val="nil"/>
                  </w:tcBorders>
                  <w:vAlign w:val="center"/>
                </w:tcPr>
                <w:p w14:paraId="7E7F16A8">
                  <w:pPr>
                    <w:widowControl/>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35.6</w:t>
                  </w:r>
                </w:p>
              </w:tc>
              <w:tc>
                <w:tcPr>
                  <w:tcW w:w="1081" w:type="dxa"/>
                  <w:tcBorders>
                    <w:tl2br w:val="nil"/>
                    <w:tr2bl w:val="nil"/>
                  </w:tcBorders>
                  <w:vAlign w:val="center"/>
                </w:tcPr>
                <w:p w14:paraId="6C953532">
                  <w:pPr>
                    <w:widowControl/>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35.6</w:t>
                  </w:r>
                </w:p>
              </w:tc>
              <w:tc>
                <w:tcPr>
                  <w:tcW w:w="1082" w:type="dxa"/>
                  <w:tcBorders>
                    <w:tl2br w:val="nil"/>
                    <w:tr2bl w:val="nil"/>
                  </w:tcBorders>
                  <w:vAlign w:val="center"/>
                </w:tcPr>
                <w:p w14:paraId="3326BD45">
                  <w:pPr>
                    <w:widowControl/>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60</w:t>
                  </w:r>
                </w:p>
              </w:tc>
              <w:tc>
                <w:tcPr>
                  <w:tcW w:w="1082" w:type="dxa"/>
                  <w:tcBorders>
                    <w:tl2br w:val="nil"/>
                    <w:tr2bl w:val="nil"/>
                  </w:tcBorders>
                  <w:vAlign w:val="center"/>
                </w:tcPr>
                <w:p w14:paraId="7037CE84">
                  <w:pPr>
                    <w:widowControl/>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50</w:t>
                  </w:r>
                </w:p>
              </w:tc>
              <w:tc>
                <w:tcPr>
                  <w:tcW w:w="1082" w:type="dxa"/>
                  <w:tcBorders>
                    <w:tl2br w:val="nil"/>
                    <w:tr2bl w:val="nil"/>
                  </w:tcBorders>
                  <w:vAlign w:val="center"/>
                </w:tcPr>
                <w:p w14:paraId="27FA7E9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c>
                <w:tcPr>
                  <w:tcW w:w="1093" w:type="dxa"/>
                  <w:tcBorders>
                    <w:tl2br w:val="nil"/>
                    <w:tr2bl w:val="nil"/>
                  </w:tcBorders>
                  <w:vAlign w:val="center"/>
                </w:tcPr>
                <w:p w14:paraId="4FD80CC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r>
            <w:tr w14:paraId="76945A9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8" w:type="dxa"/>
                  <w:tcBorders>
                    <w:tl2br w:val="nil"/>
                    <w:tr2bl w:val="nil"/>
                  </w:tcBorders>
                  <w:vAlign w:val="center"/>
                </w:tcPr>
                <w:p w14:paraId="14A680C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厂界西侧</w:t>
                  </w:r>
                </w:p>
              </w:tc>
              <w:tc>
                <w:tcPr>
                  <w:tcW w:w="1081" w:type="dxa"/>
                  <w:tcBorders>
                    <w:tl2br w:val="nil"/>
                    <w:tr2bl w:val="nil"/>
                  </w:tcBorders>
                  <w:vAlign w:val="center"/>
                </w:tcPr>
                <w:p w14:paraId="52A7F769">
                  <w:pPr>
                    <w:widowControl/>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36.4</w:t>
                  </w:r>
                </w:p>
              </w:tc>
              <w:tc>
                <w:tcPr>
                  <w:tcW w:w="1081" w:type="dxa"/>
                  <w:tcBorders>
                    <w:tl2br w:val="nil"/>
                    <w:tr2bl w:val="nil"/>
                  </w:tcBorders>
                  <w:vAlign w:val="center"/>
                </w:tcPr>
                <w:p w14:paraId="10CB672A">
                  <w:pPr>
                    <w:widowControl/>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36.4</w:t>
                  </w:r>
                </w:p>
              </w:tc>
              <w:tc>
                <w:tcPr>
                  <w:tcW w:w="1082" w:type="dxa"/>
                  <w:tcBorders>
                    <w:tl2br w:val="nil"/>
                    <w:tr2bl w:val="nil"/>
                  </w:tcBorders>
                  <w:vAlign w:val="center"/>
                </w:tcPr>
                <w:p w14:paraId="66417EF0">
                  <w:pPr>
                    <w:widowControl/>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60</w:t>
                  </w:r>
                </w:p>
              </w:tc>
              <w:tc>
                <w:tcPr>
                  <w:tcW w:w="1082" w:type="dxa"/>
                  <w:tcBorders>
                    <w:tl2br w:val="nil"/>
                    <w:tr2bl w:val="nil"/>
                  </w:tcBorders>
                  <w:vAlign w:val="center"/>
                </w:tcPr>
                <w:p w14:paraId="79AF9E5E">
                  <w:pPr>
                    <w:widowControl/>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50</w:t>
                  </w:r>
                </w:p>
              </w:tc>
              <w:tc>
                <w:tcPr>
                  <w:tcW w:w="1082" w:type="dxa"/>
                  <w:tcBorders>
                    <w:tl2br w:val="nil"/>
                    <w:tr2bl w:val="nil"/>
                  </w:tcBorders>
                  <w:vAlign w:val="center"/>
                </w:tcPr>
                <w:p w14:paraId="615B6C8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c>
                <w:tcPr>
                  <w:tcW w:w="1093" w:type="dxa"/>
                  <w:tcBorders>
                    <w:tl2br w:val="nil"/>
                    <w:tr2bl w:val="nil"/>
                  </w:tcBorders>
                  <w:vAlign w:val="center"/>
                </w:tcPr>
                <w:p w14:paraId="0B5FD5A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r>
            <w:tr w14:paraId="79651D9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8" w:type="dxa"/>
                  <w:tcBorders>
                    <w:tl2br w:val="nil"/>
                    <w:tr2bl w:val="nil"/>
                  </w:tcBorders>
                  <w:vAlign w:val="center"/>
                </w:tcPr>
                <w:p w14:paraId="3464DE9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厂界北侧</w:t>
                  </w:r>
                </w:p>
              </w:tc>
              <w:tc>
                <w:tcPr>
                  <w:tcW w:w="1081" w:type="dxa"/>
                  <w:tcBorders>
                    <w:tl2br w:val="nil"/>
                    <w:tr2bl w:val="nil"/>
                  </w:tcBorders>
                  <w:vAlign w:val="center"/>
                </w:tcPr>
                <w:p w14:paraId="1CBB8765">
                  <w:pPr>
                    <w:widowControl/>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40.2</w:t>
                  </w:r>
                </w:p>
              </w:tc>
              <w:tc>
                <w:tcPr>
                  <w:tcW w:w="1081" w:type="dxa"/>
                  <w:tcBorders>
                    <w:tl2br w:val="nil"/>
                    <w:tr2bl w:val="nil"/>
                  </w:tcBorders>
                  <w:vAlign w:val="center"/>
                </w:tcPr>
                <w:p w14:paraId="6145E6EF">
                  <w:pPr>
                    <w:widowControl/>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40.2</w:t>
                  </w:r>
                </w:p>
              </w:tc>
              <w:tc>
                <w:tcPr>
                  <w:tcW w:w="1082" w:type="dxa"/>
                  <w:tcBorders>
                    <w:tl2br w:val="nil"/>
                    <w:tr2bl w:val="nil"/>
                  </w:tcBorders>
                  <w:vAlign w:val="center"/>
                </w:tcPr>
                <w:p w14:paraId="51B95656">
                  <w:pPr>
                    <w:widowControl/>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60</w:t>
                  </w:r>
                </w:p>
              </w:tc>
              <w:tc>
                <w:tcPr>
                  <w:tcW w:w="1082" w:type="dxa"/>
                  <w:tcBorders>
                    <w:tl2br w:val="nil"/>
                    <w:tr2bl w:val="nil"/>
                  </w:tcBorders>
                  <w:vAlign w:val="center"/>
                </w:tcPr>
                <w:p w14:paraId="4E31F037">
                  <w:pPr>
                    <w:widowControl/>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50</w:t>
                  </w:r>
                </w:p>
              </w:tc>
              <w:tc>
                <w:tcPr>
                  <w:tcW w:w="1082" w:type="dxa"/>
                  <w:tcBorders>
                    <w:tl2br w:val="nil"/>
                    <w:tr2bl w:val="nil"/>
                  </w:tcBorders>
                  <w:vAlign w:val="center"/>
                </w:tcPr>
                <w:p w14:paraId="6CD9590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c>
                <w:tcPr>
                  <w:tcW w:w="1093" w:type="dxa"/>
                  <w:tcBorders>
                    <w:tl2br w:val="nil"/>
                    <w:tr2bl w:val="nil"/>
                  </w:tcBorders>
                  <w:vAlign w:val="center"/>
                </w:tcPr>
                <w:p w14:paraId="693A373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r>
          </w:tbl>
          <w:p w14:paraId="372DC157">
            <w:pPr>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2</w:t>
            </w:r>
            <w:r>
              <w:rPr>
                <w:bCs/>
                <w:color w:val="000000" w:themeColor="text1"/>
                <w:sz w:val="24"/>
                <w14:textFill>
                  <w14:solidFill>
                    <w14:schemeClr w14:val="tx1"/>
                  </w14:solidFill>
                </w14:textFill>
              </w:rPr>
              <w:t>）敏感点噪声影响分析</w:t>
            </w:r>
          </w:p>
          <w:p w14:paraId="715EEE29">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由表3-6可知，本项目厂界外50m范围内声环境保护目标为厂界西侧49m处的兰新经营所居民区（约366人），声环境功能区为《声环境质量标准》（GB3096-2008）中2类区，标准限值为昼间60dB（A）、夜间50dB（A）。</w:t>
            </w:r>
          </w:p>
          <w:p w14:paraId="61E386A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本项目锅炉仅在供暖期运行，年运行时间4320h，供暖期内风机、水泵等主要噪声源全天连续运行，昼间和夜间均产生噪声影响，本次评价对敏感点昼、夜间噪声分别进行预测分析。</w:t>
            </w:r>
          </w:p>
          <w:p w14:paraId="70B1233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由表4-8可知，本项目厂界西侧（距敏感点最近的厂界）噪声贡献值为36.4dB（A）。敏感点位于厂界西侧外49m处，距厂内各噪声源的距离均大于各噪声源距厂界的距离，经距离衰减后，敏感点处噪声贡献值低于厂界西侧贡献值。本次评价保守起见，以厂界西侧贡献值36.4dB（A）作为敏感点处噪声贡献值进行预测计算；敏感点声环境质量现状监测结果见表3-4，背景噪声取监测最大值，即昼间49dB（A）、夜间39dB（A）。</w:t>
            </w:r>
          </w:p>
          <w:p w14:paraId="56A09C1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按上述噪声预测值计算公式，将敏感点处噪声贡献值与背景值按能量叠加法计算，结果如下：昼间Leq=10lg（10</w:t>
            </w:r>
            <w:r>
              <w:rPr>
                <w:color w:val="000000" w:themeColor="text1"/>
                <w:sz w:val="24"/>
                <w:vertAlign w:val="superscript"/>
                <w14:textFill>
                  <w14:solidFill>
                    <w14:schemeClr w14:val="tx1"/>
                  </w14:solidFill>
                </w14:textFill>
              </w:rPr>
              <w:t>（0.1×49）</w:t>
            </w:r>
            <w:r>
              <w:rPr>
                <w:color w:val="000000" w:themeColor="text1"/>
                <w:sz w:val="24"/>
                <w14:textFill>
                  <w14:solidFill>
                    <w14:schemeClr w14:val="tx1"/>
                  </w14:solidFill>
                </w14:textFill>
              </w:rPr>
              <w:t>+10</w:t>
            </w:r>
            <w:r>
              <w:rPr>
                <w:color w:val="000000" w:themeColor="text1"/>
                <w:sz w:val="24"/>
                <w:vertAlign w:val="superscript"/>
                <w14:textFill>
                  <w14:solidFill>
                    <w14:schemeClr w14:val="tx1"/>
                  </w14:solidFill>
                </w14:textFill>
              </w:rPr>
              <w:t>（0.1×36.4）</w:t>
            </w:r>
            <w:r>
              <w:rPr>
                <w:color w:val="000000" w:themeColor="text1"/>
                <w:sz w:val="24"/>
                <w14:textFill>
                  <w14:solidFill>
                    <w14:schemeClr w14:val="tx1"/>
                  </w14:solidFill>
                </w14:textFill>
              </w:rPr>
              <w:t>）=49.2dB（A）；夜间Leq=10lg（10</w:t>
            </w:r>
            <w:r>
              <w:rPr>
                <w:color w:val="000000" w:themeColor="text1"/>
                <w:sz w:val="24"/>
                <w:vertAlign w:val="superscript"/>
                <w14:textFill>
                  <w14:solidFill>
                    <w14:schemeClr w14:val="tx1"/>
                  </w14:solidFill>
                </w14:textFill>
              </w:rPr>
              <w:t>（0.1×39）</w:t>
            </w:r>
            <w:r>
              <w:rPr>
                <w:color w:val="000000" w:themeColor="text1"/>
                <w:sz w:val="24"/>
                <w14:textFill>
                  <w14:solidFill>
                    <w14:schemeClr w14:val="tx1"/>
                  </w14:solidFill>
                </w14:textFill>
              </w:rPr>
              <w:t>+10</w:t>
            </w:r>
            <w:r>
              <w:rPr>
                <w:color w:val="000000" w:themeColor="text1"/>
                <w:sz w:val="24"/>
                <w:vertAlign w:val="superscript"/>
                <w14:textFill>
                  <w14:solidFill>
                    <w14:schemeClr w14:val="tx1"/>
                  </w14:solidFill>
                </w14:textFill>
              </w:rPr>
              <w:t>（0.1×36.4）</w:t>
            </w:r>
            <w:r>
              <w:rPr>
                <w:color w:val="000000" w:themeColor="text1"/>
                <w:sz w:val="24"/>
                <w14:textFill>
                  <w14:solidFill>
                    <w14:schemeClr w14:val="tx1"/>
                  </w14:solidFill>
                </w14:textFill>
              </w:rPr>
              <w:t>）=40.9dB（A）。</w:t>
            </w:r>
          </w:p>
          <w:p w14:paraId="6A9117A9">
            <w:pPr>
              <w:spacing w:line="360" w:lineRule="auto"/>
              <w:ind w:firstLine="480" w:firstLineChars="200"/>
              <w:rPr>
                <w:b/>
                <w:color w:val="000000" w:themeColor="text1"/>
                <w:sz w:val="24"/>
                <w14:textFill>
                  <w14:solidFill>
                    <w14:schemeClr w14:val="tx1"/>
                  </w14:solidFill>
                </w14:textFill>
              </w:rPr>
            </w:pPr>
            <w:r>
              <w:rPr>
                <w:color w:val="000000" w:themeColor="text1"/>
                <w:sz w:val="24"/>
                <w14:textFill>
                  <w14:solidFill>
                    <w14:schemeClr w14:val="tx1"/>
                  </w14:solidFill>
                </w14:textFill>
              </w:rPr>
              <w:t>经预测，敏感点（兰新经营所）昼间噪声预测值为49.2dB（A）、夜间噪声预测值为40.9dB（A），均满足《声环境质量标准》（GB3096-2008）2类区标准限值要求（昼间60dB（A）、夜间50dB（A））。由于本次预测中敏感点处噪声贡献值按厂界西侧贡献值保守取值，敏感点实际噪声贡献值及预测值均低于上述计算结果，预测结果偏安全。综上，本项目运营期设备噪声对厂界西侧敏感点影响较小。</w:t>
            </w:r>
          </w:p>
          <w:p w14:paraId="5B45B185">
            <w:pPr>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（3）</w:t>
            </w:r>
            <w:r>
              <w:rPr>
                <w:bCs/>
                <w:color w:val="000000" w:themeColor="text1"/>
                <w:sz w:val="24"/>
                <w14:textFill>
                  <w14:solidFill>
                    <w14:schemeClr w14:val="tx1"/>
                  </w14:solidFill>
                </w14:textFill>
              </w:rPr>
              <w:t>污染防治措施及环境影响分析</w:t>
            </w:r>
          </w:p>
          <w:p w14:paraId="1BB8103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为减轻对周围声环境的影响，项目从隔声降噪等方面考虑噪声的防治措施。具体采取的治理措施如下：</w:t>
            </w:r>
          </w:p>
          <w:p w14:paraId="7F52B9BC">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①尽量选用低噪声设备，合理布局，将设备远离保护目标；</w:t>
            </w:r>
          </w:p>
          <w:p w14:paraId="23AC6480">
            <w:pPr>
              <w:spacing w:line="360" w:lineRule="auto"/>
              <w:ind w:firstLine="480" w:firstLineChars="200"/>
              <w:rPr>
                <w:bCs/>
                <w:color w:val="000000" w:themeColor="text1"/>
                <w:sz w:val="24"/>
                <w14:textFill>
                  <w14:solidFill>
                    <w14:schemeClr w14:val="tx1"/>
                  </w14:solidFill>
                </w14:textFill>
              </w:rPr>
            </w:pPr>
            <w:r>
              <w:rPr>
                <w:color w:val="000000" w:themeColor="text1"/>
                <w:sz w:val="24"/>
                <w14:textFill>
                  <w14:solidFill>
                    <w14:schemeClr w14:val="tx1"/>
                  </w14:solidFill>
                </w14:textFill>
              </w:rPr>
              <w:t>②生产过程中，加强检查、维护和保养机械设备，保持润滑，紧固各部件，减少运行振动噪声</w:t>
            </w:r>
            <w:r>
              <w:rPr>
                <w:bCs/>
                <w:color w:val="000000" w:themeColor="text1"/>
                <w:sz w:val="24"/>
                <w14:textFill>
                  <w14:solidFill>
                    <w14:schemeClr w14:val="tx1"/>
                  </w14:solidFill>
                </w14:textFill>
              </w:rPr>
              <w:t>；</w:t>
            </w:r>
          </w:p>
          <w:p w14:paraId="27983813">
            <w:pPr>
              <w:adjustRightInd w:val="0"/>
              <w:snapToGrid w:val="0"/>
              <w:spacing w:line="360" w:lineRule="auto"/>
              <w:ind w:firstLine="480" w:firstLineChars="200"/>
              <w:rPr>
                <w:bCs/>
                <w:color w:val="000000" w:themeColor="text1"/>
                <w:sz w:val="24"/>
                <w14:textFill>
                  <w14:solidFill>
                    <w14:schemeClr w14:val="tx1"/>
                  </w14:solidFill>
                </w14:textFill>
              </w:rPr>
            </w:pPr>
            <w:r>
              <w:rPr>
                <w:color w:val="000000" w:themeColor="text1"/>
                <w:sz w:val="24"/>
                <w14:textFill>
                  <w14:solidFill>
                    <w14:schemeClr w14:val="tx1"/>
                  </w14:solidFill>
                </w14:textFill>
              </w:rPr>
              <w:t>本项目采用低噪声设备，设备及设施运行产生的噪声经建筑隔声、基础减振等措施处理后，厂界噪声能够符合《工业企业厂界环境噪声排放标准》（GB12348-2008）表1中2类标准要求，对周围的环境影响较小。</w:t>
            </w:r>
          </w:p>
          <w:p w14:paraId="15AC05E0">
            <w:pPr>
              <w:adjustRightInd w:val="0"/>
              <w:snapToGrid w:val="0"/>
              <w:spacing w:line="360" w:lineRule="auto"/>
              <w:ind w:left="420" w:left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4</w:t>
            </w:r>
            <w:r>
              <w:rPr>
                <w:bCs/>
                <w:color w:val="000000" w:themeColor="text1"/>
                <w:sz w:val="24"/>
                <w14:textFill>
                  <w14:solidFill>
                    <w14:schemeClr w14:val="tx1"/>
                  </w14:solidFill>
                </w14:textFill>
              </w:rPr>
              <w:t>）监测要求</w:t>
            </w:r>
          </w:p>
          <w:p w14:paraId="036A151B">
            <w:pPr>
              <w:ind w:firstLine="480" w:firstLineChars="200"/>
              <w:rPr>
                <w:b/>
                <w:color w:val="000000" w:themeColor="text1"/>
                <w:sz w:val="24"/>
                <w14:textFill>
                  <w14:solidFill>
                    <w14:schemeClr w14:val="tx1"/>
                  </w14:solidFill>
                </w14:textFill>
              </w:rPr>
            </w:pPr>
            <w:r>
              <w:rPr>
                <w:bCs/>
                <w:color w:val="000000" w:themeColor="text1"/>
                <w:sz w:val="24"/>
                <w14:textFill>
                  <w14:solidFill>
                    <w14:schemeClr w14:val="tx1"/>
                  </w14:solidFill>
                </w14:textFill>
              </w:rPr>
              <w:t>根据《排污单位自行监测技术指南总则》（HJ819-2017），噪声监测要求详见表4-9。</w:t>
            </w:r>
          </w:p>
          <w:p w14:paraId="17B85F2A">
            <w:pPr>
              <w:ind w:firstLine="482" w:firstLineChars="20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表4-9环境监测计划一览表</w:t>
            </w:r>
          </w:p>
          <w:tbl>
            <w:tblPr>
              <w:tblStyle w:val="24"/>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39"/>
              <w:gridCol w:w="1141"/>
              <w:gridCol w:w="1249"/>
              <w:gridCol w:w="1937"/>
              <w:gridCol w:w="2714"/>
            </w:tblGrid>
            <w:tr w14:paraId="46C57D0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7" w:type="dxa"/>
                  <w:tcBorders>
                    <w:tl2br w:val="nil"/>
                    <w:tr2bl w:val="nil"/>
                  </w:tcBorders>
                  <w:vAlign w:val="center"/>
                </w:tcPr>
                <w:p w14:paraId="17278422">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监测要素</w:t>
                  </w:r>
                </w:p>
              </w:tc>
              <w:tc>
                <w:tcPr>
                  <w:tcW w:w="1108" w:type="dxa"/>
                  <w:tcBorders>
                    <w:tl2br w:val="nil"/>
                    <w:tr2bl w:val="nil"/>
                  </w:tcBorders>
                  <w:vAlign w:val="center"/>
                </w:tcPr>
                <w:p w14:paraId="6204D6D4">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监测地点</w:t>
                  </w:r>
                </w:p>
              </w:tc>
              <w:tc>
                <w:tcPr>
                  <w:tcW w:w="1213" w:type="dxa"/>
                  <w:tcBorders>
                    <w:tl2br w:val="nil"/>
                    <w:tr2bl w:val="nil"/>
                  </w:tcBorders>
                  <w:vAlign w:val="center"/>
                </w:tcPr>
                <w:p w14:paraId="6EB271FB">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监测项目</w:t>
                  </w:r>
                </w:p>
              </w:tc>
              <w:tc>
                <w:tcPr>
                  <w:tcW w:w="1882" w:type="dxa"/>
                  <w:tcBorders>
                    <w:tl2br w:val="nil"/>
                    <w:tr2bl w:val="nil"/>
                  </w:tcBorders>
                  <w:vAlign w:val="center"/>
                </w:tcPr>
                <w:p w14:paraId="4ECBAAC3">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监测频次</w:t>
                  </w:r>
                </w:p>
              </w:tc>
              <w:tc>
                <w:tcPr>
                  <w:tcW w:w="2636" w:type="dxa"/>
                  <w:tcBorders>
                    <w:tl2br w:val="nil"/>
                    <w:tr2bl w:val="nil"/>
                  </w:tcBorders>
                  <w:vAlign w:val="center"/>
                </w:tcPr>
                <w:p w14:paraId="7662C8FD">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执行排放标准</w:t>
                  </w:r>
                </w:p>
              </w:tc>
            </w:tr>
            <w:tr w14:paraId="17EC777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7" w:type="dxa"/>
                  <w:tcBorders>
                    <w:tl2br w:val="nil"/>
                    <w:tr2bl w:val="nil"/>
                  </w:tcBorders>
                  <w:vAlign w:val="center"/>
                </w:tcPr>
                <w:p w14:paraId="215B78B3">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噪声</w:t>
                  </w:r>
                </w:p>
              </w:tc>
              <w:tc>
                <w:tcPr>
                  <w:tcW w:w="1108" w:type="dxa"/>
                  <w:tcBorders>
                    <w:tl2br w:val="nil"/>
                    <w:tr2bl w:val="nil"/>
                  </w:tcBorders>
                  <w:vAlign w:val="center"/>
                </w:tcPr>
                <w:p w14:paraId="4D32331C">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厂界四周各设置1个监测点位</w:t>
                  </w:r>
                </w:p>
              </w:tc>
              <w:tc>
                <w:tcPr>
                  <w:tcW w:w="1213" w:type="dxa"/>
                  <w:tcBorders>
                    <w:tl2br w:val="nil"/>
                    <w:tr2bl w:val="nil"/>
                  </w:tcBorders>
                  <w:vAlign w:val="center"/>
                </w:tcPr>
                <w:p w14:paraId="19DF88F9">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连续等效A声级</w:t>
                  </w:r>
                </w:p>
              </w:tc>
              <w:tc>
                <w:tcPr>
                  <w:tcW w:w="1882" w:type="dxa"/>
                  <w:tcBorders>
                    <w:tl2br w:val="nil"/>
                    <w:tr2bl w:val="nil"/>
                  </w:tcBorders>
                  <w:vAlign w:val="center"/>
                </w:tcPr>
                <w:p w14:paraId="2F967D18">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1次/季度</w:t>
                  </w:r>
                </w:p>
              </w:tc>
              <w:tc>
                <w:tcPr>
                  <w:tcW w:w="2636" w:type="dxa"/>
                  <w:tcBorders>
                    <w:tl2br w:val="nil"/>
                    <w:tr2bl w:val="nil"/>
                  </w:tcBorders>
                  <w:vAlign w:val="center"/>
                </w:tcPr>
                <w:p w14:paraId="3B49C3E2">
                  <w:pPr>
                    <w:adjustRightInd w:val="0"/>
                    <w:snapToGri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《工业企业厂界环境噪声排放标准》（GB12348-2008）表1中2类标准</w:t>
                  </w:r>
                </w:p>
              </w:tc>
            </w:tr>
          </w:tbl>
          <w:p w14:paraId="65B0CDB3">
            <w:pPr>
              <w:adjustRightInd w:val="0"/>
              <w:snapToGrid w:val="0"/>
              <w:spacing w:line="360" w:lineRule="auto"/>
              <w:rPr>
                <w:b/>
                <w:color w:val="000000" w:themeColor="text1"/>
                <w:spacing w:val="-10"/>
                <w:sz w:val="24"/>
                <w14:textFill>
                  <w14:solidFill>
                    <w14:schemeClr w14:val="tx1"/>
                  </w14:solidFill>
                </w14:textFill>
              </w:rPr>
            </w:pPr>
            <w:r>
              <w:rPr>
                <w:rFonts w:hint="eastAsia"/>
                <w:b/>
                <w:color w:val="000000" w:themeColor="text1"/>
                <w:spacing w:val="-10"/>
                <w:sz w:val="24"/>
                <w14:textFill>
                  <w14:solidFill>
                    <w14:schemeClr w14:val="tx1"/>
                  </w14:solidFill>
                </w14:textFill>
              </w:rPr>
              <w:t>4.</w:t>
            </w:r>
            <w:r>
              <w:rPr>
                <w:b/>
                <w:color w:val="000000" w:themeColor="text1"/>
                <w:spacing w:val="-10"/>
                <w:sz w:val="24"/>
                <w14:textFill>
                  <w14:solidFill>
                    <w14:schemeClr w14:val="tx1"/>
                  </w14:solidFill>
                </w14:textFill>
              </w:rPr>
              <w:t>固体废物</w:t>
            </w:r>
          </w:p>
          <w:p w14:paraId="5DBAE3D3">
            <w:pPr>
              <w:spacing w:line="360" w:lineRule="auto"/>
              <w:ind w:firstLine="480" w:firstLineChars="200"/>
              <w:rPr>
                <w:rFonts w:hint="eastAsia"/>
                <w:color w:val="000000" w:themeColor="text1"/>
                <w:lang w:val="en-US" w:eastAsia="zh-CN"/>
                <w14:textFill>
                  <w14:solidFill>
                    <w14:schemeClr w14:val="tx1"/>
                  </w14:solidFill>
                </w14:textFill>
              </w:rPr>
            </w:pPr>
            <w:r>
              <w:rPr>
                <w:bCs/>
                <w:color w:val="000000" w:themeColor="text1"/>
                <w:sz w:val="24"/>
                <w14:textFill>
                  <w14:solidFill>
                    <w14:schemeClr w14:val="tx1"/>
                  </w14:solidFill>
                </w14:textFill>
              </w:rPr>
              <w:t>本项目员工内部调配，不新增员工，废离子交换树脂由厂家更换回收。</w:t>
            </w:r>
            <w:r>
              <w:rPr>
                <w:color w:val="000000" w:themeColor="text1"/>
                <w:sz w:val="24"/>
                <w14:textFill>
                  <w14:solidFill>
                    <w14:schemeClr w14:val="tx1"/>
                  </w14:solidFill>
                </w14:textFill>
              </w:rPr>
              <w:t>生产过程中产生的布袋除尘器收尘、锅炉炉渣、废旧布袋。</w:t>
            </w:r>
            <w:r>
              <w:rPr>
                <w:rFonts w:hint="eastAsia" w:cs="Times New Roman"/>
                <w:color w:val="000000" w:themeColor="text1"/>
                <w:sz w:val="24"/>
                <w:szCs w:val="24"/>
                <w:highlight w:val="none"/>
                <w:lang w:val="en-US" w:eastAsia="zh-CN"/>
                <w14:textFill>
                  <w14:solidFill>
                    <w14:schemeClr w14:val="tx1"/>
                  </w14:solidFill>
                </w14:textFill>
              </w:rPr>
              <w:t>危险废物为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废机油（</w:t>
            </w:r>
            <w:r>
              <w:rPr>
                <w:rFonts w:hint="eastAsia" w:cs="Times New Roman"/>
                <w:color w:val="000000" w:themeColor="text1"/>
                <w:sz w:val="24"/>
                <w:szCs w:val="24"/>
                <w:highlight w:val="none"/>
                <w:lang w:val="en-US" w:eastAsia="zh-CN"/>
                <w14:textFill>
                  <w14:solidFill>
                    <w14:schemeClr w14:val="tx1"/>
                  </w14:solidFill>
                </w14:textFill>
              </w:rPr>
              <w:t>废机油</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）、废油桶、</w:t>
            </w:r>
            <w:r>
              <w:rPr>
                <w:rFonts w:hint="default" w:ascii="Times New Roman" w:hAnsi="Times New Roman" w:eastAsia="宋体" w:cs="Times New Roman"/>
                <w:color w:val="000000" w:themeColor="text1"/>
                <w:sz w:val="24"/>
                <w:szCs w:val="24"/>
                <w:highlight w:val="none"/>
                <w14:textFill>
                  <w14:solidFill>
                    <w14:schemeClr w14:val="tx1"/>
                  </w14:solidFill>
                </w14:textFill>
              </w:rPr>
              <w:t>含油棉布、手套</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4AD03D52">
            <w:pPr>
              <w:pStyle w:val="46"/>
              <w:spacing w:line="360" w:lineRule="auto"/>
              <w:ind w:firstLine="48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4.1</w:t>
            </w:r>
            <w:r>
              <w:rPr>
                <w:color w:val="000000" w:themeColor="text1"/>
                <w14:textFill>
                  <w14:solidFill>
                    <w14:schemeClr w14:val="tx1"/>
                  </w14:solidFill>
                </w14:textFill>
              </w:rPr>
              <w:t>固体废物产生情况</w:t>
            </w:r>
          </w:p>
          <w:p w14:paraId="31CD3ED8">
            <w:pPr>
              <w:spacing w:line="360" w:lineRule="auto"/>
              <w:ind w:firstLine="480" w:firstLineChars="200"/>
              <w:rPr>
                <w:color w:val="000000" w:themeColor="text1"/>
                <w:sz w:val="24"/>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（1）一般工业固体废物</w:t>
            </w:r>
          </w:p>
          <w:p w14:paraId="29F0A5F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①布袋除尘器收尘</w:t>
            </w:r>
          </w:p>
          <w:p w14:paraId="101B786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本项目布袋除尘器收尘的量为</w:t>
            </w:r>
            <w:r>
              <w:rPr>
                <w:rFonts w:hint="eastAsia"/>
                <w:color w:val="000000" w:themeColor="text1"/>
                <w:sz w:val="24"/>
                <w14:textFill>
                  <w14:solidFill>
                    <w14:schemeClr w14:val="tx1"/>
                  </w14:solidFill>
                </w14:textFill>
              </w:rPr>
              <w:t>12.746</w:t>
            </w:r>
            <w:r>
              <w:rPr>
                <w:color w:val="000000" w:themeColor="text1"/>
                <w:sz w:val="24"/>
                <w14:textFill>
                  <w14:solidFill>
                    <w14:schemeClr w14:val="tx1"/>
                  </w14:solidFill>
                </w14:textFill>
              </w:rPr>
              <w:t>t/a，布袋除尘器收集的飞灰</w:t>
            </w:r>
            <w:r>
              <w:rPr>
                <w:rFonts w:hint="eastAsia"/>
                <w:color w:val="000000" w:themeColor="text1"/>
                <w:sz w:val="24"/>
                <w14:textFill>
                  <w14:solidFill>
                    <w14:schemeClr w14:val="tx1"/>
                  </w14:solidFill>
                </w14:textFill>
              </w:rPr>
              <w:t>在更换布袋时收集，和灰渣一起暂存，</w:t>
            </w:r>
            <w:r>
              <w:rPr>
                <w:color w:val="000000" w:themeColor="text1"/>
                <w:sz w:val="24"/>
                <w14:textFill>
                  <w14:solidFill>
                    <w14:schemeClr w14:val="tx1"/>
                  </w14:solidFill>
                </w14:textFill>
              </w:rPr>
              <w:t>外售给</w:t>
            </w:r>
            <w:r>
              <w:rPr>
                <w:rFonts w:hint="eastAsia"/>
                <w:color w:val="000000" w:themeColor="text1"/>
                <w:sz w:val="24"/>
                <w14:textFill>
                  <w14:solidFill>
                    <w14:schemeClr w14:val="tx1"/>
                  </w14:solidFill>
                </w14:textFill>
              </w:rPr>
              <w:t>伊春市陶粒砌体有限责任公司</w:t>
            </w:r>
            <w:r>
              <w:rPr>
                <w:color w:val="000000" w:themeColor="text1"/>
                <w:sz w:val="24"/>
                <w14:textFill>
                  <w14:solidFill>
                    <w14:schemeClr w14:val="tx1"/>
                  </w14:solidFill>
                </w14:textFill>
              </w:rPr>
              <w:t>综合利用。</w:t>
            </w:r>
          </w:p>
          <w:p w14:paraId="08E6DD70">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②锅炉炉渣</w:t>
            </w:r>
          </w:p>
          <w:p w14:paraId="1BC9D93F">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炉渣产生量根据《污染源源强核算技术指南锅炉》（HJ991-2018）中8.1物料衡算法计算。</w:t>
            </w:r>
          </w:p>
          <w:p w14:paraId="29A00B4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drawing>
                <wp:inline distT="0" distB="0" distL="114300" distR="114300">
                  <wp:extent cx="2221865" cy="485775"/>
                  <wp:effectExtent l="0" t="0" r="6985" b="9525"/>
                  <wp:docPr id="30" name="图片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500"/>
                          <pic:cNvPicPr>
                            <a:picLocks noChangeAspect="1"/>
                          </pic:cNvPicPr>
                        </pic:nvPicPr>
                        <pic:blipFill>
                          <a:blip r:embed="rId25"/>
                          <a:stretch>
                            <a:fillRect/>
                          </a:stretch>
                        </pic:blipFill>
                        <pic:spPr>
                          <a:xfrm>
                            <a:off x="0" y="0"/>
                            <a:ext cx="2221865" cy="485775"/>
                          </a:xfrm>
                          <a:prstGeom prst="rect">
                            <a:avLst/>
                          </a:prstGeom>
                          <a:noFill/>
                          <a:ln>
                            <a:noFill/>
                          </a:ln>
                        </pic:spPr>
                      </pic:pic>
                    </a:graphicData>
                  </a:graphic>
                </wp:inline>
              </w:drawing>
            </w:r>
          </w:p>
          <w:p w14:paraId="7BDD378B">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式中：E</w:t>
            </w:r>
            <w:r>
              <w:rPr>
                <w:color w:val="000000" w:themeColor="text1"/>
                <w:sz w:val="24"/>
                <w:vertAlign w:val="subscript"/>
                <w14:textFill>
                  <w14:solidFill>
                    <w14:schemeClr w14:val="tx1"/>
                  </w14:solidFill>
                </w14:textFill>
              </w:rPr>
              <w:t>hc</w:t>
            </w:r>
            <w:r>
              <w:rPr>
                <w:color w:val="000000" w:themeColor="text1"/>
                <w:sz w:val="24"/>
                <w14:textFill>
                  <w14:solidFill>
                    <w14:schemeClr w14:val="tx1"/>
                  </w14:solidFill>
                </w14:textFill>
              </w:rPr>
              <w:t>----核算时段内炉渣产生量，t；</w:t>
            </w:r>
          </w:p>
          <w:p w14:paraId="70A8DBC2">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R----核算时段内锅炉燃</w:t>
            </w:r>
            <w:r>
              <w:rPr>
                <w:rFonts w:hint="eastAsia"/>
                <w:color w:val="000000" w:themeColor="text1"/>
                <w:sz w:val="24"/>
                <w14:textFill>
                  <w14:solidFill>
                    <w14:schemeClr w14:val="tx1"/>
                  </w14:solidFill>
                </w14:textFill>
              </w:rPr>
              <w:t>料消</w:t>
            </w:r>
            <w:r>
              <w:rPr>
                <w:color w:val="000000" w:themeColor="text1"/>
                <w:sz w:val="24"/>
                <w14:textFill>
                  <w14:solidFill>
                    <w14:schemeClr w14:val="tx1"/>
                  </w14:solidFill>
                </w14:textFill>
              </w:rPr>
              <w:t>耗量，t；</w:t>
            </w:r>
          </w:p>
          <w:p w14:paraId="1903A2E1">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A</w:t>
            </w:r>
            <w:r>
              <w:rPr>
                <w:color w:val="000000" w:themeColor="text1"/>
                <w:sz w:val="24"/>
                <w:vertAlign w:val="subscript"/>
                <w14:textFill>
                  <w14:solidFill>
                    <w14:schemeClr w14:val="tx1"/>
                  </w14:solidFill>
                </w14:textFill>
              </w:rPr>
              <w:t>ar</w:t>
            </w:r>
            <w:r>
              <w:rPr>
                <w:color w:val="000000" w:themeColor="text1"/>
                <w:sz w:val="24"/>
                <w14:textFill>
                  <w14:solidFill>
                    <w14:schemeClr w14:val="tx1"/>
                  </w14:solidFill>
                </w14:textFill>
              </w:rPr>
              <w:t>----收到基灰分的质量分数，%；</w:t>
            </w:r>
          </w:p>
          <w:p w14:paraId="3B8C5FE4">
            <w:pPr>
              <w:spacing w:line="360" w:lineRule="auto"/>
              <w:ind w:firstLine="1050" w:firstLineChars="50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000250" cy="504825"/>
                  <wp:effectExtent l="0" t="0" r="0" b="9525"/>
                  <wp:docPr id="3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6"/>
                          <pic:cNvPicPr>
                            <a:picLocks noChangeAspect="1"/>
                          </pic:cNvPicPr>
                        </pic:nvPicPr>
                        <pic:blipFill>
                          <a:blip r:embed="rId26"/>
                          <a:stretch>
                            <a:fillRect/>
                          </a:stretch>
                        </pic:blipFill>
                        <pic:spPr>
                          <a:xfrm>
                            <a:off x="0" y="0"/>
                            <a:ext cx="2000250" cy="504825"/>
                          </a:xfrm>
                          <a:prstGeom prst="rect">
                            <a:avLst/>
                          </a:prstGeom>
                          <a:noFill/>
                          <a:ln>
                            <a:noFill/>
                          </a:ln>
                        </pic:spPr>
                      </pic:pic>
                    </a:graphicData>
                  </a:graphic>
                </wp:inline>
              </w:drawing>
            </w:r>
          </w:p>
          <w:p w14:paraId="1347729E">
            <w:pPr>
              <w:spacing w:line="360" w:lineRule="auto"/>
              <w:ind w:left="1050" w:leftChars="5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依据生物质燃料分析报告，A</w:t>
            </w:r>
            <w:r>
              <w:rPr>
                <w:rFonts w:hint="eastAsia"/>
                <w:color w:val="000000" w:themeColor="text1"/>
                <w:sz w:val="24"/>
                <w:vertAlign w:val="subscript"/>
                <w14:textFill>
                  <w14:solidFill>
                    <w14:schemeClr w14:val="tx1"/>
                  </w14:solidFill>
                </w14:textFill>
              </w:rPr>
              <w:t>ad</w:t>
            </w:r>
            <w:r>
              <w:rPr>
                <w:rFonts w:hint="eastAsia"/>
                <w:color w:val="000000" w:themeColor="text1"/>
                <w:sz w:val="24"/>
                <w14:textFill>
                  <w14:solidFill>
                    <w14:schemeClr w14:val="tx1"/>
                  </w14:solidFill>
                </w14:textFill>
              </w:rPr>
              <w:t>=6.56%，M</w:t>
            </w:r>
            <w:r>
              <w:rPr>
                <w:rFonts w:hint="eastAsia"/>
                <w:color w:val="000000" w:themeColor="text1"/>
                <w:sz w:val="24"/>
                <w:vertAlign w:val="subscript"/>
                <w14:textFill>
                  <w14:solidFill>
                    <w14:schemeClr w14:val="tx1"/>
                  </w14:solidFill>
                </w14:textFill>
              </w:rPr>
              <w:t>t,ar</w:t>
            </w:r>
            <w:r>
              <w:rPr>
                <w:rFonts w:hint="eastAsia"/>
                <w:color w:val="000000" w:themeColor="text1"/>
                <w:sz w:val="24"/>
                <w14:textFill>
                  <w14:solidFill>
                    <w14:schemeClr w14:val="tx1"/>
                  </w14:solidFill>
                </w14:textFill>
              </w:rPr>
              <w:t>=5.5%，M</w:t>
            </w:r>
            <w:r>
              <w:rPr>
                <w:rFonts w:hint="eastAsia"/>
                <w:color w:val="000000" w:themeColor="text1"/>
                <w:sz w:val="24"/>
                <w:vertAlign w:val="subscript"/>
                <w14:textFill>
                  <w14:solidFill>
                    <w14:schemeClr w14:val="tx1"/>
                  </w14:solidFill>
                </w14:textFill>
              </w:rPr>
              <w:t>ad</w:t>
            </w:r>
            <w:r>
              <w:rPr>
                <w:rFonts w:hint="eastAsia"/>
                <w:color w:val="000000" w:themeColor="text1"/>
                <w:sz w:val="24"/>
                <w14:textFill>
                  <w14:solidFill>
                    <w14:schemeClr w14:val="tx1"/>
                  </w14:solidFill>
                </w14:textFill>
              </w:rPr>
              <w:t>=5.55%，计算得</w:t>
            </w:r>
            <w:r>
              <w:rPr>
                <w:color w:val="000000" w:themeColor="text1"/>
                <w:sz w:val="24"/>
                <w14:textFill>
                  <w14:solidFill>
                    <w14:schemeClr w14:val="tx1"/>
                  </w14:solidFill>
                </w14:textFill>
              </w:rPr>
              <w:t>A</w:t>
            </w:r>
            <w:r>
              <w:rPr>
                <w:color w:val="000000" w:themeColor="text1"/>
                <w:sz w:val="24"/>
                <w:vertAlign w:val="subscript"/>
                <w14:textFill>
                  <w14:solidFill>
                    <w14:schemeClr w14:val="tx1"/>
                  </w14:solidFill>
                </w14:textFill>
              </w:rPr>
              <w:t>ar</w:t>
            </w:r>
            <w:r>
              <w:rPr>
                <w:rFonts w:hint="eastAsia"/>
                <w:color w:val="000000" w:themeColor="text1"/>
                <w:sz w:val="24"/>
                <w14:textFill>
                  <w14:solidFill>
                    <w14:schemeClr w14:val="tx1"/>
                  </w14:solidFill>
                </w14:textFill>
              </w:rPr>
              <w:t>为6.59。</w:t>
            </w:r>
          </w:p>
          <w:p w14:paraId="3704C122">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q4----锅炉机械不完全燃烧热损失，%；取12%。</w:t>
            </w:r>
          </w:p>
          <w:p w14:paraId="4C7215DC">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Qnet，ar----收到基低位发热量，MJ/</w:t>
            </w:r>
            <w:r>
              <w:rPr>
                <w:rFonts w:hint="eastAsia"/>
                <w:color w:val="000000" w:themeColor="text1"/>
                <w:sz w:val="24"/>
                <w14:textFill>
                  <w14:solidFill>
                    <w14:schemeClr w14:val="tx1"/>
                  </w14:solidFill>
                </w14:textFill>
              </w:rPr>
              <w:t>kg</w:t>
            </w:r>
            <w:r>
              <w:rPr>
                <w:color w:val="000000" w:themeColor="text1"/>
                <w:sz w:val="24"/>
                <w14:textFill>
                  <w14:solidFill>
                    <w14:schemeClr w14:val="tx1"/>
                  </w14:solidFill>
                </w14:textFill>
              </w:rPr>
              <w:t>；取16.77</w:t>
            </w:r>
          </w:p>
          <w:p w14:paraId="4FBD70F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经计算，本项目锅炉燃烧产生的灰渣量为</w:t>
            </w:r>
            <w:r>
              <w:rPr>
                <w:rFonts w:hint="eastAsia"/>
                <w:color w:val="000000" w:themeColor="text1"/>
                <w:sz w:val="24"/>
                <w14:textFill>
                  <w14:solidFill>
                    <w14:schemeClr w14:val="tx1"/>
                  </w14:solidFill>
                </w14:textFill>
              </w:rPr>
              <w:t>22.309</w:t>
            </w:r>
            <w:r>
              <w:rPr>
                <w:color w:val="000000" w:themeColor="text1"/>
                <w:sz w:val="24"/>
                <w14:textFill>
                  <w14:solidFill>
                    <w14:schemeClr w14:val="tx1"/>
                  </w14:solidFill>
                </w14:textFill>
              </w:rPr>
              <w:t>t/a，由布袋除尘器收集的飞灰为</w:t>
            </w:r>
            <w:r>
              <w:rPr>
                <w:rFonts w:hint="eastAsia"/>
                <w:color w:val="000000" w:themeColor="text1"/>
                <w:sz w:val="24"/>
                <w14:textFill>
                  <w14:solidFill>
                    <w14:schemeClr w14:val="tx1"/>
                  </w14:solidFill>
                </w14:textFill>
              </w:rPr>
              <w:t>12.746</w:t>
            </w:r>
            <w:r>
              <w:rPr>
                <w:color w:val="000000" w:themeColor="text1"/>
                <w:sz w:val="24"/>
                <w14:textFill>
                  <w14:solidFill>
                    <w14:schemeClr w14:val="tx1"/>
                  </w14:solidFill>
                </w14:textFill>
              </w:rPr>
              <w:t>t/a，则锅炉炉渣量为</w:t>
            </w:r>
            <w:r>
              <w:rPr>
                <w:rFonts w:hint="eastAsia"/>
                <w:color w:val="000000" w:themeColor="text1"/>
                <w:sz w:val="24"/>
                <w14:textFill>
                  <w14:solidFill>
                    <w14:schemeClr w14:val="tx1"/>
                  </w14:solidFill>
                </w14:textFill>
              </w:rPr>
              <w:t>9.563</w:t>
            </w:r>
            <w:r>
              <w:rPr>
                <w:color w:val="000000" w:themeColor="text1"/>
                <w:sz w:val="24"/>
                <w14:textFill>
                  <w14:solidFill>
                    <w14:schemeClr w14:val="tx1"/>
                  </w14:solidFill>
                </w14:textFill>
              </w:rPr>
              <w:t>t/a。灰渣集中存储在库房内，每7天外售1次，外售给</w:t>
            </w:r>
            <w:r>
              <w:rPr>
                <w:rFonts w:hint="eastAsia"/>
                <w:color w:val="000000" w:themeColor="text1"/>
                <w:sz w:val="24"/>
                <w14:textFill>
                  <w14:solidFill>
                    <w14:schemeClr w14:val="tx1"/>
                  </w14:solidFill>
                </w14:textFill>
              </w:rPr>
              <w:t>伊春市陶粒砌体有限责任公司</w:t>
            </w:r>
            <w:r>
              <w:rPr>
                <w:color w:val="000000" w:themeColor="text1"/>
                <w:sz w:val="24"/>
                <w14:textFill>
                  <w14:solidFill>
                    <w14:schemeClr w14:val="tx1"/>
                  </w14:solidFill>
                </w14:textFill>
              </w:rPr>
              <w:t>综合利用。</w:t>
            </w:r>
          </w:p>
          <w:p w14:paraId="31A3779E">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生物质灰渣外运需遵循“分类转运、密闭为主、湿法辅助”原则，优先采用干灰罐车、湿灰密闭箱车等低污染方式，也可根据场景选用干灰装袋、干渣篷布覆盖、气力输送+现场转运等方式；环境管理需落实全流程管控，涵盖源头预处理（储存、含水率、温度控制）、装载（防尘、装载量限制、场地清理）、运输（车辆资质、路线时间规划、实时监控）、卸载（场地要求、规范操作、遗撒清理）、转移联单与台账、应急处置及监督考核等关键环节，核心是避免运输过程中产生扬尘、泄漏、遗撒等二次污染，确保符合相关环保规范及环评批复要求。</w:t>
            </w:r>
          </w:p>
          <w:p w14:paraId="6730B19A">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fldChar w:fldCharType="begin"/>
            </w:r>
            <w:r>
              <w:rPr>
                <w:rFonts w:hint="eastAsia"/>
                <w:color w:val="000000" w:themeColor="text1"/>
                <w:sz w:val="24"/>
                <w14:textFill>
                  <w14:solidFill>
                    <w14:schemeClr w14:val="tx1"/>
                  </w14:solidFill>
                </w14:textFill>
              </w:rPr>
              <w:instrText xml:space="preserve"> = 3 \* GB3 \* MERGEFORMAT </w:instrText>
            </w:r>
            <w:r>
              <w:rPr>
                <w:rFonts w:hint="eastAsia"/>
                <w:color w:val="000000" w:themeColor="text1"/>
                <w:sz w:val="24"/>
                <w14:textFill>
                  <w14:solidFill>
                    <w14:schemeClr w14:val="tx1"/>
                  </w14:solidFill>
                </w14:textFill>
              </w:rPr>
              <w:fldChar w:fldCharType="separate"/>
            </w:r>
            <w:r>
              <w:rPr>
                <w:color w:val="000000" w:themeColor="text1"/>
                <w14:textFill>
                  <w14:solidFill>
                    <w14:schemeClr w14:val="tx1"/>
                  </w14:solidFill>
                </w14:textFill>
              </w:rPr>
              <w:t>③</w:t>
            </w:r>
            <w:r>
              <w:rPr>
                <w:rFonts w:hint="eastAsia"/>
                <w:color w:val="000000" w:themeColor="text1"/>
                <w:sz w:val="24"/>
                <w14:textFill>
                  <w14:solidFill>
                    <w14:schemeClr w14:val="tx1"/>
                  </w14:solidFill>
                </w14:textFill>
              </w:rPr>
              <w:fldChar w:fldCharType="end"/>
            </w:r>
            <w:r>
              <w:rPr>
                <w:rFonts w:hint="eastAsia"/>
                <w:color w:val="000000" w:themeColor="text1"/>
                <w:sz w:val="24"/>
                <w14:textFill>
                  <w14:solidFill>
                    <w14:schemeClr w14:val="tx1"/>
                  </w14:solidFill>
                </w14:textFill>
              </w:rPr>
              <w:t>废弃布袋</w:t>
            </w:r>
          </w:p>
          <w:p w14:paraId="521A4C8B">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除尘器产生的废旧布袋产生量为0.2t/a，袋装储存，厂家回收。</w:t>
            </w:r>
          </w:p>
          <w:p w14:paraId="55F7440A">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fldChar w:fldCharType="begin"/>
            </w:r>
            <w:r>
              <w:rPr>
                <w:rFonts w:hint="eastAsia"/>
                <w:color w:val="000000" w:themeColor="text1"/>
                <w:sz w:val="24"/>
                <w14:textFill>
                  <w14:solidFill>
                    <w14:schemeClr w14:val="tx1"/>
                  </w14:solidFill>
                </w14:textFill>
              </w:rPr>
              <w:instrText xml:space="preserve"> = 4 \* GB3 \* MERGEFORMAT </w:instrText>
            </w:r>
            <w:r>
              <w:rPr>
                <w:rFonts w:hint="eastAsia"/>
                <w:color w:val="000000" w:themeColor="text1"/>
                <w:sz w:val="24"/>
                <w14:textFill>
                  <w14:solidFill>
                    <w14:schemeClr w14:val="tx1"/>
                  </w14:solidFill>
                </w14:textFill>
              </w:rPr>
              <w:fldChar w:fldCharType="separate"/>
            </w:r>
            <w:r>
              <w:rPr>
                <w:color w:val="000000" w:themeColor="text1"/>
                <w14:textFill>
                  <w14:solidFill>
                    <w14:schemeClr w14:val="tx1"/>
                  </w14:solidFill>
                </w14:textFill>
              </w:rPr>
              <w:t>④</w:t>
            </w:r>
            <w:r>
              <w:rPr>
                <w:rFonts w:hint="eastAsia"/>
                <w:color w:val="000000" w:themeColor="text1"/>
                <w:sz w:val="24"/>
                <w14:textFill>
                  <w14:solidFill>
                    <w14:schemeClr w14:val="tx1"/>
                  </w14:solidFill>
                </w14:textFill>
              </w:rPr>
              <w:fldChar w:fldCharType="end"/>
            </w:r>
            <w:r>
              <w:rPr>
                <w:rFonts w:hint="eastAsia"/>
                <w:color w:val="000000" w:themeColor="text1"/>
                <w:sz w:val="24"/>
                <w14:textFill>
                  <w14:solidFill>
                    <w14:schemeClr w14:val="tx1"/>
                  </w14:solidFill>
                </w14:textFill>
              </w:rPr>
              <w:t>废离子交换树脂</w:t>
            </w:r>
          </w:p>
          <w:p w14:paraId="09FA21C8">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本项目软化水设备废离子交换数值产生量为0.1t/a，</w:t>
            </w:r>
            <w:r>
              <w:rPr>
                <w:color w:val="000000" w:themeColor="text1"/>
                <w:sz w:val="24"/>
                <w14:textFill>
                  <w14:solidFill>
                    <w14:schemeClr w14:val="tx1"/>
                  </w14:solidFill>
                </w14:textFill>
              </w:rPr>
              <w:t>厂家回收。</w:t>
            </w:r>
          </w:p>
          <w:p w14:paraId="005E23D4">
            <w:pPr>
              <w:pStyle w:val="46"/>
              <w:spacing w:line="240" w:lineRule="auto"/>
              <w:ind w:firstLine="0"/>
              <w:jc w:val="center"/>
              <w:rPr>
                <w:b/>
                <w:bCs/>
                <w:color w:val="000000" w:themeColor="text1"/>
                <w14:textFill>
                  <w14:solidFill>
                    <w14:schemeClr w14:val="tx1"/>
                  </w14:solidFill>
                </w14:textFill>
              </w:rPr>
            </w:pPr>
            <w:r>
              <w:rPr>
                <w:b/>
                <w:bCs/>
                <w:color w:val="000000" w:themeColor="text1"/>
                <w14:textFill>
                  <w14:solidFill>
                    <w14:schemeClr w14:val="tx1"/>
                  </w14:solidFill>
                </w14:textFill>
              </w:rPr>
              <w:t>表4-</w:t>
            </w:r>
            <w:r>
              <w:rPr>
                <w:rFonts w:hint="eastAsia"/>
                <w:b/>
                <w:bCs/>
                <w:color w:val="000000" w:themeColor="text1"/>
                <w14:textFill>
                  <w14:solidFill>
                    <w14:schemeClr w14:val="tx1"/>
                  </w14:solidFill>
                </w14:textFill>
              </w:rPr>
              <w:t>10</w:t>
            </w:r>
            <w:r>
              <w:rPr>
                <w:b/>
                <w:bCs/>
                <w:color w:val="000000" w:themeColor="text1"/>
                <w14:textFill>
                  <w14:solidFill>
                    <w14:schemeClr w14:val="tx1"/>
                  </w14:solidFill>
                </w14:textFill>
              </w:rPr>
              <w:t xml:space="preserve"> 固体废物污染源源强核算结果及相关参数一览表</w:t>
            </w:r>
          </w:p>
          <w:tbl>
            <w:tblPr>
              <w:tblStyle w:val="24"/>
              <w:tblW w:w="4996"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250"/>
              <w:gridCol w:w="1062"/>
              <w:gridCol w:w="1086"/>
              <w:gridCol w:w="744"/>
              <w:gridCol w:w="844"/>
              <w:gridCol w:w="1454"/>
              <w:gridCol w:w="1013"/>
            </w:tblGrid>
            <w:tr w14:paraId="76BEE38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99" w:type="dxa"/>
                  <w:tcBorders>
                    <w:top w:val="single" w:color="auto" w:sz="8" w:space="0"/>
                    <w:bottom w:val="single" w:color="auto" w:sz="4" w:space="0"/>
                    <w:right w:val="single" w:color="auto" w:sz="4" w:space="0"/>
                    <w:tl2br w:val="nil"/>
                    <w:tr2bl w:val="nil"/>
                  </w:tcBorders>
                  <w:vAlign w:val="center"/>
                </w:tcPr>
                <w:p w14:paraId="57C9D8E9">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产生环节</w:t>
                  </w:r>
                </w:p>
              </w:tc>
              <w:tc>
                <w:tcPr>
                  <w:tcW w:w="1214" w:type="dxa"/>
                  <w:tcBorders>
                    <w:top w:val="single" w:color="auto" w:sz="8" w:space="0"/>
                    <w:left w:val="single" w:color="auto" w:sz="4" w:space="0"/>
                    <w:bottom w:val="single" w:color="auto" w:sz="4" w:space="0"/>
                    <w:right w:val="single" w:color="auto" w:sz="4" w:space="0"/>
                    <w:tl2br w:val="nil"/>
                    <w:tr2bl w:val="nil"/>
                  </w:tcBorders>
                  <w:vAlign w:val="center"/>
                </w:tcPr>
                <w:p w14:paraId="27BE2A7B">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代码</w:t>
                  </w:r>
                </w:p>
              </w:tc>
              <w:tc>
                <w:tcPr>
                  <w:tcW w:w="1032" w:type="dxa"/>
                  <w:tcBorders>
                    <w:top w:val="single" w:color="auto" w:sz="8" w:space="0"/>
                    <w:left w:val="single" w:color="auto" w:sz="4" w:space="0"/>
                    <w:bottom w:val="single" w:color="auto" w:sz="4" w:space="0"/>
                    <w:right w:val="single" w:color="auto" w:sz="4" w:space="0"/>
                    <w:tl2br w:val="nil"/>
                    <w:tr2bl w:val="nil"/>
                  </w:tcBorders>
                  <w:vAlign w:val="center"/>
                </w:tcPr>
                <w:p w14:paraId="0C65B818">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名称</w:t>
                  </w:r>
                </w:p>
              </w:tc>
              <w:tc>
                <w:tcPr>
                  <w:tcW w:w="1055" w:type="dxa"/>
                  <w:tcBorders>
                    <w:top w:val="single" w:color="auto" w:sz="8" w:space="0"/>
                    <w:left w:val="single" w:color="auto" w:sz="4" w:space="0"/>
                    <w:bottom w:val="single" w:color="auto" w:sz="4" w:space="0"/>
                    <w:right w:val="single" w:color="auto" w:sz="4" w:space="0"/>
                    <w:tl2br w:val="nil"/>
                    <w:tr2bl w:val="nil"/>
                  </w:tcBorders>
                  <w:vAlign w:val="center"/>
                </w:tcPr>
                <w:p w14:paraId="32B448EE">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属性</w:t>
                  </w:r>
                </w:p>
              </w:tc>
              <w:tc>
                <w:tcPr>
                  <w:tcW w:w="723" w:type="dxa"/>
                  <w:tcBorders>
                    <w:top w:val="single" w:color="auto" w:sz="8" w:space="0"/>
                    <w:left w:val="single" w:color="auto" w:sz="4" w:space="0"/>
                    <w:bottom w:val="single" w:color="auto" w:sz="4" w:space="0"/>
                    <w:right w:val="single" w:color="auto" w:sz="4" w:space="0"/>
                    <w:tl2br w:val="nil"/>
                    <w:tr2bl w:val="nil"/>
                  </w:tcBorders>
                  <w:vAlign w:val="center"/>
                </w:tcPr>
                <w:p w14:paraId="6F7AAB0E">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年产生量t/a</w:t>
                  </w:r>
                </w:p>
              </w:tc>
              <w:tc>
                <w:tcPr>
                  <w:tcW w:w="820" w:type="dxa"/>
                  <w:tcBorders>
                    <w:top w:val="single" w:color="auto" w:sz="8" w:space="0"/>
                    <w:left w:val="single" w:color="auto" w:sz="4" w:space="0"/>
                    <w:bottom w:val="single" w:color="auto" w:sz="4" w:space="0"/>
                    <w:right w:val="single" w:color="auto" w:sz="4" w:space="0"/>
                    <w:tl2br w:val="nil"/>
                    <w:tr2bl w:val="nil"/>
                  </w:tcBorders>
                  <w:vAlign w:val="center"/>
                </w:tcPr>
                <w:p w14:paraId="61EFF707">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贮存方式</w:t>
                  </w:r>
                </w:p>
              </w:tc>
              <w:tc>
                <w:tcPr>
                  <w:tcW w:w="1413" w:type="dxa"/>
                  <w:tcBorders>
                    <w:top w:val="single" w:color="auto" w:sz="8" w:space="0"/>
                    <w:left w:val="single" w:color="auto" w:sz="4" w:space="0"/>
                    <w:bottom w:val="single" w:color="auto" w:sz="4" w:space="0"/>
                    <w:right w:val="single" w:color="auto" w:sz="4" w:space="0"/>
                    <w:tl2br w:val="nil"/>
                    <w:tr2bl w:val="nil"/>
                  </w:tcBorders>
                  <w:vAlign w:val="center"/>
                </w:tcPr>
                <w:p w14:paraId="6A56CD89">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处置方式和去向</w:t>
                  </w:r>
                </w:p>
              </w:tc>
              <w:tc>
                <w:tcPr>
                  <w:tcW w:w="984" w:type="dxa"/>
                  <w:tcBorders>
                    <w:top w:val="single" w:color="auto" w:sz="8" w:space="0"/>
                    <w:left w:val="single" w:color="auto" w:sz="4" w:space="0"/>
                    <w:bottom w:val="single" w:color="auto" w:sz="4" w:space="0"/>
                    <w:tl2br w:val="nil"/>
                    <w:tr2bl w:val="nil"/>
                  </w:tcBorders>
                  <w:vAlign w:val="center"/>
                </w:tcPr>
                <w:p w14:paraId="0A2A631E">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处置或利用量t/a</w:t>
                  </w:r>
                </w:p>
              </w:tc>
            </w:tr>
            <w:tr w14:paraId="7B46989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99" w:type="dxa"/>
                  <w:tcBorders>
                    <w:top w:val="single" w:color="auto" w:sz="4" w:space="0"/>
                    <w:bottom w:val="single" w:color="auto" w:sz="4" w:space="0"/>
                    <w:right w:val="single" w:color="auto" w:sz="4" w:space="0"/>
                    <w:tl2br w:val="nil"/>
                    <w:tr2bl w:val="nil"/>
                  </w:tcBorders>
                  <w:vAlign w:val="center"/>
                </w:tcPr>
                <w:p w14:paraId="6C95F619">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锅炉水软化</w:t>
                  </w:r>
                </w:p>
              </w:tc>
              <w:tc>
                <w:tcPr>
                  <w:tcW w:w="1214" w:type="dxa"/>
                  <w:tcBorders>
                    <w:top w:val="single" w:color="auto" w:sz="4" w:space="0"/>
                    <w:left w:val="single" w:color="auto" w:sz="4" w:space="0"/>
                    <w:bottom w:val="single" w:color="auto" w:sz="4" w:space="0"/>
                    <w:right w:val="single" w:color="auto" w:sz="4" w:space="0"/>
                    <w:tl2br w:val="nil"/>
                    <w:tr2bl w:val="nil"/>
                  </w:tcBorders>
                  <w:vAlign w:val="center"/>
                </w:tcPr>
                <w:p w14:paraId="12E24FAF">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900-008-S59</w:t>
                  </w:r>
                </w:p>
              </w:tc>
              <w:tc>
                <w:tcPr>
                  <w:tcW w:w="1032" w:type="dxa"/>
                  <w:tcBorders>
                    <w:top w:val="single" w:color="auto" w:sz="4" w:space="0"/>
                    <w:left w:val="single" w:color="auto" w:sz="4" w:space="0"/>
                    <w:bottom w:val="single" w:color="auto" w:sz="4" w:space="0"/>
                    <w:right w:val="single" w:color="auto" w:sz="4" w:space="0"/>
                    <w:tl2br w:val="nil"/>
                    <w:tr2bl w:val="nil"/>
                  </w:tcBorders>
                  <w:vAlign w:val="center"/>
                </w:tcPr>
                <w:p w14:paraId="521A1B06">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废离子交换树脂</w:t>
                  </w:r>
                </w:p>
              </w:tc>
              <w:tc>
                <w:tcPr>
                  <w:tcW w:w="1055" w:type="dxa"/>
                  <w:vMerge w:val="restart"/>
                  <w:tcBorders>
                    <w:top w:val="single" w:color="auto" w:sz="4" w:space="0"/>
                    <w:left w:val="single" w:color="auto" w:sz="4" w:space="0"/>
                    <w:right w:val="single" w:color="auto" w:sz="4" w:space="0"/>
                    <w:tl2br w:val="nil"/>
                    <w:tr2bl w:val="nil"/>
                  </w:tcBorders>
                  <w:vAlign w:val="center"/>
                </w:tcPr>
                <w:p w14:paraId="762FEA0D">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一般固体废物</w:t>
                  </w:r>
                </w:p>
              </w:tc>
              <w:tc>
                <w:tcPr>
                  <w:tcW w:w="723" w:type="dxa"/>
                  <w:tcBorders>
                    <w:top w:val="single" w:color="auto" w:sz="4" w:space="0"/>
                    <w:left w:val="single" w:color="auto" w:sz="4" w:space="0"/>
                    <w:bottom w:val="single" w:color="auto" w:sz="4" w:space="0"/>
                    <w:right w:val="single" w:color="auto" w:sz="4" w:space="0"/>
                    <w:tl2br w:val="nil"/>
                    <w:tr2bl w:val="nil"/>
                  </w:tcBorders>
                  <w:vAlign w:val="center"/>
                </w:tcPr>
                <w:p w14:paraId="5B9B67DD">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0.10</w:t>
                  </w:r>
                </w:p>
              </w:tc>
              <w:tc>
                <w:tcPr>
                  <w:tcW w:w="820" w:type="dxa"/>
                  <w:tcBorders>
                    <w:top w:val="single" w:color="auto" w:sz="4" w:space="0"/>
                    <w:left w:val="single" w:color="auto" w:sz="4" w:space="0"/>
                    <w:bottom w:val="single" w:color="auto" w:sz="4" w:space="0"/>
                    <w:right w:val="single" w:color="auto" w:sz="4" w:space="0"/>
                    <w:tl2br w:val="nil"/>
                    <w:tr2bl w:val="nil"/>
                  </w:tcBorders>
                  <w:vAlign w:val="center"/>
                </w:tcPr>
                <w:p w14:paraId="44F0C18F">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w:t>
                  </w:r>
                </w:p>
              </w:tc>
              <w:tc>
                <w:tcPr>
                  <w:tcW w:w="1413" w:type="dxa"/>
                  <w:tcBorders>
                    <w:top w:val="single" w:color="auto" w:sz="4" w:space="0"/>
                    <w:left w:val="single" w:color="auto" w:sz="4" w:space="0"/>
                    <w:bottom w:val="single" w:color="auto" w:sz="4" w:space="0"/>
                    <w:right w:val="single" w:color="auto" w:sz="4" w:space="0"/>
                    <w:tl2br w:val="nil"/>
                    <w:tr2bl w:val="nil"/>
                  </w:tcBorders>
                  <w:vAlign w:val="center"/>
                </w:tcPr>
                <w:p w14:paraId="64FC04D8">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厂家回收</w:t>
                  </w:r>
                </w:p>
              </w:tc>
              <w:tc>
                <w:tcPr>
                  <w:tcW w:w="984" w:type="dxa"/>
                  <w:tcBorders>
                    <w:top w:val="single" w:color="auto" w:sz="4" w:space="0"/>
                    <w:left w:val="single" w:color="auto" w:sz="4" w:space="0"/>
                    <w:bottom w:val="single" w:color="auto" w:sz="4" w:space="0"/>
                    <w:tl2br w:val="nil"/>
                    <w:tr2bl w:val="nil"/>
                  </w:tcBorders>
                  <w:vAlign w:val="center"/>
                </w:tcPr>
                <w:p w14:paraId="7B1075DD">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0.10</w:t>
                  </w:r>
                </w:p>
              </w:tc>
            </w:tr>
            <w:tr w14:paraId="66D8DEB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99" w:type="dxa"/>
                  <w:vMerge w:val="restart"/>
                  <w:tcBorders>
                    <w:top w:val="single" w:color="auto" w:sz="4" w:space="0"/>
                    <w:right w:val="single" w:color="auto" w:sz="4" w:space="0"/>
                    <w:tl2br w:val="nil"/>
                    <w:tr2bl w:val="nil"/>
                  </w:tcBorders>
                  <w:vAlign w:val="center"/>
                </w:tcPr>
                <w:p w14:paraId="1A784EB2">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锅炉</w:t>
                  </w:r>
                </w:p>
              </w:tc>
              <w:tc>
                <w:tcPr>
                  <w:tcW w:w="1214" w:type="dxa"/>
                  <w:tcBorders>
                    <w:top w:val="single" w:color="auto" w:sz="4" w:space="0"/>
                    <w:left w:val="single" w:color="auto" w:sz="4" w:space="0"/>
                    <w:bottom w:val="single" w:color="auto" w:sz="4" w:space="0"/>
                    <w:right w:val="single" w:color="auto" w:sz="4" w:space="0"/>
                    <w:tl2br w:val="nil"/>
                    <w:tr2bl w:val="nil"/>
                  </w:tcBorders>
                  <w:vAlign w:val="center"/>
                </w:tcPr>
                <w:p w14:paraId="70582BE2">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900-099-S03</w:t>
                  </w:r>
                </w:p>
              </w:tc>
              <w:tc>
                <w:tcPr>
                  <w:tcW w:w="1032" w:type="dxa"/>
                  <w:tcBorders>
                    <w:top w:val="single" w:color="auto" w:sz="4" w:space="0"/>
                    <w:left w:val="single" w:color="auto" w:sz="4" w:space="0"/>
                    <w:bottom w:val="single" w:color="auto" w:sz="4" w:space="0"/>
                    <w:right w:val="single" w:color="auto" w:sz="4" w:space="0"/>
                    <w:tl2br w:val="nil"/>
                    <w:tr2bl w:val="nil"/>
                  </w:tcBorders>
                  <w:vAlign w:val="center"/>
                </w:tcPr>
                <w:p w14:paraId="7156CA08">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炉渣</w:t>
                  </w:r>
                </w:p>
              </w:tc>
              <w:tc>
                <w:tcPr>
                  <w:tcW w:w="1055" w:type="dxa"/>
                  <w:vMerge w:val="continue"/>
                  <w:tcBorders>
                    <w:left w:val="single" w:color="auto" w:sz="4" w:space="0"/>
                    <w:right w:val="single" w:color="auto" w:sz="4" w:space="0"/>
                    <w:tl2br w:val="nil"/>
                    <w:tr2bl w:val="nil"/>
                  </w:tcBorders>
                  <w:vAlign w:val="center"/>
                </w:tcPr>
                <w:p w14:paraId="0A4AEEF3">
                  <w:pPr>
                    <w:adjustRightInd w:val="0"/>
                    <w:snapToGrid w:val="0"/>
                    <w:jc w:val="center"/>
                    <w:rPr>
                      <w:bCs/>
                      <w:color w:val="000000" w:themeColor="text1"/>
                      <w:sz w:val="18"/>
                      <w:szCs w:val="18"/>
                      <w14:textFill>
                        <w14:solidFill>
                          <w14:schemeClr w14:val="tx1"/>
                        </w14:solidFill>
                      </w14:textFill>
                    </w:rPr>
                  </w:pPr>
                </w:p>
              </w:tc>
              <w:tc>
                <w:tcPr>
                  <w:tcW w:w="723" w:type="dxa"/>
                  <w:tcBorders>
                    <w:top w:val="single" w:color="auto" w:sz="4" w:space="0"/>
                    <w:left w:val="single" w:color="auto" w:sz="4" w:space="0"/>
                    <w:bottom w:val="single" w:color="auto" w:sz="4" w:space="0"/>
                    <w:right w:val="single" w:color="auto" w:sz="4" w:space="0"/>
                    <w:tl2br w:val="nil"/>
                    <w:tr2bl w:val="nil"/>
                  </w:tcBorders>
                  <w:vAlign w:val="center"/>
                </w:tcPr>
                <w:p w14:paraId="080BB60A">
                  <w:pPr>
                    <w:adjustRightInd w:val="0"/>
                    <w:snapToGrid w:val="0"/>
                    <w:jc w:val="center"/>
                    <w:rPr>
                      <w:bCs/>
                      <w:color w:val="000000" w:themeColor="text1"/>
                      <w:sz w:val="18"/>
                      <w:szCs w:val="18"/>
                      <w14:textFill>
                        <w14:solidFill>
                          <w14:schemeClr w14:val="tx1"/>
                        </w14:solidFill>
                      </w14:textFill>
                    </w:rPr>
                  </w:pPr>
                  <w:r>
                    <w:rPr>
                      <w:rFonts w:hint="eastAsia"/>
                      <w:bCs/>
                      <w:color w:val="000000" w:themeColor="text1"/>
                      <w:sz w:val="18"/>
                      <w:szCs w:val="18"/>
                      <w14:textFill>
                        <w14:solidFill>
                          <w14:schemeClr w14:val="tx1"/>
                        </w14:solidFill>
                      </w14:textFill>
                    </w:rPr>
                    <w:t>9.563</w:t>
                  </w:r>
                </w:p>
              </w:tc>
              <w:tc>
                <w:tcPr>
                  <w:tcW w:w="820" w:type="dxa"/>
                  <w:vMerge w:val="restart"/>
                  <w:tcBorders>
                    <w:top w:val="single" w:color="auto" w:sz="4" w:space="0"/>
                    <w:left w:val="single" w:color="auto" w:sz="4" w:space="0"/>
                    <w:right w:val="single" w:color="auto" w:sz="4" w:space="0"/>
                    <w:tl2br w:val="nil"/>
                    <w:tr2bl w:val="nil"/>
                  </w:tcBorders>
                  <w:vAlign w:val="center"/>
                </w:tcPr>
                <w:p w14:paraId="6EB73F41">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袋装储存</w:t>
                  </w:r>
                </w:p>
              </w:tc>
              <w:tc>
                <w:tcPr>
                  <w:tcW w:w="1413" w:type="dxa"/>
                  <w:vMerge w:val="restart"/>
                  <w:tcBorders>
                    <w:top w:val="single" w:color="auto" w:sz="4" w:space="0"/>
                    <w:left w:val="single" w:color="auto" w:sz="4" w:space="0"/>
                    <w:right w:val="single" w:color="auto" w:sz="4" w:space="0"/>
                    <w:tl2br w:val="nil"/>
                    <w:tr2bl w:val="nil"/>
                  </w:tcBorders>
                  <w:vAlign w:val="center"/>
                </w:tcPr>
                <w:p w14:paraId="181BC4F1">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外售给</w:t>
                  </w:r>
                  <w:r>
                    <w:rPr>
                      <w:rFonts w:hint="eastAsia"/>
                      <w:bCs/>
                      <w:color w:val="000000" w:themeColor="text1"/>
                      <w:sz w:val="18"/>
                      <w:szCs w:val="18"/>
                      <w14:textFill>
                        <w14:solidFill>
                          <w14:schemeClr w14:val="tx1"/>
                        </w14:solidFill>
                      </w14:textFill>
                    </w:rPr>
                    <w:t>伊春市陶粒砌体有限责任公司</w:t>
                  </w:r>
                  <w:r>
                    <w:rPr>
                      <w:bCs/>
                      <w:color w:val="000000" w:themeColor="text1"/>
                      <w:sz w:val="18"/>
                      <w:szCs w:val="18"/>
                      <w14:textFill>
                        <w14:solidFill>
                          <w14:schemeClr w14:val="tx1"/>
                        </w14:solidFill>
                      </w14:textFill>
                    </w:rPr>
                    <w:t>综合利用</w:t>
                  </w:r>
                </w:p>
              </w:tc>
              <w:tc>
                <w:tcPr>
                  <w:tcW w:w="984" w:type="dxa"/>
                  <w:tcBorders>
                    <w:top w:val="single" w:color="auto" w:sz="4" w:space="0"/>
                    <w:left w:val="single" w:color="auto" w:sz="4" w:space="0"/>
                    <w:bottom w:val="single" w:color="auto" w:sz="4" w:space="0"/>
                    <w:tl2br w:val="nil"/>
                    <w:tr2bl w:val="nil"/>
                  </w:tcBorders>
                  <w:vAlign w:val="center"/>
                </w:tcPr>
                <w:p w14:paraId="5D5971BE">
                  <w:pPr>
                    <w:adjustRightInd w:val="0"/>
                    <w:snapToGrid w:val="0"/>
                    <w:jc w:val="center"/>
                    <w:rPr>
                      <w:bCs/>
                      <w:color w:val="000000" w:themeColor="text1"/>
                      <w:sz w:val="18"/>
                      <w:szCs w:val="18"/>
                      <w14:textFill>
                        <w14:solidFill>
                          <w14:schemeClr w14:val="tx1"/>
                        </w14:solidFill>
                      </w14:textFill>
                    </w:rPr>
                  </w:pPr>
                  <w:r>
                    <w:rPr>
                      <w:rFonts w:hint="eastAsia"/>
                      <w:bCs/>
                      <w:color w:val="000000" w:themeColor="text1"/>
                      <w:sz w:val="18"/>
                      <w:szCs w:val="18"/>
                      <w14:textFill>
                        <w14:solidFill>
                          <w14:schemeClr w14:val="tx1"/>
                        </w14:solidFill>
                      </w14:textFill>
                    </w:rPr>
                    <w:t>9.563</w:t>
                  </w:r>
                </w:p>
              </w:tc>
            </w:tr>
            <w:tr w14:paraId="3023E42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99" w:type="dxa"/>
                  <w:vMerge w:val="continue"/>
                  <w:tcBorders>
                    <w:right w:val="single" w:color="auto" w:sz="4" w:space="0"/>
                    <w:tl2br w:val="nil"/>
                    <w:tr2bl w:val="nil"/>
                  </w:tcBorders>
                  <w:vAlign w:val="center"/>
                </w:tcPr>
                <w:p w14:paraId="0ABA471E">
                  <w:pPr>
                    <w:jc w:val="center"/>
                    <w:rPr>
                      <w:color w:val="000000" w:themeColor="text1"/>
                      <w:sz w:val="18"/>
                      <w:szCs w:val="18"/>
                      <w14:textFill>
                        <w14:solidFill>
                          <w14:schemeClr w14:val="tx1"/>
                        </w14:solidFill>
                      </w14:textFill>
                    </w:rPr>
                  </w:pPr>
                </w:p>
              </w:tc>
              <w:tc>
                <w:tcPr>
                  <w:tcW w:w="1214" w:type="dxa"/>
                  <w:tcBorders>
                    <w:top w:val="single" w:color="auto" w:sz="4" w:space="0"/>
                    <w:left w:val="single" w:color="auto" w:sz="4" w:space="0"/>
                    <w:bottom w:val="single" w:color="auto" w:sz="4" w:space="0"/>
                    <w:right w:val="single" w:color="auto" w:sz="4" w:space="0"/>
                    <w:tl2br w:val="nil"/>
                    <w:tr2bl w:val="nil"/>
                  </w:tcBorders>
                  <w:vAlign w:val="center"/>
                </w:tcPr>
                <w:p w14:paraId="04A582E6">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900-099-S59</w:t>
                  </w:r>
                </w:p>
              </w:tc>
              <w:tc>
                <w:tcPr>
                  <w:tcW w:w="1032" w:type="dxa"/>
                  <w:tcBorders>
                    <w:top w:val="single" w:color="auto" w:sz="4" w:space="0"/>
                    <w:left w:val="single" w:color="auto" w:sz="4" w:space="0"/>
                    <w:bottom w:val="single" w:color="auto" w:sz="4" w:space="0"/>
                    <w:right w:val="single" w:color="auto" w:sz="4" w:space="0"/>
                    <w:tl2br w:val="nil"/>
                    <w:tr2bl w:val="nil"/>
                  </w:tcBorders>
                  <w:vAlign w:val="center"/>
                </w:tcPr>
                <w:p w14:paraId="1FA3D672">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布袋除尘器收尘</w:t>
                  </w:r>
                </w:p>
              </w:tc>
              <w:tc>
                <w:tcPr>
                  <w:tcW w:w="1055" w:type="dxa"/>
                  <w:vMerge w:val="continue"/>
                  <w:tcBorders>
                    <w:left w:val="single" w:color="auto" w:sz="4" w:space="0"/>
                    <w:right w:val="single" w:color="auto" w:sz="4" w:space="0"/>
                    <w:tl2br w:val="nil"/>
                    <w:tr2bl w:val="nil"/>
                  </w:tcBorders>
                  <w:vAlign w:val="center"/>
                </w:tcPr>
                <w:p w14:paraId="062F5E45">
                  <w:pPr>
                    <w:adjustRightInd w:val="0"/>
                    <w:snapToGrid w:val="0"/>
                    <w:jc w:val="center"/>
                    <w:rPr>
                      <w:bCs/>
                      <w:color w:val="000000" w:themeColor="text1"/>
                      <w:sz w:val="18"/>
                      <w:szCs w:val="18"/>
                      <w14:textFill>
                        <w14:solidFill>
                          <w14:schemeClr w14:val="tx1"/>
                        </w14:solidFill>
                      </w14:textFill>
                    </w:rPr>
                  </w:pPr>
                </w:p>
              </w:tc>
              <w:tc>
                <w:tcPr>
                  <w:tcW w:w="723" w:type="dxa"/>
                  <w:tcBorders>
                    <w:top w:val="single" w:color="auto" w:sz="4" w:space="0"/>
                    <w:left w:val="single" w:color="auto" w:sz="4" w:space="0"/>
                    <w:bottom w:val="single" w:color="auto" w:sz="4" w:space="0"/>
                    <w:right w:val="single" w:color="auto" w:sz="4" w:space="0"/>
                    <w:tl2br w:val="nil"/>
                    <w:tr2bl w:val="nil"/>
                  </w:tcBorders>
                  <w:vAlign w:val="center"/>
                </w:tcPr>
                <w:p w14:paraId="57F84AF1">
                  <w:pPr>
                    <w:adjustRightInd w:val="0"/>
                    <w:snapToGrid w:val="0"/>
                    <w:jc w:val="center"/>
                    <w:rPr>
                      <w:bCs/>
                      <w:color w:val="000000" w:themeColor="text1"/>
                      <w:sz w:val="18"/>
                      <w:szCs w:val="18"/>
                      <w14:textFill>
                        <w14:solidFill>
                          <w14:schemeClr w14:val="tx1"/>
                        </w14:solidFill>
                      </w14:textFill>
                    </w:rPr>
                  </w:pPr>
                  <w:r>
                    <w:rPr>
                      <w:rFonts w:hint="eastAsia"/>
                      <w:bCs/>
                      <w:color w:val="000000" w:themeColor="text1"/>
                      <w:sz w:val="18"/>
                      <w:szCs w:val="18"/>
                      <w14:textFill>
                        <w14:solidFill>
                          <w14:schemeClr w14:val="tx1"/>
                        </w14:solidFill>
                      </w14:textFill>
                    </w:rPr>
                    <w:t>12.746</w:t>
                  </w:r>
                </w:p>
              </w:tc>
              <w:tc>
                <w:tcPr>
                  <w:tcW w:w="820" w:type="dxa"/>
                  <w:vMerge w:val="continue"/>
                  <w:tcBorders>
                    <w:left w:val="single" w:color="auto" w:sz="4" w:space="0"/>
                    <w:right w:val="single" w:color="auto" w:sz="4" w:space="0"/>
                    <w:tl2br w:val="nil"/>
                    <w:tr2bl w:val="nil"/>
                  </w:tcBorders>
                  <w:vAlign w:val="center"/>
                </w:tcPr>
                <w:p w14:paraId="14938095">
                  <w:pPr>
                    <w:adjustRightInd w:val="0"/>
                    <w:snapToGrid w:val="0"/>
                    <w:jc w:val="center"/>
                    <w:rPr>
                      <w:bCs/>
                      <w:color w:val="000000" w:themeColor="text1"/>
                      <w:sz w:val="18"/>
                      <w:szCs w:val="18"/>
                      <w14:textFill>
                        <w14:solidFill>
                          <w14:schemeClr w14:val="tx1"/>
                        </w14:solidFill>
                      </w14:textFill>
                    </w:rPr>
                  </w:pPr>
                </w:p>
              </w:tc>
              <w:tc>
                <w:tcPr>
                  <w:tcW w:w="1413" w:type="dxa"/>
                  <w:vMerge w:val="continue"/>
                  <w:tcBorders>
                    <w:left w:val="single" w:color="auto" w:sz="4" w:space="0"/>
                    <w:right w:val="single" w:color="auto" w:sz="4" w:space="0"/>
                    <w:tl2br w:val="nil"/>
                    <w:tr2bl w:val="nil"/>
                  </w:tcBorders>
                  <w:vAlign w:val="center"/>
                </w:tcPr>
                <w:p w14:paraId="093AB4C8">
                  <w:pPr>
                    <w:adjustRightInd w:val="0"/>
                    <w:snapToGrid w:val="0"/>
                    <w:jc w:val="center"/>
                    <w:rPr>
                      <w:bCs/>
                      <w:color w:val="000000" w:themeColor="text1"/>
                      <w:sz w:val="18"/>
                      <w:szCs w:val="18"/>
                      <w14:textFill>
                        <w14:solidFill>
                          <w14:schemeClr w14:val="tx1"/>
                        </w14:solidFill>
                      </w14:textFill>
                    </w:rPr>
                  </w:pPr>
                </w:p>
              </w:tc>
              <w:tc>
                <w:tcPr>
                  <w:tcW w:w="984" w:type="dxa"/>
                  <w:tcBorders>
                    <w:top w:val="single" w:color="auto" w:sz="4" w:space="0"/>
                    <w:left w:val="single" w:color="auto" w:sz="4" w:space="0"/>
                    <w:bottom w:val="single" w:color="auto" w:sz="4" w:space="0"/>
                    <w:tl2br w:val="nil"/>
                    <w:tr2bl w:val="nil"/>
                  </w:tcBorders>
                  <w:vAlign w:val="center"/>
                </w:tcPr>
                <w:p w14:paraId="1E03371B">
                  <w:pPr>
                    <w:adjustRightInd w:val="0"/>
                    <w:snapToGrid w:val="0"/>
                    <w:jc w:val="center"/>
                    <w:rPr>
                      <w:bCs/>
                      <w:color w:val="000000" w:themeColor="text1"/>
                      <w:sz w:val="18"/>
                      <w:szCs w:val="18"/>
                      <w14:textFill>
                        <w14:solidFill>
                          <w14:schemeClr w14:val="tx1"/>
                        </w14:solidFill>
                      </w14:textFill>
                    </w:rPr>
                  </w:pPr>
                  <w:r>
                    <w:rPr>
                      <w:rFonts w:hint="eastAsia"/>
                      <w:bCs/>
                      <w:color w:val="000000" w:themeColor="text1"/>
                      <w:sz w:val="18"/>
                      <w:szCs w:val="18"/>
                      <w14:textFill>
                        <w14:solidFill>
                          <w14:schemeClr w14:val="tx1"/>
                        </w14:solidFill>
                      </w14:textFill>
                    </w:rPr>
                    <w:t>12.746</w:t>
                  </w:r>
                </w:p>
              </w:tc>
            </w:tr>
            <w:tr w14:paraId="186A4F3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99" w:type="dxa"/>
                  <w:vMerge w:val="continue"/>
                  <w:tcBorders>
                    <w:bottom w:val="single" w:color="auto" w:sz="4" w:space="0"/>
                    <w:right w:val="single" w:color="auto" w:sz="4" w:space="0"/>
                    <w:tl2br w:val="nil"/>
                    <w:tr2bl w:val="nil"/>
                  </w:tcBorders>
                  <w:vAlign w:val="center"/>
                </w:tcPr>
                <w:p w14:paraId="5E30B917">
                  <w:pPr>
                    <w:jc w:val="center"/>
                    <w:rPr>
                      <w:color w:val="000000" w:themeColor="text1"/>
                      <w:sz w:val="18"/>
                      <w:szCs w:val="18"/>
                      <w14:textFill>
                        <w14:solidFill>
                          <w14:schemeClr w14:val="tx1"/>
                        </w14:solidFill>
                      </w14:textFill>
                    </w:rPr>
                  </w:pPr>
                </w:p>
              </w:tc>
              <w:tc>
                <w:tcPr>
                  <w:tcW w:w="1214" w:type="dxa"/>
                  <w:tcBorders>
                    <w:top w:val="single" w:color="auto" w:sz="4" w:space="0"/>
                    <w:left w:val="single" w:color="auto" w:sz="4" w:space="0"/>
                    <w:bottom w:val="single" w:color="auto" w:sz="4" w:space="0"/>
                    <w:right w:val="single" w:color="auto" w:sz="4" w:space="0"/>
                    <w:tl2br w:val="nil"/>
                    <w:tr2bl w:val="nil"/>
                  </w:tcBorders>
                  <w:vAlign w:val="center"/>
                </w:tcPr>
                <w:p w14:paraId="44C96885">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900-009-S59</w:t>
                  </w:r>
                </w:p>
              </w:tc>
              <w:tc>
                <w:tcPr>
                  <w:tcW w:w="1032" w:type="dxa"/>
                  <w:tcBorders>
                    <w:top w:val="single" w:color="auto" w:sz="4" w:space="0"/>
                    <w:left w:val="single" w:color="auto" w:sz="4" w:space="0"/>
                    <w:bottom w:val="single" w:color="auto" w:sz="4" w:space="0"/>
                    <w:right w:val="single" w:color="auto" w:sz="4" w:space="0"/>
                    <w:tl2br w:val="nil"/>
                    <w:tr2bl w:val="nil"/>
                  </w:tcBorders>
                  <w:vAlign w:val="center"/>
                </w:tcPr>
                <w:p w14:paraId="6425AB7B">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废布袋</w:t>
                  </w:r>
                </w:p>
              </w:tc>
              <w:tc>
                <w:tcPr>
                  <w:tcW w:w="1055" w:type="dxa"/>
                  <w:vMerge w:val="continue"/>
                  <w:tcBorders>
                    <w:left w:val="single" w:color="auto" w:sz="4" w:space="0"/>
                    <w:bottom w:val="single" w:color="auto" w:sz="4" w:space="0"/>
                    <w:right w:val="single" w:color="auto" w:sz="4" w:space="0"/>
                    <w:tl2br w:val="nil"/>
                    <w:tr2bl w:val="nil"/>
                  </w:tcBorders>
                  <w:vAlign w:val="center"/>
                </w:tcPr>
                <w:p w14:paraId="2AB3C253">
                  <w:pPr>
                    <w:adjustRightInd w:val="0"/>
                    <w:snapToGrid w:val="0"/>
                    <w:jc w:val="center"/>
                    <w:rPr>
                      <w:bCs/>
                      <w:color w:val="000000" w:themeColor="text1"/>
                      <w:sz w:val="18"/>
                      <w:szCs w:val="18"/>
                      <w14:textFill>
                        <w14:solidFill>
                          <w14:schemeClr w14:val="tx1"/>
                        </w14:solidFill>
                      </w14:textFill>
                    </w:rPr>
                  </w:pPr>
                </w:p>
              </w:tc>
              <w:tc>
                <w:tcPr>
                  <w:tcW w:w="723" w:type="dxa"/>
                  <w:tcBorders>
                    <w:top w:val="single" w:color="auto" w:sz="4" w:space="0"/>
                    <w:left w:val="single" w:color="auto" w:sz="4" w:space="0"/>
                    <w:bottom w:val="single" w:color="auto" w:sz="4" w:space="0"/>
                    <w:right w:val="single" w:color="auto" w:sz="4" w:space="0"/>
                    <w:tl2br w:val="nil"/>
                    <w:tr2bl w:val="nil"/>
                  </w:tcBorders>
                  <w:vAlign w:val="center"/>
                </w:tcPr>
                <w:p w14:paraId="32180732">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0.2</w:t>
                  </w:r>
                </w:p>
              </w:tc>
              <w:tc>
                <w:tcPr>
                  <w:tcW w:w="820" w:type="dxa"/>
                  <w:vMerge w:val="continue"/>
                  <w:tcBorders>
                    <w:left w:val="single" w:color="auto" w:sz="4" w:space="0"/>
                    <w:bottom w:val="single" w:color="auto" w:sz="4" w:space="0"/>
                    <w:right w:val="single" w:color="auto" w:sz="4" w:space="0"/>
                    <w:tl2br w:val="nil"/>
                    <w:tr2bl w:val="nil"/>
                  </w:tcBorders>
                  <w:vAlign w:val="center"/>
                </w:tcPr>
                <w:p w14:paraId="360ECD85">
                  <w:pPr>
                    <w:adjustRightInd w:val="0"/>
                    <w:snapToGrid w:val="0"/>
                    <w:jc w:val="center"/>
                    <w:rPr>
                      <w:bCs/>
                      <w:color w:val="000000" w:themeColor="text1"/>
                      <w:sz w:val="18"/>
                      <w:szCs w:val="18"/>
                      <w14:textFill>
                        <w14:solidFill>
                          <w14:schemeClr w14:val="tx1"/>
                        </w14:solidFill>
                      </w14:textFill>
                    </w:rPr>
                  </w:pPr>
                </w:p>
              </w:tc>
              <w:tc>
                <w:tcPr>
                  <w:tcW w:w="1413" w:type="dxa"/>
                  <w:tcBorders>
                    <w:left w:val="single" w:color="auto" w:sz="4" w:space="0"/>
                    <w:bottom w:val="single" w:color="auto" w:sz="4" w:space="0"/>
                    <w:right w:val="single" w:color="auto" w:sz="4" w:space="0"/>
                    <w:tl2br w:val="nil"/>
                    <w:tr2bl w:val="nil"/>
                  </w:tcBorders>
                  <w:vAlign w:val="center"/>
                </w:tcPr>
                <w:p w14:paraId="15CE4D66">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厂家回收</w:t>
                  </w:r>
                </w:p>
              </w:tc>
              <w:tc>
                <w:tcPr>
                  <w:tcW w:w="984" w:type="dxa"/>
                  <w:tcBorders>
                    <w:top w:val="single" w:color="auto" w:sz="4" w:space="0"/>
                    <w:left w:val="single" w:color="auto" w:sz="4" w:space="0"/>
                    <w:bottom w:val="single" w:color="auto" w:sz="4" w:space="0"/>
                    <w:tl2br w:val="nil"/>
                    <w:tr2bl w:val="nil"/>
                  </w:tcBorders>
                  <w:vAlign w:val="center"/>
                </w:tcPr>
                <w:p w14:paraId="2E54AB51">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0.2</w:t>
                  </w:r>
                </w:p>
              </w:tc>
            </w:tr>
          </w:tbl>
          <w:p w14:paraId="769D47D8">
            <w:pPr>
              <w:pStyle w:val="147"/>
              <w:bidi w:val="0"/>
              <w:spacing w:line="360" w:lineRule="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（2）危险废物</w:t>
            </w:r>
          </w:p>
          <w:p w14:paraId="70917F47">
            <w:pPr>
              <w:pStyle w:val="46"/>
              <w:spacing w:line="360" w:lineRule="auto"/>
              <w:ind w:firstLine="480"/>
              <w:rPr>
                <w:color w:val="000000" w:themeColor="text1"/>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本项目设备维修产生的废机油（</w:t>
            </w:r>
            <w:r>
              <w:rPr>
                <w:rFonts w:hint="eastAsia" w:cs="Times New Roman"/>
                <w:color w:val="000000" w:themeColor="text1"/>
                <w:sz w:val="24"/>
                <w:szCs w:val="24"/>
                <w:highlight w:val="none"/>
                <w:lang w:val="en-US" w:eastAsia="zh-CN"/>
                <w14:textFill>
                  <w14:solidFill>
                    <w14:schemeClr w14:val="tx1"/>
                  </w14:solidFill>
                </w14:textFill>
              </w:rPr>
              <w:t>废机油</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属于危险废物，根据《国家危险废物名录》（2025年版）中的HW08，废物代码为900-214-08，设备润滑油每半年更换一次，产生量约0.5t/a；废油桶产生量约0.1t，根据《国家危险废物名录》（2025年版）中的HW49，废物代码为900-041-49；设备维修过程中工作人员需佩带手套进行作业，滴落地上的废机油（润滑油）需用棉布擦拭，将产生一定量的含油棉布。含油棉布、手套产生量约0.05t/a。属于危险废物，根据《国家危险废物名录》（2025年版）中的HW49，废物代码为900-041-49，产生的危险废物</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暂存于</w:t>
            </w:r>
            <w:r>
              <w:rPr>
                <w:rFonts w:hint="eastAsia" w:cs="Times New Roman"/>
                <w:color w:val="000000" w:themeColor="text1"/>
                <w:sz w:val="24"/>
                <w:szCs w:val="24"/>
                <w:highlight w:val="none"/>
                <w:lang w:val="en-US" w:eastAsia="zh-CN"/>
                <w14:textFill>
                  <w14:solidFill>
                    <w14:schemeClr w14:val="tx1"/>
                  </w14:solidFill>
                </w14:textFill>
              </w:rPr>
              <w:t>危险废物贮存库</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，交有资质单位处置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344EB71B">
            <w:pPr>
              <w:pStyle w:val="147"/>
              <w:bidi w:val="0"/>
              <w:spacing w:line="360" w:lineRule="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4.2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固体废弃物对环境的影响分析</w:t>
            </w:r>
          </w:p>
          <w:p w14:paraId="4A62433E">
            <w:pPr>
              <w:spacing w:line="360" w:lineRule="auto"/>
              <w:ind w:firstLine="480" w:firstLineChars="200"/>
              <w:contextualSpacing/>
              <w:rPr>
                <w:rFonts w:hint="default" w:ascii="Times New Roman" w:hAnsi="Times New Roman" w:cs="Times New Roman" w:eastAsiaTheme="minorEastAsia"/>
                <w:color w:val="000000" w:themeColor="text1"/>
                <w:sz w:val="24"/>
                <w:szCs w:val="22"/>
                <w:highlight w:val="none"/>
                <w14:textFill>
                  <w14:solidFill>
                    <w14:schemeClr w14:val="tx1"/>
                  </w14:solidFill>
                </w14:textFill>
              </w:rPr>
            </w:pPr>
            <w:r>
              <w:rPr>
                <w:rFonts w:hint="eastAsia" w:ascii="Times New Roman" w:hAnsi="Times New Roman" w:cs="Times New Roman" w:eastAsiaTheme="minorEastAsia"/>
                <w:color w:val="000000" w:themeColor="text1"/>
                <w:sz w:val="24"/>
                <w:szCs w:val="22"/>
                <w:highlight w:val="none"/>
                <w:lang w:val="en-US" w:eastAsia="zh-CN"/>
                <w14:textFill>
                  <w14:solidFill>
                    <w14:schemeClr w14:val="tx1"/>
                  </w14:solidFill>
                </w14:textFill>
              </w:rPr>
              <w:t>（1）</w:t>
            </w:r>
            <w:r>
              <w:rPr>
                <w:rFonts w:hint="default" w:ascii="Times New Roman" w:hAnsi="Times New Roman" w:cs="Times New Roman" w:eastAsiaTheme="minorEastAsia"/>
                <w:color w:val="000000" w:themeColor="text1"/>
                <w:sz w:val="24"/>
                <w:szCs w:val="22"/>
                <w:highlight w:val="none"/>
                <w14:textFill>
                  <w14:solidFill>
                    <w14:schemeClr w14:val="tx1"/>
                  </w14:solidFill>
                </w14:textFill>
              </w:rPr>
              <w:t>一般工业固体废物</w:t>
            </w:r>
          </w:p>
          <w:p w14:paraId="50B847E2">
            <w:pPr>
              <w:spacing w:line="360" w:lineRule="auto"/>
              <w:ind w:firstLine="480" w:firstLineChars="200"/>
              <w:contextualSpacing/>
              <w:rPr>
                <w:rFonts w:hint="default" w:ascii="Times New Roman" w:hAnsi="Times New Roman" w:cs="Times New Roman" w:eastAsiaTheme="minorEastAsia"/>
                <w:color w:val="000000" w:themeColor="text1"/>
                <w:sz w:val="24"/>
                <w:szCs w:val="22"/>
                <w:highlight w:val="none"/>
                <w14:textFill>
                  <w14:solidFill>
                    <w14:schemeClr w14:val="tx1"/>
                  </w14:solidFill>
                </w14:textFill>
              </w:rPr>
            </w:pPr>
            <w:r>
              <w:rPr>
                <w:rFonts w:hint="default" w:ascii="Calibri" w:hAnsi="Calibri" w:cs="Calibri" w:eastAsiaTheme="minorEastAsia"/>
                <w:color w:val="000000" w:themeColor="text1"/>
                <w:sz w:val="24"/>
                <w:szCs w:val="22"/>
                <w:highlight w:val="none"/>
                <w:lang w:eastAsia="zh-CN"/>
                <w14:textFill>
                  <w14:solidFill>
                    <w14:schemeClr w14:val="tx1"/>
                  </w14:solidFill>
                </w14:textFill>
              </w:rPr>
              <w:t>①</w:t>
            </w:r>
            <w:r>
              <w:rPr>
                <w:rFonts w:hint="default" w:ascii="Times New Roman" w:hAnsi="Times New Roman" w:cs="Times New Roman" w:eastAsiaTheme="minorEastAsia"/>
                <w:color w:val="000000" w:themeColor="text1"/>
                <w:sz w:val="24"/>
                <w:szCs w:val="22"/>
                <w:highlight w:val="none"/>
                <w14:textFill>
                  <w14:solidFill>
                    <w14:schemeClr w14:val="tx1"/>
                  </w14:solidFill>
                </w14:textFill>
              </w:rPr>
              <w:t>产生工业固体废物的单位应当建立健全工业固体废物产生、收集、贮存、运输、利用、处置全过程的污染环境防治责任制度，建立工业固体废物管理台账，如实记录产生工业固体废物的种类、数量、流向、贮存、利用、处置等信息，实现工业固体废物可追溯、可查询，并采取防治工业固体废物污染环境的措施。</w:t>
            </w:r>
          </w:p>
          <w:p w14:paraId="35C1A298">
            <w:pPr>
              <w:spacing w:line="360" w:lineRule="auto"/>
              <w:ind w:firstLine="480" w:firstLineChars="200"/>
              <w:contextualSpacing/>
              <w:rPr>
                <w:rFonts w:hint="default" w:ascii="Times New Roman" w:hAnsi="Times New Roman" w:cs="Times New Roman" w:eastAsiaTheme="minorEastAsia"/>
                <w:color w:val="000000" w:themeColor="text1"/>
                <w:sz w:val="24"/>
                <w:szCs w:val="22"/>
                <w:highlight w:val="none"/>
                <w14:textFill>
                  <w14:solidFill>
                    <w14:schemeClr w14:val="tx1"/>
                  </w14:solidFill>
                </w14:textFill>
              </w:rPr>
            </w:pPr>
            <w:r>
              <w:rPr>
                <w:rFonts w:hint="default" w:ascii="Calibri" w:hAnsi="Calibri" w:cs="Calibri" w:eastAsiaTheme="minorEastAsia"/>
                <w:color w:val="000000" w:themeColor="text1"/>
                <w:sz w:val="24"/>
                <w:szCs w:val="22"/>
                <w:highlight w:val="none"/>
                <w:lang w:eastAsia="zh-CN"/>
                <w14:textFill>
                  <w14:solidFill>
                    <w14:schemeClr w14:val="tx1"/>
                  </w14:solidFill>
                </w14:textFill>
              </w:rPr>
              <w:t>②</w:t>
            </w:r>
            <w:r>
              <w:rPr>
                <w:rFonts w:hint="default" w:ascii="Times New Roman" w:hAnsi="Times New Roman" w:cs="Times New Roman" w:eastAsiaTheme="minorEastAsia"/>
                <w:color w:val="000000" w:themeColor="text1"/>
                <w:sz w:val="24"/>
                <w:szCs w:val="22"/>
                <w:highlight w:val="none"/>
                <w14:textFill>
                  <w14:solidFill>
                    <w14:schemeClr w14:val="tx1"/>
                  </w14:solidFill>
                </w14:textFill>
              </w:rPr>
              <w:t>禁止向生活垃圾收集设施中投放工业固体废物。</w:t>
            </w:r>
          </w:p>
          <w:p w14:paraId="376843C9">
            <w:pPr>
              <w:autoSpaceDE w:val="0"/>
              <w:autoSpaceDN w:val="0"/>
              <w:spacing w:line="360" w:lineRule="auto"/>
              <w:ind w:firstLine="480" w:firstLineChars="200"/>
              <w:contextualSpacing/>
              <w:rPr>
                <w:rFonts w:hint="default" w:ascii="Times New Roman" w:hAnsi="Times New Roman" w:cs="Times New Roman" w:eastAsiaTheme="minorEastAsia"/>
                <w:bCs/>
                <w:color w:val="000000" w:themeColor="text1"/>
                <w:sz w:val="24"/>
                <w:highlight w:val="none"/>
                <w14:textFill>
                  <w14:solidFill>
                    <w14:schemeClr w14:val="tx1"/>
                  </w14:solidFill>
                </w14:textFill>
              </w:rPr>
            </w:pPr>
            <w:r>
              <w:rPr>
                <w:rFonts w:hint="default" w:ascii="Calibri" w:hAnsi="Calibri" w:cs="Calibri" w:eastAsiaTheme="minorEastAsia"/>
                <w:color w:val="000000" w:themeColor="text1"/>
                <w:sz w:val="24"/>
                <w:szCs w:val="22"/>
                <w:highlight w:val="none"/>
                <w:lang w:eastAsia="zh-CN"/>
                <w14:textFill>
                  <w14:solidFill>
                    <w14:schemeClr w14:val="tx1"/>
                  </w14:solidFill>
                </w14:textFill>
              </w:rPr>
              <w:t>③</w:t>
            </w:r>
            <w:r>
              <w:rPr>
                <w:rFonts w:hint="default" w:ascii="Times New Roman" w:hAnsi="Times New Roman" w:cs="Times New Roman" w:eastAsiaTheme="minorEastAsia"/>
                <w:color w:val="000000" w:themeColor="text1"/>
                <w:sz w:val="24"/>
                <w:szCs w:val="22"/>
                <w:highlight w:val="none"/>
                <w14:textFill>
                  <w14:solidFill>
                    <w14:schemeClr w14:val="tx1"/>
                  </w14:solidFill>
                </w14:textFill>
              </w:rPr>
              <w:t>产生工业固体废物的单位委托他人运输、利用、处置工业固体废物的，应当对受托方的主体资格和技术能力进行核实，依法签订书面合同，在合同中约定污染防治要求。受托方运输、利用、处置工业固体废物，应当依照有关法律法规的规定和合同约定履行污染防治要求，并将运输、利用、处置情况告知产生工业固体废物的单位</w:t>
            </w:r>
            <w:r>
              <w:rPr>
                <w:rFonts w:hint="default" w:ascii="Times New Roman" w:hAnsi="Times New Roman" w:cs="Times New Roman" w:eastAsiaTheme="minorEastAsia"/>
                <w:bCs/>
                <w:color w:val="000000" w:themeColor="text1"/>
                <w:sz w:val="24"/>
                <w:highlight w:val="none"/>
                <w14:textFill>
                  <w14:solidFill>
                    <w14:schemeClr w14:val="tx1"/>
                  </w14:solidFill>
                </w14:textFill>
              </w:rPr>
              <w:t>。</w:t>
            </w:r>
          </w:p>
          <w:p w14:paraId="37E28BDC">
            <w:pPr>
              <w:autoSpaceDE w:val="0"/>
              <w:autoSpaceDN w:val="0"/>
              <w:spacing w:line="360" w:lineRule="auto"/>
              <w:ind w:firstLine="480" w:firstLineChars="200"/>
              <w:contextualSpacing/>
              <w:rPr>
                <w:rFonts w:hint="default" w:ascii="Times New Roman" w:hAnsi="Times New Roman" w:cs="Times New Roman" w:eastAsiaTheme="minorEastAsia"/>
                <w:color w:val="000000" w:themeColor="text1"/>
                <w:sz w:val="24"/>
                <w:szCs w:val="22"/>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4"/>
                <w:szCs w:val="22"/>
                <w:highlight w:val="none"/>
                <w:lang w:val="en-US" w:eastAsia="zh-CN"/>
                <w14:textFill>
                  <w14:solidFill>
                    <w14:schemeClr w14:val="tx1"/>
                  </w14:solidFill>
                </w14:textFill>
              </w:rPr>
              <w:t>（2）</w:t>
            </w:r>
            <w:r>
              <w:rPr>
                <w:rFonts w:hint="default" w:ascii="Times New Roman" w:hAnsi="Times New Roman" w:cs="Times New Roman" w:eastAsiaTheme="minorEastAsia"/>
                <w:color w:val="000000" w:themeColor="text1"/>
                <w:sz w:val="24"/>
                <w:szCs w:val="22"/>
                <w:highlight w:val="none"/>
                <w:lang w:val="en-US" w:eastAsia="zh-CN"/>
                <w14:textFill>
                  <w14:solidFill>
                    <w14:schemeClr w14:val="tx1"/>
                  </w14:solidFill>
                </w14:textFill>
              </w:rPr>
              <w:t>危险废物</w:t>
            </w:r>
          </w:p>
          <w:p w14:paraId="6CFD1C7C">
            <w:pPr>
              <w:widowControl w:val="0"/>
              <w:spacing w:line="360" w:lineRule="auto"/>
              <w:ind w:firstLine="480" w:firstLineChars="200"/>
              <w:jc w:val="both"/>
              <w:rPr>
                <w:rFonts w:hint="default" w:ascii="Times New Roman" w:hAnsi="Times New Roman" w:cs="Times New Roman" w:eastAsiaTheme="minorEastAsia"/>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4"/>
                <w:szCs w:val="24"/>
                <w:highlight w:val="none"/>
                <w:lang w:val="en-US" w:eastAsia="zh-CN" w:bidi="ar-SA"/>
                <w14:textFill>
                  <w14:solidFill>
                    <w14:schemeClr w14:val="tx1"/>
                  </w14:solidFill>
                </w14:textFill>
              </w:rPr>
              <w:t>危险废物按照</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《危险废物贮存污染控制标准》（GB18597-2023）</w:t>
            </w:r>
            <w:r>
              <w:rPr>
                <w:rFonts w:hint="default" w:ascii="Times New Roman" w:hAnsi="Times New Roman" w:cs="Times New Roman" w:eastAsiaTheme="minorEastAsia"/>
                <w:color w:val="000000" w:themeColor="text1"/>
                <w:kern w:val="0"/>
                <w:sz w:val="24"/>
                <w:szCs w:val="24"/>
                <w:highlight w:val="none"/>
                <w:lang w:val="en-US" w:eastAsia="zh-CN" w:bidi="ar-SA"/>
                <w14:textFill>
                  <w14:solidFill>
                    <w14:schemeClr w14:val="tx1"/>
                  </w14:solidFill>
                </w14:textFill>
              </w:rPr>
              <w:t>进行暂存，具体内容如下：</w:t>
            </w:r>
          </w:p>
          <w:p w14:paraId="5EBF0C06">
            <w:pPr>
              <w:adjustRightInd w:val="0"/>
              <w:snapToGrid w:val="0"/>
              <w:spacing w:line="360" w:lineRule="auto"/>
              <w:jc w:val="center"/>
              <w:rPr>
                <w:rFonts w:hint="default" w:ascii="Times New Roman" w:hAnsi="Times New Roman" w:cs="Times New Roman" w:eastAsiaTheme="minorEastAsia"/>
                <w:b/>
                <w:color w:val="000000" w:themeColor="text1"/>
                <w:kern w:val="0"/>
                <w:sz w:val="24"/>
                <w:highlight w:val="none"/>
                <w:lang w:val="en-US" w:eastAsia="zh-CN"/>
                <w14:textFill>
                  <w14:solidFill>
                    <w14:schemeClr w14:val="tx1"/>
                  </w14:solidFill>
                </w14:textFill>
              </w:rPr>
            </w:pPr>
          </w:p>
          <w:p w14:paraId="22A19BDF">
            <w:pPr>
              <w:adjustRightInd w:val="0"/>
              <w:snapToGrid w:val="0"/>
              <w:spacing w:line="360" w:lineRule="auto"/>
              <w:jc w:val="center"/>
              <w:rPr>
                <w:rFonts w:hint="default" w:ascii="Times New Roman" w:hAnsi="Times New Roman" w:cs="Times New Roman" w:eastAsiaTheme="minorEastAsia"/>
                <w:b/>
                <w:color w:val="000000" w:themeColor="text1"/>
                <w:kern w:val="0"/>
                <w:sz w:val="24"/>
                <w:highlight w:val="none"/>
                <w:lang w:val="en-US" w:eastAsia="zh-CN"/>
                <w14:textFill>
                  <w14:solidFill>
                    <w14:schemeClr w14:val="tx1"/>
                  </w14:solidFill>
                </w14:textFill>
              </w:rPr>
            </w:pPr>
          </w:p>
          <w:p w14:paraId="08010E93">
            <w:pPr>
              <w:adjustRightInd w:val="0"/>
              <w:snapToGrid w:val="0"/>
              <w:spacing w:line="360" w:lineRule="auto"/>
              <w:jc w:val="center"/>
              <w:rPr>
                <w:rFonts w:hint="default" w:ascii="Times New Roman" w:hAnsi="Times New Roman" w:cs="Times New Roman" w:eastAsiaTheme="minorEastAsia"/>
                <w:b/>
                <w:color w:val="000000" w:themeColor="text1"/>
                <w:kern w:val="0"/>
                <w:sz w:val="24"/>
                <w:highlight w:val="none"/>
                <w:lang w:val="en-US" w:eastAsia="zh-CN"/>
                <w14:textFill>
                  <w14:solidFill>
                    <w14:schemeClr w14:val="tx1"/>
                  </w14:solidFill>
                </w14:textFill>
              </w:rPr>
            </w:pPr>
            <w:r>
              <w:rPr>
                <w:rFonts w:hint="default" w:ascii="Times New Roman" w:hAnsi="Times New Roman" w:cs="Times New Roman" w:eastAsiaTheme="minorEastAsia"/>
                <w:b/>
                <w:color w:val="000000" w:themeColor="text1"/>
                <w:kern w:val="0"/>
                <w:sz w:val="24"/>
                <w:highlight w:val="none"/>
                <w:lang w:val="en-US" w:eastAsia="zh-CN"/>
                <w14:textFill>
                  <w14:solidFill>
                    <w14:schemeClr w14:val="tx1"/>
                  </w14:solidFill>
                </w14:textFill>
              </w:rPr>
              <w:t>表4-1</w:t>
            </w:r>
            <w:r>
              <w:rPr>
                <w:rFonts w:hint="eastAsia" w:cs="Times New Roman" w:eastAsiaTheme="minorEastAsia"/>
                <w:b/>
                <w:color w:val="000000" w:themeColor="text1"/>
                <w:kern w:val="0"/>
                <w:sz w:val="24"/>
                <w:highlight w:val="none"/>
                <w:lang w:val="en-US" w:eastAsia="zh-CN"/>
                <w14:textFill>
                  <w14:solidFill>
                    <w14:schemeClr w14:val="tx1"/>
                  </w14:solidFill>
                </w14:textFill>
              </w:rPr>
              <w:t>1</w:t>
            </w:r>
            <w:r>
              <w:rPr>
                <w:rFonts w:hint="default" w:ascii="Times New Roman" w:hAnsi="Times New Roman" w:cs="Times New Roman" w:eastAsiaTheme="minorEastAsia"/>
                <w:b/>
                <w:color w:val="000000" w:themeColor="text1"/>
                <w:kern w:val="0"/>
                <w:sz w:val="24"/>
                <w:highlight w:val="none"/>
                <w:lang w:val="en-US" w:eastAsia="zh-CN"/>
                <w14:textFill>
                  <w14:solidFill>
                    <w14:schemeClr w14:val="tx1"/>
                  </w14:solidFill>
                </w14:textFill>
              </w:rPr>
              <w:t>工程分析中危险废物汇总表</w:t>
            </w:r>
          </w:p>
          <w:tbl>
            <w:tblPr>
              <w:tblStyle w:val="149"/>
              <w:tblW w:w="7937" w:type="dxa"/>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476"/>
              <w:gridCol w:w="655"/>
              <w:gridCol w:w="733"/>
              <w:gridCol w:w="720"/>
              <w:gridCol w:w="633"/>
              <w:gridCol w:w="832"/>
              <w:gridCol w:w="645"/>
              <w:gridCol w:w="472"/>
              <w:gridCol w:w="657"/>
              <w:gridCol w:w="609"/>
              <w:gridCol w:w="1505"/>
            </w:tblGrid>
            <w:tr w14:paraId="1C847002">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11" w:type="dxa"/>
                  <w:tcBorders>
                    <w:tl2br w:val="nil"/>
                    <w:tr2bl w:val="nil"/>
                  </w:tcBorders>
                  <w:noWrap w:val="0"/>
                  <w:vAlign w:val="center"/>
                </w:tcPr>
                <w:p w14:paraId="4DA3971F">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序号</w:t>
                  </w:r>
                </w:p>
              </w:tc>
              <w:tc>
                <w:tcPr>
                  <w:tcW w:w="704" w:type="dxa"/>
                  <w:tcBorders>
                    <w:tl2br w:val="nil"/>
                    <w:tr2bl w:val="nil"/>
                  </w:tcBorders>
                  <w:noWrap w:val="0"/>
                  <w:vAlign w:val="center"/>
                </w:tcPr>
                <w:p w14:paraId="0EE86E58">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危险废物名称</w:t>
                  </w:r>
                </w:p>
              </w:tc>
              <w:tc>
                <w:tcPr>
                  <w:tcW w:w="787" w:type="dxa"/>
                  <w:tcBorders>
                    <w:tl2br w:val="nil"/>
                    <w:tr2bl w:val="nil"/>
                  </w:tcBorders>
                  <w:noWrap w:val="0"/>
                  <w:vAlign w:val="center"/>
                </w:tcPr>
                <w:p w14:paraId="3EDB43B5">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危险废物类别</w:t>
                  </w:r>
                </w:p>
              </w:tc>
              <w:tc>
                <w:tcPr>
                  <w:tcW w:w="773" w:type="dxa"/>
                  <w:tcBorders>
                    <w:tl2br w:val="nil"/>
                    <w:tr2bl w:val="nil"/>
                  </w:tcBorders>
                  <w:noWrap w:val="0"/>
                  <w:vAlign w:val="center"/>
                </w:tcPr>
                <w:p w14:paraId="01F05571">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危险废物代码</w:t>
                  </w:r>
                </w:p>
              </w:tc>
              <w:tc>
                <w:tcPr>
                  <w:tcW w:w="680" w:type="dxa"/>
                  <w:tcBorders>
                    <w:tl2br w:val="nil"/>
                    <w:tr2bl w:val="nil"/>
                  </w:tcBorders>
                  <w:noWrap w:val="0"/>
                  <w:vAlign w:val="center"/>
                </w:tcPr>
                <w:p w14:paraId="4668BC54">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产生量（吨/年）</w:t>
                  </w:r>
                </w:p>
              </w:tc>
              <w:tc>
                <w:tcPr>
                  <w:tcW w:w="894" w:type="dxa"/>
                  <w:tcBorders>
                    <w:tl2br w:val="nil"/>
                    <w:tr2bl w:val="nil"/>
                  </w:tcBorders>
                  <w:noWrap w:val="0"/>
                  <w:vAlign w:val="center"/>
                </w:tcPr>
                <w:p w14:paraId="0CC0EEBE">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产生工序及装置</w:t>
                  </w:r>
                </w:p>
              </w:tc>
              <w:tc>
                <w:tcPr>
                  <w:tcW w:w="693" w:type="dxa"/>
                  <w:tcBorders>
                    <w:tl2br w:val="nil"/>
                    <w:tr2bl w:val="nil"/>
                  </w:tcBorders>
                  <w:noWrap w:val="0"/>
                  <w:vAlign w:val="center"/>
                </w:tcPr>
                <w:p w14:paraId="5C98E910">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形态</w:t>
                  </w:r>
                </w:p>
              </w:tc>
              <w:tc>
                <w:tcPr>
                  <w:tcW w:w="507" w:type="dxa"/>
                  <w:tcBorders>
                    <w:tl2br w:val="nil"/>
                    <w:tr2bl w:val="nil"/>
                  </w:tcBorders>
                  <w:noWrap w:val="0"/>
                  <w:vAlign w:val="center"/>
                </w:tcPr>
                <w:p w14:paraId="2B4F6F13">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主要成分</w:t>
                  </w:r>
                </w:p>
              </w:tc>
              <w:tc>
                <w:tcPr>
                  <w:tcW w:w="706" w:type="dxa"/>
                  <w:tcBorders>
                    <w:tl2br w:val="nil"/>
                    <w:tr2bl w:val="nil"/>
                  </w:tcBorders>
                  <w:noWrap w:val="0"/>
                  <w:vAlign w:val="center"/>
                </w:tcPr>
                <w:p w14:paraId="75CA9D96">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产废周期</w:t>
                  </w:r>
                </w:p>
              </w:tc>
              <w:tc>
                <w:tcPr>
                  <w:tcW w:w="654" w:type="dxa"/>
                  <w:tcBorders>
                    <w:tl2br w:val="nil"/>
                    <w:tr2bl w:val="nil"/>
                  </w:tcBorders>
                  <w:noWrap w:val="0"/>
                  <w:vAlign w:val="center"/>
                </w:tcPr>
                <w:p w14:paraId="2FDA4ADA">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危险特性</w:t>
                  </w:r>
                </w:p>
              </w:tc>
              <w:tc>
                <w:tcPr>
                  <w:tcW w:w="1617" w:type="dxa"/>
                  <w:tcBorders>
                    <w:tl2br w:val="nil"/>
                    <w:tr2bl w:val="nil"/>
                  </w:tcBorders>
                  <w:noWrap w:val="0"/>
                  <w:vAlign w:val="center"/>
                </w:tcPr>
                <w:p w14:paraId="0AAA7D2D">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污染防治措施</w:t>
                  </w:r>
                </w:p>
              </w:tc>
            </w:tr>
            <w:tr w14:paraId="2886D5FF">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11" w:type="dxa"/>
                  <w:tcBorders>
                    <w:tl2br w:val="nil"/>
                    <w:tr2bl w:val="nil"/>
                  </w:tcBorders>
                  <w:noWrap w:val="0"/>
                  <w:vAlign w:val="center"/>
                </w:tcPr>
                <w:p w14:paraId="47878D41">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1</w:t>
                  </w:r>
                </w:p>
              </w:tc>
              <w:tc>
                <w:tcPr>
                  <w:tcW w:w="704" w:type="dxa"/>
                  <w:tcBorders>
                    <w:tl2br w:val="nil"/>
                    <w:tr2bl w:val="nil"/>
                  </w:tcBorders>
                  <w:shd w:val="clear" w:color="auto" w:fill="auto"/>
                  <w:noWrap w:val="0"/>
                  <w:vAlign w:val="center"/>
                </w:tcPr>
                <w:p w14:paraId="22C92A34">
                  <w:pPr>
                    <w:autoSpaceDE w:val="0"/>
                    <w:autoSpaceDN w:val="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废机油（</w:t>
                  </w:r>
                  <w:r>
                    <w:rPr>
                      <w:rFonts w:hint="eastAsia" w:cs="Times New Roman"/>
                      <w:color w:val="000000" w:themeColor="text1"/>
                      <w:sz w:val="21"/>
                      <w:szCs w:val="21"/>
                      <w:highlight w:val="none"/>
                      <w:lang w:val="en-US" w:eastAsia="zh-CN"/>
                      <w14:textFill>
                        <w14:solidFill>
                          <w14:schemeClr w14:val="tx1"/>
                        </w14:solidFill>
                      </w14:textFill>
                    </w:rPr>
                    <w:t>废机油</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787" w:type="dxa"/>
                  <w:tcBorders>
                    <w:tl2br w:val="nil"/>
                    <w:tr2bl w:val="nil"/>
                  </w:tcBorders>
                  <w:noWrap w:val="0"/>
                  <w:vAlign w:val="center"/>
                </w:tcPr>
                <w:p w14:paraId="43C21447">
                  <w:pPr>
                    <w:widowControl/>
                    <w:spacing w:line="240" w:lineRule="auto"/>
                    <w:jc w:val="center"/>
                    <w:textAlignment w:val="cente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HW08</w:t>
                  </w:r>
                </w:p>
              </w:tc>
              <w:tc>
                <w:tcPr>
                  <w:tcW w:w="773" w:type="dxa"/>
                  <w:tcBorders>
                    <w:tl2br w:val="nil"/>
                    <w:tr2bl w:val="nil"/>
                  </w:tcBorders>
                  <w:noWrap w:val="0"/>
                  <w:vAlign w:val="center"/>
                </w:tcPr>
                <w:p w14:paraId="430EB8B7">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900-214-08</w:t>
                  </w:r>
                </w:p>
              </w:tc>
              <w:tc>
                <w:tcPr>
                  <w:tcW w:w="680" w:type="dxa"/>
                  <w:tcBorders>
                    <w:tl2br w:val="nil"/>
                    <w:tr2bl w:val="nil"/>
                  </w:tcBorders>
                  <w:noWrap w:val="0"/>
                  <w:vAlign w:val="center"/>
                </w:tcPr>
                <w:p w14:paraId="40C84F3C">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0.</w:t>
                  </w: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5</w:t>
                  </w:r>
                </w:p>
              </w:tc>
              <w:tc>
                <w:tcPr>
                  <w:tcW w:w="894" w:type="dxa"/>
                  <w:tcBorders>
                    <w:tl2br w:val="nil"/>
                    <w:tr2bl w:val="nil"/>
                  </w:tcBorders>
                  <w:noWrap w:val="0"/>
                  <w:vAlign w:val="center"/>
                </w:tcPr>
                <w:p w14:paraId="3D7F6454">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生产装置</w:t>
                  </w:r>
                </w:p>
              </w:tc>
              <w:tc>
                <w:tcPr>
                  <w:tcW w:w="693" w:type="dxa"/>
                  <w:tcBorders>
                    <w:tl2br w:val="nil"/>
                    <w:tr2bl w:val="nil"/>
                  </w:tcBorders>
                  <w:noWrap w:val="0"/>
                  <w:vAlign w:val="center"/>
                </w:tcPr>
                <w:p w14:paraId="7D9894E4">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液体</w:t>
                  </w:r>
                </w:p>
              </w:tc>
              <w:tc>
                <w:tcPr>
                  <w:tcW w:w="507" w:type="dxa"/>
                  <w:tcBorders>
                    <w:tl2br w:val="nil"/>
                    <w:tr2bl w:val="nil"/>
                  </w:tcBorders>
                  <w:noWrap w:val="0"/>
                  <w:vAlign w:val="center"/>
                </w:tcPr>
                <w:p w14:paraId="7231B1F2">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cs="Times New Roman" w:eastAsiaTheme="minorEastAsia"/>
                      <w:color w:val="000000" w:themeColor="text1"/>
                      <w:sz w:val="21"/>
                      <w:szCs w:val="21"/>
                      <w:highlight w:val="none"/>
                      <w:lang w:val="en-US" w:eastAsia="zh-CN"/>
                      <w14:textFill>
                        <w14:solidFill>
                          <w14:schemeClr w14:val="tx1"/>
                        </w14:solidFill>
                      </w14:textFill>
                    </w:rPr>
                    <w:t>矿物油</w:t>
                  </w:r>
                </w:p>
              </w:tc>
              <w:tc>
                <w:tcPr>
                  <w:tcW w:w="706" w:type="dxa"/>
                  <w:tcBorders>
                    <w:tl2br w:val="nil"/>
                    <w:tr2bl w:val="nil"/>
                  </w:tcBorders>
                  <w:noWrap w:val="0"/>
                  <w:vAlign w:val="center"/>
                </w:tcPr>
                <w:p w14:paraId="7F5BC771">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半年</w:t>
                  </w:r>
                </w:p>
              </w:tc>
              <w:tc>
                <w:tcPr>
                  <w:tcW w:w="654" w:type="dxa"/>
                  <w:tcBorders>
                    <w:tl2br w:val="nil"/>
                    <w:tr2bl w:val="nil"/>
                  </w:tcBorders>
                  <w:noWrap w:val="0"/>
                  <w:vAlign w:val="center"/>
                </w:tcPr>
                <w:p w14:paraId="76FC6E37">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T</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I</w:t>
                  </w:r>
                </w:p>
              </w:tc>
              <w:tc>
                <w:tcPr>
                  <w:tcW w:w="1617" w:type="dxa"/>
                  <w:vMerge w:val="restart"/>
                  <w:tcBorders>
                    <w:tl2br w:val="nil"/>
                    <w:tr2bl w:val="nil"/>
                  </w:tcBorders>
                  <w:noWrap w:val="0"/>
                  <w:vAlign w:val="center"/>
                </w:tcPr>
                <w:p w14:paraId="5749B02C">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暂存于</w:t>
                  </w:r>
                  <w:r>
                    <w:rPr>
                      <w:rFonts w:hint="eastAsia" w:cs="Times New Roman" w:eastAsiaTheme="minorEastAsia"/>
                      <w:color w:val="000000" w:themeColor="text1"/>
                      <w:sz w:val="21"/>
                      <w:szCs w:val="21"/>
                      <w:highlight w:val="none"/>
                      <w:lang w:val="en-US" w:eastAsia="zh-CN"/>
                      <w14:textFill>
                        <w14:solidFill>
                          <w14:schemeClr w14:val="tx1"/>
                        </w14:solidFill>
                      </w14:textFill>
                    </w:rPr>
                    <w:t>危险废物贮存库</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，交有资质单位处置</w:t>
                  </w:r>
                </w:p>
              </w:tc>
            </w:tr>
            <w:tr w14:paraId="0006DF22">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11" w:type="dxa"/>
                  <w:tcBorders>
                    <w:tl2br w:val="nil"/>
                    <w:tr2bl w:val="nil"/>
                  </w:tcBorders>
                  <w:noWrap w:val="0"/>
                  <w:vAlign w:val="center"/>
                </w:tcPr>
                <w:p w14:paraId="25BF8BA6">
                  <w:pPr>
                    <w:pStyle w:val="148"/>
                    <w:spacing w:before="24" w:after="24" w:line="240" w:lineRule="auto"/>
                    <w:jc w:val="cente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2</w:t>
                  </w:r>
                </w:p>
              </w:tc>
              <w:tc>
                <w:tcPr>
                  <w:tcW w:w="704" w:type="dxa"/>
                  <w:tcBorders>
                    <w:tl2br w:val="nil"/>
                    <w:tr2bl w:val="nil"/>
                  </w:tcBorders>
                  <w:shd w:val="clear" w:color="auto" w:fill="auto"/>
                  <w:noWrap w:val="0"/>
                  <w:vAlign w:val="center"/>
                </w:tcPr>
                <w:p w14:paraId="59FE84DC">
                  <w:pPr>
                    <w:autoSpaceDE w:val="0"/>
                    <w:autoSpaceDN w:val="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废油桶</w:t>
                  </w:r>
                </w:p>
              </w:tc>
              <w:tc>
                <w:tcPr>
                  <w:tcW w:w="787" w:type="dxa"/>
                  <w:tcBorders>
                    <w:tl2br w:val="nil"/>
                    <w:tr2bl w:val="nil"/>
                  </w:tcBorders>
                  <w:noWrap w:val="0"/>
                  <w:vAlign w:val="center"/>
                </w:tcPr>
                <w:p w14:paraId="735F81BE">
                  <w:pPr>
                    <w:widowControl/>
                    <w:spacing w:line="240" w:lineRule="auto"/>
                    <w:jc w:val="center"/>
                    <w:textAlignment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HW49</w:t>
                  </w:r>
                </w:p>
              </w:tc>
              <w:tc>
                <w:tcPr>
                  <w:tcW w:w="773" w:type="dxa"/>
                  <w:tcBorders>
                    <w:tl2br w:val="nil"/>
                    <w:tr2bl w:val="nil"/>
                  </w:tcBorders>
                  <w:noWrap w:val="0"/>
                  <w:vAlign w:val="center"/>
                </w:tcPr>
                <w:p w14:paraId="088D0E0F">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900-041-49</w:t>
                  </w:r>
                </w:p>
              </w:tc>
              <w:tc>
                <w:tcPr>
                  <w:tcW w:w="680" w:type="dxa"/>
                  <w:tcBorders>
                    <w:tl2br w:val="nil"/>
                    <w:tr2bl w:val="nil"/>
                  </w:tcBorders>
                  <w:noWrap w:val="0"/>
                  <w:vAlign w:val="center"/>
                </w:tcPr>
                <w:p w14:paraId="7A62B7B2">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0.1</w:t>
                  </w:r>
                </w:p>
              </w:tc>
              <w:tc>
                <w:tcPr>
                  <w:tcW w:w="894" w:type="dxa"/>
                  <w:tcBorders>
                    <w:tl2br w:val="nil"/>
                    <w:tr2bl w:val="nil"/>
                  </w:tcBorders>
                  <w:noWrap w:val="0"/>
                  <w:vAlign w:val="center"/>
                </w:tcPr>
                <w:p w14:paraId="30CC45FE">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生产装置</w:t>
                  </w:r>
                </w:p>
              </w:tc>
              <w:tc>
                <w:tcPr>
                  <w:tcW w:w="693" w:type="dxa"/>
                  <w:tcBorders>
                    <w:tl2br w:val="nil"/>
                    <w:tr2bl w:val="nil"/>
                  </w:tcBorders>
                  <w:noWrap w:val="0"/>
                  <w:vAlign w:val="center"/>
                </w:tcPr>
                <w:p w14:paraId="6DBB2850">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液体</w:t>
                  </w:r>
                </w:p>
              </w:tc>
              <w:tc>
                <w:tcPr>
                  <w:tcW w:w="507" w:type="dxa"/>
                  <w:tcBorders>
                    <w:tl2br w:val="nil"/>
                    <w:tr2bl w:val="nil"/>
                  </w:tcBorders>
                  <w:noWrap w:val="0"/>
                  <w:vAlign w:val="center"/>
                </w:tcPr>
                <w:p w14:paraId="0C2C7CE2">
                  <w:pPr>
                    <w:spacing w:before="24" w:after="24" w:line="240" w:lineRule="auto"/>
                    <w:jc w:val="cente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cs="Times New Roman" w:eastAsiaTheme="minorEastAsia"/>
                      <w:color w:val="000000" w:themeColor="text1"/>
                      <w:sz w:val="21"/>
                      <w:szCs w:val="21"/>
                      <w:highlight w:val="none"/>
                      <w:lang w:val="en-US" w:eastAsia="zh-CN"/>
                      <w14:textFill>
                        <w14:solidFill>
                          <w14:schemeClr w14:val="tx1"/>
                        </w14:solidFill>
                      </w14:textFill>
                    </w:rPr>
                    <w:t>矿物油</w:t>
                  </w:r>
                </w:p>
              </w:tc>
              <w:tc>
                <w:tcPr>
                  <w:tcW w:w="706" w:type="dxa"/>
                  <w:tcBorders>
                    <w:tl2br w:val="nil"/>
                    <w:tr2bl w:val="nil"/>
                  </w:tcBorders>
                  <w:noWrap w:val="0"/>
                  <w:vAlign w:val="center"/>
                </w:tcPr>
                <w:p w14:paraId="7BA8A1FA">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半年</w:t>
                  </w:r>
                </w:p>
              </w:tc>
              <w:tc>
                <w:tcPr>
                  <w:tcW w:w="654" w:type="dxa"/>
                  <w:tcBorders>
                    <w:tl2br w:val="nil"/>
                    <w:tr2bl w:val="nil"/>
                  </w:tcBorders>
                  <w:noWrap w:val="0"/>
                  <w:vAlign w:val="center"/>
                </w:tcPr>
                <w:p w14:paraId="36CF482D">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T</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I</w:t>
                  </w:r>
                </w:p>
              </w:tc>
              <w:tc>
                <w:tcPr>
                  <w:tcW w:w="1617" w:type="dxa"/>
                  <w:vMerge w:val="continue"/>
                  <w:tcBorders>
                    <w:tl2br w:val="nil"/>
                    <w:tr2bl w:val="nil"/>
                  </w:tcBorders>
                  <w:noWrap w:val="0"/>
                  <w:vAlign w:val="center"/>
                </w:tcPr>
                <w:p w14:paraId="4AA1625E">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p>
              </w:tc>
            </w:tr>
            <w:tr w14:paraId="01C10877">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11" w:type="dxa"/>
                  <w:tcBorders>
                    <w:tl2br w:val="nil"/>
                    <w:tr2bl w:val="nil"/>
                  </w:tcBorders>
                  <w:noWrap w:val="0"/>
                  <w:vAlign w:val="center"/>
                </w:tcPr>
                <w:p w14:paraId="2107C7B7">
                  <w:pPr>
                    <w:pStyle w:val="148"/>
                    <w:spacing w:before="24" w:after="24" w:line="240" w:lineRule="auto"/>
                    <w:jc w:val="cente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3</w:t>
                  </w:r>
                </w:p>
              </w:tc>
              <w:tc>
                <w:tcPr>
                  <w:tcW w:w="704" w:type="dxa"/>
                  <w:tcBorders>
                    <w:tl2br w:val="nil"/>
                    <w:tr2bl w:val="nil"/>
                  </w:tcBorders>
                  <w:shd w:val="clear" w:color="auto" w:fill="auto"/>
                  <w:noWrap w:val="0"/>
                  <w:vAlign w:val="center"/>
                </w:tcPr>
                <w:p w14:paraId="222BACD3">
                  <w:pPr>
                    <w:autoSpaceDE w:val="0"/>
                    <w:autoSpaceDN w:val="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含油棉布、手套</w:t>
                  </w:r>
                </w:p>
              </w:tc>
              <w:tc>
                <w:tcPr>
                  <w:tcW w:w="787" w:type="dxa"/>
                  <w:tcBorders>
                    <w:tl2br w:val="nil"/>
                    <w:tr2bl w:val="nil"/>
                  </w:tcBorders>
                  <w:shd w:val="clear" w:color="auto" w:fill="auto"/>
                  <w:noWrap w:val="0"/>
                  <w:vAlign w:val="center"/>
                </w:tcPr>
                <w:p w14:paraId="2FD9ACA0">
                  <w:pPr>
                    <w:widowControl/>
                    <w:spacing w:line="240" w:lineRule="auto"/>
                    <w:jc w:val="center"/>
                    <w:textAlignment w:val="cente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HW49</w:t>
                  </w:r>
                </w:p>
              </w:tc>
              <w:tc>
                <w:tcPr>
                  <w:tcW w:w="773" w:type="dxa"/>
                  <w:tcBorders>
                    <w:tl2br w:val="nil"/>
                    <w:tr2bl w:val="nil"/>
                  </w:tcBorders>
                  <w:shd w:val="clear" w:color="auto" w:fill="auto"/>
                  <w:noWrap w:val="0"/>
                  <w:vAlign w:val="center"/>
                </w:tcPr>
                <w:p w14:paraId="68D9D41B">
                  <w:pPr>
                    <w:pStyle w:val="148"/>
                    <w:spacing w:before="24" w:after="24" w:line="240" w:lineRule="auto"/>
                    <w:jc w:val="center"/>
                    <w:rPr>
                      <w:rFonts w:hint="default" w:ascii="Times New Roman" w:hAnsi="Times New Roman" w:cs="Times New Roman" w:eastAsiaTheme="minorEastAsia"/>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900-041-49</w:t>
                  </w:r>
                </w:p>
              </w:tc>
              <w:tc>
                <w:tcPr>
                  <w:tcW w:w="680" w:type="dxa"/>
                  <w:tcBorders>
                    <w:tl2br w:val="nil"/>
                    <w:tr2bl w:val="nil"/>
                  </w:tcBorders>
                  <w:noWrap w:val="0"/>
                  <w:vAlign w:val="center"/>
                </w:tcPr>
                <w:p w14:paraId="71ED18ED">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0.05</w:t>
                  </w:r>
                </w:p>
              </w:tc>
              <w:tc>
                <w:tcPr>
                  <w:tcW w:w="894" w:type="dxa"/>
                  <w:tcBorders>
                    <w:tl2br w:val="nil"/>
                    <w:tr2bl w:val="nil"/>
                  </w:tcBorders>
                  <w:noWrap w:val="0"/>
                  <w:vAlign w:val="center"/>
                </w:tcPr>
                <w:p w14:paraId="15647609">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生产装置</w:t>
                  </w:r>
                </w:p>
              </w:tc>
              <w:tc>
                <w:tcPr>
                  <w:tcW w:w="693" w:type="dxa"/>
                  <w:tcBorders>
                    <w:tl2br w:val="nil"/>
                    <w:tr2bl w:val="nil"/>
                  </w:tcBorders>
                  <w:noWrap w:val="0"/>
                  <w:vAlign w:val="center"/>
                </w:tcPr>
                <w:p w14:paraId="0BAE985A">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液体</w:t>
                  </w:r>
                </w:p>
              </w:tc>
              <w:tc>
                <w:tcPr>
                  <w:tcW w:w="507" w:type="dxa"/>
                  <w:tcBorders>
                    <w:tl2br w:val="nil"/>
                    <w:tr2bl w:val="nil"/>
                  </w:tcBorders>
                  <w:noWrap w:val="0"/>
                  <w:vAlign w:val="center"/>
                </w:tcPr>
                <w:p w14:paraId="5F7909C4">
                  <w:pPr>
                    <w:spacing w:before="24" w:after="24" w:line="240" w:lineRule="auto"/>
                    <w:jc w:val="cente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cs="Times New Roman" w:eastAsiaTheme="minorEastAsia"/>
                      <w:color w:val="000000" w:themeColor="text1"/>
                      <w:sz w:val="21"/>
                      <w:szCs w:val="21"/>
                      <w:highlight w:val="none"/>
                      <w:lang w:val="en-US" w:eastAsia="zh-CN"/>
                      <w14:textFill>
                        <w14:solidFill>
                          <w14:schemeClr w14:val="tx1"/>
                        </w14:solidFill>
                      </w14:textFill>
                    </w:rPr>
                    <w:t>矿物油</w:t>
                  </w:r>
                </w:p>
              </w:tc>
              <w:tc>
                <w:tcPr>
                  <w:tcW w:w="706" w:type="dxa"/>
                  <w:tcBorders>
                    <w:tl2br w:val="nil"/>
                    <w:tr2bl w:val="nil"/>
                  </w:tcBorders>
                  <w:noWrap w:val="0"/>
                  <w:vAlign w:val="center"/>
                </w:tcPr>
                <w:p w14:paraId="78DF6743">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半年</w:t>
                  </w:r>
                </w:p>
              </w:tc>
              <w:tc>
                <w:tcPr>
                  <w:tcW w:w="654" w:type="dxa"/>
                  <w:tcBorders>
                    <w:tl2br w:val="nil"/>
                    <w:tr2bl w:val="nil"/>
                  </w:tcBorders>
                  <w:noWrap w:val="0"/>
                  <w:vAlign w:val="center"/>
                </w:tcPr>
                <w:p w14:paraId="7D54F998">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T</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I</w:t>
                  </w:r>
                </w:p>
              </w:tc>
              <w:tc>
                <w:tcPr>
                  <w:tcW w:w="1617" w:type="dxa"/>
                  <w:vMerge w:val="continue"/>
                  <w:tcBorders>
                    <w:tl2br w:val="nil"/>
                    <w:tr2bl w:val="nil"/>
                  </w:tcBorders>
                  <w:noWrap w:val="0"/>
                  <w:vAlign w:val="center"/>
                </w:tcPr>
                <w:p w14:paraId="192F7A0C">
                  <w:pPr>
                    <w:pStyle w:val="148"/>
                    <w:spacing w:before="24" w:after="24" w:line="240" w:lineRule="auto"/>
                    <w:jc w:val="cente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p>
              </w:tc>
            </w:tr>
          </w:tbl>
          <w:p w14:paraId="1BFECC35">
            <w:pPr>
              <w:adjustRightInd w:val="0"/>
              <w:snapToGrid w:val="0"/>
              <w:spacing w:line="360" w:lineRule="auto"/>
              <w:jc w:val="center"/>
              <w:rPr>
                <w:rFonts w:hint="default" w:ascii="Times New Roman" w:hAnsi="Times New Roman" w:cs="Times New Roman" w:eastAsiaTheme="minorEastAsia"/>
                <w:b/>
                <w:color w:val="000000" w:themeColor="text1"/>
                <w:kern w:val="0"/>
                <w:sz w:val="24"/>
                <w:highlight w:val="none"/>
                <w:lang w:val="en-US" w:eastAsia="zh-CN"/>
                <w14:textFill>
                  <w14:solidFill>
                    <w14:schemeClr w14:val="tx1"/>
                  </w14:solidFill>
                </w14:textFill>
              </w:rPr>
            </w:pPr>
            <w:r>
              <w:rPr>
                <w:rFonts w:hint="default" w:ascii="Times New Roman" w:hAnsi="Times New Roman" w:cs="Times New Roman" w:eastAsiaTheme="minorEastAsia"/>
                <w:b/>
                <w:color w:val="000000" w:themeColor="text1"/>
                <w:kern w:val="0"/>
                <w:sz w:val="24"/>
                <w:highlight w:val="none"/>
                <w:lang w:val="en-US" w:eastAsia="zh-CN"/>
                <w14:textFill>
                  <w14:solidFill>
                    <w14:schemeClr w14:val="tx1"/>
                  </w14:solidFill>
                </w14:textFill>
              </w:rPr>
              <w:t>表4-1</w:t>
            </w:r>
            <w:r>
              <w:rPr>
                <w:rFonts w:hint="eastAsia" w:cs="Times New Roman" w:eastAsiaTheme="minorEastAsia"/>
                <w:b/>
                <w:color w:val="000000" w:themeColor="text1"/>
                <w:kern w:val="0"/>
                <w:sz w:val="24"/>
                <w:highlight w:val="none"/>
                <w:lang w:val="en-US" w:eastAsia="zh-CN"/>
                <w14:textFill>
                  <w14:solidFill>
                    <w14:schemeClr w14:val="tx1"/>
                  </w14:solidFill>
                </w14:textFill>
              </w:rPr>
              <w:t>2</w:t>
            </w:r>
            <w:r>
              <w:rPr>
                <w:rFonts w:hint="default" w:ascii="Times New Roman" w:hAnsi="Times New Roman" w:cs="Times New Roman" w:eastAsiaTheme="minorEastAsia"/>
                <w:b/>
                <w:color w:val="000000" w:themeColor="text1"/>
                <w:kern w:val="0"/>
                <w:sz w:val="24"/>
                <w:highlight w:val="none"/>
                <w:lang w:val="en-US" w:eastAsia="zh-CN"/>
                <w14:textFill>
                  <w14:solidFill>
                    <w14:schemeClr w14:val="tx1"/>
                  </w14:solidFill>
                </w14:textFill>
              </w:rPr>
              <w:t>建设项目危险废物贮存设施基本情况表</w:t>
            </w:r>
          </w:p>
          <w:tbl>
            <w:tblPr>
              <w:tblStyle w:val="24"/>
              <w:tblW w:w="499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14"/>
              <w:gridCol w:w="614"/>
              <w:gridCol w:w="720"/>
              <w:gridCol w:w="1086"/>
              <w:gridCol w:w="894"/>
              <w:gridCol w:w="615"/>
              <w:gridCol w:w="570"/>
              <w:gridCol w:w="711"/>
              <w:gridCol w:w="1288"/>
              <w:gridCol w:w="558"/>
              <w:gridCol w:w="696"/>
            </w:tblGrid>
            <w:tr w14:paraId="43C6DF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4" w:hRule="atLeast"/>
                <w:tblHeader/>
                <w:jc w:val="center"/>
              </w:trPr>
              <w:tc>
                <w:tcPr>
                  <w:tcW w:w="253" w:type="pct"/>
                  <w:noWrap w:val="0"/>
                  <w:vAlign w:val="center"/>
                </w:tcPr>
                <w:p w14:paraId="67D9D906">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序号</w:t>
                  </w:r>
                </w:p>
              </w:tc>
              <w:tc>
                <w:tcPr>
                  <w:tcW w:w="375" w:type="pct"/>
                  <w:noWrap w:val="0"/>
                  <w:vAlign w:val="center"/>
                </w:tcPr>
                <w:p w14:paraId="1BB3010D">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贮存设施名称</w:t>
                  </w:r>
                </w:p>
              </w:tc>
              <w:tc>
                <w:tcPr>
                  <w:tcW w:w="440" w:type="pct"/>
                  <w:noWrap w:val="0"/>
                  <w:vAlign w:val="center"/>
                </w:tcPr>
                <w:p w14:paraId="535CF0EE">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危险废物名称</w:t>
                  </w:r>
                </w:p>
              </w:tc>
              <w:tc>
                <w:tcPr>
                  <w:tcW w:w="665" w:type="pct"/>
                  <w:noWrap w:val="0"/>
                  <w:vAlign w:val="center"/>
                </w:tcPr>
                <w:p w14:paraId="79A38091">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危险废物类别</w:t>
                  </w:r>
                </w:p>
              </w:tc>
              <w:tc>
                <w:tcPr>
                  <w:tcW w:w="547" w:type="pct"/>
                  <w:noWrap w:val="0"/>
                  <w:vAlign w:val="center"/>
                </w:tcPr>
                <w:p w14:paraId="50DF825B">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危险废物代码</w:t>
                  </w:r>
                </w:p>
              </w:tc>
              <w:tc>
                <w:tcPr>
                  <w:tcW w:w="376" w:type="pct"/>
                  <w:noWrap w:val="0"/>
                  <w:vAlign w:val="center"/>
                </w:tcPr>
                <w:p w14:paraId="464CCE27">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危险特性</w:t>
                  </w:r>
                </w:p>
              </w:tc>
              <w:tc>
                <w:tcPr>
                  <w:tcW w:w="349" w:type="pct"/>
                  <w:noWrap w:val="0"/>
                  <w:vAlign w:val="center"/>
                </w:tcPr>
                <w:p w14:paraId="41FFFA7B">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位置</w:t>
                  </w:r>
                </w:p>
              </w:tc>
              <w:tc>
                <w:tcPr>
                  <w:tcW w:w="435" w:type="pct"/>
                  <w:noWrap w:val="0"/>
                  <w:vAlign w:val="center"/>
                </w:tcPr>
                <w:p w14:paraId="0BB28F66">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占地面积</w:t>
                  </w:r>
                </w:p>
              </w:tc>
              <w:tc>
                <w:tcPr>
                  <w:tcW w:w="788" w:type="pct"/>
                  <w:noWrap w:val="0"/>
                  <w:vAlign w:val="center"/>
                </w:tcPr>
                <w:p w14:paraId="2D06E13B">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贮存方式</w:t>
                  </w:r>
                </w:p>
              </w:tc>
              <w:tc>
                <w:tcPr>
                  <w:tcW w:w="341" w:type="pct"/>
                  <w:noWrap w:val="0"/>
                  <w:vAlign w:val="center"/>
                </w:tcPr>
                <w:p w14:paraId="4C07B2DB">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贮存</w:t>
                  </w:r>
                </w:p>
                <w:p w14:paraId="0B0F8B36">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能力</w:t>
                  </w:r>
                </w:p>
              </w:tc>
              <w:tc>
                <w:tcPr>
                  <w:tcW w:w="426" w:type="pct"/>
                  <w:noWrap w:val="0"/>
                  <w:vAlign w:val="center"/>
                </w:tcPr>
                <w:p w14:paraId="409B33FC">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贮存</w:t>
                  </w:r>
                </w:p>
                <w:p w14:paraId="226A8834">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周期</w:t>
                  </w:r>
                </w:p>
              </w:tc>
            </w:tr>
            <w:tr w14:paraId="79D10D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3" w:type="pct"/>
                  <w:noWrap w:val="0"/>
                  <w:vAlign w:val="center"/>
                </w:tcPr>
                <w:p w14:paraId="416B74C5">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1</w:t>
                  </w:r>
                </w:p>
              </w:tc>
              <w:tc>
                <w:tcPr>
                  <w:tcW w:w="375" w:type="pct"/>
                  <w:vMerge w:val="restart"/>
                  <w:noWrap w:val="0"/>
                  <w:vAlign w:val="center"/>
                </w:tcPr>
                <w:p w14:paraId="532E1777">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eastAsia" w:cs="Times New Roman" w:eastAsiaTheme="minorEastAsia"/>
                      <w:color w:val="000000" w:themeColor="text1"/>
                      <w:sz w:val="21"/>
                      <w:szCs w:val="21"/>
                      <w:highlight w:val="none"/>
                      <w:lang w:val="en-US" w:eastAsia="zh-CN"/>
                      <w14:textFill>
                        <w14:solidFill>
                          <w14:schemeClr w14:val="tx1"/>
                        </w14:solidFill>
                      </w14:textFill>
                    </w:rPr>
                    <w:t>危险废物贮存库</w:t>
                  </w:r>
                </w:p>
              </w:tc>
              <w:tc>
                <w:tcPr>
                  <w:tcW w:w="440" w:type="pct"/>
                  <w:shd w:val="clear" w:color="auto" w:fill="auto"/>
                  <w:noWrap w:val="0"/>
                  <w:vAlign w:val="center"/>
                </w:tcPr>
                <w:p w14:paraId="06585CB9">
                  <w:pPr>
                    <w:autoSpaceDE w:val="0"/>
                    <w:autoSpaceDN w:val="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废机油（</w:t>
                  </w:r>
                  <w:r>
                    <w:rPr>
                      <w:rFonts w:hint="eastAsia" w:cs="Times New Roman"/>
                      <w:color w:val="000000" w:themeColor="text1"/>
                      <w:sz w:val="21"/>
                      <w:szCs w:val="21"/>
                      <w:highlight w:val="none"/>
                      <w:lang w:val="en-US" w:eastAsia="zh-CN"/>
                      <w14:textFill>
                        <w14:solidFill>
                          <w14:schemeClr w14:val="tx1"/>
                        </w14:solidFill>
                      </w14:textFill>
                    </w:rPr>
                    <w:t>废机油</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665" w:type="pct"/>
                  <w:shd w:val="clear" w:color="auto" w:fill="auto"/>
                  <w:noWrap w:val="0"/>
                  <w:vAlign w:val="center"/>
                </w:tcPr>
                <w:p w14:paraId="0C7F4645">
                  <w:pPr>
                    <w:widowControl/>
                    <w:spacing w:line="240" w:lineRule="auto"/>
                    <w:jc w:val="center"/>
                    <w:textAlignment w:val="cente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HW08</w:t>
                  </w:r>
                </w:p>
              </w:tc>
              <w:tc>
                <w:tcPr>
                  <w:tcW w:w="547" w:type="pct"/>
                  <w:shd w:val="clear" w:color="auto" w:fill="auto"/>
                  <w:noWrap w:val="0"/>
                  <w:vAlign w:val="center"/>
                </w:tcPr>
                <w:p w14:paraId="740141B3">
                  <w:pPr>
                    <w:pStyle w:val="148"/>
                    <w:spacing w:before="24" w:after="24" w:line="240" w:lineRule="auto"/>
                    <w:jc w:val="center"/>
                    <w:rPr>
                      <w:rFonts w:hint="default" w:ascii="Times New Roman" w:hAnsi="Times New Roman" w:cs="Times New Roman" w:eastAsiaTheme="minorEastAsia"/>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900-214-08</w:t>
                  </w:r>
                </w:p>
              </w:tc>
              <w:tc>
                <w:tcPr>
                  <w:tcW w:w="376" w:type="pct"/>
                  <w:vMerge w:val="restart"/>
                  <w:noWrap w:val="0"/>
                  <w:vAlign w:val="center"/>
                </w:tcPr>
                <w:p w14:paraId="779D1EAD">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T</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I</w:t>
                  </w:r>
                </w:p>
              </w:tc>
              <w:tc>
                <w:tcPr>
                  <w:tcW w:w="349" w:type="pct"/>
                  <w:vMerge w:val="restart"/>
                  <w:noWrap w:val="0"/>
                  <w:vAlign w:val="center"/>
                </w:tcPr>
                <w:p w14:paraId="27B12CC8">
                  <w:pPr>
                    <w:pStyle w:val="148"/>
                    <w:keepNext w:val="0"/>
                    <w:keepLines w:val="0"/>
                    <w:pageBreakBefore w:val="0"/>
                    <w:kinsoku/>
                    <w:wordWrap/>
                    <w:overflowPunct/>
                    <w:topLinePunct w:val="0"/>
                    <w:autoSpaceDE/>
                    <w:autoSpaceDN/>
                    <w:bidi w:val="0"/>
                    <w:snapToGrid w:val="0"/>
                    <w:spacing w:before="24" w:after="24" w:line="24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eastAsia" w:cs="Times New Roman" w:eastAsiaTheme="minorEastAsia"/>
                      <w:color w:val="000000" w:themeColor="text1"/>
                      <w:sz w:val="21"/>
                      <w:szCs w:val="21"/>
                      <w:highlight w:val="none"/>
                      <w:lang w:val="en-US" w:eastAsia="zh-CN"/>
                      <w14:textFill>
                        <w14:solidFill>
                          <w14:schemeClr w14:val="tx1"/>
                        </w14:solidFill>
                      </w14:textFill>
                    </w:rPr>
                    <w:t>危险废物贮存库</w:t>
                  </w:r>
                </w:p>
              </w:tc>
              <w:tc>
                <w:tcPr>
                  <w:tcW w:w="435" w:type="pct"/>
                  <w:vMerge w:val="restart"/>
                  <w:noWrap w:val="0"/>
                  <w:vAlign w:val="center"/>
                </w:tcPr>
                <w:p w14:paraId="54D93DB3">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10</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m</w:t>
                  </w:r>
                  <w:r>
                    <w:rPr>
                      <w:rFonts w:hint="default" w:ascii="Times New Roman" w:hAnsi="Times New Roman" w:cs="Times New Roman" w:eastAsiaTheme="minorEastAsia"/>
                      <w:color w:val="000000" w:themeColor="text1"/>
                      <w:sz w:val="21"/>
                      <w:szCs w:val="21"/>
                      <w:highlight w:val="none"/>
                      <w:vertAlign w:val="superscript"/>
                      <w14:textFill>
                        <w14:solidFill>
                          <w14:schemeClr w14:val="tx1"/>
                        </w14:solidFill>
                      </w14:textFill>
                    </w:rPr>
                    <w:t>2</w:t>
                  </w:r>
                </w:p>
              </w:tc>
              <w:tc>
                <w:tcPr>
                  <w:tcW w:w="788" w:type="pct"/>
                  <w:vMerge w:val="restart"/>
                  <w:noWrap w:val="0"/>
                  <w:vAlign w:val="center"/>
                </w:tcPr>
                <w:p w14:paraId="7A4A8024">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使用符合标准的专用容器盛装，容器内留有足够的空间。</w:t>
                  </w:r>
                </w:p>
              </w:tc>
              <w:tc>
                <w:tcPr>
                  <w:tcW w:w="341" w:type="pct"/>
                  <w:vMerge w:val="restart"/>
                  <w:noWrap w:val="0"/>
                  <w:vAlign w:val="center"/>
                </w:tcPr>
                <w:p w14:paraId="6A2DA3F3">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t</w:t>
                  </w:r>
                </w:p>
              </w:tc>
              <w:tc>
                <w:tcPr>
                  <w:tcW w:w="426" w:type="pct"/>
                  <w:vMerge w:val="restart"/>
                  <w:noWrap w:val="0"/>
                  <w:vAlign w:val="center"/>
                </w:tcPr>
                <w:p w14:paraId="4959F57E">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＜1年</w:t>
                  </w:r>
                </w:p>
              </w:tc>
            </w:tr>
            <w:tr w14:paraId="4A9721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3" w:type="pct"/>
                  <w:noWrap w:val="0"/>
                  <w:vAlign w:val="center"/>
                </w:tcPr>
                <w:p w14:paraId="299DB24D">
                  <w:pPr>
                    <w:pStyle w:val="148"/>
                    <w:keepNext w:val="0"/>
                    <w:keepLines w:val="0"/>
                    <w:pageBreakBefore w:val="0"/>
                    <w:kinsoku/>
                    <w:wordWrap/>
                    <w:overflowPunct/>
                    <w:topLinePunct w:val="0"/>
                    <w:autoSpaceDE/>
                    <w:autoSpaceDN/>
                    <w:bidi w:val="0"/>
                    <w:snapToGrid w:val="0"/>
                    <w:spacing w:before="24" w:after="24" w:line="240" w:lineRule="auto"/>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2</w:t>
                  </w:r>
                </w:p>
              </w:tc>
              <w:tc>
                <w:tcPr>
                  <w:tcW w:w="375" w:type="pct"/>
                  <w:vMerge w:val="continue"/>
                  <w:noWrap w:val="0"/>
                  <w:vAlign w:val="center"/>
                </w:tcPr>
                <w:p w14:paraId="1858C0E4">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p>
              </w:tc>
              <w:tc>
                <w:tcPr>
                  <w:tcW w:w="440" w:type="pct"/>
                  <w:shd w:val="clear" w:color="auto" w:fill="auto"/>
                  <w:noWrap w:val="0"/>
                  <w:vAlign w:val="center"/>
                </w:tcPr>
                <w:p w14:paraId="15EF7E23">
                  <w:pPr>
                    <w:autoSpaceDE w:val="0"/>
                    <w:autoSpaceDN w:val="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废油桶</w:t>
                  </w:r>
                </w:p>
              </w:tc>
              <w:tc>
                <w:tcPr>
                  <w:tcW w:w="665" w:type="pct"/>
                  <w:shd w:val="clear" w:color="auto" w:fill="auto"/>
                  <w:noWrap w:val="0"/>
                  <w:vAlign w:val="center"/>
                </w:tcPr>
                <w:p w14:paraId="7D6D143D">
                  <w:pPr>
                    <w:widowControl/>
                    <w:spacing w:line="240" w:lineRule="auto"/>
                    <w:jc w:val="center"/>
                    <w:textAlignment w:val="cente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HW49</w:t>
                  </w:r>
                </w:p>
              </w:tc>
              <w:tc>
                <w:tcPr>
                  <w:tcW w:w="547" w:type="pct"/>
                  <w:shd w:val="clear" w:color="auto" w:fill="auto"/>
                  <w:noWrap w:val="0"/>
                  <w:vAlign w:val="center"/>
                </w:tcPr>
                <w:p w14:paraId="2451537E">
                  <w:pPr>
                    <w:pStyle w:val="148"/>
                    <w:spacing w:before="24" w:after="24" w:line="240" w:lineRule="auto"/>
                    <w:jc w:val="center"/>
                    <w:rPr>
                      <w:rFonts w:hint="default" w:ascii="Times New Roman" w:hAnsi="Times New Roman" w:cs="Times New Roman" w:eastAsiaTheme="minorEastAsia"/>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900-041-49</w:t>
                  </w:r>
                </w:p>
              </w:tc>
              <w:tc>
                <w:tcPr>
                  <w:tcW w:w="376" w:type="pct"/>
                  <w:vMerge w:val="continue"/>
                  <w:noWrap w:val="0"/>
                  <w:vAlign w:val="center"/>
                </w:tcPr>
                <w:p w14:paraId="2DC4EFD5">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p>
              </w:tc>
              <w:tc>
                <w:tcPr>
                  <w:tcW w:w="349" w:type="pct"/>
                  <w:vMerge w:val="continue"/>
                  <w:noWrap w:val="0"/>
                  <w:vAlign w:val="center"/>
                </w:tcPr>
                <w:p w14:paraId="6D9E42A8">
                  <w:pPr>
                    <w:pStyle w:val="148"/>
                    <w:keepNext w:val="0"/>
                    <w:keepLines w:val="0"/>
                    <w:pageBreakBefore w:val="0"/>
                    <w:kinsoku/>
                    <w:wordWrap/>
                    <w:overflowPunct/>
                    <w:topLinePunct w:val="0"/>
                    <w:autoSpaceDE/>
                    <w:autoSpaceDN/>
                    <w:bidi w:val="0"/>
                    <w:snapToGrid w:val="0"/>
                    <w:spacing w:before="24" w:after="24" w:line="24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p>
              </w:tc>
              <w:tc>
                <w:tcPr>
                  <w:tcW w:w="435" w:type="pct"/>
                  <w:vMerge w:val="continue"/>
                  <w:noWrap w:val="0"/>
                  <w:vAlign w:val="center"/>
                </w:tcPr>
                <w:p w14:paraId="67363341">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p>
              </w:tc>
              <w:tc>
                <w:tcPr>
                  <w:tcW w:w="788" w:type="pct"/>
                  <w:vMerge w:val="continue"/>
                  <w:noWrap w:val="0"/>
                  <w:vAlign w:val="center"/>
                </w:tcPr>
                <w:p w14:paraId="39DB42F3">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p>
              </w:tc>
              <w:tc>
                <w:tcPr>
                  <w:tcW w:w="341" w:type="pct"/>
                  <w:vMerge w:val="continue"/>
                  <w:noWrap w:val="0"/>
                  <w:vAlign w:val="center"/>
                </w:tcPr>
                <w:p w14:paraId="428A248F">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p>
              </w:tc>
              <w:tc>
                <w:tcPr>
                  <w:tcW w:w="426" w:type="pct"/>
                  <w:vMerge w:val="continue"/>
                  <w:noWrap w:val="0"/>
                  <w:vAlign w:val="center"/>
                </w:tcPr>
                <w:p w14:paraId="7528C58A">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p>
              </w:tc>
            </w:tr>
            <w:tr w14:paraId="6ECA8A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3" w:type="pct"/>
                  <w:noWrap w:val="0"/>
                  <w:vAlign w:val="center"/>
                </w:tcPr>
                <w:p w14:paraId="6C93BC99">
                  <w:pPr>
                    <w:pStyle w:val="148"/>
                    <w:keepNext w:val="0"/>
                    <w:keepLines w:val="0"/>
                    <w:pageBreakBefore w:val="0"/>
                    <w:kinsoku/>
                    <w:wordWrap/>
                    <w:overflowPunct/>
                    <w:topLinePunct w:val="0"/>
                    <w:autoSpaceDE/>
                    <w:autoSpaceDN/>
                    <w:bidi w:val="0"/>
                    <w:snapToGrid w:val="0"/>
                    <w:spacing w:before="24" w:after="24" w:line="240" w:lineRule="auto"/>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3</w:t>
                  </w:r>
                </w:p>
              </w:tc>
              <w:tc>
                <w:tcPr>
                  <w:tcW w:w="375" w:type="pct"/>
                  <w:vMerge w:val="continue"/>
                  <w:noWrap w:val="0"/>
                  <w:vAlign w:val="center"/>
                </w:tcPr>
                <w:p w14:paraId="7EE273D4">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p>
              </w:tc>
              <w:tc>
                <w:tcPr>
                  <w:tcW w:w="440" w:type="pct"/>
                  <w:shd w:val="clear" w:color="auto" w:fill="auto"/>
                  <w:noWrap w:val="0"/>
                  <w:vAlign w:val="center"/>
                </w:tcPr>
                <w:p w14:paraId="43A9E0D5">
                  <w:pPr>
                    <w:autoSpaceDE w:val="0"/>
                    <w:autoSpaceDN w:val="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含油棉布、手套</w:t>
                  </w:r>
                </w:p>
              </w:tc>
              <w:tc>
                <w:tcPr>
                  <w:tcW w:w="665" w:type="pct"/>
                  <w:shd w:val="clear" w:color="auto" w:fill="auto"/>
                  <w:noWrap w:val="0"/>
                  <w:vAlign w:val="center"/>
                </w:tcPr>
                <w:p w14:paraId="01FA660C">
                  <w:pPr>
                    <w:widowControl/>
                    <w:spacing w:line="240" w:lineRule="auto"/>
                    <w:jc w:val="center"/>
                    <w:textAlignment w:val="cente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HW49</w:t>
                  </w:r>
                </w:p>
              </w:tc>
              <w:tc>
                <w:tcPr>
                  <w:tcW w:w="547" w:type="pct"/>
                  <w:shd w:val="clear" w:color="auto" w:fill="auto"/>
                  <w:noWrap w:val="0"/>
                  <w:vAlign w:val="center"/>
                </w:tcPr>
                <w:p w14:paraId="2683BDC8">
                  <w:pPr>
                    <w:pStyle w:val="148"/>
                    <w:spacing w:before="24" w:after="24" w:line="240" w:lineRule="auto"/>
                    <w:jc w:val="center"/>
                    <w:rPr>
                      <w:rFonts w:hint="default" w:ascii="Times New Roman" w:hAnsi="Times New Roman" w:cs="Times New Roman" w:eastAsiaTheme="minorEastAsia"/>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900-041-49</w:t>
                  </w:r>
                </w:p>
              </w:tc>
              <w:tc>
                <w:tcPr>
                  <w:tcW w:w="376" w:type="pct"/>
                  <w:vMerge w:val="continue"/>
                  <w:noWrap w:val="0"/>
                  <w:vAlign w:val="center"/>
                </w:tcPr>
                <w:p w14:paraId="4AB24B10">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p>
              </w:tc>
              <w:tc>
                <w:tcPr>
                  <w:tcW w:w="349" w:type="pct"/>
                  <w:vMerge w:val="continue"/>
                  <w:noWrap w:val="0"/>
                  <w:vAlign w:val="center"/>
                </w:tcPr>
                <w:p w14:paraId="6E54BD07">
                  <w:pPr>
                    <w:pStyle w:val="148"/>
                    <w:keepNext w:val="0"/>
                    <w:keepLines w:val="0"/>
                    <w:pageBreakBefore w:val="0"/>
                    <w:kinsoku/>
                    <w:wordWrap/>
                    <w:overflowPunct/>
                    <w:topLinePunct w:val="0"/>
                    <w:autoSpaceDE/>
                    <w:autoSpaceDN/>
                    <w:bidi w:val="0"/>
                    <w:snapToGrid w:val="0"/>
                    <w:spacing w:before="24" w:after="24" w:line="24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p>
              </w:tc>
              <w:tc>
                <w:tcPr>
                  <w:tcW w:w="435" w:type="pct"/>
                  <w:vMerge w:val="continue"/>
                  <w:noWrap w:val="0"/>
                  <w:vAlign w:val="center"/>
                </w:tcPr>
                <w:p w14:paraId="1B929736">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p>
              </w:tc>
              <w:tc>
                <w:tcPr>
                  <w:tcW w:w="788" w:type="pct"/>
                  <w:vMerge w:val="continue"/>
                  <w:noWrap w:val="0"/>
                  <w:vAlign w:val="center"/>
                </w:tcPr>
                <w:p w14:paraId="76CE14FF">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p>
              </w:tc>
              <w:tc>
                <w:tcPr>
                  <w:tcW w:w="341" w:type="pct"/>
                  <w:vMerge w:val="continue"/>
                  <w:noWrap w:val="0"/>
                  <w:vAlign w:val="center"/>
                </w:tcPr>
                <w:p w14:paraId="3641836E">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p>
              </w:tc>
              <w:tc>
                <w:tcPr>
                  <w:tcW w:w="426" w:type="pct"/>
                  <w:vMerge w:val="continue"/>
                  <w:noWrap w:val="0"/>
                  <w:vAlign w:val="center"/>
                </w:tcPr>
                <w:p w14:paraId="6F03C0A2">
                  <w:pPr>
                    <w:pStyle w:val="148"/>
                    <w:keepNext w:val="0"/>
                    <w:keepLines w:val="0"/>
                    <w:pageBreakBefore w:val="0"/>
                    <w:kinsoku/>
                    <w:wordWrap/>
                    <w:overflowPunct/>
                    <w:topLinePunct w:val="0"/>
                    <w:autoSpaceDE/>
                    <w:autoSpaceDN/>
                    <w:bidi w:val="0"/>
                    <w:snapToGrid w:val="0"/>
                    <w:spacing w:before="24" w:after="24" w:line="240" w:lineRule="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p>
              </w:tc>
            </w:tr>
          </w:tbl>
          <w:p w14:paraId="57F94D4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1）</w:t>
            </w:r>
            <w:r>
              <w:rPr>
                <w:rFonts w:hint="eastAsia" w:cs="Times New Roman" w:eastAsiaTheme="minorEastAsia"/>
                <w:color w:val="000000" w:themeColor="text1"/>
                <w:kern w:val="0"/>
                <w:sz w:val="24"/>
                <w:szCs w:val="20"/>
                <w:highlight w:val="none"/>
                <w:lang w:val="en-US" w:eastAsia="zh-CN" w:bidi="ar-SA"/>
                <w14:textFill>
                  <w14:solidFill>
                    <w14:schemeClr w14:val="tx1"/>
                  </w14:solidFill>
                </w14:textFill>
              </w:rPr>
              <w:t>危险废物贮存库</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设置要求</w:t>
            </w:r>
          </w:p>
          <w:p w14:paraId="75F94F7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①</w:t>
            </w:r>
            <w:r>
              <w:rPr>
                <w:rFonts w:hint="eastAsia" w:cs="Times New Roman" w:eastAsiaTheme="minorEastAsia"/>
                <w:color w:val="000000" w:themeColor="text1"/>
                <w:kern w:val="0"/>
                <w:sz w:val="24"/>
                <w:szCs w:val="20"/>
                <w:highlight w:val="none"/>
                <w:lang w:val="en-US" w:eastAsia="zh-CN" w:bidi="ar-SA"/>
                <w14:textFill>
                  <w14:solidFill>
                    <w14:schemeClr w14:val="tx1"/>
                  </w14:solidFill>
                </w14:textFill>
              </w:rPr>
              <w:t>危险废物贮存库</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应做到防风、防雨、防晒、防渗漏，地面和墙裙严格按照《危险废物贮存污染控制标准》（GB18597-2023）及其修改单的要求进行防渗、防漏，</w:t>
            </w:r>
            <w:r>
              <w:rPr>
                <w:rFonts w:hint="eastAsia" w:cs="Times New Roman" w:eastAsiaTheme="minorEastAsia"/>
                <w:color w:val="000000" w:themeColor="text1"/>
                <w:kern w:val="0"/>
                <w:sz w:val="24"/>
                <w:szCs w:val="20"/>
                <w:highlight w:val="none"/>
                <w:lang w:val="en-US" w:eastAsia="zh-CN" w:bidi="ar-SA"/>
                <w14:textFill>
                  <w14:solidFill>
                    <w14:schemeClr w14:val="tx1"/>
                  </w14:solidFill>
                </w14:textFill>
              </w:rPr>
              <w:t>危险废物贮存库</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基础必须防渗，防渗层为至少1m厚的粘土层（渗透系数≤10</w:t>
            </w:r>
            <w:r>
              <w:rPr>
                <w:rFonts w:hint="default" w:ascii="Times New Roman" w:hAnsi="Times New Roman" w:cs="Times New Roman" w:eastAsiaTheme="minorEastAsia"/>
                <w:color w:val="000000" w:themeColor="text1"/>
                <w:kern w:val="0"/>
                <w:sz w:val="24"/>
                <w:szCs w:val="20"/>
                <w:highlight w:val="none"/>
                <w:vertAlign w:val="superscript"/>
                <w:lang w:val="en-US" w:eastAsia="zh-CN" w:bidi="ar-SA"/>
                <w14:textFill>
                  <w14:solidFill>
                    <w14:schemeClr w14:val="tx1"/>
                  </w14:solidFill>
                </w14:textFill>
              </w:rPr>
              <w:t>-7</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cm/s），或大于2mm厚的高密度聚乙烯或至少2mm厚的其他人工防渗材料（渗透系数≤10</w:t>
            </w:r>
            <w:r>
              <w:rPr>
                <w:rFonts w:hint="default" w:ascii="Times New Roman" w:hAnsi="Times New Roman" w:cs="Times New Roman" w:eastAsiaTheme="minorEastAsia"/>
                <w:color w:val="000000" w:themeColor="text1"/>
                <w:kern w:val="0"/>
                <w:sz w:val="24"/>
                <w:szCs w:val="20"/>
                <w:highlight w:val="none"/>
                <w:vertAlign w:val="superscript"/>
                <w:lang w:val="en-US" w:eastAsia="zh-CN" w:bidi="ar-SA"/>
                <w14:textFill>
                  <w14:solidFill>
                    <w14:schemeClr w14:val="tx1"/>
                  </w14:solidFill>
                </w14:textFill>
              </w:rPr>
              <w:t>-10</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cm/s）；</w:t>
            </w:r>
          </w:p>
          <w:p w14:paraId="21AFD16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②对不同工序产生的不同类别危险废物应分开收集、分区存放，并应设置醒目的标牌，易于识别。</w:t>
            </w:r>
          </w:p>
          <w:p w14:paraId="42E7780E">
            <w:pPr>
              <w:widowControl w:val="0"/>
              <w:spacing w:line="360" w:lineRule="auto"/>
              <w:ind w:firstLine="480" w:firstLineChars="200"/>
              <w:jc w:val="both"/>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2）危险废物收集措施</w:t>
            </w:r>
          </w:p>
          <w:p w14:paraId="22F4991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①收集</w:t>
            </w:r>
          </w:p>
          <w:p w14:paraId="224E37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根据危险废物的类别，将不相容（相互反应）的危险废物使用不同容器盛装，无法装入常用容器的危险废物可用防漏胶袋等盛装。装载液体、半固体危险废物的容器内须留足够空间，容器顶部与液体表面之间保留100mm以上空间。在盛装危险废物前，应当对危险废物包装袋或者容器进行认真检查，确保无破碎、渗漏和其他缺陷。</w:t>
            </w:r>
          </w:p>
          <w:p w14:paraId="06DC0B6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②贮存</w:t>
            </w:r>
          </w:p>
          <w:p w14:paraId="6544E00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本项目</w:t>
            </w:r>
            <w:r>
              <w:rPr>
                <w:rFonts w:hint="eastAsia" w:cs="Times New Roman" w:eastAsiaTheme="minorEastAsia"/>
                <w:color w:val="000000" w:themeColor="text1"/>
                <w:kern w:val="0"/>
                <w:sz w:val="24"/>
                <w:szCs w:val="20"/>
                <w:highlight w:val="none"/>
                <w:lang w:val="en-US" w:eastAsia="zh-CN" w:bidi="ar-SA"/>
                <w14:textFill>
                  <w14:solidFill>
                    <w14:schemeClr w14:val="tx1"/>
                  </w14:solidFill>
                </w14:textFill>
              </w:rPr>
              <w:t>危险废物贮存库</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设专（兼）职人员管理，防止非工作人员接触危险废物；盛装危险废物的容器上必须粘贴危险废物标签；防止渗漏和雨水冲刷；易于清洗和消毒；避免阳光直射；</w:t>
            </w:r>
            <w:r>
              <w:rPr>
                <w:rFonts w:hint="eastAsia" w:cs="Times New Roman" w:eastAsiaTheme="minorEastAsia"/>
                <w:color w:val="000000" w:themeColor="text1"/>
                <w:kern w:val="0"/>
                <w:sz w:val="24"/>
                <w:szCs w:val="20"/>
                <w:highlight w:val="none"/>
                <w:lang w:val="en-US" w:eastAsia="zh-CN" w:bidi="ar-SA"/>
                <w14:textFill>
                  <w14:solidFill>
                    <w14:schemeClr w14:val="tx1"/>
                  </w14:solidFill>
                </w14:textFill>
              </w:rPr>
              <w:t>危险废物贮存库</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外侧设有明显的警示标识和“禁止吸烟、饮食”等警示标识。</w:t>
            </w:r>
          </w:p>
          <w:p w14:paraId="68BC31E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3）危险废物交接</w:t>
            </w:r>
          </w:p>
          <w:p w14:paraId="6AB49B1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项目</w:t>
            </w:r>
            <w:r>
              <w:rPr>
                <w:rFonts w:hint="eastAsia" w:cs="Times New Roman" w:eastAsiaTheme="minorEastAsia"/>
                <w:color w:val="000000" w:themeColor="text1"/>
                <w:kern w:val="0"/>
                <w:sz w:val="24"/>
                <w:szCs w:val="20"/>
                <w:highlight w:val="none"/>
                <w:lang w:val="en-US" w:eastAsia="zh-CN" w:bidi="ar-SA"/>
                <w14:textFill>
                  <w14:solidFill>
                    <w14:schemeClr w14:val="tx1"/>
                  </w14:solidFill>
                </w14:textFill>
              </w:rPr>
              <w:t>危险废物贮存库</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严格按照《危险废物贮存污染控制标准》（GB18597-2023）、危险废物的其他相关规定进行设计建设，对地面防腐防渗设有导流沟等可收集泄漏的液态危险废物，项目运营期产生的危险废物对周边大气环境、水环境影响不大。</w:t>
            </w:r>
          </w:p>
          <w:p w14:paraId="34C9BA3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按照《危险废物贮存污染控制标准》（GB18597-2023）要求：贮存分区内地面、墙面裙脚、堵截泄漏的围堰、接触危险废物的隔板和墙体等应采用坚固的材料建造，表面无裂缝。贮存设施或贮存分区内地面、墙面裙脚、堵截泄漏的围堰、接触危险废物的隔板和墙体等应采用坚固的材料建造，表面无裂缝。在贮存点内以分区方式贮存液态危险废物，应具有液体泄漏堵截设施，堵截设施最小容积不应低于对应贮存区域最大液态废物容器容积或液态废物总储量1/10（二者取较大者）；贮存分区应设计渗滤液收集设施，收集设施容积应满足渗滤液的收集要求。分区设计液体导流和收集设施，收集设施容积应保证在最不利条件下可以容纳对应贮存区域产生的渗滤液、废水等液态物质。设施内应设有应急照明系统。</w:t>
            </w:r>
          </w:p>
          <w:p w14:paraId="154F733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4）危险废物运输要求</w:t>
            </w:r>
          </w:p>
          <w:p w14:paraId="22A2830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厂内转移均在贮存点内部进行，且贮存点地面防腐防渗，设有导流槽等可收集泄漏的液态危险废物，厂内转移运输过程对环境影响不大，危险废物自贮存点外运至处置单位的运输过程，由有资质危险废物处置单位处置，危险废物处置单位使用专用车辆，至厂内收集、转移本项目暂存的危险废物，运输过程对环境影响不大。危险废物转移严格按照《危险废物转移管理办法》（部令第23号）执行，危险废物移出人、危险废物承运人、危险废物接收人在危险废物转移过程中应当采取防扬散、防流失、防渗漏或者其他防止污染环境的措施，不得擅自倾倒、堆放、丢弃、遗撒危险废物，并对所造成的环境污染及生态破坏依法承担责任。</w:t>
            </w:r>
          </w:p>
          <w:p w14:paraId="7FE9D99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危险废物运输应委托具备危险废物经营许可证的单位进行。其运输转移时应严格遵守《危险废物转移联单管理办法》要求，在收集、运输过程中，建设单位应做到以下要求：</w:t>
            </w:r>
          </w:p>
          <w:p w14:paraId="4C44809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①企业在选择危废运输单位时，应综合考虑运输单位的资质、人员技术力量、设备配置等因素，选取技术能力强的单位委托运输，定期对运输单位资质进行备案审查。</w:t>
            </w:r>
          </w:p>
          <w:p w14:paraId="05F2AC3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②合理制定运输计划：运输时间应避免大风、大雨、暴雪等恶劣天气，错开早、晚高峰及夜间运输，减少对外环境的侵扰。</w:t>
            </w:r>
          </w:p>
          <w:p w14:paraId="4D6736B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③场内危废暂存时应对废物进行分类包装、贮存，并张贴相应标志及标签。</w:t>
            </w:r>
          </w:p>
          <w:p w14:paraId="5E4E104F">
            <w:pPr>
              <w:spacing w:line="360" w:lineRule="auto"/>
              <w:ind w:firstLine="480" w:firstLineChars="200"/>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此外，应按照《危险废物收集、贮存、运输技术规范》（HJ2025-2012）中其他要求进行。</w:t>
            </w:r>
          </w:p>
          <w:p w14:paraId="403E684C">
            <w:pPr>
              <w:pStyle w:val="97"/>
              <w:keepNext w:val="0"/>
              <w:keepLines w:val="0"/>
              <w:pageBreakBefore w:val="0"/>
              <w:kinsoku/>
              <w:wordWrap/>
              <w:overflowPunct/>
              <w:topLinePunct w:val="0"/>
              <w:autoSpaceDE/>
              <w:autoSpaceDN/>
              <w:bidi w:val="0"/>
              <w:adjustRightInd/>
              <w:snapToGrid w:val="0"/>
              <w:spacing w:line="360" w:lineRule="auto"/>
              <w:ind w:right="124"/>
              <w:textAlignment w:val="auto"/>
              <w:rPr>
                <w:rFonts w:hint="default" w:ascii="Times New Roman" w:hAnsi="Times New Roman" w:cs="Times New Roman" w:eastAsiaTheme="minorEastAsia"/>
                <w:color w:val="000000" w:themeColor="text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highlight w:val="none"/>
                <w:lang w:val="en-US" w:eastAsia="zh-CN"/>
                <w14:textFill>
                  <w14:solidFill>
                    <w14:schemeClr w14:val="tx1"/>
                  </w14:solidFill>
                </w14:textFill>
              </w:rPr>
              <w:t>采取上述措施后固体废物不会对环境产生显著性不良影响。</w:t>
            </w:r>
          </w:p>
          <w:p w14:paraId="197E67E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5）危险废物安全管理要求</w:t>
            </w:r>
          </w:p>
          <w:p w14:paraId="55F4D75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default" w:ascii="Calibri" w:hAnsi="Calibri" w:cs="Calibri" w:eastAsiaTheme="minorEastAsia"/>
                <w:color w:val="000000" w:themeColor="text1"/>
                <w:kern w:val="0"/>
                <w:sz w:val="24"/>
                <w:szCs w:val="20"/>
                <w:highlight w:val="none"/>
                <w:lang w:val="en-US" w:eastAsia="zh-CN" w:bidi="ar-SA"/>
                <w14:textFill>
                  <w14:solidFill>
                    <w14:schemeClr w14:val="tx1"/>
                  </w14:solidFill>
                </w14:textFill>
              </w:rPr>
              <w:t>①</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危险废物的产生与收集</w:t>
            </w:r>
          </w:p>
          <w:p w14:paraId="0334146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危险废物在收集时，按照《危险废物收集贮存运输技术规范》（HJ2025-2012）要求，根据危险废物的性质和形态，采用相应材质、容器进行安全包装，并在包装的明显位置附上危险废物标签。通过严格检查，严防在装载、搬迁或运输中出现渗漏、溢出、抛洒或挥发等不利情况。危险废物的收集过程应该以无害化的方式运行，收集过程采取以下防治措施，避免可能引起人身和环境危害事故的发生：</w:t>
            </w:r>
          </w:p>
          <w:p w14:paraId="75C798E8">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A.</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危险废物收集和运输人员应配备必要的个人防护装备，如手套、防护镜、防护服、防毒面具或口罩等，防止收集和运输过程对人体健康可能存在的潜在影响；</w:t>
            </w:r>
          </w:p>
          <w:p w14:paraId="471C6240">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B.</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危险废物运输前，应进行合理包装，防止运输过程出现泄漏；</w:t>
            </w:r>
          </w:p>
          <w:p w14:paraId="5B076DD3">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C.</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危险废物在堆存期间必须严格按照《危险废物贮存污染控制标准》（GB18597-2023）中有关规定执行，将危险废物通过专用容器分类收集，贴上危险废物的标签，于项目所设置的</w:t>
            </w:r>
            <w:r>
              <w:rPr>
                <w:rFonts w:hint="eastAsia" w:cs="Times New Roman" w:eastAsiaTheme="minorEastAsia"/>
                <w:color w:val="000000" w:themeColor="text1"/>
                <w:kern w:val="0"/>
                <w:sz w:val="24"/>
                <w:szCs w:val="20"/>
                <w:highlight w:val="none"/>
                <w:lang w:val="en-US" w:eastAsia="zh-CN" w:bidi="ar-SA"/>
                <w14:textFill>
                  <w14:solidFill>
                    <w14:schemeClr w14:val="tx1"/>
                  </w14:solidFill>
                </w14:textFill>
              </w:rPr>
              <w:t>危险废物贮存库</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内独立存放。危险废物收集容器材质和衬里必须与危险废物相容，危险废物暂存库地面要求渗透系数应满足&lt;1×10-10cm/s。危险废物应填写《危险废弃物贮存环节记录表》。严格按照《危险废物贮存污染控制标准》（GB18597-2023）要求执行。按照危险废物特性分类进行收集，按种类分别存放，且不同废物间有明显间隔。</w:t>
            </w:r>
          </w:p>
          <w:p w14:paraId="3503AA24">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default" w:ascii="Calibri" w:hAnsi="Calibri" w:cs="Calibri" w:eastAsiaTheme="minorEastAsia"/>
                <w:color w:val="000000" w:themeColor="text1"/>
                <w:kern w:val="0"/>
                <w:sz w:val="24"/>
                <w:szCs w:val="20"/>
                <w:highlight w:val="none"/>
                <w:lang w:val="en-US" w:eastAsia="zh-CN" w:bidi="ar-SA"/>
                <w14:textFill>
                  <w14:solidFill>
                    <w14:schemeClr w14:val="tx1"/>
                  </w14:solidFill>
                </w14:textFill>
              </w:rPr>
              <w:t>②</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危险废物的贮存</w:t>
            </w:r>
          </w:p>
          <w:p w14:paraId="44880DB6">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A.</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本项目</w:t>
            </w:r>
            <w:r>
              <w:rPr>
                <w:rFonts w:hint="eastAsia" w:cs="Times New Roman" w:eastAsiaTheme="minorEastAsia"/>
                <w:color w:val="000000" w:themeColor="text1"/>
                <w:kern w:val="0"/>
                <w:sz w:val="24"/>
                <w:szCs w:val="20"/>
                <w:highlight w:val="none"/>
                <w:lang w:val="en-US" w:eastAsia="zh-CN" w:bidi="ar-SA"/>
                <w14:textFill>
                  <w14:solidFill>
                    <w14:schemeClr w14:val="tx1"/>
                  </w14:solidFill>
                </w14:textFill>
              </w:rPr>
              <w:t>危险废物贮存库</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严格按照《危险废物贮存污染控制标准》（GB18597-2023）要求、危险废物的其他相关规定进行设计建设，做到防风、防晒、防雨、防漏、防渗、防腐等措施，明确防渗措施和渗漏收集措施。</w:t>
            </w:r>
          </w:p>
          <w:p w14:paraId="49B3F8DE">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B.</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危险废物单独分类收集、存放管理。对危险废物的容器或包装物以及收集、贮存、运输危险废物的设施、场所，必须设置危险废物醒目的警示标志。危险废物盛装容器上粘贴清晰易辨的标签，废液桶上应粘贴危险废物标识标签，并注明危险废物的来源、数量等；</w:t>
            </w:r>
          </w:p>
          <w:p w14:paraId="32AE39C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C.</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对危险废物的出入流动做好记录；</w:t>
            </w:r>
          </w:p>
          <w:p w14:paraId="0499E9A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D.</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不同类危险废物容器之间留有间隔和搬运通道；</w:t>
            </w:r>
          </w:p>
          <w:p w14:paraId="0E10802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F.</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配备消防设备和报警装置。</w:t>
            </w:r>
          </w:p>
          <w:p w14:paraId="672E8CB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default" w:ascii="Calibri" w:hAnsi="Calibri" w:cs="Calibri" w:eastAsiaTheme="minorEastAsia"/>
                <w:color w:val="000000" w:themeColor="text1"/>
                <w:kern w:val="0"/>
                <w:sz w:val="24"/>
                <w:szCs w:val="20"/>
                <w:highlight w:val="none"/>
                <w:lang w:val="en-US" w:eastAsia="zh-CN" w:bidi="ar-SA"/>
                <w14:textFill>
                  <w14:solidFill>
                    <w14:schemeClr w14:val="tx1"/>
                  </w14:solidFill>
                </w14:textFill>
              </w:rPr>
              <w:t>③</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危险废物的转移及运输</w:t>
            </w:r>
          </w:p>
          <w:p w14:paraId="6309AB09">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项目区内转移均在</w:t>
            </w:r>
            <w:r>
              <w:rPr>
                <w:rFonts w:hint="eastAsia" w:cs="Times New Roman" w:eastAsiaTheme="minorEastAsia"/>
                <w:color w:val="000000" w:themeColor="text1"/>
                <w:kern w:val="0"/>
                <w:sz w:val="24"/>
                <w:szCs w:val="20"/>
                <w:highlight w:val="none"/>
                <w:lang w:val="en-US" w:eastAsia="zh-CN" w:bidi="ar-SA"/>
                <w14:textFill>
                  <w14:solidFill>
                    <w14:schemeClr w14:val="tx1"/>
                  </w14:solidFill>
                </w14:textFill>
              </w:rPr>
              <w:t>危险废物贮存库</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内部进行，且贮存点地面防腐防渗，设有导流槽等可收集泄漏的液态危险废物，场内转移运输过程对环境影响不大。危险废物自贮存点外运至有危险废物处置资质的单位进行处置，整个运输过程由具备危险废物运输资质的运输单位承担，危险废物转运过程对环境影响不大。</w:t>
            </w:r>
          </w:p>
          <w:p w14:paraId="3B137FF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危险废物转移严格按照《危险废物收集贮存运输技术规范》（HJ2025-2012）及《危险废物转移管理办法》（部令第23号）执行。危险废物厂区内部转运应综合考虑厂区情况避开办公区，采用专用的工具，内部转运结束后应对转运路线进行检查和清理确保无危险废物遗失在转运路线并进行记录。危险废物公路运输应按照《道路危险货物运输管理规定》（交通部令（2016年）第36号）执行。</w:t>
            </w:r>
          </w:p>
          <w:p w14:paraId="678FA69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对于危险废物的运输要求如下：</w:t>
            </w:r>
          </w:p>
          <w:p w14:paraId="22D54A3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A.</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运输危险废物的运输车辆应按《道路运输危险货物车辆标志》（GB13392-2005）的规定悬挂相应标志。</w:t>
            </w:r>
          </w:p>
          <w:p w14:paraId="6B10AB6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B.</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专用车辆应当配备符合有关国家标准以及与所载运的危险货物相适应的应急处理器材和安全防护设备。</w:t>
            </w:r>
          </w:p>
          <w:p w14:paraId="4F5B5F00">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C.</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运输车辆在公路上行驶应持有通行证。其上应注明废物的来源、性质、运往地点，必要时须有单位人员负责押运工作。</w:t>
            </w:r>
          </w:p>
          <w:p w14:paraId="14E9BC7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D.</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运输公司应制定详细的运输方案及路线，并制定事故应急预案，配备事故应急及个人防护设备，以保证在收集、运输过程中发生事故时能有效地减少以至防止对环境的污染。</w:t>
            </w:r>
          </w:p>
          <w:p w14:paraId="5FAC206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E.</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运输时应采取有效的包装措施，以防止有害成分的泄漏污染。</w:t>
            </w:r>
          </w:p>
          <w:p w14:paraId="42A3B854">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F.</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运输车辆驾驶员和押运人员需持有“道路危险货物运输资格证”，必须经过危险废物和应急救援方面的培训，包括防火、防泄漏以及应急联络等。</w:t>
            </w:r>
          </w:p>
          <w:p w14:paraId="3CEB2EA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G.</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危险废物禁止混入非危险废物中贮存，禁止与乘客在同一运输工具上载运。</w:t>
            </w:r>
          </w:p>
          <w:p w14:paraId="594A296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H.</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运输路线尽量避开饮用水水源保护区及其他特殊敏感区。</w:t>
            </w:r>
          </w:p>
          <w:p w14:paraId="5864F71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fldChar w:fldCharType="begin"/>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instrText xml:space="preserve"> = 4 \* GB3 \* MERGEFORMAT </w:instrTex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fldChar w:fldCharType="separate"/>
            </w:r>
            <w:r>
              <w:rPr>
                <w:color w:val="000000" w:themeColor="text1"/>
                <w:highlight w:val="none"/>
                <w14:textFill>
                  <w14:solidFill>
                    <w14:schemeClr w14:val="tx1"/>
                  </w14:solidFill>
                </w14:textFill>
              </w:rPr>
              <w:t>④</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fldChar w:fldCharType="end"/>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危险废物转移制度</w:t>
            </w:r>
          </w:p>
          <w:p w14:paraId="1BA4896E">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建设单位必须建立危险废物转移联单制度，收集贮存的危险废物应严格按照《危险废物转移管理办法》中的有关要求管理，危险废物转移程序如下：</w:t>
            </w:r>
          </w:p>
          <w:p w14:paraId="1A286B64">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A.</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危险废物转移联单应当根据危险废物管理计划中填报的危险废物转移等备案信息填写、运行。</w:t>
            </w:r>
          </w:p>
          <w:p w14:paraId="61E78F90">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B.</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采用联运方式转移危险废物的，前一承运人和后一承运人应当明确运输交接的时间和地点。后一承运人应当核实危险废物转移联单确定的移出人信息、前一承运人信息及危险废物相关信息。</w:t>
            </w:r>
          </w:p>
          <w:p w14:paraId="3C1FDAE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C.</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移出人每转移一车（船或者其他运输工具）一次同类危险废物，应当填写、运行一份危险废物转移联单；每车（船或者其他运输工具）一次转移多类危险废物的，可以填写、运行一份危险废物转移联单，也可以每一类危险废物填写、运行一份危险废物转移联单。</w:t>
            </w:r>
          </w:p>
          <w:p w14:paraId="67CCDFFE">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D.</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采用联运方式转移危险废物的，前一承运人和后一承运人应当明确运输交接的时间和地点。后一承运人应当核实危险废物转移联单确定的移出人信息、前一承运人信息及危险废物相关信息。转移危险废物的，须按照国家有关规定通过国家危险废物信息管理局填写危险废物电子转移联单，并向危险废物移出地设区的市级以上地方人民政府环境保护行政主管部门提出申请。移出地设区的市级以上地方人民政府环境保护行政主管部门应当经接收地设区的市级以上地方人民政府环境保护行政主管部门同意后，方可批准转移该危险废物。未经批准，不得转移。转移危险废物途经移出地、接收地以外行政区域的，危险废物移出地设区的市级以上地方人民政府环境保护行政主管部门。每年3月底前在线填报危险废物管理计划。</w:t>
            </w:r>
          </w:p>
          <w:p w14:paraId="7F7E8896">
            <w:pPr>
              <w:pStyle w:val="50"/>
              <w:keepNext w:val="0"/>
              <w:keepLines w:val="0"/>
              <w:pageBreakBefore w:val="0"/>
              <w:kinsoku/>
              <w:wordWrap/>
              <w:overflowPunct/>
              <w:topLinePunct w:val="0"/>
              <w:autoSpaceDE/>
              <w:autoSpaceDN/>
              <w:bidi w:val="0"/>
              <w:adjustRightInd/>
              <w:snapToGrid w:val="0"/>
              <w:spacing w:line="360" w:lineRule="auto"/>
              <w:ind w:firstLine="482"/>
              <w:textAlignment w:val="auto"/>
              <w:rPr>
                <w:rFonts w:hint="eastAsia" w:ascii="宋体" w:hAnsi="宋体" w:cs="宋体"/>
                <w:color w:val="000000" w:themeColor="text1"/>
                <w:sz w:val="24"/>
                <w14:textFill>
                  <w14:solidFill>
                    <w14:schemeClr w14:val="tx1"/>
                  </w14:solidFill>
                </w14:textFill>
              </w:rPr>
            </w:pP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综上所述，本项目固体废物全部得到妥善处理，不直接排入外环境，不会因固体废物的随意堆放而造成二次污染情况。一般工业固体废物满足《一般工业固体废物贮存和填埋污染控制标准》（GB18599-2020）中要求，危险废物满足《危险废物贮存污染控制标准》（GB18597-2023）相关规定。本项目产生的固体废物对周围环境造成的影响较小。</w:t>
            </w:r>
          </w:p>
          <w:p w14:paraId="5111A75D">
            <w:pPr>
              <w:pStyle w:val="46"/>
              <w:spacing w:line="360" w:lineRule="auto"/>
              <w:ind w:firstLine="480"/>
              <w:rPr>
                <w:color w:val="000000" w:themeColor="text1"/>
                <w14:textFill>
                  <w14:solidFill>
                    <w14:schemeClr w14:val="tx1"/>
                  </w14:solidFill>
                </w14:textFill>
              </w:rPr>
            </w:pPr>
            <w:r>
              <w:rPr>
                <w:rFonts w:hint="eastAsia"/>
                <w:b/>
                <w:bCs/>
                <w:color w:val="000000" w:themeColor="text1"/>
                <w14:textFill>
                  <w14:solidFill>
                    <w14:schemeClr w14:val="tx1"/>
                  </w14:solidFill>
                </w14:textFill>
              </w:rPr>
              <w:t>5.</w:t>
            </w:r>
            <w:r>
              <w:rPr>
                <w:b/>
                <w:bCs/>
                <w:color w:val="000000" w:themeColor="text1"/>
                <w14:textFill>
                  <w14:solidFill>
                    <w14:schemeClr w14:val="tx1"/>
                  </w14:solidFill>
                </w14:textFill>
              </w:rPr>
              <w:t>地下水及土壤影响环境保护措施</w:t>
            </w:r>
          </w:p>
          <w:p w14:paraId="2D4E88EE">
            <w:pPr>
              <w:pStyle w:val="46"/>
              <w:spacing w:line="360" w:lineRule="auto"/>
              <w:ind w:firstLine="480"/>
              <w:rPr>
                <w:color w:val="000000" w:themeColor="text1"/>
                <w14:textFill>
                  <w14:solidFill>
                    <w14:schemeClr w14:val="tx1"/>
                  </w14:solidFill>
                </w14:textFill>
              </w:rPr>
            </w:pPr>
            <w:r>
              <w:rPr>
                <w:color w:val="000000" w:themeColor="text1"/>
                <w14:textFill>
                  <w14:solidFill>
                    <w14:schemeClr w14:val="tx1"/>
                  </w14:solidFill>
                </w14:textFill>
              </w:rPr>
              <w:t>本项目原料和产品、污染物均不涉及有毒有害及危险品，主要贮存物质为生物质燃料，本项目锅炉房、燃料库以及厂区地面均采取硬化地面，因此，项目运行过程中不会对地下水及土壤造成污染。</w:t>
            </w:r>
          </w:p>
          <w:p w14:paraId="43EA57D4">
            <w:pPr>
              <w:pStyle w:val="147"/>
              <w:numPr>
                <w:ilvl w:val="0"/>
                <w:numId w:val="0"/>
              </w:numPr>
              <w:bidi w:val="0"/>
              <w:spacing w:line="360" w:lineRule="auto"/>
              <w:ind w:firstLine="482" w:firstLineChars="200"/>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6.</w:t>
            </w: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防渗分区</w:t>
            </w:r>
          </w:p>
          <w:p w14:paraId="41F1A366">
            <w:pPr>
              <w:pStyle w:val="147"/>
              <w:bidi w:val="0"/>
              <w:spacing w:line="360" w:lineRule="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依据《环境影响评价技术导则地下水环境》（HJ610-2016）防渗分区管控要求，结合本项目产污特征将全厂划分为重点防渗区、一般防渗区、简单防渗区三类，分区域明确防渗构造与防渗指标：</w:t>
            </w:r>
          </w:p>
          <w:p w14:paraId="26BA341C">
            <w:pPr>
              <w:pStyle w:val="147"/>
              <w:bidi w:val="0"/>
              <w:spacing w:line="360" w:lineRule="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重点防渗区：</w:t>
            </w:r>
            <w:r>
              <w:rPr>
                <w:rFonts w:hint="eastAsia" w:cs="Times New Roman"/>
                <w:color w:val="000000" w:themeColor="text1"/>
                <w:sz w:val="24"/>
                <w:szCs w:val="24"/>
                <w:highlight w:val="none"/>
                <w:lang w:val="en-US" w:eastAsia="zh-CN"/>
                <w14:textFill>
                  <w14:solidFill>
                    <w14:schemeClr w14:val="tx1"/>
                  </w14:solidFill>
                </w14:textFill>
              </w:rPr>
              <w:t>危险废物贮存库</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eastAsiaTheme="minorEastAsia"/>
                <w:color w:val="000000" w:themeColor="text1"/>
                <w:kern w:val="0"/>
                <w:sz w:val="24"/>
                <w:szCs w:val="20"/>
                <w:highlight w:val="none"/>
                <w:lang w:val="en-US" w:eastAsia="zh-CN" w:bidi="ar-SA"/>
                <w14:textFill>
                  <w14:solidFill>
                    <w14:schemeClr w14:val="tx1"/>
                  </w14:solidFill>
                </w14:textFill>
              </w:rPr>
              <w:t>危险废物贮存库</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依据《危险废物贮存污染控制标准》（GB18597-2023）要求设置防渗设施后，参照《环境影响评价技术导则地下水环境》（HJ610-2016），项目场地可达到《环境影响评价技术导则地下水环境》（HJ610-2016）中重点防渗区的相关要求。</w:t>
            </w:r>
          </w:p>
          <w:p w14:paraId="58E55420">
            <w:pPr>
              <w:pStyle w:val="147"/>
              <w:bidi w:val="0"/>
              <w:spacing w:line="360" w:lineRule="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一般防渗区：</w:t>
            </w:r>
            <w:r>
              <w:rPr>
                <w:rFonts w:hint="eastAsia" w:cs="Times New Roman"/>
                <w:color w:val="000000" w:themeColor="text1"/>
                <w:sz w:val="24"/>
                <w:szCs w:val="24"/>
                <w:highlight w:val="none"/>
                <w:lang w:val="en-US" w:eastAsia="zh-CN"/>
                <w14:textFill>
                  <w14:solidFill>
                    <w14:schemeClr w14:val="tx1"/>
                  </w14:solidFill>
                </w14:textFill>
              </w:rPr>
              <w:t>锅炉房、灰渣库和燃料库</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。区域仅散落粉尘、少量跑冒滴漏物料，地下水污染风险中等，防渗标准为等效黏土防渗层Mb≥1.5m，渗透系数K≤1×10</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cm；地面采用C30抗渗混凝土地面，设置地面截排水沟，库体墙面底部做防渗踢脚线，管道管沟铺设防渗垫层。化粪池池体整体做防渗防腐处理，池壁、池底无裂缝渗漏</w:t>
            </w:r>
            <w:r>
              <w:rPr>
                <w:rFonts w:hint="eastAsia" w:cs="Times New Roman"/>
                <w:color w:val="000000" w:themeColor="text1"/>
                <w:sz w:val="24"/>
                <w:szCs w:val="24"/>
                <w:highlight w:val="none"/>
                <w:lang w:val="en-US" w:eastAsia="zh-CN"/>
                <w14:textFill>
                  <w14:solidFill>
                    <w14:schemeClr w14:val="tx1"/>
                  </w14:solidFill>
                </w14:textFill>
              </w:rPr>
              <w:t>。</w:t>
            </w:r>
          </w:p>
          <w:p w14:paraId="255F94EC">
            <w:pPr>
              <w:pStyle w:val="147"/>
              <w:bidi w:val="0"/>
              <w:spacing w:line="360" w:lineRule="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简单防渗区：厂区主干道、绿化区域。无液态污染物储存、生产活动，仅采用普通混凝土硬化地面，满足雨水径流阻隔基础要求，不设置专项防渗衬层。</w:t>
            </w:r>
          </w:p>
          <w:p w14:paraId="76BB1ECF">
            <w:pPr>
              <w:pStyle w:val="46"/>
              <w:spacing w:line="360" w:lineRule="auto"/>
              <w:ind w:firstLine="480"/>
              <w:rPr>
                <w:rFonts w:hint="eastAsia"/>
                <w:b/>
                <w:bCs/>
                <w:color w:val="000000" w:themeColor="text1"/>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全厂分区防渗方案同步纳入排污许可管理，竣工环保验收时逐项核查各区域防渗施工记录、防渗层检测报告，运营期定期巡查化粪池、储罐围堰、固废库房地面有无开裂渗漏，建立防渗设施运维台账；若出现地面破损、池体渗漏立即停工修补，杜绝油料、污水下渗污染地下水，完全匹配HJ610-2016地下水污染防控导则管控要求。</w:t>
            </w:r>
          </w:p>
          <w:p w14:paraId="38E7ECC0">
            <w:pPr>
              <w:pStyle w:val="46"/>
              <w:spacing w:line="360" w:lineRule="auto"/>
              <w:ind w:firstLine="480"/>
              <w:rPr>
                <w:b/>
                <w:bCs/>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7</w:t>
            </w:r>
            <w:r>
              <w:rPr>
                <w:b/>
                <w:bCs/>
                <w:color w:val="000000" w:themeColor="text1"/>
                <w14:textFill>
                  <w14:solidFill>
                    <w14:schemeClr w14:val="tx1"/>
                  </w14:solidFill>
                </w14:textFill>
              </w:rPr>
              <w:t>环境风险</w:t>
            </w:r>
          </w:p>
          <w:p w14:paraId="287288F3">
            <w:pPr>
              <w:adjustRightInd w:val="0"/>
              <w:snapToGrid w:val="0"/>
              <w:spacing w:line="360" w:lineRule="auto"/>
              <w:ind w:firstLine="480" w:firstLineChars="200"/>
              <w:rPr>
                <w:rFonts w:hint="default" w:ascii="Times New Roman" w:hAnsi="Times New Roman" w:cs="Times New Roman" w:eastAsiaTheme="minorEastAsia"/>
                <w:color w:val="000000" w:themeColor="text1"/>
                <w:sz w:val="24"/>
                <w:highlight w:val="none"/>
                <w14:textFill>
                  <w14:solidFill>
                    <w14:schemeClr w14:val="tx1"/>
                  </w14:solidFill>
                </w14:textFill>
              </w:rPr>
            </w:pPr>
            <w:r>
              <w:rPr>
                <w:rFonts w:hint="default" w:ascii="Times New Roman" w:hAnsi="Times New Roman" w:cs="Times New Roman" w:eastAsiaTheme="minorEastAsia"/>
                <w:color w:val="000000" w:themeColor="text1"/>
                <w:sz w:val="24"/>
                <w:highlight w:val="none"/>
                <w14:textFill>
                  <w14:solidFill>
                    <w14:schemeClr w14:val="tx1"/>
                  </w14:solidFill>
                </w14:textFill>
              </w:rPr>
              <w:t>根据《建设项目环境风险评价技术导则》（HJ169-2018）中“附录C中C.1.1可知，应计算所涉及的每种危险物质在厂界内的最大存在总量与其在导则中附录B中对应临界量的比值Q。在不同厂区的同一种物质，按其在厂界内的最大存在总量计算。当只涉及一种危险物质时，计算该物质的总量与其临界量比值，即为Q；当存在多种危险物质时，则按下式计算物质总量与其临界量比值</w:t>
            </w:r>
            <w:r>
              <w:rPr>
                <w:rFonts w:hint="default" w:ascii="Times New Roman" w:hAnsi="Times New Roman" w:cs="Times New Roman" w:eastAsiaTheme="minorEastAsia"/>
                <w:color w:val="000000" w:themeColor="text1"/>
                <w:sz w:val="24"/>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4"/>
                <w:highlight w:val="none"/>
                <w14:textFill>
                  <w14:solidFill>
                    <w14:schemeClr w14:val="tx1"/>
                  </w14:solidFill>
                </w14:textFill>
              </w:rPr>
              <w:t>Q</w:t>
            </w:r>
            <w:r>
              <w:rPr>
                <w:rFonts w:hint="default" w:ascii="Times New Roman" w:hAnsi="Times New Roman" w:cs="Times New Roman" w:eastAsiaTheme="minorEastAsia"/>
                <w:color w:val="000000" w:themeColor="text1"/>
                <w:sz w:val="24"/>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4"/>
                <w:highlight w:val="none"/>
                <w14:textFill>
                  <w14:solidFill>
                    <w14:schemeClr w14:val="tx1"/>
                  </w14:solidFill>
                </w14:textFill>
              </w:rPr>
              <w:t>：</w:t>
            </w:r>
          </w:p>
          <w:p w14:paraId="4F7B09F4">
            <w:pPr>
              <w:adjustRightInd w:val="0"/>
              <w:snapToGrid w:val="0"/>
              <w:spacing w:line="360" w:lineRule="auto"/>
              <w:ind w:firstLine="480" w:firstLineChars="200"/>
              <w:rPr>
                <w:rFonts w:hint="default" w:ascii="Times New Roman" w:hAnsi="Times New Roman" w:cs="Times New Roman" w:eastAsiaTheme="minorEastAsia"/>
                <w:color w:val="000000" w:themeColor="text1"/>
                <w:sz w:val="24"/>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 w:val="24"/>
                <w:highlight w:val="none"/>
                <w:lang w:eastAsia="zh-CN"/>
                <w14:textFill>
                  <w14:solidFill>
                    <w14:schemeClr w14:val="tx1"/>
                  </w14:solidFill>
                </w14:textFill>
              </w:rPr>
              <w:drawing>
                <wp:inline distT="0" distB="0" distL="114300" distR="114300">
                  <wp:extent cx="1676400" cy="428625"/>
                  <wp:effectExtent l="0" t="0" r="0" b="9525"/>
                  <wp:docPr id="65" name="图片 242" descr="1660040570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242" descr="1660040570806"/>
                          <pic:cNvPicPr>
                            <a:picLocks noChangeAspect="1"/>
                          </pic:cNvPicPr>
                        </pic:nvPicPr>
                        <pic:blipFill>
                          <a:blip r:embed="rId27"/>
                          <a:stretch>
                            <a:fillRect/>
                          </a:stretch>
                        </pic:blipFill>
                        <pic:spPr>
                          <a:xfrm>
                            <a:off x="0" y="0"/>
                            <a:ext cx="1676400" cy="428625"/>
                          </a:xfrm>
                          <a:prstGeom prst="rect">
                            <a:avLst/>
                          </a:prstGeom>
                          <a:noFill/>
                          <a:ln>
                            <a:noFill/>
                          </a:ln>
                        </pic:spPr>
                      </pic:pic>
                    </a:graphicData>
                  </a:graphic>
                </wp:inline>
              </w:drawing>
            </w:r>
          </w:p>
          <w:p w14:paraId="73ABA1F9">
            <w:pPr>
              <w:adjustRightInd w:val="0"/>
              <w:snapToGrid w:val="0"/>
              <w:spacing w:line="360" w:lineRule="auto"/>
              <w:ind w:firstLine="480" w:firstLineChars="200"/>
              <w:rPr>
                <w:rFonts w:hint="default" w:ascii="Times New Roman" w:hAnsi="Times New Roman" w:cs="Times New Roman" w:eastAsiaTheme="minorEastAsia"/>
                <w:color w:val="000000" w:themeColor="text1"/>
                <w:sz w:val="24"/>
                <w:highlight w:val="none"/>
                <w14:textFill>
                  <w14:solidFill>
                    <w14:schemeClr w14:val="tx1"/>
                  </w14:solidFill>
                </w14:textFill>
              </w:rPr>
            </w:pPr>
            <w:r>
              <w:rPr>
                <w:rFonts w:hint="default" w:ascii="Times New Roman" w:hAnsi="Times New Roman" w:cs="Times New Roman" w:eastAsiaTheme="minorEastAsia"/>
                <w:color w:val="000000" w:themeColor="text1"/>
                <w:sz w:val="24"/>
                <w:highlight w:val="none"/>
                <w14:textFill>
                  <w14:solidFill>
                    <w14:schemeClr w14:val="tx1"/>
                  </w14:solidFill>
                </w14:textFill>
              </w:rPr>
              <w:t>式中，qn：每种危险物质的最大存在总量，t；</w:t>
            </w:r>
          </w:p>
          <w:p w14:paraId="6B284271">
            <w:pPr>
              <w:adjustRightInd w:val="0"/>
              <w:snapToGrid w:val="0"/>
              <w:spacing w:line="360" w:lineRule="auto"/>
              <w:ind w:firstLine="480" w:firstLineChars="200"/>
              <w:rPr>
                <w:rFonts w:hint="default" w:ascii="Times New Roman" w:hAnsi="Times New Roman" w:cs="Times New Roman" w:eastAsiaTheme="minorEastAsia"/>
                <w:color w:val="000000" w:themeColor="text1"/>
                <w:sz w:val="24"/>
                <w:highlight w:val="none"/>
                <w14:textFill>
                  <w14:solidFill>
                    <w14:schemeClr w14:val="tx1"/>
                  </w14:solidFill>
                </w14:textFill>
              </w:rPr>
            </w:pPr>
            <w:r>
              <w:rPr>
                <w:rFonts w:hint="default" w:ascii="Times New Roman" w:hAnsi="Times New Roman" w:cs="Times New Roman" w:eastAsiaTheme="minorEastAsia"/>
                <w:color w:val="000000" w:themeColor="text1"/>
                <w:sz w:val="24"/>
                <w:highlight w:val="none"/>
                <w14:textFill>
                  <w14:solidFill>
                    <w14:schemeClr w14:val="tx1"/>
                  </w14:solidFill>
                </w14:textFill>
              </w:rPr>
              <w:t>Qn：每种危险物质的临界量，t。</w:t>
            </w:r>
          </w:p>
          <w:p w14:paraId="4D7FABE6">
            <w:pPr>
              <w:adjustRightInd w:val="0"/>
              <w:snapToGrid w:val="0"/>
              <w:spacing w:line="360" w:lineRule="auto"/>
              <w:ind w:firstLine="480" w:firstLineChars="200"/>
              <w:rPr>
                <w:rFonts w:hint="default" w:ascii="Times New Roman" w:hAnsi="Times New Roman" w:cs="Times New Roman" w:eastAsiaTheme="minorEastAsia"/>
                <w:color w:val="000000" w:themeColor="text1"/>
                <w:sz w:val="24"/>
                <w:highlight w:val="none"/>
                <w14:textFill>
                  <w14:solidFill>
                    <w14:schemeClr w14:val="tx1"/>
                  </w14:solidFill>
                </w14:textFill>
              </w:rPr>
            </w:pPr>
            <w:r>
              <w:rPr>
                <w:rFonts w:hint="default" w:ascii="Times New Roman" w:hAnsi="Times New Roman" w:cs="Times New Roman" w:eastAsiaTheme="minorEastAsia"/>
                <w:color w:val="000000" w:themeColor="text1"/>
                <w:sz w:val="24"/>
                <w:highlight w:val="none"/>
                <w14:textFill>
                  <w14:solidFill>
                    <w14:schemeClr w14:val="tx1"/>
                  </w14:solidFill>
                </w14:textFill>
              </w:rPr>
              <w:t>当Q＜1时，该项目环境风险潜势为Ⅰ；</w:t>
            </w:r>
          </w:p>
          <w:p w14:paraId="7BB054C7">
            <w:pPr>
              <w:adjustRightInd w:val="0"/>
              <w:snapToGrid w:val="0"/>
              <w:spacing w:line="360" w:lineRule="auto"/>
              <w:ind w:firstLine="480" w:firstLineChars="200"/>
              <w:rPr>
                <w:rFonts w:hint="default" w:ascii="Times New Roman" w:hAnsi="Times New Roman" w:cs="Times New Roman" w:eastAsiaTheme="minorEastAsia"/>
                <w:color w:val="000000" w:themeColor="text1"/>
                <w:sz w:val="24"/>
                <w:highlight w:val="none"/>
                <w14:textFill>
                  <w14:solidFill>
                    <w14:schemeClr w14:val="tx1"/>
                  </w14:solidFill>
                </w14:textFill>
              </w:rPr>
            </w:pPr>
            <w:r>
              <w:rPr>
                <w:rFonts w:hint="default" w:ascii="Times New Roman" w:hAnsi="Times New Roman" w:cs="Times New Roman" w:eastAsiaTheme="minorEastAsia"/>
                <w:color w:val="000000" w:themeColor="text1"/>
                <w:sz w:val="24"/>
                <w:highlight w:val="none"/>
                <w14:textFill>
                  <w14:solidFill>
                    <w14:schemeClr w14:val="tx1"/>
                  </w14:solidFill>
                </w14:textFill>
              </w:rPr>
              <w:t>当Q≥1时，将Q值划分为1≤Q＜10，10≤Q＜100，Q≥100。</w:t>
            </w:r>
          </w:p>
          <w:p w14:paraId="64066942">
            <w:pPr>
              <w:adjustRightInd w:val="0"/>
              <w:snapToGrid w:val="0"/>
              <w:spacing w:line="360" w:lineRule="auto"/>
              <w:ind w:firstLine="482" w:firstLineChars="200"/>
              <w:jc w:val="center"/>
              <w:rPr>
                <w:rFonts w:hint="default" w:ascii="Times New Roman" w:hAnsi="Times New Roman" w:cs="Times New Roman" w:eastAsiaTheme="minorEastAsia"/>
                <w:b/>
                <w:color w:val="000000" w:themeColor="text1"/>
                <w:kern w:val="0"/>
                <w:sz w:val="24"/>
                <w:highlight w:val="none"/>
                <w:lang w:val="en-US" w:eastAsia="zh-CN"/>
                <w14:textFill>
                  <w14:solidFill>
                    <w14:schemeClr w14:val="tx1"/>
                  </w14:solidFill>
                </w14:textFill>
              </w:rPr>
            </w:pPr>
            <w:r>
              <w:rPr>
                <w:rFonts w:hint="default" w:ascii="Times New Roman" w:hAnsi="Times New Roman" w:cs="Times New Roman" w:eastAsiaTheme="minorEastAsia"/>
                <w:b/>
                <w:color w:val="000000" w:themeColor="text1"/>
                <w:kern w:val="0"/>
                <w:sz w:val="24"/>
                <w:highlight w:val="none"/>
                <w:lang w:val="en-US" w:eastAsia="zh-CN"/>
                <w14:textFill>
                  <w14:solidFill>
                    <w14:schemeClr w14:val="tx1"/>
                  </w14:solidFill>
                </w14:textFill>
              </w:rPr>
              <w:t>表4-1</w:t>
            </w:r>
            <w:r>
              <w:rPr>
                <w:rFonts w:hint="eastAsia" w:cs="Times New Roman" w:eastAsiaTheme="minorEastAsia"/>
                <w:b/>
                <w:color w:val="000000" w:themeColor="text1"/>
                <w:kern w:val="0"/>
                <w:sz w:val="24"/>
                <w:highlight w:val="none"/>
                <w:lang w:val="en-US" w:eastAsia="zh-CN"/>
                <w14:textFill>
                  <w14:solidFill>
                    <w14:schemeClr w14:val="tx1"/>
                  </w14:solidFill>
                </w14:textFill>
              </w:rPr>
              <w:t>9</w:t>
            </w:r>
            <w:r>
              <w:rPr>
                <w:rFonts w:hint="default" w:ascii="Times New Roman" w:hAnsi="Times New Roman" w:cs="Times New Roman" w:eastAsiaTheme="minorEastAsia"/>
                <w:b/>
                <w:color w:val="000000" w:themeColor="text1"/>
                <w:kern w:val="0"/>
                <w:sz w:val="24"/>
                <w:highlight w:val="none"/>
                <w:lang w:val="en-US" w:eastAsia="zh-CN"/>
                <w14:textFill>
                  <w14:solidFill>
                    <w14:schemeClr w14:val="tx1"/>
                  </w14:solidFill>
                </w14:textFill>
              </w:rPr>
              <w:t xml:space="preserve"> 本项目风险因子一览表</w:t>
            </w:r>
          </w:p>
          <w:tbl>
            <w:tblPr>
              <w:tblStyle w:val="24"/>
              <w:tblW w:w="8277"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05"/>
              <w:gridCol w:w="1152"/>
              <w:gridCol w:w="1145"/>
              <w:gridCol w:w="1083"/>
              <w:gridCol w:w="1350"/>
              <w:gridCol w:w="955"/>
              <w:gridCol w:w="1387"/>
            </w:tblGrid>
            <w:tr w14:paraId="057A11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05" w:type="dxa"/>
                  <w:vAlign w:val="center"/>
                </w:tcPr>
                <w:p w14:paraId="7DA5B23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名称</w:t>
                  </w:r>
                </w:p>
              </w:tc>
              <w:tc>
                <w:tcPr>
                  <w:tcW w:w="1152" w:type="dxa"/>
                  <w:vAlign w:val="center"/>
                </w:tcPr>
                <w:p w14:paraId="5483725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最大储存量（t）</w:t>
                  </w:r>
                </w:p>
              </w:tc>
              <w:tc>
                <w:tcPr>
                  <w:tcW w:w="1145" w:type="dxa"/>
                  <w:vAlign w:val="center"/>
                </w:tcPr>
                <w:p w14:paraId="30DD932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用途</w:t>
                  </w:r>
                </w:p>
              </w:tc>
              <w:tc>
                <w:tcPr>
                  <w:tcW w:w="1083" w:type="dxa"/>
                  <w:vAlign w:val="center"/>
                </w:tcPr>
                <w:p w14:paraId="2F15D74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所在位置</w:t>
                  </w:r>
                </w:p>
              </w:tc>
              <w:tc>
                <w:tcPr>
                  <w:tcW w:w="1350" w:type="dxa"/>
                  <w:vAlign w:val="center"/>
                </w:tcPr>
                <w:p w14:paraId="3C7CD5F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是否为环境风险物质</w:t>
                  </w:r>
                </w:p>
              </w:tc>
              <w:tc>
                <w:tcPr>
                  <w:tcW w:w="955" w:type="dxa"/>
                  <w:vAlign w:val="center"/>
                </w:tcPr>
                <w:p w14:paraId="1D5DB3B9">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临界量</w:t>
                  </w:r>
                </w:p>
              </w:tc>
              <w:tc>
                <w:tcPr>
                  <w:tcW w:w="1387" w:type="dxa"/>
                  <w:vAlign w:val="center"/>
                </w:tcPr>
                <w:p w14:paraId="6F3B369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Q值</w:t>
                  </w:r>
                </w:p>
              </w:tc>
            </w:tr>
            <w:tr w14:paraId="43B2A6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05" w:type="dxa"/>
                  <w:vAlign w:val="center"/>
                </w:tcPr>
                <w:p w14:paraId="63D4F26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废机油</w:t>
                  </w:r>
                </w:p>
              </w:tc>
              <w:tc>
                <w:tcPr>
                  <w:tcW w:w="1152" w:type="dxa"/>
                  <w:vAlign w:val="center"/>
                </w:tcPr>
                <w:p w14:paraId="31A7F99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0.5</w:t>
                  </w:r>
                </w:p>
              </w:tc>
              <w:tc>
                <w:tcPr>
                  <w:tcW w:w="1145" w:type="dxa"/>
                  <w:vAlign w:val="center"/>
                </w:tcPr>
                <w:p w14:paraId="04FA59E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设备维修</w:t>
                  </w:r>
                </w:p>
              </w:tc>
              <w:tc>
                <w:tcPr>
                  <w:tcW w:w="1083" w:type="dxa"/>
                  <w:vAlign w:val="center"/>
                </w:tcPr>
                <w:p w14:paraId="7B2CE96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危险废物贮存库</w:t>
                  </w:r>
                </w:p>
              </w:tc>
              <w:tc>
                <w:tcPr>
                  <w:tcW w:w="1350" w:type="dxa"/>
                  <w:vAlign w:val="center"/>
                </w:tcPr>
                <w:p w14:paraId="5CF219A9">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是</w:t>
                  </w:r>
                </w:p>
              </w:tc>
              <w:tc>
                <w:tcPr>
                  <w:tcW w:w="955" w:type="dxa"/>
                  <w:vAlign w:val="center"/>
                </w:tcPr>
                <w:p w14:paraId="39B633E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2500</w:t>
                  </w:r>
                </w:p>
              </w:tc>
              <w:tc>
                <w:tcPr>
                  <w:tcW w:w="1387" w:type="dxa"/>
                  <w:vAlign w:val="center"/>
                </w:tcPr>
                <w:p w14:paraId="7470045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0.0002</w:t>
                  </w:r>
                </w:p>
              </w:tc>
            </w:tr>
            <w:tr w14:paraId="57B4DE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90" w:type="dxa"/>
                  <w:gridSpan w:val="6"/>
                  <w:vAlign w:val="center"/>
                </w:tcPr>
                <w:p w14:paraId="4EA9132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合计</w:t>
                  </w:r>
                </w:p>
              </w:tc>
              <w:tc>
                <w:tcPr>
                  <w:tcW w:w="1387" w:type="dxa"/>
                  <w:vAlign w:val="center"/>
                </w:tcPr>
                <w:p w14:paraId="6A4FAD6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0.0002</w:t>
                  </w:r>
                </w:p>
              </w:tc>
            </w:tr>
          </w:tbl>
          <w:p w14:paraId="4C00F682">
            <w:pPr>
              <w:adjustRightInd w:val="0"/>
              <w:snapToGrid w:val="0"/>
              <w:spacing w:line="360" w:lineRule="auto"/>
              <w:ind w:firstLine="480" w:firstLineChars="200"/>
              <w:rPr>
                <w:rFonts w:hint="default" w:ascii="Times New Roman" w:hAnsi="Times New Roman" w:cs="Times New Roman" w:eastAsiaTheme="minorEastAsia"/>
                <w:color w:val="000000" w:themeColor="text1"/>
                <w:sz w:val="24"/>
                <w:highlight w:val="none"/>
                <w14:textFill>
                  <w14:solidFill>
                    <w14:schemeClr w14:val="tx1"/>
                  </w14:solidFill>
                </w14:textFill>
              </w:rPr>
            </w:pPr>
            <w:r>
              <w:rPr>
                <w:rFonts w:hint="default" w:ascii="Times New Roman" w:hAnsi="Times New Roman" w:cs="Times New Roman" w:eastAsiaTheme="minorEastAsia"/>
                <w:color w:val="000000" w:themeColor="text1"/>
                <w:sz w:val="24"/>
                <w:highlight w:val="none"/>
                <w14:textFill>
                  <w14:solidFill>
                    <w14:schemeClr w14:val="tx1"/>
                  </w14:solidFill>
                </w14:textFill>
              </w:rPr>
              <w:t>本项目判定结果：通过计算可知本项目危险物质数量与临界量比值Q=</w:t>
            </w:r>
            <w:r>
              <w:rPr>
                <w:rFonts w:hint="eastAsia" w:ascii="Times New Roman" w:hAnsi="Times New Roman" w:cs="Times New Roman" w:eastAsiaTheme="minorEastAsia"/>
                <w:color w:val="000000" w:themeColor="text1"/>
                <w:sz w:val="24"/>
                <w:highlight w:val="none"/>
                <w:lang w:val="en-US" w:eastAsia="zh-CN"/>
                <w14:textFill>
                  <w14:solidFill>
                    <w14:schemeClr w14:val="tx1"/>
                  </w14:solidFill>
                </w14:textFill>
              </w:rPr>
              <w:t>0.0002</w:t>
            </w:r>
            <w:r>
              <w:rPr>
                <w:rFonts w:hint="default" w:ascii="Times New Roman" w:hAnsi="Times New Roman" w:cs="Times New Roman" w:eastAsiaTheme="minorEastAsia"/>
                <w:color w:val="000000" w:themeColor="text1"/>
                <w:sz w:val="24"/>
                <w:highlight w:val="none"/>
                <w14:textFill>
                  <w14:solidFill>
                    <w14:schemeClr w14:val="tx1"/>
                  </w14:solidFill>
                </w14:textFill>
              </w:rPr>
              <w:t>，Q＜1</w:t>
            </w:r>
            <w:r>
              <w:rPr>
                <w:rFonts w:hint="default" w:ascii="Times New Roman" w:hAnsi="Times New Roman" w:cs="Times New Roman" w:eastAsiaTheme="minorEastAsia"/>
                <w:color w:val="000000" w:themeColor="text1"/>
                <w:sz w:val="24"/>
                <w:highlight w:val="none"/>
                <w:lang w:val="en-US" w:eastAsia="zh-CN"/>
                <w14:textFill>
                  <w14:solidFill>
                    <w14:schemeClr w14:val="tx1"/>
                  </w14:solidFill>
                </w14:textFill>
              </w:rPr>
              <w:t>进行简单分析</w:t>
            </w:r>
            <w:r>
              <w:rPr>
                <w:rFonts w:hint="default" w:ascii="Times New Roman" w:hAnsi="Times New Roman" w:cs="Times New Roman" w:eastAsiaTheme="minorEastAsia"/>
                <w:color w:val="000000" w:themeColor="text1"/>
                <w:sz w:val="24"/>
                <w:highlight w:val="none"/>
                <w14:textFill>
                  <w14:solidFill>
                    <w14:schemeClr w14:val="tx1"/>
                  </w14:solidFill>
                </w14:textFill>
              </w:rPr>
              <w:t>。</w:t>
            </w:r>
          </w:p>
          <w:p w14:paraId="68213516">
            <w:pPr>
              <w:adjustRightInd w:val="0"/>
              <w:snapToGrid w:val="0"/>
              <w:spacing w:line="360" w:lineRule="auto"/>
              <w:ind w:firstLine="480" w:firstLineChars="200"/>
              <w:rPr>
                <w:rFonts w:hint="default" w:ascii="Times New Roman" w:hAnsi="Times New Roman" w:cs="Times New Roman" w:eastAsiaTheme="minorEastAsia"/>
                <w:color w:val="000000" w:themeColor="text1"/>
                <w:sz w:val="24"/>
                <w:highlight w:val="none"/>
                <w14:textFill>
                  <w14:solidFill>
                    <w14:schemeClr w14:val="tx1"/>
                  </w14:solidFill>
                </w14:textFill>
              </w:rPr>
            </w:pPr>
            <w:r>
              <w:rPr>
                <w:rFonts w:hint="default" w:ascii="Times New Roman" w:hAnsi="Times New Roman" w:cs="Times New Roman" w:eastAsiaTheme="minorEastAsia"/>
                <w:color w:val="000000" w:themeColor="text1"/>
                <w:sz w:val="24"/>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4"/>
                <w:highlight w:val="none"/>
                <w:lang w:val="en-US" w:eastAsia="zh-CN"/>
                <w14:textFill>
                  <w14:solidFill>
                    <w14:schemeClr w14:val="tx1"/>
                  </w14:solidFill>
                </w14:textFill>
              </w:rPr>
              <w:t>1）</w:t>
            </w:r>
            <w:r>
              <w:rPr>
                <w:rFonts w:hint="default" w:ascii="Times New Roman" w:hAnsi="Times New Roman" w:cs="Times New Roman" w:eastAsiaTheme="minorEastAsia"/>
                <w:color w:val="000000" w:themeColor="text1"/>
                <w:sz w:val="24"/>
                <w:highlight w:val="none"/>
                <w14:textFill>
                  <w14:solidFill>
                    <w14:schemeClr w14:val="tx1"/>
                  </w14:solidFill>
                </w14:textFill>
              </w:rPr>
              <w:t>风险识别</w:t>
            </w:r>
          </w:p>
          <w:p w14:paraId="5148D709">
            <w:pPr>
              <w:adjustRightInd w:val="0"/>
              <w:snapToGrid w:val="0"/>
              <w:spacing w:line="360" w:lineRule="auto"/>
              <w:ind w:firstLine="480" w:firstLineChars="200"/>
              <w:rPr>
                <w:rFonts w:hint="default" w:ascii="Times New Roman" w:hAnsi="Times New Roman" w:cs="Times New Roman" w:eastAsiaTheme="minorEastAsia"/>
                <w:color w:val="000000" w:themeColor="text1"/>
                <w:sz w:val="24"/>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4"/>
                <w:highlight w:val="none"/>
                <w14:textFill>
                  <w14:solidFill>
                    <w14:schemeClr w14:val="tx1"/>
                  </w14:solidFill>
                </w14:textFill>
              </w:rPr>
              <w:t>本项目</w:t>
            </w:r>
            <w:r>
              <w:rPr>
                <w:rFonts w:hint="default" w:ascii="Times New Roman" w:hAnsi="Times New Roman" w:cs="Times New Roman" w:eastAsiaTheme="minorEastAsia"/>
                <w:color w:val="000000" w:themeColor="text1"/>
                <w:sz w:val="24"/>
                <w:highlight w:val="none"/>
                <w:lang w:val="en-US" w:eastAsia="zh-CN"/>
                <w14:textFill>
                  <w14:solidFill>
                    <w14:schemeClr w14:val="tx1"/>
                  </w14:solidFill>
                </w14:textFill>
              </w:rPr>
              <w:t>未涉及风险物质。主要为</w:t>
            </w:r>
            <w:r>
              <w:rPr>
                <w:rFonts w:hint="default" w:ascii="Times New Roman" w:hAnsi="Times New Roman" w:cs="Times New Roman" w:eastAsiaTheme="minorEastAsia"/>
                <w:color w:val="000000" w:themeColor="text1"/>
                <w:sz w:val="24"/>
                <w:highlight w:val="none"/>
                <w14:textFill>
                  <w14:solidFill>
                    <w14:schemeClr w14:val="tx1"/>
                  </w14:solidFill>
                </w14:textFill>
              </w:rPr>
              <w:t>发生</w:t>
            </w:r>
            <w:r>
              <w:rPr>
                <w:rFonts w:hint="default" w:ascii="Times New Roman" w:hAnsi="Times New Roman" w:cs="Times New Roman" w:eastAsiaTheme="minorEastAsia"/>
                <w:color w:val="000000" w:themeColor="text1"/>
                <w:sz w:val="24"/>
                <w:highlight w:val="none"/>
                <w:lang w:val="en-US" w:eastAsia="zh-CN"/>
                <w14:textFill>
                  <w14:solidFill>
                    <w14:schemeClr w14:val="tx1"/>
                  </w14:solidFill>
                </w14:textFill>
              </w:rPr>
              <w:t>火灾、爆炸等引发的伴生/次生污染物排放。</w:t>
            </w:r>
          </w:p>
          <w:p w14:paraId="444551BA">
            <w:pPr>
              <w:adjustRightInd w:val="0"/>
              <w:snapToGrid w:val="0"/>
              <w:spacing w:line="360" w:lineRule="auto"/>
              <w:ind w:firstLine="480" w:firstLineChars="200"/>
              <w:rPr>
                <w:rFonts w:hint="default" w:ascii="Times New Roman" w:hAnsi="Times New Roman" w:cs="Times New Roman" w:eastAsiaTheme="minorEastAsia"/>
                <w:color w:val="000000" w:themeColor="text1"/>
                <w:sz w:val="24"/>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4"/>
                <w:highlight w:val="none"/>
                <w:lang w:val="en-US" w:eastAsia="zh-CN"/>
                <w14:textFill>
                  <w14:solidFill>
                    <w14:schemeClr w14:val="tx1"/>
                  </w14:solidFill>
                </w14:textFill>
              </w:rPr>
              <w:t>（2）风险防范措施</w:t>
            </w:r>
          </w:p>
          <w:p w14:paraId="2787084B">
            <w:pPr>
              <w:adjustRightInd w:val="0"/>
              <w:snapToGrid w:val="0"/>
              <w:spacing w:line="360" w:lineRule="auto"/>
              <w:ind w:firstLine="480" w:firstLineChars="200"/>
              <w:rPr>
                <w:rFonts w:hint="default" w:ascii="Times New Roman" w:hAnsi="Times New Roman" w:cs="Times New Roman" w:eastAsiaTheme="minorEastAsia"/>
                <w:color w:val="000000" w:themeColor="text1"/>
                <w:sz w:val="24"/>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4"/>
                <w:highlight w:val="none"/>
                <w:lang w:val="en-US" w:eastAsia="zh-CN"/>
                <w14:textFill>
                  <w14:solidFill>
                    <w14:schemeClr w14:val="tx1"/>
                  </w14:solidFill>
                </w14:textFill>
              </w:rPr>
              <w:t>建立完善的安全生产岗位责任制，明确安全生产第一责任人、专职安全生产管理人员及其职责，建立各级安全生产责任制并严格考核。对全体职工应进行经常性的安全教育、岗位技能教育、消防和事故应急处理措施教育和考核，提高每个员工的安全意识、风险意识和异常情况下的应急、应变能力；</w:t>
            </w:r>
          </w:p>
          <w:p w14:paraId="192D05EE">
            <w:pPr>
              <w:adjustRightInd w:val="0"/>
              <w:snapToGrid w:val="0"/>
              <w:spacing w:line="360" w:lineRule="auto"/>
              <w:ind w:firstLine="480" w:firstLineChars="200"/>
              <w:rPr>
                <w:rFonts w:hint="default" w:ascii="Times New Roman" w:hAnsi="Times New Roman" w:cs="Times New Roman" w:eastAsiaTheme="minorEastAsia"/>
                <w:color w:val="000000" w:themeColor="text1"/>
                <w:sz w:val="24"/>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4"/>
                <w:highlight w:val="none"/>
                <w:lang w:val="en-US" w:eastAsia="zh-CN"/>
                <w14:textFill>
                  <w14:solidFill>
                    <w14:schemeClr w14:val="tx1"/>
                  </w14:solidFill>
                </w14:textFill>
              </w:rPr>
              <w:t>定期对库房和危废贮存点进行检修，发生泄漏时，立即进行截污收集，危废贮存点按照《危险废物贮存污染物标准》（GB18597-2023）的有关规定进行防渗处理；</w:t>
            </w:r>
          </w:p>
          <w:p w14:paraId="5410D446">
            <w:pPr>
              <w:adjustRightInd w:val="0"/>
              <w:snapToGrid w:val="0"/>
              <w:spacing w:line="360" w:lineRule="auto"/>
              <w:ind w:firstLine="480" w:firstLineChars="200"/>
              <w:rPr>
                <w:rFonts w:hint="default" w:ascii="Times New Roman" w:hAnsi="Times New Roman" w:cs="Times New Roman" w:eastAsiaTheme="minorEastAsia"/>
                <w:color w:val="000000" w:themeColor="text1"/>
                <w:sz w:val="24"/>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4"/>
                <w:highlight w:val="none"/>
                <w:lang w:val="en-US" w:eastAsia="zh-CN"/>
                <w14:textFill>
                  <w14:solidFill>
                    <w14:schemeClr w14:val="tx1"/>
                  </w14:solidFill>
                </w14:textFill>
              </w:rPr>
              <w:t>制定消防安全管理制度以及岗位操作规程，严格工艺管理，强化操作控制，严格执行工作纪律、劳动纪律；</w:t>
            </w:r>
          </w:p>
          <w:p w14:paraId="29F4A39A">
            <w:pPr>
              <w:adjustRightInd w:val="0"/>
              <w:snapToGrid w:val="0"/>
              <w:spacing w:line="360" w:lineRule="auto"/>
              <w:ind w:firstLine="480" w:firstLineChars="200"/>
              <w:rPr>
                <w:rFonts w:hint="default" w:ascii="Times New Roman" w:hAnsi="Times New Roman" w:cs="Times New Roman" w:eastAsiaTheme="minorEastAsia"/>
                <w:color w:val="000000" w:themeColor="text1"/>
                <w:sz w:val="24"/>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4"/>
                <w:highlight w:val="none"/>
                <w:lang w:val="en-US" w:eastAsia="zh-CN"/>
                <w14:textFill>
                  <w14:solidFill>
                    <w14:schemeClr w14:val="tx1"/>
                  </w14:solidFill>
                </w14:textFill>
              </w:rPr>
              <w:t>建立运转设备、容器等设备的技术档案。及时如实地填写各岗位原始运行、物料进出等操作记录，并分类存档。组织落实设备的技术检验和维修计划，对容器、管道等。定期检修，严禁设备带故障或超检验期使用；</w:t>
            </w:r>
          </w:p>
          <w:p w14:paraId="1EBFC449">
            <w:pPr>
              <w:adjustRightInd w:val="0"/>
              <w:snapToGrid w:val="0"/>
              <w:spacing w:line="360" w:lineRule="auto"/>
              <w:ind w:firstLine="480" w:firstLineChars="200"/>
              <w:rPr>
                <w:rFonts w:hint="default" w:ascii="Times New Roman" w:hAnsi="Times New Roman" w:cs="Times New Roman" w:eastAsiaTheme="minorEastAsia"/>
                <w:color w:val="000000" w:themeColor="text1"/>
                <w:sz w:val="24"/>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4"/>
                <w:highlight w:val="none"/>
                <w:lang w:val="en-US" w:eastAsia="zh-CN"/>
                <w14:textFill>
                  <w14:solidFill>
                    <w14:schemeClr w14:val="tx1"/>
                  </w14:solidFill>
                </w14:textFill>
              </w:rPr>
              <w:t>编制完善的危险化学品安全标签和安全技术说明书，设置醒目的安全警示标志，重要岗位加贴安全信息告知卡；</w:t>
            </w:r>
          </w:p>
          <w:p w14:paraId="4BD3493D">
            <w:pPr>
              <w:adjustRightInd w:val="0"/>
              <w:snapToGrid w:val="0"/>
              <w:spacing w:line="360" w:lineRule="auto"/>
              <w:ind w:firstLine="480" w:firstLineChars="200"/>
              <w:rPr>
                <w:rFonts w:hint="default" w:ascii="Times New Roman" w:hAnsi="Times New Roman" w:cs="Times New Roman" w:eastAsiaTheme="minorEastAsia"/>
                <w:color w:val="000000" w:themeColor="text1"/>
                <w:sz w:val="24"/>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4"/>
                <w:highlight w:val="none"/>
                <w:lang w:val="en-US" w:eastAsia="zh-CN"/>
                <w14:textFill>
                  <w14:solidFill>
                    <w14:schemeClr w14:val="tx1"/>
                  </w14:solidFill>
                </w14:textFill>
              </w:rPr>
              <w:t>定期对静电接地、防雷设施、温度计、压力表、装置进行检查维修和测试，并将检查测试结果记录存档。采取有效措施加强生产区内的明火管理，严格禁止将火种带入生产区内。对维修、扩建、改造需要发生动火的作业，按照动火手续的要求和规定，进行分析、审批和监护，确保动火安全。做好对物料泄漏的监控和检测工作，及时有效地消除“跑、冒、滴、漏”现象和生产中出现的异常情况；</w:t>
            </w:r>
          </w:p>
          <w:p w14:paraId="78530D1A">
            <w:pPr>
              <w:adjustRightInd w:val="0"/>
              <w:snapToGrid w:val="0"/>
              <w:spacing w:line="360" w:lineRule="auto"/>
              <w:ind w:firstLine="480" w:firstLineChars="200"/>
              <w:rPr>
                <w:rFonts w:hint="default" w:ascii="Times New Roman" w:hAnsi="Times New Roman" w:cs="Times New Roman" w:eastAsiaTheme="minorEastAsia"/>
                <w:color w:val="000000" w:themeColor="text1"/>
                <w:sz w:val="24"/>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4"/>
                <w:highlight w:val="none"/>
                <w:lang w:val="en-US" w:eastAsia="zh-CN"/>
                <w14:textFill>
                  <w14:solidFill>
                    <w14:schemeClr w14:val="tx1"/>
                  </w14:solidFill>
                </w14:textFill>
              </w:rPr>
              <w:t>应配备相应品种和数量的消防器材，保证人身安全，若遇泄漏、火灾、爆炸等事故，建设单位应及时报警。</w:t>
            </w:r>
          </w:p>
          <w:p w14:paraId="7E1AE4F1">
            <w:pPr>
              <w:adjustRightInd w:val="0"/>
              <w:snapToGrid w:val="0"/>
              <w:spacing w:line="360" w:lineRule="auto"/>
              <w:ind w:firstLine="480" w:firstLineChars="200"/>
              <w:rPr>
                <w:rFonts w:hint="default" w:ascii="Times New Roman" w:hAnsi="Times New Roman" w:cs="Times New Roman" w:eastAsiaTheme="minorEastAsia"/>
                <w:color w:val="000000" w:themeColor="text1"/>
                <w:sz w:val="24"/>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4"/>
                <w:highlight w:val="none"/>
                <w:lang w:val="en-US" w:eastAsia="zh-CN"/>
                <w14:textFill>
                  <w14:solidFill>
                    <w14:schemeClr w14:val="tx1"/>
                  </w14:solidFill>
                </w14:textFill>
              </w:rPr>
              <w:t>综上，经过妥善的风险防范措施，本项目的环境风险在可接受的范围内。</w:t>
            </w:r>
          </w:p>
          <w:p w14:paraId="46FEAE04">
            <w:pPr>
              <w:pStyle w:val="46"/>
              <w:spacing w:line="360" w:lineRule="auto"/>
              <w:ind w:firstLine="480"/>
              <w:rPr>
                <w:color w:val="000000" w:themeColor="text1"/>
                <w14:textFill>
                  <w14:solidFill>
                    <w14:schemeClr w14:val="tx1"/>
                  </w14:solidFill>
                </w14:textFill>
              </w:rPr>
            </w:pPr>
            <w:r>
              <w:rPr>
                <w:rFonts w:hint="default" w:ascii="Times New Roman" w:hAnsi="Times New Roman" w:cs="Times New Roman" w:eastAsiaTheme="minorEastAsia"/>
                <w:color w:val="000000" w:themeColor="text1"/>
                <w:sz w:val="24"/>
                <w:highlight w:val="none"/>
                <w:lang w:val="en-US" w:eastAsia="zh-CN"/>
                <w14:textFill>
                  <w14:solidFill>
                    <w14:schemeClr w14:val="tx1"/>
                  </w14:solidFill>
                </w14:textFill>
              </w:rPr>
              <w:t>本项目风险物质，指定位置存放，派专人看管，杜绝烟火，防止泄露。</w:t>
            </w:r>
          </w:p>
        </w:tc>
      </w:tr>
    </w:tbl>
    <w:p w14:paraId="1691E253">
      <w:pPr>
        <w:adjustRightInd w:val="0"/>
        <w:snapToGrid w:val="0"/>
        <w:spacing w:line="360" w:lineRule="auto"/>
        <w:rPr>
          <w:b/>
          <w:color w:val="000000" w:themeColor="text1"/>
          <w:kern w:val="0"/>
          <w:sz w:val="28"/>
          <w:szCs w:val="28"/>
          <w14:textFill>
            <w14:solidFill>
              <w14:schemeClr w14:val="tx1"/>
            </w14:solidFill>
          </w14:textFill>
        </w:rPr>
        <w:sectPr>
          <w:pgSz w:w="11907" w:h="16840"/>
          <w:pgMar w:top="1440" w:right="1800" w:bottom="1440" w:left="1800" w:header="851" w:footer="851" w:gutter="0"/>
          <w:cols w:space="720" w:num="1"/>
          <w:docGrid w:linePitch="312" w:charSpace="0"/>
        </w:sectPr>
      </w:pPr>
    </w:p>
    <w:p w14:paraId="75A440C6">
      <w:pPr>
        <w:pStyle w:val="20"/>
        <w:snapToGrid w:val="0"/>
        <w:spacing w:before="0" w:beforeAutospacing="0" w:after="0" w:afterAutospacing="0" w:line="360" w:lineRule="auto"/>
        <w:jc w:val="center"/>
        <w:outlineLvl w:val="0"/>
        <w:rPr>
          <w:rFonts w:ascii="Times New Roman" w:hAnsi="Times New Roman" w:eastAsia="黑体"/>
          <w:snapToGrid w:val="0"/>
          <w:color w:val="000000" w:themeColor="text1"/>
          <w:sz w:val="36"/>
          <w:szCs w:val="36"/>
          <w14:textFill>
            <w14:solidFill>
              <w14:schemeClr w14:val="tx1"/>
            </w14:solidFill>
          </w14:textFill>
        </w:rPr>
      </w:pPr>
      <w:bookmarkStart w:id="42" w:name="_Toc13883"/>
      <w:bookmarkStart w:id="43" w:name="_Toc12807"/>
      <w:r>
        <w:rPr>
          <w:rFonts w:ascii="Times New Roman" w:hAnsi="Times New Roman" w:eastAsia="黑体"/>
          <w:snapToGrid w:val="0"/>
          <w:color w:val="000000" w:themeColor="text1"/>
          <w:sz w:val="30"/>
          <w:szCs w:val="30"/>
          <w14:textFill>
            <w14:solidFill>
              <w14:schemeClr w14:val="tx1"/>
            </w14:solidFill>
          </w14:textFill>
        </w:rPr>
        <w:t>五、</w:t>
      </w:r>
      <w:bookmarkStart w:id="44" w:name="_Hlk54167917"/>
      <w:r>
        <w:rPr>
          <w:rFonts w:ascii="Times New Roman" w:hAnsi="Times New Roman" w:eastAsia="黑体"/>
          <w:snapToGrid w:val="0"/>
          <w:color w:val="000000" w:themeColor="text1"/>
          <w:sz w:val="30"/>
          <w:szCs w:val="30"/>
          <w14:textFill>
            <w14:solidFill>
              <w14:schemeClr w14:val="tx1"/>
            </w14:solidFill>
          </w14:textFill>
        </w:rPr>
        <w:t>环境保护措施监督检查清单</w:t>
      </w:r>
      <w:bookmarkEnd w:id="42"/>
      <w:bookmarkEnd w:id="43"/>
      <w:bookmarkEnd w:id="44"/>
    </w:p>
    <w:tbl>
      <w:tblPr>
        <w:tblStyle w:val="2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8"/>
        <w:gridCol w:w="1755"/>
        <w:gridCol w:w="1265"/>
        <w:gridCol w:w="2245"/>
        <w:gridCol w:w="1757"/>
      </w:tblGrid>
      <w:tr w14:paraId="698C12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tcBorders>
              <w:tl2br w:val="single" w:color="auto" w:sz="4" w:space="0"/>
            </w:tcBorders>
          </w:tcPr>
          <w:p w14:paraId="3955D5BB">
            <w:pPr>
              <w:adjustRightInd w:val="0"/>
              <w:snapToGrid w:val="0"/>
              <w:spacing w:line="300" w:lineRule="exact"/>
              <w:ind w:firstLine="840"/>
              <w:rPr>
                <w:color w:val="000000" w:themeColor="text1"/>
                <w:sz w:val="24"/>
                <w14:textFill>
                  <w14:solidFill>
                    <w14:schemeClr w14:val="tx1"/>
                  </w14:solidFill>
                </w14:textFill>
              </w:rPr>
            </w:pPr>
            <w:r>
              <w:rPr>
                <w:color w:val="000000" w:themeColor="text1"/>
                <w:sz w:val="24"/>
                <w14:textFill>
                  <w14:solidFill>
                    <w14:schemeClr w14:val="tx1"/>
                  </w14:solidFill>
                </w14:textFill>
              </w:rPr>
              <w:t>内容</w:t>
            </w:r>
          </w:p>
          <w:p w14:paraId="2CF52CB1">
            <w:pPr>
              <w:adjustRightInd w:val="0"/>
              <w:snapToGrid w:val="0"/>
              <w:spacing w:line="30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要素</w:t>
            </w:r>
          </w:p>
        </w:tc>
        <w:tc>
          <w:tcPr>
            <w:tcW w:w="1755" w:type="dxa"/>
            <w:vAlign w:val="center"/>
          </w:tcPr>
          <w:p w14:paraId="54C06043">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排放口</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编号、</w:t>
            </w:r>
          </w:p>
          <w:p w14:paraId="7339BBA2">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名称</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/污染源</w:t>
            </w:r>
          </w:p>
        </w:tc>
        <w:tc>
          <w:tcPr>
            <w:tcW w:w="1265" w:type="dxa"/>
            <w:vAlign w:val="center"/>
          </w:tcPr>
          <w:p w14:paraId="08E03921">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污染物项目</w:t>
            </w:r>
          </w:p>
        </w:tc>
        <w:tc>
          <w:tcPr>
            <w:tcW w:w="2245" w:type="dxa"/>
            <w:vAlign w:val="center"/>
          </w:tcPr>
          <w:p w14:paraId="1CFC6375">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环境保护措施</w:t>
            </w:r>
          </w:p>
        </w:tc>
        <w:tc>
          <w:tcPr>
            <w:tcW w:w="1757" w:type="dxa"/>
            <w:vAlign w:val="center"/>
          </w:tcPr>
          <w:p w14:paraId="19804963">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执行标准</w:t>
            </w:r>
          </w:p>
        </w:tc>
      </w:tr>
      <w:tr w14:paraId="357201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778" w:type="dxa"/>
            <w:vMerge w:val="restart"/>
            <w:vAlign w:val="center"/>
          </w:tcPr>
          <w:p w14:paraId="3DA29042">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大气环境</w:t>
            </w:r>
          </w:p>
        </w:tc>
        <w:tc>
          <w:tcPr>
            <w:tcW w:w="1755" w:type="dxa"/>
            <w:vMerge w:val="restart"/>
            <w:vAlign w:val="center"/>
          </w:tcPr>
          <w:p w14:paraId="2084FF22">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DA001/</w:t>
            </w:r>
          </w:p>
          <w:p w14:paraId="293C75F2">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锅炉烟囱</w:t>
            </w:r>
          </w:p>
        </w:tc>
        <w:tc>
          <w:tcPr>
            <w:tcW w:w="1265" w:type="dxa"/>
            <w:vAlign w:val="center"/>
          </w:tcPr>
          <w:p w14:paraId="0F85A068">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烟尘</w:t>
            </w:r>
          </w:p>
        </w:tc>
        <w:tc>
          <w:tcPr>
            <w:tcW w:w="2245" w:type="dxa"/>
            <w:vMerge w:val="restart"/>
            <w:vAlign w:val="center"/>
          </w:tcPr>
          <w:p w14:paraId="146760F1">
            <w:pPr>
              <w:adjustRightInd w:val="0"/>
              <w:snapToGrid w:val="0"/>
              <w:spacing w:line="300" w:lineRule="exact"/>
              <w:jc w:val="center"/>
              <w:rPr>
                <w:color w:val="000000" w:themeColor="text1"/>
                <w:sz w:val="24"/>
                <w14:textFill>
                  <w14:solidFill>
                    <w14:schemeClr w14:val="tx1"/>
                  </w14:solidFill>
                </w14:textFill>
              </w:rPr>
            </w:pPr>
            <w:r>
              <w:rPr>
                <w:rFonts w:eastAsia="Times New Roman"/>
                <w:color w:val="000000" w:themeColor="text1"/>
                <w:sz w:val="24"/>
                <w14:textFill>
                  <w14:solidFill>
                    <w14:schemeClr w14:val="tx1"/>
                  </w14:solidFill>
                </w14:textFill>
              </w:rPr>
              <w:t>干式+布袋除尘器处理后通过一根30m高烟囱高空排放</w:t>
            </w:r>
          </w:p>
        </w:tc>
        <w:tc>
          <w:tcPr>
            <w:tcW w:w="1757" w:type="dxa"/>
            <w:vMerge w:val="restart"/>
            <w:vAlign w:val="center"/>
          </w:tcPr>
          <w:p w14:paraId="5CFEC901">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《锅炉大气污染物排放标准》（GB13271-2014）表2燃煤锅炉大气污染物排放限值要求</w:t>
            </w:r>
          </w:p>
        </w:tc>
      </w:tr>
      <w:tr w14:paraId="77D46D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1778" w:type="dxa"/>
            <w:vMerge w:val="continue"/>
            <w:vAlign w:val="center"/>
          </w:tcPr>
          <w:p w14:paraId="71BD1361">
            <w:pPr>
              <w:adjustRightInd w:val="0"/>
              <w:snapToGrid w:val="0"/>
              <w:spacing w:line="300" w:lineRule="exact"/>
              <w:jc w:val="center"/>
              <w:rPr>
                <w:color w:val="000000" w:themeColor="text1"/>
                <w:sz w:val="24"/>
                <w14:textFill>
                  <w14:solidFill>
                    <w14:schemeClr w14:val="tx1"/>
                  </w14:solidFill>
                </w14:textFill>
              </w:rPr>
            </w:pPr>
          </w:p>
        </w:tc>
        <w:tc>
          <w:tcPr>
            <w:tcW w:w="1755" w:type="dxa"/>
            <w:vMerge w:val="continue"/>
            <w:vAlign w:val="center"/>
          </w:tcPr>
          <w:p w14:paraId="7D9D699E">
            <w:pPr>
              <w:adjustRightInd w:val="0"/>
              <w:snapToGrid w:val="0"/>
              <w:spacing w:line="300" w:lineRule="exact"/>
              <w:jc w:val="center"/>
              <w:rPr>
                <w:color w:val="000000" w:themeColor="text1"/>
                <w:sz w:val="24"/>
                <w14:textFill>
                  <w14:solidFill>
                    <w14:schemeClr w14:val="tx1"/>
                  </w14:solidFill>
                </w14:textFill>
              </w:rPr>
            </w:pPr>
          </w:p>
        </w:tc>
        <w:tc>
          <w:tcPr>
            <w:tcW w:w="1265" w:type="dxa"/>
            <w:vAlign w:val="center"/>
          </w:tcPr>
          <w:p w14:paraId="1AE9DC7E">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二氧化硫</w:t>
            </w:r>
          </w:p>
        </w:tc>
        <w:tc>
          <w:tcPr>
            <w:tcW w:w="2245" w:type="dxa"/>
            <w:vMerge w:val="continue"/>
            <w:vAlign w:val="center"/>
          </w:tcPr>
          <w:p w14:paraId="18BC9EA0">
            <w:pPr>
              <w:adjustRightInd w:val="0"/>
              <w:snapToGrid w:val="0"/>
              <w:spacing w:line="300" w:lineRule="exact"/>
              <w:jc w:val="center"/>
              <w:rPr>
                <w:color w:val="000000" w:themeColor="text1"/>
                <w:sz w:val="24"/>
                <w14:textFill>
                  <w14:solidFill>
                    <w14:schemeClr w14:val="tx1"/>
                  </w14:solidFill>
                </w14:textFill>
              </w:rPr>
            </w:pPr>
          </w:p>
        </w:tc>
        <w:tc>
          <w:tcPr>
            <w:tcW w:w="1757" w:type="dxa"/>
            <w:vMerge w:val="continue"/>
            <w:vAlign w:val="center"/>
          </w:tcPr>
          <w:p w14:paraId="171E133B">
            <w:pPr>
              <w:adjustRightInd w:val="0"/>
              <w:snapToGrid w:val="0"/>
              <w:spacing w:line="300" w:lineRule="exact"/>
              <w:jc w:val="center"/>
              <w:rPr>
                <w:color w:val="000000" w:themeColor="text1"/>
                <w:sz w:val="24"/>
                <w14:textFill>
                  <w14:solidFill>
                    <w14:schemeClr w14:val="tx1"/>
                  </w14:solidFill>
                </w14:textFill>
              </w:rPr>
            </w:pPr>
          </w:p>
        </w:tc>
      </w:tr>
      <w:tr w14:paraId="0725EE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1778" w:type="dxa"/>
            <w:vMerge w:val="continue"/>
            <w:vAlign w:val="center"/>
          </w:tcPr>
          <w:p w14:paraId="2B709156">
            <w:pPr>
              <w:adjustRightInd w:val="0"/>
              <w:snapToGrid w:val="0"/>
              <w:spacing w:line="300" w:lineRule="exact"/>
              <w:jc w:val="center"/>
              <w:rPr>
                <w:color w:val="000000" w:themeColor="text1"/>
                <w:sz w:val="24"/>
                <w14:textFill>
                  <w14:solidFill>
                    <w14:schemeClr w14:val="tx1"/>
                  </w14:solidFill>
                </w14:textFill>
              </w:rPr>
            </w:pPr>
          </w:p>
        </w:tc>
        <w:tc>
          <w:tcPr>
            <w:tcW w:w="1755" w:type="dxa"/>
            <w:vMerge w:val="continue"/>
            <w:vAlign w:val="center"/>
          </w:tcPr>
          <w:p w14:paraId="18845C99">
            <w:pPr>
              <w:adjustRightInd w:val="0"/>
              <w:snapToGrid w:val="0"/>
              <w:spacing w:line="300" w:lineRule="exact"/>
              <w:jc w:val="center"/>
              <w:rPr>
                <w:color w:val="000000" w:themeColor="text1"/>
                <w:sz w:val="24"/>
                <w14:textFill>
                  <w14:solidFill>
                    <w14:schemeClr w14:val="tx1"/>
                  </w14:solidFill>
                </w14:textFill>
              </w:rPr>
            </w:pPr>
          </w:p>
        </w:tc>
        <w:tc>
          <w:tcPr>
            <w:tcW w:w="1265" w:type="dxa"/>
            <w:vAlign w:val="center"/>
          </w:tcPr>
          <w:p w14:paraId="28E11095">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氮氧化物</w:t>
            </w:r>
          </w:p>
        </w:tc>
        <w:tc>
          <w:tcPr>
            <w:tcW w:w="2245" w:type="dxa"/>
            <w:vMerge w:val="continue"/>
            <w:vAlign w:val="center"/>
          </w:tcPr>
          <w:p w14:paraId="5D45E40B">
            <w:pPr>
              <w:adjustRightInd w:val="0"/>
              <w:snapToGrid w:val="0"/>
              <w:spacing w:line="300" w:lineRule="exact"/>
              <w:jc w:val="center"/>
              <w:rPr>
                <w:color w:val="000000" w:themeColor="text1"/>
                <w:sz w:val="24"/>
                <w14:textFill>
                  <w14:solidFill>
                    <w14:schemeClr w14:val="tx1"/>
                  </w14:solidFill>
                </w14:textFill>
              </w:rPr>
            </w:pPr>
          </w:p>
        </w:tc>
        <w:tc>
          <w:tcPr>
            <w:tcW w:w="1757" w:type="dxa"/>
            <w:vMerge w:val="continue"/>
            <w:vAlign w:val="center"/>
          </w:tcPr>
          <w:p w14:paraId="5D4A5183">
            <w:pPr>
              <w:adjustRightInd w:val="0"/>
              <w:snapToGrid w:val="0"/>
              <w:spacing w:line="300" w:lineRule="exact"/>
              <w:jc w:val="center"/>
              <w:rPr>
                <w:color w:val="000000" w:themeColor="text1"/>
                <w:sz w:val="24"/>
                <w14:textFill>
                  <w14:solidFill>
                    <w14:schemeClr w14:val="tx1"/>
                  </w14:solidFill>
                </w14:textFill>
              </w:rPr>
            </w:pPr>
          </w:p>
        </w:tc>
      </w:tr>
      <w:tr w14:paraId="0B0227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778" w:type="dxa"/>
            <w:vMerge w:val="continue"/>
            <w:vAlign w:val="center"/>
          </w:tcPr>
          <w:p w14:paraId="55388B49">
            <w:pPr>
              <w:adjustRightInd w:val="0"/>
              <w:snapToGrid w:val="0"/>
              <w:spacing w:line="300" w:lineRule="exact"/>
              <w:jc w:val="center"/>
              <w:rPr>
                <w:color w:val="000000" w:themeColor="text1"/>
                <w:sz w:val="24"/>
                <w14:textFill>
                  <w14:solidFill>
                    <w14:schemeClr w14:val="tx1"/>
                  </w14:solidFill>
                </w14:textFill>
              </w:rPr>
            </w:pPr>
          </w:p>
        </w:tc>
        <w:tc>
          <w:tcPr>
            <w:tcW w:w="1755" w:type="dxa"/>
            <w:vMerge w:val="continue"/>
            <w:vAlign w:val="center"/>
          </w:tcPr>
          <w:p w14:paraId="7544587E">
            <w:pPr>
              <w:adjustRightInd w:val="0"/>
              <w:snapToGrid w:val="0"/>
              <w:spacing w:line="300" w:lineRule="exact"/>
              <w:jc w:val="center"/>
              <w:rPr>
                <w:color w:val="000000" w:themeColor="text1"/>
                <w:sz w:val="24"/>
                <w14:textFill>
                  <w14:solidFill>
                    <w14:schemeClr w14:val="tx1"/>
                  </w14:solidFill>
                </w14:textFill>
              </w:rPr>
            </w:pPr>
          </w:p>
        </w:tc>
        <w:tc>
          <w:tcPr>
            <w:tcW w:w="1265" w:type="dxa"/>
            <w:vAlign w:val="center"/>
          </w:tcPr>
          <w:p w14:paraId="5A03C5F8">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烟气黑度</w:t>
            </w:r>
          </w:p>
        </w:tc>
        <w:tc>
          <w:tcPr>
            <w:tcW w:w="2245" w:type="dxa"/>
            <w:vMerge w:val="continue"/>
            <w:vAlign w:val="center"/>
          </w:tcPr>
          <w:p w14:paraId="5DCEA005">
            <w:pPr>
              <w:adjustRightInd w:val="0"/>
              <w:snapToGrid w:val="0"/>
              <w:spacing w:line="300" w:lineRule="exact"/>
              <w:jc w:val="center"/>
              <w:rPr>
                <w:color w:val="000000" w:themeColor="text1"/>
                <w:sz w:val="24"/>
                <w14:textFill>
                  <w14:solidFill>
                    <w14:schemeClr w14:val="tx1"/>
                  </w14:solidFill>
                </w14:textFill>
              </w:rPr>
            </w:pPr>
          </w:p>
        </w:tc>
        <w:tc>
          <w:tcPr>
            <w:tcW w:w="1757" w:type="dxa"/>
            <w:vMerge w:val="continue"/>
            <w:vAlign w:val="center"/>
          </w:tcPr>
          <w:p w14:paraId="5ADDD35B">
            <w:pPr>
              <w:adjustRightInd w:val="0"/>
              <w:snapToGrid w:val="0"/>
              <w:spacing w:line="300" w:lineRule="exact"/>
              <w:jc w:val="center"/>
              <w:rPr>
                <w:color w:val="000000" w:themeColor="text1"/>
                <w:sz w:val="24"/>
                <w14:textFill>
                  <w14:solidFill>
                    <w14:schemeClr w14:val="tx1"/>
                  </w14:solidFill>
                </w14:textFill>
              </w:rPr>
            </w:pPr>
          </w:p>
        </w:tc>
      </w:tr>
      <w:tr w14:paraId="0BB841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778" w:type="dxa"/>
            <w:vMerge w:val="restart"/>
            <w:vAlign w:val="center"/>
          </w:tcPr>
          <w:p w14:paraId="6CAC3A46">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地表水环境</w:t>
            </w:r>
          </w:p>
        </w:tc>
        <w:tc>
          <w:tcPr>
            <w:tcW w:w="1755" w:type="dxa"/>
            <w:vAlign w:val="center"/>
          </w:tcPr>
          <w:p w14:paraId="2644916F">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锅炉排水</w:t>
            </w:r>
          </w:p>
        </w:tc>
        <w:tc>
          <w:tcPr>
            <w:tcW w:w="1265" w:type="dxa"/>
            <w:vAlign w:val="center"/>
          </w:tcPr>
          <w:p w14:paraId="2F8C087F">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COD</w:t>
            </w:r>
          </w:p>
        </w:tc>
        <w:tc>
          <w:tcPr>
            <w:tcW w:w="2245" w:type="dxa"/>
            <w:vMerge w:val="restart"/>
            <w:vAlign w:val="center"/>
          </w:tcPr>
          <w:p w14:paraId="2A2EBA51">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生活污水排入防渗</w:t>
            </w:r>
            <w:r>
              <w:rPr>
                <w:rFonts w:hint="eastAsia"/>
                <w:color w:val="000000" w:themeColor="text1"/>
                <w:sz w:val="24"/>
                <w14:textFill>
                  <w14:solidFill>
                    <w14:schemeClr w14:val="tx1"/>
                  </w14:solidFill>
                </w14:textFill>
              </w:rPr>
              <w:t>旱厕</w:t>
            </w:r>
            <w:r>
              <w:rPr>
                <w:color w:val="000000" w:themeColor="text1"/>
                <w:sz w:val="24"/>
                <w14:textFill>
                  <w14:solidFill>
                    <w14:schemeClr w14:val="tx1"/>
                  </w14:solidFill>
                </w14:textFill>
              </w:rPr>
              <w:t>，定期清掏，外运堆肥，锅炉排水用于锅炉炉渣拌湿降尘，废水不外排</w:t>
            </w:r>
          </w:p>
        </w:tc>
        <w:tc>
          <w:tcPr>
            <w:tcW w:w="1757" w:type="dxa"/>
            <w:vMerge w:val="restart"/>
            <w:vAlign w:val="center"/>
          </w:tcPr>
          <w:p w14:paraId="5DAE8885">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r>
      <w:tr w14:paraId="1BB254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778" w:type="dxa"/>
            <w:vMerge w:val="continue"/>
            <w:vAlign w:val="center"/>
          </w:tcPr>
          <w:p w14:paraId="36A3031B">
            <w:pPr>
              <w:adjustRightInd w:val="0"/>
              <w:snapToGrid w:val="0"/>
              <w:spacing w:line="300" w:lineRule="exact"/>
              <w:jc w:val="center"/>
              <w:rPr>
                <w:color w:val="000000" w:themeColor="text1"/>
                <w:sz w:val="24"/>
                <w14:textFill>
                  <w14:solidFill>
                    <w14:schemeClr w14:val="tx1"/>
                  </w14:solidFill>
                </w14:textFill>
              </w:rPr>
            </w:pPr>
          </w:p>
        </w:tc>
        <w:tc>
          <w:tcPr>
            <w:tcW w:w="1755" w:type="dxa"/>
            <w:vAlign w:val="center"/>
          </w:tcPr>
          <w:p w14:paraId="26BAF5AE">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生活污水</w:t>
            </w:r>
          </w:p>
        </w:tc>
        <w:tc>
          <w:tcPr>
            <w:tcW w:w="1265" w:type="dxa"/>
            <w:vAlign w:val="center"/>
          </w:tcPr>
          <w:p w14:paraId="6D6FEA00">
            <w:pPr>
              <w:adjustRightInd w:val="0"/>
              <w:snapToGrid w:val="0"/>
              <w:spacing w:line="300" w:lineRule="exact"/>
              <w:jc w:val="center"/>
              <w:rPr>
                <w:rFonts w:hint="eastAsia" w:eastAsia="宋体"/>
                <w:color w:val="000000" w:themeColor="text1"/>
                <w:sz w:val="24"/>
                <w:szCs w:val="24"/>
                <w:lang w:eastAsia="zh-CN"/>
                <w14:textFill>
                  <w14:solidFill>
                    <w14:schemeClr w14:val="tx1"/>
                  </w14:solidFill>
                </w14:textFill>
              </w:rPr>
            </w:pPr>
            <w:r>
              <w:rPr>
                <w:color w:val="000000" w:themeColor="text1"/>
                <w:sz w:val="24"/>
                <w14:textFill>
                  <w14:solidFill>
                    <w14:schemeClr w14:val="tx1"/>
                  </w14:solidFill>
                </w14:textFill>
              </w:rPr>
              <w:t>COD</w:t>
            </w:r>
            <w:r>
              <w:rPr>
                <w:rFonts w:hint="eastAsia"/>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BOD₅、SS</w:t>
            </w:r>
            <w:r>
              <w:rPr>
                <w:rFonts w:hint="eastAsia" w:cs="Times New Roman"/>
                <w:color w:val="000000" w:themeColor="text1"/>
                <w:sz w:val="24"/>
                <w:szCs w:val="24"/>
                <w:lang w:eastAsia="zh-CN"/>
                <w14:textFill>
                  <w14:solidFill>
                    <w14:schemeClr w14:val="tx1"/>
                  </w14:solidFill>
                </w14:textFill>
              </w:rPr>
              <w:t>、</w:t>
            </w:r>
          </w:p>
          <w:p w14:paraId="79710160">
            <w:pPr>
              <w:pStyle w:val="94"/>
              <w:ind w:firstLine="0" w:firstLineChars="0"/>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氨氮</w:t>
            </w:r>
          </w:p>
        </w:tc>
        <w:tc>
          <w:tcPr>
            <w:tcW w:w="2245" w:type="dxa"/>
            <w:vMerge w:val="continue"/>
            <w:vAlign w:val="center"/>
          </w:tcPr>
          <w:p w14:paraId="7F4EB7FB">
            <w:pPr>
              <w:adjustRightInd w:val="0"/>
              <w:snapToGrid w:val="0"/>
              <w:spacing w:line="300" w:lineRule="exact"/>
              <w:jc w:val="center"/>
              <w:rPr>
                <w:color w:val="000000" w:themeColor="text1"/>
                <w:szCs w:val="21"/>
                <w14:textFill>
                  <w14:solidFill>
                    <w14:schemeClr w14:val="tx1"/>
                  </w14:solidFill>
                </w14:textFill>
              </w:rPr>
            </w:pPr>
          </w:p>
        </w:tc>
        <w:tc>
          <w:tcPr>
            <w:tcW w:w="1757" w:type="dxa"/>
            <w:vMerge w:val="continue"/>
            <w:vAlign w:val="center"/>
          </w:tcPr>
          <w:p w14:paraId="09F51EFC">
            <w:pPr>
              <w:adjustRightInd w:val="0"/>
              <w:snapToGrid w:val="0"/>
              <w:spacing w:line="300" w:lineRule="exact"/>
              <w:jc w:val="center"/>
              <w:rPr>
                <w:color w:val="000000" w:themeColor="text1"/>
                <w:sz w:val="24"/>
                <w14:textFill>
                  <w14:solidFill>
                    <w14:schemeClr w14:val="tx1"/>
                  </w14:solidFill>
                </w14:textFill>
              </w:rPr>
            </w:pPr>
          </w:p>
        </w:tc>
      </w:tr>
      <w:tr w14:paraId="2289EB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45" w:hRule="atLeast"/>
          <w:jc w:val="center"/>
        </w:trPr>
        <w:tc>
          <w:tcPr>
            <w:tcW w:w="1778" w:type="dxa"/>
            <w:vAlign w:val="center"/>
          </w:tcPr>
          <w:p w14:paraId="235A0FDB">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声环境</w:t>
            </w:r>
          </w:p>
        </w:tc>
        <w:tc>
          <w:tcPr>
            <w:tcW w:w="1755" w:type="dxa"/>
            <w:vAlign w:val="center"/>
          </w:tcPr>
          <w:p w14:paraId="511F0944">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设备噪声</w:t>
            </w:r>
          </w:p>
        </w:tc>
        <w:tc>
          <w:tcPr>
            <w:tcW w:w="1265" w:type="dxa"/>
            <w:vAlign w:val="center"/>
          </w:tcPr>
          <w:p w14:paraId="2EB36533">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噪声</w:t>
            </w:r>
          </w:p>
        </w:tc>
        <w:tc>
          <w:tcPr>
            <w:tcW w:w="2245" w:type="dxa"/>
            <w:vAlign w:val="center"/>
          </w:tcPr>
          <w:p w14:paraId="333E13CB">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选用低噪声设备，噪声设备装设减振垫，风机进出口软连接，再通过厂房隔声等措施</w:t>
            </w:r>
          </w:p>
        </w:tc>
        <w:tc>
          <w:tcPr>
            <w:tcW w:w="1757" w:type="dxa"/>
            <w:vAlign w:val="center"/>
          </w:tcPr>
          <w:p w14:paraId="6F8A2A69">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《工业企业厂界环境噪声排放标准》（GB12348-2008）表1中2类标准的要求</w:t>
            </w:r>
          </w:p>
        </w:tc>
      </w:tr>
      <w:tr w14:paraId="3CA7CB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1778" w:type="dxa"/>
            <w:vAlign w:val="center"/>
          </w:tcPr>
          <w:p w14:paraId="202C4DE5">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电磁辐射</w:t>
            </w:r>
          </w:p>
        </w:tc>
        <w:tc>
          <w:tcPr>
            <w:tcW w:w="1755" w:type="dxa"/>
            <w:vAlign w:val="center"/>
          </w:tcPr>
          <w:p w14:paraId="5EB51485">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1265" w:type="dxa"/>
            <w:vAlign w:val="center"/>
          </w:tcPr>
          <w:p w14:paraId="63E11359">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2245" w:type="dxa"/>
            <w:vAlign w:val="center"/>
          </w:tcPr>
          <w:p w14:paraId="4CB01FCA">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1757" w:type="dxa"/>
            <w:vAlign w:val="center"/>
          </w:tcPr>
          <w:p w14:paraId="1BC055C9">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r>
      <w:tr w14:paraId="1F3DC6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778" w:type="dxa"/>
            <w:vAlign w:val="center"/>
          </w:tcPr>
          <w:p w14:paraId="0C4416C8">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固体废物</w:t>
            </w:r>
          </w:p>
        </w:tc>
        <w:tc>
          <w:tcPr>
            <w:tcW w:w="7022" w:type="dxa"/>
            <w:gridSpan w:val="4"/>
            <w:vAlign w:val="center"/>
          </w:tcPr>
          <w:p w14:paraId="2B2AAD0E">
            <w:pPr>
              <w:adjustRightInd w:val="0"/>
              <w:snapToGrid w:val="0"/>
              <w:rPr>
                <w:rFonts w:hint="eastAsia"/>
                <w:color w:val="000000" w:themeColor="text1"/>
                <w:sz w:val="24"/>
                <w:lang w:eastAsia="zh-CN"/>
                <w14:textFill>
                  <w14:solidFill>
                    <w14:schemeClr w14:val="tx1"/>
                  </w14:solidFill>
                </w14:textFill>
              </w:rPr>
            </w:pPr>
            <w:r>
              <w:rPr>
                <w:color w:val="000000" w:themeColor="text1"/>
                <w:sz w:val="24"/>
                <w14:textFill>
                  <w14:solidFill>
                    <w14:schemeClr w14:val="tx1"/>
                  </w14:solidFill>
                </w14:textFill>
              </w:rPr>
              <w:t>灰渣、除尘灰集中收集，</w:t>
            </w:r>
            <w:r>
              <w:rPr>
                <w:rFonts w:hint="eastAsia"/>
                <w:color w:val="000000" w:themeColor="text1"/>
                <w:sz w:val="24"/>
                <w14:textFill>
                  <w14:solidFill>
                    <w14:schemeClr w14:val="tx1"/>
                  </w14:solidFill>
                </w14:textFill>
              </w:rPr>
              <w:t>外售伊春市陶粒砌体有限责任公司综合利用</w:t>
            </w:r>
            <w:r>
              <w:rPr>
                <w:color w:val="000000" w:themeColor="text1"/>
                <w:sz w:val="24"/>
                <w14:textFill>
                  <w14:solidFill>
                    <w14:schemeClr w14:val="tx1"/>
                  </w14:solidFill>
                </w14:textFill>
              </w:rPr>
              <w:t>，生活垃圾环卫统一收集处理，废布袋和废离子交换树脂由厂家回收处理</w:t>
            </w:r>
            <w:r>
              <w:rPr>
                <w:rFonts w:hint="eastAsia"/>
                <w:color w:val="000000" w:themeColor="text1"/>
                <w:sz w:val="24"/>
                <w:lang w:eastAsia="zh-CN"/>
                <w14:textFill>
                  <w14:solidFill>
                    <w14:schemeClr w14:val="tx1"/>
                  </w14:solidFill>
                </w14:textFill>
              </w:rPr>
              <w:t>。</w:t>
            </w:r>
          </w:p>
          <w:p w14:paraId="30CFF448">
            <w:pPr>
              <w:adjustRightInd w:val="0"/>
              <w:snapToGrid w:val="0"/>
              <w:rPr>
                <w:rFonts w:hint="eastAsia"/>
                <w:color w:val="000000" w:themeColor="text1"/>
                <w:sz w:val="24"/>
                <w:lang w:eastAsia="zh-CN"/>
                <w14:textFill>
                  <w14:solidFill>
                    <w14:schemeClr w14:val="tx1"/>
                  </w14:solidFill>
                </w14:textFill>
              </w:rPr>
            </w:pPr>
            <w:r>
              <w:rPr>
                <w:rFonts w:hint="default" w:ascii="Times New Roman" w:hAnsi="Times New Roman" w:eastAsia="宋体" w:cs="Times New Roman"/>
                <w:bCs/>
                <w:color w:val="000000" w:themeColor="text1"/>
                <w:szCs w:val="21"/>
                <w:highlight w:val="none"/>
                <w:u w:val="none"/>
                <w:lang w:val="en-US" w:eastAsia="zh-CN"/>
                <w14:textFill>
                  <w14:solidFill>
                    <w14:schemeClr w14:val="tx1"/>
                  </w14:solidFill>
                </w14:textFill>
              </w:rPr>
              <w:t>机械维修保养产生的废机油</w:t>
            </w:r>
            <w:r>
              <w:rPr>
                <w:rFonts w:hint="eastAsia" w:ascii="Times New Roman" w:hAnsi="Times New Roman" w:eastAsia="宋体" w:cs="Times New Roman"/>
                <w:bCs/>
                <w:color w:val="000000" w:themeColor="text1"/>
                <w:szCs w:val="21"/>
                <w:highlight w:val="none"/>
                <w:u w:val="none"/>
                <w:lang w:val="en-US" w:eastAsia="zh-CN"/>
                <w14:textFill>
                  <w14:solidFill>
                    <w14:schemeClr w14:val="tx1"/>
                  </w14:solidFill>
                </w14:textFill>
              </w:rPr>
              <w:t>（</w:t>
            </w:r>
            <w:r>
              <w:rPr>
                <w:rFonts w:hint="eastAsia" w:cs="Times New Roman"/>
                <w:bCs/>
                <w:color w:val="000000" w:themeColor="text1"/>
                <w:szCs w:val="21"/>
                <w:highlight w:val="none"/>
                <w:u w:val="none"/>
                <w:lang w:val="en-US" w:eastAsia="zh-CN"/>
                <w14:textFill>
                  <w14:solidFill>
                    <w14:schemeClr w14:val="tx1"/>
                  </w14:solidFill>
                </w14:textFill>
              </w:rPr>
              <w:t>废机油</w:t>
            </w:r>
            <w:r>
              <w:rPr>
                <w:rFonts w:hint="eastAsia" w:ascii="Times New Roman" w:hAnsi="Times New Roman" w:eastAsia="宋体" w:cs="Times New Roman"/>
                <w:bCs/>
                <w:color w:val="000000" w:themeColor="text1"/>
                <w:szCs w:val="21"/>
                <w:highlight w:val="none"/>
                <w:u w:val="none"/>
                <w:lang w:val="en-US" w:eastAsia="zh-CN"/>
                <w14:textFill>
                  <w14:solidFill>
                    <w14:schemeClr w14:val="tx1"/>
                  </w14:solidFill>
                </w14:textFill>
              </w:rPr>
              <w:t>）</w:t>
            </w:r>
            <w:r>
              <w:rPr>
                <w:rFonts w:hint="default" w:ascii="Times New Roman" w:hAnsi="Times New Roman" w:eastAsia="宋体" w:cs="Times New Roman"/>
                <w:bCs/>
                <w:color w:val="000000" w:themeColor="text1"/>
                <w:szCs w:val="21"/>
                <w:highlight w:val="none"/>
                <w:u w:val="none"/>
                <w:lang w:val="en-US" w:eastAsia="zh-CN"/>
                <w14:textFill>
                  <w14:solidFill>
                    <w14:schemeClr w14:val="tx1"/>
                  </w14:solidFill>
                </w14:textFill>
              </w:rPr>
              <w:t>、</w:t>
            </w:r>
            <w:r>
              <w:rPr>
                <w:rFonts w:hint="eastAsia" w:ascii="Times New Roman" w:hAnsi="Times New Roman" w:eastAsia="宋体" w:cs="Times New Roman"/>
                <w:bCs/>
                <w:color w:val="000000" w:themeColor="text1"/>
                <w:szCs w:val="21"/>
                <w:highlight w:val="none"/>
                <w:u w:val="none"/>
                <w:lang w:val="en-US" w:eastAsia="zh-CN"/>
                <w14:textFill>
                  <w14:solidFill>
                    <w14:schemeClr w14:val="tx1"/>
                  </w14:solidFill>
                </w14:textFill>
              </w:rPr>
              <w:t>废油桶、</w:t>
            </w:r>
            <w:r>
              <w:rPr>
                <w:rFonts w:hint="default" w:ascii="Times New Roman" w:hAnsi="Times New Roman" w:eastAsia="宋体" w:cs="Times New Roman"/>
                <w:bCs/>
                <w:color w:val="000000" w:themeColor="text1"/>
                <w:szCs w:val="21"/>
                <w:highlight w:val="none"/>
                <w:u w:val="none"/>
                <w:lang w:val="en-US" w:eastAsia="zh-CN"/>
                <w14:textFill>
                  <w14:solidFill>
                    <w14:schemeClr w14:val="tx1"/>
                  </w14:solidFill>
                </w14:textFill>
              </w:rPr>
              <w:t>含油棉布、手套</w:t>
            </w:r>
            <w:r>
              <w:rPr>
                <w:rFonts w:hint="eastAsia" w:ascii="Times New Roman" w:hAnsi="Times New Roman" w:eastAsia="宋体" w:cs="Times New Roman"/>
                <w:bCs/>
                <w:color w:val="000000" w:themeColor="text1"/>
                <w:szCs w:val="21"/>
                <w:highlight w:val="none"/>
                <w:u w:val="none"/>
                <w:lang w:val="en-US" w:eastAsia="zh-CN"/>
                <w14:textFill>
                  <w14:solidFill>
                    <w14:schemeClr w14:val="tx1"/>
                  </w14:solidFill>
                </w14:textFill>
              </w:rPr>
              <w:t>属于</w:t>
            </w:r>
            <w:r>
              <w:rPr>
                <w:rFonts w:ascii="Times New Roman" w:hAnsi="Times New Roman" w:eastAsia="宋体" w:cs="Times New Roman"/>
                <w:color w:val="000000" w:themeColor="text1"/>
                <w:sz w:val="21"/>
                <w:szCs w:val="21"/>
                <w:highlight w:val="none"/>
                <w14:textFill>
                  <w14:solidFill>
                    <w14:schemeClr w14:val="tx1"/>
                  </w14:solidFill>
                </w14:textFill>
              </w:rPr>
              <w:t>危险废物，</w:t>
            </w:r>
            <w:r>
              <w:rPr>
                <w:rFonts w:hint="eastAsia" w:cs="Times New Roman"/>
                <w:color w:val="000000" w:themeColor="text1"/>
                <w:sz w:val="21"/>
                <w:szCs w:val="21"/>
                <w:highlight w:val="none"/>
                <w:lang w:val="en-US" w:eastAsia="zh-CN"/>
                <w14:textFill>
                  <w14:solidFill>
                    <w14:schemeClr w14:val="tx1"/>
                  </w14:solidFill>
                </w14:textFill>
              </w:rPr>
              <w:t>暂存于危险废物贮存库，交有资质单位处置</w:t>
            </w:r>
            <w:r>
              <w:rPr>
                <w:rFonts w:ascii="Times New Roman" w:hAnsi="Times New Roman" w:eastAsia="宋体" w:cs="Times New Roman"/>
                <w:color w:val="000000" w:themeColor="text1"/>
                <w:sz w:val="21"/>
                <w:szCs w:val="21"/>
                <w:highlight w:val="none"/>
                <w14:textFill>
                  <w14:solidFill>
                    <w14:schemeClr w14:val="tx1"/>
                  </w14:solidFill>
                </w14:textFill>
              </w:rPr>
              <w:t>。</w:t>
            </w:r>
          </w:p>
        </w:tc>
      </w:tr>
      <w:tr w14:paraId="757C9F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1778" w:type="dxa"/>
            <w:vAlign w:val="center"/>
          </w:tcPr>
          <w:p w14:paraId="20075D4F">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土壤及地下水</w:t>
            </w:r>
          </w:p>
          <w:p w14:paraId="5593562C">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污染防治措施</w:t>
            </w:r>
          </w:p>
        </w:tc>
        <w:tc>
          <w:tcPr>
            <w:tcW w:w="7022" w:type="dxa"/>
            <w:gridSpan w:val="4"/>
            <w:vAlign w:val="center"/>
          </w:tcPr>
          <w:p w14:paraId="1A727B00">
            <w:pPr>
              <w:pStyle w:val="147"/>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重点防渗区：</w:t>
            </w:r>
            <w:r>
              <w:rPr>
                <w:rFonts w:hint="eastAsia" w:cs="Times New Roman"/>
                <w:color w:val="000000" w:themeColor="text1"/>
                <w:sz w:val="24"/>
                <w:szCs w:val="24"/>
                <w:highlight w:val="none"/>
                <w:lang w:val="en-US" w:eastAsia="zh-CN"/>
                <w14:textFill>
                  <w14:solidFill>
                    <w14:schemeClr w14:val="tx1"/>
                  </w14:solidFill>
                </w14:textFill>
              </w:rPr>
              <w:t>危险废物贮存库</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eastAsiaTheme="minorEastAsia"/>
                <w:color w:val="000000" w:themeColor="text1"/>
                <w:kern w:val="0"/>
                <w:sz w:val="24"/>
                <w:szCs w:val="20"/>
                <w:highlight w:val="none"/>
                <w:lang w:val="en-US" w:eastAsia="zh-CN" w:bidi="ar-SA"/>
                <w14:textFill>
                  <w14:solidFill>
                    <w14:schemeClr w14:val="tx1"/>
                  </w14:solidFill>
                </w14:textFill>
              </w:rPr>
              <w:t>危险废物贮存库</w:t>
            </w:r>
            <w:r>
              <w:rPr>
                <w:rFonts w:hint="default" w:ascii="Times New Roman" w:hAnsi="Times New Roman" w:cs="Times New Roman" w:eastAsiaTheme="minorEastAsia"/>
                <w:color w:val="000000" w:themeColor="text1"/>
                <w:kern w:val="0"/>
                <w:sz w:val="24"/>
                <w:szCs w:val="20"/>
                <w:highlight w:val="none"/>
                <w:lang w:val="en-US" w:eastAsia="zh-CN" w:bidi="ar-SA"/>
                <w14:textFill>
                  <w14:solidFill>
                    <w14:schemeClr w14:val="tx1"/>
                  </w14:solidFill>
                </w14:textFill>
              </w:rPr>
              <w:t>依据《危险废物贮存污染控制标准》（GB18597-2023）要求设置防渗设施后，参照《环境影响评价技术导则地下水环境》（HJ610-2016），项目场地可达到《环境影响评价技术导则地下水环境》（HJ610-2016）中重点防渗区的相关要求。</w:t>
            </w:r>
          </w:p>
          <w:p w14:paraId="758DCBE8">
            <w:pPr>
              <w:pStyle w:val="147"/>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一般防渗区：</w:t>
            </w:r>
            <w:r>
              <w:rPr>
                <w:rFonts w:hint="eastAsia" w:cs="Times New Roman"/>
                <w:color w:val="000000" w:themeColor="text1"/>
                <w:sz w:val="24"/>
                <w:szCs w:val="24"/>
                <w:highlight w:val="none"/>
                <w:lang w:val="en-US" w:eastAsia="zh-CN"/>
                <w14:textFill>
                  <w14:solidFill>
                    <w14:schemeClr w14:val="tx1"/>
                  </w14:solidFill>
                </w14:textFill>
              </w:rPr>
              <w:t>锅炉房、灰渣库和燃料库</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。区域仅散落粉尘、少量跑冒滴漏物料，地下水污染风险中等，防渗标准为等效黏土防渗层Mb≥1.5m，渗透系数K≤1×10</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cm；地面采用C30抗渗混凝土地面，设置地面截排水沟，库体墙面底部做防渗踢脚线，管道管沟铺设防渗垫层。化粪池池体整体做防渗防腐处理，池壁、池底无裂缝渗漏</w:t>
            </w:r>
            <w:r>
              <w:rPr>
                <w:rFonts w:hint="eastAsia" w:cs="Times New Roman"/>
                <w:color w:val="000000" w:themeColor="text1"/>
                <w:sz w:val="24"/>
                <w:szCs w:val="24"/>
                <w:highlight w:val="none"/>
                <w:lang w:val="en-US" w:eastAsia="zh-CN"/>
                <w14:textFill>
                  <w14:solidFill>
                    <w14:schemeClr w14:val="tx1"/>
                  </w14:solidFill>
                </w14:textFill>
              </w:rPr>
              <w:t>。</w:t>
            </w:r>
          </w:p>
          <w:p w14:paraId="4ED7A1E0">
            <w:pPr>
              <w:pStyle w:val="147"/>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简单防渗区：厂区主干道、绿化区域。无液态污染物储存、生产活动，仅采用普通混凝土硬化地面，满足雨水径流阻隔基础要求，不设置专项防渗衬层。</w:t>
            </w:r>
          </w:p>
        </w:tc>
      </w:tr>
      <w:tr w14:paraId="0D6575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1778" w:type="dxa"/>
            <w:vAlign w:val="center"/>
          </w:tcPr>
          <w:p w14:paraId="490C8B97">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生态保护措施</w:t>
            </w:r>
          </w:p>
        </w:tc>
        <w:tc>
          <w:tcPr>
            <w:tcW w:w="7022" w:type="dxa"/>
            <w:gridSpan w:val="4"/>
            <w:vAlign w:val="center"/>
          </w:tcPr>
          <w:p w14:paraId="0153F833">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无</w:t>
            </w:r>
          </w:p>
        </w:tc>
      </w:tr>
      <w:tr w14:paraId="23B01A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1778" w:type="dxa"/>
            <w:vAlign w:val="center"/>
          </w:tcPr>
          <w:p w14:paraId="0869BDD3">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环境风险</w:t>
            </w:r>
          </w:p>
          <w:p w14:paraId="5BA3F386">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防范措施</w:t>
            </w:r>
          </w:p>
        </w:tc>
        <w:tc>
          <w:tcPr>
            <w:tcW w:w="7022" w:type="dxa"/>
            <w:gridSpan w:val="4"/>
            <w:vAlign w:val="center"/>
          </w:tcPr>
          <w:p w14:paraId="3BC22FCA">
            <w:pPr>
              <w:pStyle w:val="132"/>
              <w:spacing w:line="300" w:lineRule="exact"/>
              <w:ind w:firstLine="0" w:firstLineChars="0"/>
              <w:jc w:val="center"/>
              <w:rPr>
                <w:rFonts w:eastAsia="宋体"/>
                <w:color w:val="000000" w:themeColor="text1"/>
                <w:sz w:val="24"/>
                <w:szCs w:val="24"/>
                <w14:textFill>
                  <w14:solidFill>
                    <w14:schemeClr w14:val="tx1"/>
                  </w14:solidFill>
                </w14:textFill>
              </w:rPr>
            </w:pPr>
            <w:r>
              <w:rPr>
                <w:rFonts w:eastAsia="宋体"/>
                <w:color w:val="000000" w:themeColor="text1"/>
                <w:sz w:val="24"/>
                <w:szCs w:val="24"/>
                <w14:textFill>
                  <w14:solidFill>
                    <w14:schemeClr w14:val="tx1"/>
                  </w14:solidFill>
                </w14:textFill>
              </w:rPr>
              <w:t>无</w:t>
            </w:r>
          </w:p>
        </w:tc>
      </w:tr>
      <w:tr w14:paraId="559C9A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1778" w:type="dxa"/>
            <w:vAlign w:val="center"/>
          </w:tcPr>
          <w:p w14:paraId="36058E9A">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其他环境</w:t>
            </w:r>
          </w:p>
          <w:p w14:paraId="0E3C6CA3">
            <w:pPr>
              <w:adjustRightInd w:val="0"/>
              <w:snapToGrid w:val="0"/>
              <w:spacing w:line="3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管理要求</w:t>
            </w:r>
          </w:p>
        </w:tc>
        <w:tc>
          <w:tcPr>
            <w:tcW w:w="7022" w:type="dxa"/>
            <w:gridSpan w:val="4"/>
            <w:vAlign w:val="center"/>
          </w:tcPr>
          <w:p w14:paraId="3F204FA7">
            <w:pPr>
              <w:adjustRightInd w:val="0"/>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根据《固定污染源排污许可分类管理名录》（2019年版），本项目建成后，排污单位为“三十九、电力、热力生产和供应业44、96、热力生产和供应443”，中单台且合计出力20吨/小时（14兆瓦）以下的锅炉（不含电热锅炉和单台且合计出力1吨/小时（0.7兆瓦）及以下的天然气锅炉），需要进行排污许可证简化管理。</w:t>
            </w:r>
          </w:p>
        </w:tc>
      </w:tr>
    </w:tbl>
    <w:p w14:paraId="73DF07DE">
      <w:pPr>
        <w:pStyle w:val="20"/>
        <w:snapToGrid w:val="0"/>
        <w:spacing w:before="0" w:beforeAutospacing="0" w:after="0" w:afterAutospacing="0" w:line="360" w:lineRule="auto"/>
        <w:jc w:val="center"/>
        <w:outlineLvl w:val="0"/>
        <w:rPr>
          <w:rFonts w:ascii="Times New Roman" w:hAnsi="Times New Roman" w:eastAsia="黑体"/>
          <w:snapToGrid w:val="0"/>
          <w:color w:val="000000" w:themeColor="text1"/>
          <w:sz w:val="30"/>
          <w:szCs w:val="30"/>
          <w14:textFill>
            <w14:solidFill>
              <w14:schemeClr w14:val="tx1"/>
            </w14:solidFill>
          </w14:textFill>
        </w:rPr>
      </w:pPr>
      <w:r>
        <w:rPr>
          <w:rFonts w:ascii="Times New Roman" w:hAnsi="Times New Roman"/>
          <w:snapToGrid w:val="0"/>
          <w:color w:val="000000" w:themeColor="text1"/>
          <w14:textFill>
            <w14:solidFill>
              <w14:schemeClr w14:val="tx1"/>
            </w14:solidFill>
          </w14:textFill>
        </w:rPr>
        <w:br w:type="page"/>
      </w:r>
      <w:bookmarkStart w:id="45" w:name="_Toc30963"/>
      <w:bookmarkStart w:id="46" w:name="_Toc8155"/>
      <w:r>
        <w:rPr>
          <w:rFonts w:ascii="Times New Roman" w:hAnsi="Times New Roman" w:eastAsia="黑体"/>
          <w:snapToGrid w:val="0"/>
          <w:color w:val="000000" w:themeColor="text1"/>
          <w:sz w:val="30"/>
          <w:szCs w:val="30"/>
          <w14:textFill>
            <w14:solidFill>
              <w14:schemeClr w14:val="tx1"/>
            </w14:solidFill>
          </w14:textFill>
        </w:rPr>
        <w:t>六、结论</w:t>
      </w:r>
      <w:bookmarkEnd w:id="45"/>
      <w:bookmarkEnd w:id="46"/>
    </w:p>
    <w:tbl>
      <w:tblPr>
        <w:tblStyle w:val="2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3458D0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tcPr>
          <w:p w14:paraId="4E3DCFC6">
            <w:pPr>
              <w:adjustRightInd w:val="0"/>
              <w:snapToGrid w:val="0"/>
              <w:spacing w:line="360" w:lineRule="auto"/>
              <w:ind w:firstLine="480" w:firstLineChars="200"/>
              <w:rPr>
                <w:color w:val="000000" w:themeColor="text1"/>
                <w:szCs w:val="21"/>
                <w14:textFill>
                  <w14:solidFill>
                    <w14:schemeClr w14:val="tx1"/>
                  </w14:solidFill>
                </w14:textFill>
              </w:rPr>
            </w:pPr>
            <w:r>
              <w:rPr>
                <w:color w:val="000000" w:themeColor="text1"/>
                <w:sz w:val="24"/>
                <w14:textFill>
                  <w14:solidFill>
                    <w14:schemeClr w14:val="tx1"/>
                  </w14:solidFill>
                </w14:textFill>
              </w:rPr>
              <w:t>本项</w:t>
            </w:r>
            <w:r>
              <w:rPr>
                <w:rFonts w:hint="eastAsia"/>
                <w:color w:val="000000" w:themeColor="text1"/>
                <w:sz w:val="24"/>
                <w14:textFill>
                  <w14:solidFill>
                    <w14:schemeClr w14:val="tx1"/>
                  </w14:solidFill>
                </w14:textFill>
              </w:rPr>
              <w:t>目在</w:t>
            </w:r>
            <w:r>
              <w:rPr>
                <w:color w:val="000000" w:themeColor="text1"/>
                <w:sz w:val="24"/>
                <w14:textFill>
                  <w14:solidFill>
                    <w14:schemeClr w14:val="tx1"/>
                  </w14:solidFill>
                </w14:textFill>
              </w:rPr>
              <w:t>施工和运营中将会对评价范围的地表水环境、环境空气、声环境产生一定的不利影响，本项目在确保严格落实本报告表提出的污染物防治措施的前提下，对地表水环境、环境空气、声环境等的影响较小，可以被周围环境所接受。因此，本项目的建设从环境保护的角度而言是可行的。</w:t>
            </w:r>
          </w:p>
        </w:tc>
      </w:tr>
    </w:tbl>
    <w:p w14:paraId="4E3606E3">
      <w:pPr>
        <w:rPr>
          <w:color w:val="000000" w:themeColor="text1"/>
          <w14:textFill>
            <w14:solidFill>
              <w14:schemeClr w14:val="tx1"/>
            </w14:solidFill>
          </w14:textFill>
        </w:rPr>
        <w:sectPr>
          <w:pgSz w:w="11906" w:h="16838"/>
          <w:pgMar w:top="1440" w:right="1800" w:bottom="1440" w:left="1800" w:header="851" w:footer="851" w:gutter="0"/>
          <w:cols w:space="720" w:num="1"/>
          <w:docGrid w:linePitch="312" w:charSpace="0"/>
        </w:sectPr>
      </w:pPr>
    </w:p>
    <w:p w14:paraId="09B31E71">
      <w:pPr>
        <w:pStyle w:val="20"/>
        <w:snapToGrid w:val="0"/>
        <w:spacing w:before="0" w:beforeAutospacing="0" w:after="0" w:afterAutospacing="0" w:line="360" w:lineRule="auto"/>
        <w:outlineLvl w:val="0"/>
        <w:rPr>
          <w:rFonts w:ascii="Times New Roman" w:hAnsi="Times New Roman"/>
          <w:color w:val="000000" w:themeColor="text1"/>
          <w14:textFill>
            <w14:solidFill>
              <w14:schemeClr w14:val="tx1"/>
            </w14:solidFill>
          </w14:textFill>
        </w:rPr>
      </w:pPr>
      <w:bookmarkStart w:id="47" w:name="_Toc4565"/>
      <w:bookmarkStart w:id="48" w:name="_Toc32148"/>
      <w:r>
        <w:rPr>
          <w:rFonts w:ascii="Times New Roman" w:hAnsi="Times New Roman" w:eastAsia="黑体"/>
          <w:snapToGrid w:val="0"/>
          <w:color w:val="000000" w:themeColor="text1"/>
          <w:sz w:val="30"/>
          <w:szCs w:val="30"/>
          <w14:textFill>
            <w14:solidFill>
              <w14:schemeClr w14:val="tx1"/>
            </w14:solidFill>
          </w14:textFill>
        </w:rPr>
        <w:t>附表</w:t>
      </w:r>
      <w:bookmarkEnd w:id="47"/>
      <w:bookmarkEnd w:id="48"/>
    </w:p>
    <w:p w14:paraId="37A37EB6">
      <w:pPr>
        <w:pStyle w:val="136"/>
        <w:jc w:val="both"/>
        <w:rPr>
          <w:color w:val="000000" w:themeColor="text1"/>
          <w14:textFill>
            <w14:solidFill>
              <w14:schemeClr w14:val="tx1"/>
            </w14:solidFill>
          </w14:textFill>
        </w:rPr>
      </w:pPr>
    </w:p>
    <w:p w14:paraId="1640E5A9">
      <w:pPr>
        <w:jc w:val="center"/>
        <w:rPr>
          <w:color w:val="000000" w:themeColor="text1"/>
          <w:sz w:val="28"/>
          <w:szCs w:val="28"/>
          <w14:textFill>
            <w14:solidFill>
              <w14:schemeClr w14:val="tx1"/>
            </w14:solidFill>
          </w14:textFill>
        </w:rPr>
      </w:pPr>
      <w:bookmarkStart w:id="49" w:name="_Toc3439"/>
      <w:bookmarkStart w:id="50" w:name="_Toc15726"/>
      <w:r>
        <w:rPr>
          <w:color w:val="000000" w:themeColor="text1"/>
          <w:sz w:val="28"/>
          <w:szCs w:val="28"/>
          <w14:textFill>
            <w14:solidFill>
              <w14:schemeClr w14:val="tx1"/>
            </w14:solidFill>
          </w14:textFill>
        </w:rPr>
        <w:t>建设项目污染物排放量汇总表</w:t>
      </w:r>
      <w:bookmarkEnd w:id="49"/>
      <w:bookmarkEnd w:id="50"/>
    </w:p>
    <w:tbl>
      <w:tblPr>
        <w:tblStyle w:val="24"/>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276"/>
        <w:gridCol w:w="1701"/>
        <w:gridCol w:w="1559"/>
        <w:gridCol w:w="1761"/>
        <w:gridCol w:w="1499"/>
        <w:gridCol w:w="1286"/>
      </w:tblGrid>
      <w:tr w14:paraId="44C5EF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88" w:type="dxa"/>
            <w:tcBorders>
              <w:tl2br w:val="single" w:color="auto" w:sz="4" w:space="0"/>
            </w:tcBorders>
            <w:tcMar>
              <w:left w:w="28" w:type="dxa"/>
              <w:right w:w="28" w:type="dxa"/>
            </w:tcMar>
            <w:vAlign w:val="center"/>
          </w:tcPr>
          <w:p w14:paraId="52B73A31">
            <w:pPr>
              <w:pStyle w:val="62"/>
              <w:spacing w:beforeLines="0" w:afterLines="0" w:line="240" w:lineRule="auto"/>
              <w:ind w:firstLine="456"/>
              <w:jc w:val="right"/>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t>项目</w:t>
            </w:r>
          </w:p>
          <w:p w14:paraId="5A4053AC">
            <w:pPr>
              <w:pStyle w:val="62"/>
              <w:spacing w:beforeLines="0" w:afterLines="0" w:line="240" w:lineRule="auto"/>
              <w:ind w:firstLine="456"/>
              <w:jc w:val="left"/>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t>分类</w:t>
            </w:r>
          </w:p>
        </w:tc>
        <w:tc>
          <w:tcPr>
            <w:tcW w:w="1417" w:type="dxa"/>
            <w:tcMar>
              <w:left w:w="28" w:type="dxa"/>
              <w:right w:w="28" w:type="dxa"/>
            </w:tcMar>
            <w:vAlign w:val="center"/>
          </w:tcPr>
          <w:p w14:paraId="70D6E092">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污染物名称</w:t>
            </w:r>
          </w:p>
        </w:tc>
        <w:tc>
          <w:tcPr>
            <w:tcW w:w="1701" w:type="dxa"/>
            <w:tcMar>
              <w:left w:w="28" w:type="dxa"/>
              <w:right w:w="28" w:type="dxa"/>
            </w:tcMar>
            <w:vAlign w:val="center"/>
          </w:tcPr>
          <w:p w14:paraId="7E72413D">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现有工程</w:t>
            </w:r>
          </w:p>
          <w:p w14:paraId="003DB946">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排放量（固体废物产生量）</w:t>
            </w:r>
            <w:r>
              <w:rPr>
                <w:color w:val="000000" w:themeColor="text1"/>
                <w:kern w:val="0"/>
                <w:szCs w:val="21"/>
                <w14:textFill>
                  <w14:solidFill>
                    <w14:schemeClr w14:val="tx1"/>
                  </w14:solidFill>
                </w14:textFill>
              </w:rPr>
              <w:fldChar w:fldCharType="begin"/>
            </w:r>
            <w:r>
              <w:rPr>
                <w:color w:val="000000" w:themeColor="text1"/>
                <w:kern w:val="0"/>
                <w:szCs w:val="21"/>
                <w14:textFill>
                  <w14:solidFill>
                    <w14:schemeClr w14:val="tx1"/>
                  </w14:solidFill>
                </w14:textFill>
              </w:rPr>
              <w:instrText xml:space="preserve"> = 1 \* GB3 \* MERGEFORMAT </w:instrText>
            </w:r>
            <w:r>
              <w:rPr>
                <w:color w:val="000000" w:themeColor="text1"/>
                <w:kern w:val="0"/>
                <w:szCs w:val="21"/>
                <w14:textFill>
                  <w14:solidFill>
                    <w14:schemeClr w14:val="tx1"/>
                  </w14:solidFill>
                </w14:textFill>
              </w:rPr>
              <w:fldChar w:fldCharType="separate"/>
            </w:r>
            <w:r>
              <w:rPr>
                <w:color w:val="000000" w:themeColor="text1"/>
                <w:kern w:val="0"/>
                <w:szCs w:val="21"/>
                <w14:textFill>
                  <w14:solidFill>
                    <w14:schemeClr w14:val="tx1"/>
                  </w14:solidFill>
                </w14:textFill>
              </w:rPr>
              <w:t>①</w:t>
            </w:r>
            <w:r>
              <w:rPr>
                <w:color w:val="000000" w:themeColor="text1"/>
                <w:kern w:val="0"/>
                <w:szCs w:val="21"/>
                <w14:textFill>
                  <w14:solidFill>
                    <w14:schemeClr w14:val="tx1"/>
                  </w14:solidFill>
                </w14:textFill>
              </w:rPr>
              <w:fldChar w:fldCharType="end"/>
            </w:r>
          </w:p>
        </w:tc>
        <w:tc>
          <w:tcPr>
            <w:tcW w:w="1276" w:type="dxa"/>
            <w:tcMar>
              <w:left w:w="28" w:type="dxa"/>
              <w:right w:w="28" w:type="dxa"/>
            </w:tcMar>
            <w:vAlign w:val="center"/>
          </w:tcPr>
          <w:p w14:paraId="5AF96C7F">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现有工程</w:t>
            </w:r>
          </w:p>
          <w:p w14:paraId="2DC43B93">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许可排放量</w:t>
            </w:r>
          </w:p>
          <w:p w14:paraId="5C2E4CCB">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fldChar w:fldCharType="begin"/>
            </w:r>
            <w:r>
              <w:rPr>
                <w:color w:val="000000" w:themeColor="text1"/>
                <w:kern w:val="0"/>
                <w:szCs w:val="21"/>
                <w14:textFill>
                  <w14:solidFill>
                    <w14:schemeClr w14:val="tx1"/>
                  </w14:solidFill>
                </w14:textFill>
              </w:rPr>
              <w:instrText xml:space="preserve"> = 2 \* GB3 \* MERGEFORMAT </w:instrText>
            </w:r>
            <w:r>
              <w:rPr>
                <w:color w:val="000000" w:themeColor="text1"/>
                <w:kern w:val="0"/>
                <w:szCs w:val="21"/>
                <w14:textFill>
                  <w14:solidFill>
                    <w14:schemeClr w14:val="tx1"/>
                  </w14:solidFill>
                </w14:textFill>
              </w:rPr>
              <w:fldChar w:fldCharType="separate"/>
            </w:r>
            <w:r>
              <w:rPr>
                <w:color w:val="000000" w:themeColor="text1"/>
                <w:kern w:val="0"/>
                <w:szCs w:val="21"/>
                <w14:textFill>
                  <w14:solidFill>
                    <w14:schemeClr w14:val="tx1"/>
                  </w14:solidFill>
                </w14:textFill>
              </w:rPr>
              <w:t>②</w:t>
            </w:r>
            <w:r>
              <w:rPr>
                <w:color w:val="000000" w:themeColor="text1"/>
                <w:kern w:val="0"/>
                <w:szCs w:val="21"/>
                <w14:textFill>
                  <w14:solidFill>
                    <w14:schemeClr w14:val="tx1"/>
                  </w14:solidFill>
                </w14:textFill>
              </w:rPr>
              <w:fldChar w:fldCharType="end"/>
            </w:r>
          </w:p>
        </w:tc>
        <w:tc>
          <w:tcPr>
            <w:tcW w:w="1701" w:type="dxa"/>
            <w:tcMar>
              <w:left w:w="28" w:type="dxa"/>
              <w:right w:w="28" w:type="dxa"/>
            </w:tcMar>
            <w:vAlign w:val="center"/>
          </w:tcPr>
          <w:p w14:paraId="7744F224">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在建工程</w:t>
            </w:r>
          </w:p>
          <w:p w14:paraId="2B0A4C96">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排放量（固体废物产生量）</w:t>
            </w:r>
            <w:r>
              <w:rPr>
                <w:color w:val="000000" w:themeColor="text1"/>
                <w:kern w:val="0"/>
                <w:szCs w:val="21"/>
                <w14:textFill>
                  <w14:solidFill>
                    <w14:schemeClr w14:val="tx1"/>
                  </w14:solidFill>
                </w14:textFill>
              </w:rPr>
              <w:fldChar w:fldCharType="begin"/>
            </w:r>
            <w:r>
              <w:rPr>
                <w:color w:val="000000" w:themeColor="text1"/>
                <w:kern w:val="0"/>
                <w:szCs w:val="21"/>
                <w14:textFill>
                  <w14:solidFill>
                    <w14:schemeClr w14:val="tx1"/>
                  </w14:solidFill>
                </w14:textFill>
              </w:rPr>
              <w:instrText xml:space="preserve"> = 3 \* GB3 \* MERGEFORMAT </w:instrText>
            </w:r>
            <w:r>
              <w:rPr>
                <w:color w:val="000000" w:themeColor="text1"/>
                <w:kern w:val="0"/>
                <w:szCs w:val="21"/>
                <w14:textFill>
                  <w14:solidFill>
                    <w14:schemeClr w14:val="tx1"/>
                  </w14:solidFill>
                </w14:textFill>
              </w:rPr>
              <w:fldChar w:fldCharType="separate"/>
            </w:r>
            <w:r>
              <w:rPr>
                <w:color w:val="000000" w:themeColor="text1"/>
                <w:kern w:val="0"/>
                <w:szCs w:val="21"/>
                <w14:textFill>
                  <w14:solidFill>
                    <w14:schemeClr w14:val="tx1"/>
                  </w14:solidFill>
                </w14:textFill>
              </w:rPr>
              <w:t>③</w:t>
            </w:r>
            <w:r>
              <w:rPr>
                <w:color w:val="000000" w:themeColor="text1"/>
                <w:kern w:val="0"/>
                <w:szCs w:val="21"/>
                <w14:textFill>
                  <w14:solidFill>
                    <w14:schemeClr w14:val="tx1"/>
                  </w14:solidFill>
                </w14:textFill>
              </w:rPr>
              <w:fldChar w:fldCharType="end"/>
            </w:r>
          </w:p>
        </w:tc>
        <w:tc>
          <w:tcPr>
            <w:tcW w:w="1559" w:type="dxa"/>
            <w:tcMar>
              <w:left w:w="28" w:type="dxa"/>
              <w:right w:w="28" w:type="dxa"/>
            </w:tcMar>
            <w:vAlign w:val="center"/>
          </w:tcPr>
          <w:p w14:paraId="4528D38F">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本项目</w:t>
            </w:r>
          </w:p>
          <w:p w14:paraId="4A48F036">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排放量（固体废物产生量）</w:t>
            </w:r>
            <w:r>
              <w:rPr>
                <w:color w:val="000000" w:themeColor="text1"/>
                <w:kern w:val="0"/>
                <w:szCs w:val="21"/>
                <w14:textFill>
                  <w14:solidFill>
                    <w14:schemeClr w14:val="tx1"/>
                  </w14:solidFill>
                </w14:textFill>
              </w:rPr>
              <w:fldChar w:fldCharType="begin"/>
            </w:r>
            <w:r>
              <w:rPr>
                <w:color w:val="000000" w:themeColor="text1"/>
                <w:kern w:val="0"/>
                <w:szCs w:val="21"/>
                <w14:textFill>
                  <w14:solidFill>
                    <w14:schemeClr w14:val="tx1"/>
                  </w14:solidFill>
                </w14:textFill>
              </w:rPr>
              <w:instrText xml:space="preserve"> = 4 \* GB3 \* MERGEFORMAT </w:instrText>
            </w:r>
            <w:r>
              <w:rPr>
                <w:color w:val="000000" w:themeColor="text1"/>
                <w:kern w:val="0"/>
                <w:szCs w:val="21"/>
                <w14:textFill>
                  <w14:solidFill>
                    <w14:schemeClr w14:val="tx1"/>
                  </w14:solidFill>
                </w14:textFill>
              </w:rPr>
              <w:fldChar w:fldCharType="separate"/>
            </w:r>
            <w:r>
              <w:rPr>
                <w:color w:val="000000" w:themeColor="text1"/>
                <w:kern w:val="0"/>
                <w:szCs w:val="21"/>
                <w14:textFill>
                  <w14:solidFill>
                    <w14:schemeClr w14:val="tx1"/>
                  </w14:solidFill>
                </w14:textFill>
              </w:rPr>
              <w:t>④</w:t>
            </w:r>
            <w:r>
              <w:rPr>
                <w:color w:val="000000" w:themeColor="text1"/>
                <w:kern w:val="0"/>
                <w:szCs w:val="21"/>
                <w14:textFill>
                  <w14:solidFill>
                    <w14:schemeClr w14:val="tx1"/>
                  </w14:solidFill>
                </w14:textFill>
              </w:rPr>
              <w:fldChar w:fldCharType="end"/>
            </w:r>
          </w:p>
        </w:tc>
        <w:tc>
          <w:tcPr>
            <w:tcW w:w="1761" w:type="dxa"/>
            <w:tcMar>
              <w:left w:w="28" w:type="dxa"/>
              <w:right w:w="28" w:type="dxa"/>
            </w:tcMar>
            <w:vAlign w:val="center"/>
          </w:tcPr>
          <w:p w14:paraId="6B342A98">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以新带老削减量</w:t>
            </w:r>
          </w:p>
          <w:p w14:paraId="4B530766">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（新建项目不填）</w:t>
            </w:r>
            <w:r>
              <w:rPr>
                <w:color w:val="000000" w:themeColor="text1"/>
                <w:kern w:val="0"/>
                <w:szCs w:val="21"/>
                <w14:textFill>
                  <w14:solidFill>
                    <w14:schemeClr w14:val="tx1"/>
                  </w14:solidFill>
                </w14:textFill>
              </w:rPr>
              <w:fldChar w:fldCharType="begin"/>
            </w:r>
            <w:r>
              <w:rPr>
                <w:color w:val="000000" w:themeColor="text1"/>
                <w:kern w:val="0"/>
                <w:szCs w:val="21"/>
                <w14:textFill>
                  <w14:solidFill>
                    <w14:schemeClr w14:val="tx1"/>
                  </w14:solidFill>
                </w14:textFill>
              </w:rPr>
              <w:instrText xml:space="preserve"> = 5 \* GB3 \* MERGEFORMAT </w:instrText>
            </w:r>
            <w:r>
              <w:rPr>
                <w:color w:val="000000" w:themeColor="text1"/>
                <w:kern w:val="0"/>
                <w:szCs w:val="21"/>
                <w14:textFill>
                  <w14:solidFill>
                    <w14:schemeClr w14:val="tx1"/>
                  </w14:solidFill>
                </w14:textFill>
              </w:rPr>
              <w:fldChar w:fldCharType="separate"/>
            </w:r>
            <w:r>
              <w:rPr>
                <w:color w:val="000000" w:themeColor="text1"/>
                <w:kern w:val="0"/>
                <w:szCs w:val="21"/>
                <w14:textFill>
                  <w14:solidFill>
                    <w14:schemeClr w14:val="tx1"/>
                  </w14:solidFill>
                </w14:textFill>
              </w:rPr>
              <w:t>⑤</w:t>
            </w:r>
            <w:r>
              <w:rPr>
                <w:color w:val="000000" w:themeColor="text1"/>
                <w:kern w:val="0"/>
                <w:szCs w:val="21"/>
                <w14:textFill>
                  <w14:solidFill>
                    <w14:schemeClr w14:val="tx1"/>
                  </w14:solidFill>
                </w14:textFill>
              </w:rPr>
              <w:fldChar w:fldCharType="end"/>
            </w:r>
          </w:p>
        </w:tc>
        <w:tc>
          <w:tcPr>
            <w:tcW w:w="1499" w:type="dxa"/>
            <w:tcMar>
              <w:left w:w="28" w:type="dxa"/>
              <w:right w:w="28" w:type="dxa"/>
            </w:tcMar>
            <w:vAlign w:val="center"/>
          </w:tcPr>
          <w:p w14:paraId="4B4FA966">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本项目建成后</w:t>
            </w:r>
          </w:p>
          <w:p w14:paraId="4A22839F">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全厂排放量（固体废物产生量）</w:t>
            </w:r>
            <w:r>
              <w:rPr>
                <w:color w:val="000000" w:themeColor="text1"/>
                <w:kern w:val="0"/>
                <w:szCs w:val="21"/>
                <w14:textFill>
                  <w14:solidFill>
                    <w14:schemeClr w14:val="tx1"/>
                  </w14:solidFill>
                </w14:textFill>
              </w:rPr>
              <w:fldChar w:fldCharType="begin"/>
            </w:r>
            <w:r>
              <w:rPr>
                <w:color w:val="000000" w:themeColor="text1"/>
                <w:kern w:val="0"/>
                <w:szCs w:val="21"/>
                <w14:textFill>
                  <w14:solidFill>
                    <w14:schemeClr w14:val="tx1"/>
                  </w14:solidFill>
                </w14:textFill>
              </w:rPr>
              <w:instrText xml:space="preserve"> = 6 \* GB3 \* MERGEFORMAT </w:instrText>
            </w:r>
            <w:r>
              <w:rPr>
                <w:color w:val="000000" w:themeColor="text1"/>
                <w:kern w:val="0"/>
                <w:szCs w:val="21"/>
                <w14:textFill>
                  <w14:solidFill>
                    <w14:schemeClr w14:val="tx1"/>
                  </w14:solidFill>
                </w14:textFill>
              </w:rPr>
              <w:fldChar w:fldCharType="separate"/>
            </w:r>
            <w:r>
              <w:rPr>
                <w:color w:val="000000" w:themeColor="text1"/>
                <w:kern w:val="0"/>
                <w:szCs w:val="21"/>
                <w14:textFill>
                  <w14:solidFill>
                    <w14:schemeClr w14:val="tx1"/>
                  </w14:solidFill>
                </w14:textFill>
              </w:rPr>
              <w:t>⑥</w:t>
            </w:r>
            <w:r>
              <w:rPr>
                <w:color w:val="000000" w:themeColor="text1"/>
                <w:kern w:val="0"/>
                <w:szCs w:val="21"/>
                <w14:textFill>
                  <w14:solidFill>
                    <w14:schemeClr w14:val="tx1"/>
                  </w14:solidFill>
                </w14:textFill>
              </w:rPr>
              <w:fldChar w:fldCharType="end"/>
            </w:r>
          </w:p>
        </w:tc>
        <w:tc>
          <w:tcPr>
            <w:tcW w:w="1286" w:type="dxa"/>
            <w:tcMar>
              <w:left w:w="28" w:type="dxa"/>
              <w:right w:w="28" w:type="dxa"/>
            </w:tcMar>
            <w:vAlign w:val="center"/>
          </w:tcPr>
          <w:p w14:paraId="2920553D">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变化量</w:t>
            </w:r>
          </w:p>
          <w:p w14:paraId="5872BCE8">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fldChar w:fldCharType="begin"/>
            </w:r>
            <w:r>
              <w:rPr>
                <w:color w:val="000000" w:themeColor="text1"/>
                <w:kern w:val="0"/>
                <w:szCs w:val="21"/>
                <w14:textFill>
                  <w14:solidFill>
                    <w14:schemeClr w14:val="tx1"/>
                  </w14:solidFill>
                </w14:textFill>
              </w:rPr>
              <w:instrText xml:space="preserve"> = 7 \* GB3 \* MERGEFORMAT </w:instrText>
            </w:r>
            <w:r>
              <w:rPr>
                <w:color w:val="000000" w:themeColor="text1"/>
                <w:kern w:val="0"/>
                <w:szCs w:val="21"/>
                <w14:textFill>
                  <w14:solidFill>
                    <w14:schemeClr w14:val="tx1"/>
                  </w14:solidFill>
                </w14:textFill>
              </w:rPr>
              <w:fldChar w:fldCharType="separate"/>
            </w:r>
            <w:r>
              <w:rPr>
                <w:color w:val="000000" w:themeColor="text1"/>
                <w:kern w:val="0"/>
                <w:szCs w:val="21"/>
                <w14:textFill>
                  <w14:solidFill>
                    <w14:schemeClr w14:val="tx1"/>
                  </w14:solidFill>
                </w14:textFill>
              </w:rPr>
              <w:t>⑦</w:t>
            </w:r>
            <w:r>
              <w:rPr>
                <w:color w:val="000000" w:themeColor="text1"/>
                <w:kern w:val="0"/>
                <w:szCs w:val="21"/>
                <w14:textFill>
                  <w14:solidFill>
                    <w14:schemeClr w14:val="tx1"/>
                  </w14:solidFill>
                </w14:textFill>
              </w:rPr>
              <w:fldChar w:fldCharType="end"/>
            </w:r>
          </w:p>
        </w:tc>
      </w:tr>
      <w:tr w14:paraId="72954B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vAlign w:val="center"/>
          </w:tcPr>
          <w:p w14:paraId="78826F9E">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废气</w:t>
            </w:r>
          </w:p>
        </w:tc>
        <w:tc>
          <w:tcPr>
            <w:tcW w:w="1417" w:type="dxa"/>
            <w:vAlign w:val="center"/>
          </w:tcPr>
          <w:p w14:paraId="3F010A58">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颗粒物</w:t>
            </w:r>
          </w:p>
        </w:tc>
        <w:tc>
          <w:tcPr>
            <w:tcW w:w="1701" w:type="dxa"/>
            <w:vAlign w:val="center"/>
          </w:tcPr>
          <w:p w14:paraId="25F694E2">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w:t>
            </w:r>
          </w:p>
        </w:tc>
        <w:tc>
          <w:tcPr>
            <w:tcW w:w="1276" w:type="dxa"/>
            <w:vAlign w:val="center"/>
          </w:tcPr>
          <w:p w14:paraId="7FBA5D71">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w:t>
            </w:r>
          </w:p>
        </w:tc>
        <w:tc>
          <w:tcPr>
            <w:tcW w:w="1701" w:type="dxa"/>
            <w:vAlign w:val="center"/>
          </w:tcPr>
          <w:p w14:paraId="2B9FB2DC">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w:t>
            </w:r>
          </w:p>
        </w:tc>
        <w:tc>
          <w:tcPr>
            <w:tcW w:w="1559" w:type="dxa"/>
            <w:vAlign w:val="center"/>
          </w:tcPr>
          <w:p w14:paraId="289D70AC">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0.064</w:t>
            </w:r>
          </w:p>
        </w:tc>
        <w:tc>
          <w:tcPr>
            <w:tcW w:w="1761" w:type="dxa"/>
            <w:vAlign w:val="center"/>
          </w:tcPr>
          <w:p w14:paraId="3AF84CA7">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w:t>
            </w:r>
          </w:p>
        </w:tc>
        <w:tc>
          <w:tcPr>
            <w:tcW w:w="1499" w:type="dxa"/>
            <w:vAlign w:val="center"/>
          </w:tcPr>
          <w:p w14:paraId="62A17829">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0.064</w:t>
            </w:r>
          </w:p>
        </w:tc>
        <w:tc>
          <w:tcPr>
            <w:tcW w:w="1286" w:type="dxa"/>
            <w:vAlign w:val="center"/>
          </w:tcPr>
          <w:p w14:paraId="678BA066">
            <w:pPr>
              <w:jc w:val="center"/>
              <w:rPr>
                <w:color w:val="000000" w:themeColor="text1"/>
                <w:kern w:val="0"/>
                <w:szCs w:val="21"/>
                <w:highlight w:val="yellow"/>
                <w14:textFill>
                  <w14:solidFill>
                    <w14:schemeClr w14:val="tx1"/>
                  </w14:solidFill>
                </w14:textFill>
              </w:rPr>
            </w:pPr>
            <w:r>
              <w:rPr>
                <w:rFonts w:hint="eastAsia"/>
                <w:color w:val="000000" w:themeColor="text1"/>
                <w:szCs w:val="21"/>
                <w14:textFill>
                  <w14:solidFill>
                    <w14:schemeClr w14:val="tx1"/>
                  </w14:solidFill>
                </w14:textFill>
              </w:rPr>
              <w:t>+0.064</w:t>
            </w:r>
          </w:p>
        </w:tc>
      </w:tr>
      <w:tr w14:paraId="14EA18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64760E60">
            <w:pPr>
              <w:jc w:val="center"/>
              <w:rPr>
                <w:color w:val="000000" w:themeColor="text1"/>
                <w:kern w:val="0"/>
                <w:szCs w:val="21"/>
                <w14:textFill>
                  <w14:solidFill>
                    <w14:schemeClr w14:val="tx1"/>
                  </w14:solidFill>
                </w14:textFill>
              </w:rPr>
            </w:pPr>
          </w:p>
        </w:tc>
        <w:tc>
          <w:tcPr>
            <w:tcW w:w="1417" w:type="dxa"/>
            <w:vAlign w:val="center"/>
          </w:tcPr>
          <w:p w14:paraId="20127795">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SO</w:t>
            </w:r>
            <w:r>
              <w:rPr>
                <w:color w:val="000000" w:themeColor="text1"/>
                <w:kern w:val="0"/>
                <w:szCs w:val="21"/>
                <w:vertAlign w:val="subscript"/>
                <w14:textFill>
                  <w14:solidFill>
                    <w14:schemeClr w14:val="tx1"/>
                  </w14:solidFill>
                </w14:textFill>
              </w:rPr>
              <w:t>2</w:t>
            </w:r>
          </w:p>
        </w:tc>
        <w:tc>
          <w:tcPr>
            <w:tcW w:w="1701" w:type="dxa"/>
            <w:vAlign w:val="center"/>
          </w:tcPr>
          <w:p w14:paraId="7F824885">
            <w:pPr>
              <w:jc w:val="center"/>
              <w:rPr>
                <w:color w:val="000000" w:themeColor="text1"/>
                <w:kern w:val="0"/>
                <w:szCs w:val="21"/>
                <w:highlight w:val="yellow"/>
                <w14:textFill>
                  <w14:solidFill>
                    <w14:schemeClr w14:val="tx1"/>
                  </w14:solidFill>
                </w14:textFill>
              </w:rPr>
            </w:pPr>
            <w:r>
              <w:rPr>
                <w:rFonts w:hint="eastAsia"/>
                <w:color w:val="000000" w:themeColor="text1"/>
                <w:kern w:val="0"/>
                <w:szCs w:val="21"/>
                <w14:textFill>
                  <w14:solidFill>
                    <w14:schemeClr w14:val="tx1"/>
                  </w14:solidFill>
                </w14:textFill>
              </w:rPr>
              <w:t>0</w:t>
            </w:r>
          </w:p>
        </w:tc>
        <w:tc>
          <w:tcPr>
            <w:tcW w:w="1276" w:type="dxa"/>
            <w:vAlign w:val="center"/>
          </w:tcPr>
          <w:p w14:paraId="44251BC4">
            <w:pPr>
              <w:jc w:val="center"/>
              <w:rPr>
                <w:color w:val="000000" w:themeColor="text1"/>
                <w:kern w:val="0"/>
                <w:szCs w:val="21"/>
                <w:highlight w:val="yellow"/>
                <w14:textFill>
                  <w14:solidFill>
                    <w14:schemeClr w14:val="tx1"/>
                  </w14:solidFill>
                </w14:textFill>
              </w:rPr>
            </w:pPr>
            <w:r>
              <w:rPr>
                <w:rFonts w:hint="eastAsia"/>
                <w:color w:val="000000" w:themeColor="text1"/>
                <w:kern w:val="0"/>
                <w:szCs w:val="21"/>
                <w14:textFill>
                  <w14:solidFill>
                    <w14:schemeClr w14:val="tx1"/>
                  </w14:solidFill>
                </w14:textFill>
              </w:rPr>
              <w:t>0</w:t>
            </w:r>
          </w:p>
        </w:tc>
        <w:tc>
          <w:tcPr>
            <w:tcW w:w="1701" w:type="dxa"/>
            <w:vAlign w:val="center"/>
          </w:tcPr>
          <w:p w14:paraId="5EA6F502">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w:t>
            </w:r>
          </w:p>
        </w:tc>
        <w:tc>
          <w:tcPr>
            <w:tcW w:w="1559" w:type="dxa"/>
            <w:vAlign w:val="center"/>
          </w:tcPr>
          <w:p w14:paraId="46124084">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0.059</w:t>
            </w:r>
          </w:p>
        </w:tc>
        <w:tc>
          <w:tcPr>
            <w:tcW w:w="1761" w:type="dxa"/>
            <w:vAlign w:val="center"/>
          </w:tcPr>
          <w:p w14:paraId="4541EC48">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w:t>
            </w:r>
          </w:p>
        </w:tc>
        <w:tc>
          <w:tcPr>
            <w:tcW w:w="1499" w:type="dxa"/>
            <w:vAlign w:val="center"/>
          </w:tcPr>
          <w:p w14:paraId="0D126851">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0.059</w:t>
            </w:r>
          </w:p>
        </w:tc>
        <w:tc>
          <w:tcPr>
            <w:tcW w:w="1286" w:type="dxa"/>
            <w:vAlign w:val="center"/>
          </w:tcPr>
          <w:p w14:paraId="16389CF5">
            <w:pPr>
              <w:jc w:val="center"/>
              <w:rPr>
                <w:color w:val="000000" w:themeColor="text1"/>
                <w:kern w:val="0"/>
                <w:szCs w:val="21"/>
                <w:highlight w:val="yellow"/>
                <w14:textFill>
                  <w14:solidFill>
                    <w14:schemeClr w14:val="tx1"/>
                  </w14:solidFill>
                </w14:textFill>
              </w:rPr>
            </w:pPr>
            <w:r>
              <w:rPr>
                <w:rFonts w:hint="eastAsia"/>
                <w:color w:val="000000" w:themeColor="text1"/>
                <w:szCs w:val="21"/>
                <w14:textFill>
                  <w14:solidFill>
                    <w14:schemeClr w14:val="tx1"/>
                  </w14:solidFill>
                </w14:textFill>
              </w:rPr>
              <w:t>+0.059</w:t>
            </w:r>
          </w:p>
        </w:tc>
      </w:tr>
      <w:tr w14:paraId="08DAB7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73CC1A16">
            <w:pPr>
              <w:jc w:val="center"/>
              <w:rPr>
                <w:color w:val="000000" w:themeColor="text1"/>
                <w:kern w:val="0"/>
                <w:szCs w:val="21"/>
                <w14:textFill>
                  <w14:solidFill>
                    <w14:schemeClr w14:val="tx1"/>
                  </w14:solidFill>
                </w14:textFill>
              </w:rPr>
            </w:pPr>
          </w:p>
        </w:tc>
        <w:tc>
          <w:tcPr>
            <w:tcW w:w="1417" w:type="dxa"/>
            <w:vAlign w:val="center"/>
          </w:tcPr>
          <w:p w14:paraId="7811A8D6">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NO</w:t>
            </w:r>
            <w:r>
              <w:rPr>
                <w:color w:val="000000" w:themeColor="text1"/>
                <w:kern w:val="0"/>
                <w:szCs w:val="21"/>
                <w:vertAlign w:val="subscript"/>
                <w14:textFill>
                  <w14:solidFill>
                    <w14:schemeClr w14:val="tx1"/>
                  </w14:solidFill>
                </w14:textFill>
              </w:rPr>
              <w:t>X</w:t>
            </w:r>
          </w:p>
        </w:tc>
        <w:tc>
          <w:tcPr>
            <w:tcW w:w="1701" w:type="dxa"/>
            <w:vAlign w:val="center"/>
          </w:tcPr>
          <w:p w14:paraId="58871AD8">
            <w:pPr>
              <w:jc w:val="center"/>
              <w:rPr>
                <w:color w:val="000000" w:themeColor="text1"/>
                <w:kern w:val="0"/>
                <w:szCs w:val="21"/>
                <w:highlight w:val="yellow"/>
                <w14:textFill>
                  <w14:solidFill>
                    <w14:schemeClr w14:val="tx1"/>
                  </w14:solidFill>
                </w14:textFill>
              </w:rPr>
            </w:pPr>
            <w:r>
              <w:rPr>
                <w:rFonts w:hint="eastAsia"/>
                <w:color w:val="000000" w:themeColor="text1"/>
                <w:kern w:val="0"/>
                <w:szCs w:val="21"/>
                <w14:textFill>
                  <w14:solidFill>
                    <w14:schemeClr w14:val="tx1"/>
                  </w14:solidFill>
                </w14:textFill>
              </w:rPr>
              <w:t>0</w:t>
            </w:r>
          </w:p>
        </w:tc>
        <w:tc>
          <w:tcPr>
            <w:tcW w:w="1276" w:type="dxa"/>
            <w:vAlign w:val="center"/>
          </w:tcPr>
          <w:p w14:paraId="521DA91C">
            <w:pPr>
              <w:jc w:val="center"/>
              <w:rPr>
                <w:color w:val="000000" w:themeColor="text1"/>
                <w:kern w:val="0"/>
                <w:szCs w:val="21"/>
                <w:highlight w:val="yellow"/>
                <w14:textFill>
                  <w14:solidFill>
                    <w14:schemeClr w14:val="tx1"/>
                  </w14:solidFill>
                </w14:textFill>
              </w:rPr>
            </w:pPr>
            <w:r>
              <w:rPr>
                <w:rFonts w:hint="eastAsia"/>
                <w:color w:val="000000" w:themeColor="text1"/>
                <w:kern w:val="0"/>
                <w:szCs w:val="21"/>
                <w14:textFill>
                  <w14:solidFill>
                    <w14:schemeClr w14:val="tx1"/>
                  </w14:solidFill>
                </w14:textFill>
              </w:rPr>
              <w:t>0</w:t>
            </w:r>
          </w:p>
        </w:tc>
        <w:tc>
          <w:tcPr>
            <w:tcW w:w="1701" w:type="dxa"/>
            <w:vAlign w:val="center"/>
          </w:tcPr>
          <w:p w14:paraId="56ED6C70">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w:t>
            </w:r>
          </w:p>
        </w:tc>
        <w:tc>
          <w:tcPr>
            <w:tcW w:w="1559" w:type="dxa"/>
            <w:vAlign w:val="center"/>
          </w:tcPr>
          <w:p w14:paraId="6D65F9A6">
            <w:pPr>
              <w:jc w:val="center"/>
              <w:rPr>
                <w:color w:val="000000" w:themeColor="text1"/>
                <w:szCs w:val="21"/>
                <w14:textFill>
                  <w14:solidFill>
                    <w14:schemeClr w14:val="tx1"/>
                  </w14:solidFill>
                </w14:textFill>
              </w:rPr>
            </w:pPr>
            <w:r>
              <w:rPr>
                <w:color w:val="000000" w:themeColor="text1"/>
                <w14:textFill>
                  <w14:solidFill>
                    <w14:schemeClr w14:val="tx1"/>
                  </w14:solidFill>
                </w14:textFill>
              </w:rPr>
              <w:t>0.242</w:t>
            </w:r>
          </w:p>
        </w:tc>
        <w:tc>
          <w:tcPr>
            <w:tcW w:w="1761" w:type="dxa"/>
            <w:vAlign w:val="center"/>
          </w:tcPr>
          <w:p w14:paraId="7C2743E5">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w:t>
            </w:r>
          </w:p>
        </w:tc>
        <w:tc>
          <w:tcPr>
            <w:tcW w:w="1499" w:type="dxa"/>
            <w:vAlign w:val="center"/>
          </w:tcPr>
          <w:p w14:paraId="0964AC4B">
            <w:pPr>
              <w:jc w:val="center"/>
              <w:rPr>
                <w:color w:val="000000" w:themeColor="text1"/>
                <w:szCs w:val="21"/>
                <w14:textFill>
                  <w14:solidFill>
                    <w14:schemeClr w14:val="tx1"/>
                  </w14:solidFill>
                </w14:textFill>
              </w:rPr>
            </w:pPr>
            <w:r>
              <w:rPr>
                <w:color w:val="000000" w:themeColor="text1"/>
                <w14:textFill>
                  <w14:solidFill>
                    <w14:schemeClr w14:val="tx1"/>
                  </w14:solidFill>
                </w14:textFill>
              </w:rPr>
              <w:t>0.242</w:t>
            </w:r>
          </w:p>
        </w:tc>
        <w:tc>
          <w:tcPr>
            <w:tcW w:w="1286" w:type="dxa"/>
            <w:vAlign w:val="center"/>
          </w:tcPr>
          <w:p w14:paraId="763275B6">
            <w:pPr>
              <w:jc w:val="center"/>
              <w:rPr>
                <w:color w:val="000000" w:themeColor="text1"/>
                <w:kern w:val="0"/>
                <w:szCs w:val="21"/>
                <w:highlight w:val="yellow"/>
                <w14:textFill>
                  <w14:solidFill>
                    <w14:schemeClr w14:val="tx1"/>
                  </w14:solidFill>
                </w14:textFill>
              </w:rPr>
            </w:pPr>
            <w:r>
              <w:rPr>
                <w:color w:val="000000" w:themeColor="text1"/>
                <w14:textFill>
                  <w14:solidFill>
                    <w14:schemeClr w14:val="tx1"/>
                  </w14:solidFill>
                </w14:textFill>
              </w:rPr>
              <w:t>+0.242</w:t>
            </w:r>
          </w:p>
        </w:tc>
      </w:tr>
      <w:tr w14:paraId="4A406C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vAlign w:val="center"/>
          </w:tcPr>
          <w:p w14:paraId="49B92228">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废水</w:t>
            </w:r>
          </w:p>
        </w:tc>
        <w:tc>
          <w:tcPr>
            <w:tcW w:w="1417" w:type="dxa"/>
            <w:vAlign w:val="center"/>
          </w:tcPr>
          <w:p w14:paraId="5E603B49">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COD</w:t>
            </w:r>
          </w:p>
        </w:tc>
        <w:tc>
          <w:tcPr>
            <w:tcW w:w="1701" w:type="dxa"/>
            <w:vAlign w:val="center"/>
          </w:tcPr>
          <w:p w14:paraId="2CCF48CC">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c>
          <w:tcPr>
            <w:tcW w:w="1276" w:type="dxa"/>
            <w:vAlign w:val="center"/>
          </w:tcPr>
          <w:p w14:paraId="27287574">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c>
          <w:tcPr>
            <w:tcW w:w="1701" w:type="dxa"/>
            <w:vAlign w:val="center"/>
          </w:tcPr>
          <w:p w14:paraId="562EB795">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c>
          <w:tcPr>
            <w:tcW w:w="1559" w:type="dxa"/>
            <w:vAlign w:val="center"/>
          </w:tcPr>
          <w:p w14:paraId="5945C42A">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c>
          <w:tcPr>
            <w:tcW w:w="1761" w:type="dxa"/>
            <w:vAlign w:val="center"/>
          </w:tcPr>
          <w:p w14:paraId="648374D2">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c>
          <w:tcPr>
            <w:tcW w:w="1499" w:type="dxa"/>
            <w:vAlign w:val="center"/>
          </w:tcPr>
          <w:p w14:paraId="222575E8">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c>
          <w:tcPr>
            <w:tcW w:w="1286" w:type="dxa"/>
            <w:vAlign w:val="center"/>
          </w:tcPr>
          <w:p w14:paraId="1229020D">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r>
      <w:tr w14:paraId="539C30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248061A3">
            <w:pPr>
              <w:jc w:val="center"/>
              <w:rPr>
                <w:color w:val="000000" w:themeColor="text1"/>
                <w:kern w:val="0"/>
                <w:szCs w:val="21"/>
                <w14:textFill>
                  <w14:solidFill>
                    <w14:schemeClr w14:val="tx1"/>
                  </w14:solidFill>
                </w14:textFill>
              </w:rPr>
            </w:pPr>
          </w:p>
        </w:tc>
        <w:tc>
          <w:tcPr>
            <w:tcW w:w="1417" w:type="dxa"/>
            <w:vAlign w:val="center"/>
          </w:tcPr>
          <w:p w14:paraId="6C2E8088">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氨氮</w:t>
            </w:r>
          </w:p>
        </w:tc>
        <w:tc>
          <w:tcPr>
            <w:tcW w:w="1701" w:type="dxa"/>
            <w:vAlign w:val="center"/>
          </w:tcPr>
          <w:p w14:paraId="4F05C4D6">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c>
          <w:tcPr>
            <w:tcW w:w="1276" w:type="dxa"/>
            <w:vAlign w:val="center"/>
          </w:tcPr>
          <w:p w14:paraId="2B5D2115">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c>
          <w:tcPr>
            <w:tcW w:w="1701" w:type="dxa"/>
            <w:vAlign w:val="center"/>
          </w:tcPr>
          <w:p w14:paraId="2ECAE637">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c>
          <w:tcPr>
            <w:tcW w:w="1559" w:type="dxa"/>
            <w:vAlign w:val="center"/>
          </w:tcPr>
          <w:p w14:paraId="38EE9FAD">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c>
          <w:tcPr>
            <w:tcW w:w="1761" w:type="dxa"/>
            <w:vAlign w:val="center"/>
          </w:tcPr>
          <w:p w14:paraId="35708591">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c>
          <w:tcPr>
            <w:tcW w:w="1499" w:type="dxa"/>
            <w:vAlign w:val="center"/>
          </w:tcPr>
          <w:p w14:paraId="38C0DDB9">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c>
          <w:tcPr>
            <w:tcW w:w="1286" w:type="dxa"/>
            <w:vAlign w:val="center"/>
          </w:tcPr>
          <w:p w14:paraId="5A06D813">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r>
      <w:tr w14:paraId="1B457E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vAlign w:val="center"/>
          </w:tcPr>
          <w:p w14:paraId="2A0C4218">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一般工业</w:t>
            </w:r>
          </w:p>
          <w:p w14:paraId="33504D17">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固体废物</w:t>
            </w:r>
          </w:p>
        </w:tc>
        <w:tc>
          <w:tcPr>
            <w:tcW w:w="1417" w:type="dxa"/>
            <w:vAlign w:val="center"/>
          </w:tcPr>
          <w:p w14:paraId="2AAA31F1">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废离子交换树脂</w:t>
            </w:r>
          </w:p>
        </w:tc>
        <w:tc>
          <w:tcPr>
            <w:tcW w:w="1701" w:type="dxa"/>
            <w:vAlign w:val="center"/>
          </w:tcPr>
          <w:p w14:paraId="5E4AA212">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w:t>
            </w:r>
          </w:p>
        </w:tc>
        <w:tc>
          <w:tcPr>
            <w:tcW w:w="1276" w:type="dxa"/>
            <w:vAlign w:val="center"/>
          </w:tcPr>
          <w:p w14:paraId="70387D3B">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w:t>
            </w:r>
          </w:p>
        </w:tc>
        <w:tc>
          <w:tcPr>
            <w:tcW w:w="1701" w:type="dxa"/>
            <w:vAlign w:val="center"/>
          </w:tcPr>
          <w:p w14:paraId="42292177">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w:t>
            </w:r>
          </w:p>
        </w:tc>
        <w:tc>
          <w:tcPr>
            <w:tcW w:w="1559" w:type="dxa"/>
            <w:vAlign w:val="center"/>
          </w:tcPr>
          <w:p w14:paraId="3EF5B4C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0.10</w:t>
            </w:r>
          </w:p>
        </w:tc>
        <w:tc>
          <w:tcPr>
            <w:tcW w:w="1761" w:type="dxa"/>
            <w:vAlign w:val="center"/>
          </w:tcPr>
          <w:p w14:paraId="73247135">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w:t>
            </w:r>
          </w:p>
        </w:tc>
        <w:tc>
          <w:tcPr>
            <w:tcW w:w="1499" w:type="dxa"/>
            <w:vAlign w:val="center"/>
          </w:tcPr>
          <w:p w14:paraId="5817EC5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0.10</w:t>
            </w:r>
          </w:p>
        </w:tc>
        <w:tc>
          <w:tcPr>
            <w:tcW w:w="1286" w:type="dxa"/>
            <w:vAlign w:val="center"/>
          </w:tcPr>
          <w:p w14:paraId="28D1FF8D">
            <w:pPr>
              <w:jc w:val="center"/>
              <w:rPr>
                <w:color w:val="000000" w:themeColor="text1"/>
                <w:kern w:val="0"/>
                <w:szCs w:val="21"/>
                <w:highlight w:val="yellow"/>
                <w14:textFill>
                  <w14:solidFill>
                    <w14:schemeClr w14:val="tx1"/>
                  </w14:solidFill>
                </w14:textFill>
              </w:rPr>
            </w:pP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0.10</w:t>
            </w:r>
          </w:p>
        </w:tc>
      </w:tr>
      <w:tr w14:paraId="067BA9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540234B5">
            <w:pPr>
              <w:jc w:val="center"/>
              <w:rPr>
                <w:color w:val="000000" w:themeColor="text1"/>
                <w:kern w:val="0"/>
                <w:szCs w:val="21"/>
                <w14:textFill>
                  <w14:solidFill>
                    <w14:schemeClr w14:val="tx1"/>
                  </w14:solidFill>
                </w14:textFill>
              </w:rPr>
            </w:pPr>
          </w:p>
        </w:tc>
        <w:tc>
          <w:tcPr>
            <w:tcW w:w="1417" w:type="dxa"/>
            <w:vAlign w:val="center"/>
          </w:tcPr>
          <w:p w14:paraId="73ACD81F">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炉渣</w:t>
            </w:r>
          </w:p>
        </w:tc>
        <w:tc>
          <w:tcPr>
            <w:tcW w:w="1701" w:type="dxa"/>
            <w:vAlign w:val="center"/>
          </w:tcPr>
          <w:p w14:paraId="48EC0B55">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w:t>
            </w:r>
          </w:p>
        </w:tc>
        <w:tc>
          <w:tcPr>
            <w:tcW w:w="1276" w:type="dxa"/>
            <w:vAlign w:val="center"/>
          </w:tcPr>
          <w:p w14:paraId="227B8F47">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w:t>
            </w:r>
          </w:p>
        </w:tc>
        <w:tc>
          <w:tcPr>
            <w:tcW w:w="1701" w:type="dxa"/>
            <w:vAlign w:val="center"/>
          </w:tcPr>
          <w:p w14:paraId="793450A2">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w:t>
            </w:r>
          </w:p>
        </w:tc>
        <w:tc>
          <w:tcPr>
            <w:tcW w:w="1559" w:type="dxa"/>
            <w:vAlign w:val="center"/>
          </w:tcPr>
          <w:p w14:paraId="67065FBE">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9.563</w:t>
            </w:r>
          </w:p>
        </w:tc>
        <w:tc>
          <w:tcPr>
            <w:tcW w:w="1761" w:type="dxa"/>
            <w:vAlign w:val="center"/>
          </w:tcPr>
          <w:p w14:paraId="7A93F6D4">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w:t>
            </w:r>
          </w:p>
        </w:tc>
        <w:tc>
          <w:tcPr>
            <w:tcW w:w="1499" w:type="dxa"/>
            <w:vAlign w:val="center"/>
          </w:tcPr>
          <w:p w14:paraId="1971180E">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9.563</w:t>
            </w:r>
          </w:p>
        </w:tc>
        <w:tc>
          <w:tcPr>
            <w:tcW w:w="1286" w:type="dxa"/>
            <w:vAlign w:val="center"/>
          </w:tcPr>
          <w:p w14:paraId="22B4A070">
            <w:pPr>
              <w:jc w:val="center"/>
              <w:rPr>
                <w:color w:val="000000" w:themeColor="text1"/>
                <w:kern w:val="0"/>
                <w:szCs w:val="21"/>
                <w:highlight w:val="yellow"/>
                <w14:textFill>
                  <w14:solidFill>
                    <w14:schemeClr w14:val="tx1"/>
                  </w14:solidFill>
                </w14:textFill>
              </w:rPr>
            </w:pPr>
            <w:r>
              <w:rPr>
                <w:rFonts w:hint="eastAsia"/>
                <w:color w:val="000000" w:themeColor="text1"/>
                <w:szCs w:val="21"/>
                <w14:textFill>
                  <w14:solidFill>
                    <w14:schemeClr w14:val="tx1"/>
                  </w14:solidFill>
                </w14:textFill>
              </w:rPr>
              <w:t>+9.563</w:t>
            </w:r>
          </w:p>
        </w:tc>
      </w:tr>
      <w:tr w14:paraId="25DA8D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5130D143">
            <w:pPr>
              <w:jc w:val="center"/>
              <w:rPr>
                <w:color w:val="000000" w:themeColor="text1"/>
                <w:kern w:val="0"/>
                <w:szCs w:val="21"/>
                <w14:textFill>
                  <w14:solidFill>
                    <w14:schemeClr w14:val="tx1"/>
                  </w14:solidFill>
                </w14:textFill>
              </w:rPr>
            </w:pPr>
          </w:p>
        </w:tc>
        <w:tc>
          <w:tcPr>
            <w:tcW w:w="1417" w:type="dxa"/>
            <w:vAlign w:val="center"/>
          </w:tcPr>
          <w:p w14:paraId="58D8DDD7">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布袋除尘器收尘</w:t>
            </w:r>
          </w:p>
        </w:tc>
        <w:tc>
          <w:tcPr>
            <w:tcW w:w="1701" w:type="dxa"/>
            <w:vAlign w:val="center"/>
          </w:tcPr>
          <w:p w14:paraId="12C36D88">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w:t>
            </w:r>
          </w:p>
        </w:tc>
        <w:tc>
          <w:tcPr>
            <w:tcW w:w="1276" w:type="dxa"/>
            <w:vAlign w:val="center"/>
          </w:tcPr>
          <w:p w14:paraId="6E4DA783">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w:t>
            </w:r>
          </w:p>
        </w:tc>
        <w:tc>
          <w:tcPr>
            <w:tcW w:w="1701" w:type="dxa"/>
            <w:vAlign w:val="center"/>
          </w:tcPr>
          <w:p w14:paraId="342033C4">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w:t>
            </w:r>
          </w:p>
        </w:tc>
        <w:tc>
          <w:tcPr>
            <w:tcW w:w="1559" w:type="dxa"/>
            <w:vAlign w:val="center"/>
          </w:tcPr>
          <w:p w14:paraId="526EC4B0">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12.746</w:t>
            </w:r>
          </w:p>
        </w:tc>
        <w:tc>
          <w:tcPr>
            <w:tcW w:w="1761" w:type="dxa"/>
            <w:vAlign w:val="center"/>
          </w:tcPr>
          <w:p w14:paraId="7E7C6FA5">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w:t>
            </w:r>
          </w:p>
        </w:tc>
        <w:tc>
          <w:tcPr>
            <w:tcW w:w="1499" w:type="dxa"/>
            <w:vAlign w:val="center"/>
          </w:tcPr>
          <w:p w14:paraId="06D419BC">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12.746</w:t>
            </w:r>
          </w:p>
        </w:tc>
        <w:tc>
          <w:tcPr>
            <w:tcW w:w="1286" w:type="dxa"/>
            <w:vAlign w:val="center"/>
          </w:tcPr>
          <w:p w14:paraId="11EC0077">
            <w:pPr>
              <w:jc w:val="center"/>
              <w:rPr>
                <w:color w:val="000000" w:themeColor="text1"/>
                <w:kern w:val="0"/>
                <w:szCs w:val="21"/>
                <w:highlight w:val="yellow"/>
                <w14:textFill>
                  <w14:solidFill>
                    <w14:schemeClr w14:val="tx1"/>
                  </w14:solidFill>
                </w14:textFill>
              </w:rPr>
            </w:pPr>
            <w:r>
              <w:rPr>
                <w:rFonts w:hint="eastAsia"/>
                <w:color w:val="000000" w:themeColor="text1"/>
                <w:szCs w:val="21"/>
                <w14:textFill>
                  <w14:solidFill>
                    <w14:schemeClr w14:val="tx1"/>
                  </w14:solidFill>
                </w14:textFill>
              </w:rPr>
              <w:t>+12.746</w:t>
            </w:r>
          </w:p>
        </w:tc>
      </w:tr>
      <w:tr w14:paraId="0DC4EA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4C707147">
            <w:pPr>
              <w:jc w:val="center"/>
              <w:rPr>
                <w:color w:val="000000" w:themeColor="text1"/>
                <w:kern w:val="0"/>
                <w:szCs w:val="21"/>
                <w14:textFill>
                  <w14:solidFill>
                    <w14:schemeClr w14:val="tx1"/>
                  </w14:solidFill>
                </w14:textFill>
              </w:rPr>
            </w:pPr>
          </w:p>
        </w:tc>
        <w:tc>
          <w:tcPr>
            <w:tcW w:w="1417" w:type="dxa"/>
            <w:vAlign w:val="center"/>
          </w:tcPr>
          <w:p w14:paraId="10B6931A">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废布袋</w:t>
            </w:r>
          </w:p>
        </w:tc>
        <w:tc>
          <w:tcPr>
            <w:tcW w:w="1701" w:type="dxa"/>
            <w:vAlign w:val="center"/>
          </w:tcPr>
          <w:p w14:paraId="47360BE9">
            <w:pPr>
              <w:jc w:val="center"/>
              <w:rPr>
                <w:color w:val="000000" w:themeColor="text1"/>
                <w:kern w:val="0"/>
                <w:szCs w:val="21"/>
                <w:highlight w:val="yellow"/>
                <w14:textFill>
                  <w14:solidFill>
                    <w14:schemeClr w14:val="tx1"/>
                  </w14:solidFill>
                </w14:textFill>
              </w:rPr>
            </w:pPr>
            <w:r>
              <w:rPr>
                <w:rFonts w:hint="eastAsia"/>
                <w:color w:val="000000" w:themeColor="text1"/>
                <w:kern w:val="0"/>
                <w:szCs w:val="21"/>
                <w14:textFill>
                  <w14:solidFill>
                    <w14:schemeClr w14:val="tx1"/>
                  </w14:solidFill>
                </w14:textFill>
              </w:rPr>
              <w:t>0</w:t>
            </w:r>
          </w:p>
        </w:tc>
        <w:tc>
          <w:tcPr>
            <w:tcW w:w="1276" w:type="dxa"/>
            <w:vAlign w:val="center"/>
          </w:tcPr>
          <w:p w14:paraId="7F73BDB6">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w:t>
            </w:r>
          </w:p>
        </w:tc>
        <w:tc>
          <w:tcPr>
            <w:tcW w:w="1701" w:type="dxa"/>
            <w:vAlign w:val="center"/>
          </w:tcPr>
          <w:p w14:paraId="1641E7AE">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w:t>
            </w:r>
          </w:p>
        </w:tc>
        <w:tc>
          <w:tcPr>
            <w:tcW w:w="1559" w:type="dxa"/>
            <w:vAlign w:val="center"/>
          </w:tcPr>
          <w:p w14:paraId="7961BBB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0.2</w:t>
            </w:r>
          </w:p>
        </w:tc>
        <w:tc>
          <w:tcPr>
            <w:tcW w:w="1761" w:type="dxa"/>
            <w:vAlign w:val="center"/>
          </w:tcPr>
          <w:p w14:paraId="356BAD48">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w:t>
            </w:r>
          </w:p>
        </w:tc>
        <w:tc>
          <w:tcPr>
            <w:tcW w:w="1499" w:type="dxa"/>
            <w:vAlign w:val="center"/>
          </w:tcPr>
          <w:p w14:paraId="7EE36D6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0.2</w:t>
            </w:r>
          </w:p>
        </w:tc>
        <w:tc>
          <w:tcPr>
            <w:tcW w:w="1286" w:type="dxa"/>
            <w:vAlign w:val="center"/>
          </w:tcPr>
          <w:p w14:paraId="75E92F35">
            <w:pPr>
              <w:jc w:val="center"/>
              <w:rPr>
                <w:color w:val="000000" w:themeColor="text1"/>
                <w:kern w:val="0"/>
                <w:szCs w:val="21"/>
                <w:highlight w:val="yellow"/>
                <w14:textFill>
                  <w14:solidFill>
                    <w14:schemeClr w14:val="tx1"/>
                  </w14:solidFill>
                </w14:textFill>
              </w:rPr>
            </w:pP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0.2</w:t>
            </w:r>
          </w:p>
        </w:tc>
      </w:tr>
    </w:tbl>
    <w:p w14:paraId="56777A38">
      <w:pPr>
        <w:pStyle w:val="62"/>
        <w:spacing w:before="192" w:beforeLines="80" w:after="24"/>
        <w:jc w:val="left"/>
        <w:rPr>
          <w:rFonts w:ascii="Times New Roman"/>
          <w:snapToGrid w:val="0"/>
          <w:color w:val="000000" w:themeColor="text1"/>
          <w:spacing w:val="-6"/>
          <w:kern w:val="21"/>
          <w:szCs w:val="21"/>
          <w14:textFill>
            <w14:solidFill>
              <w14:schemeClr w14:val="tx1"/>
            </w14:solidFill>
          </w14:textFill>
        </w:rPr>
      </w:pPr>
      <w:r>
        <w:rPr>
          <w:rFonts w:ascii="Times New Roman"/>
          <w:snapToGrid w:val="0"/>
          <w:color w:val="000000" w:themeColor="text1"/>
          <w:kern w:val="21"/>
          <w:szCs w:val="21"/>
          <w14:textFill>
            <w14:solidFill>
              <w14:schemeClr w14:val="tx1"/>
            </w14:solidFill>
          </w14:textFill>
        </w:rPr>
        <w:t>注：</w:t>
      </w:r>
      <w:r>
        <w:rPr>
          <w:rFonts w:ascii="Times New Roman"/>
          <w:snapToGrid w:val="0"/>
          <w:color w:val="000000" w:themeColor="text1"/>
          <w:spacing w:val="-16"/>
          <w:kern w:val="21"/>
          <w:szCs w:val="21"/>
          <w14:textFill>
            <w14:solidFill>
              <w14:schemeClr w14:val="tx1"/>
            </w14:solidFill>
          </w14:textFill>
        </w:rPr>
        <w:fldChar w:fldCharType="begin"/>
      </w:r>
      <w:r>
        <w:rPr>
          <w:rFonts w:ascii="Times New Roman"/>
          <w:snapToGrid w:val="0"/>
          <w:color w:val="000000" w:themeColor="text1"/>
          <w:spacing w:val="-16"/>
          <w:kern w:val="21"/>
          <w:szCs w:val="21"/>
          <w14:textFill>
            <w14:solidFill>
              <w14:schemeClr w14:val="tx1"/>
            </w14:solidFill>
          </w14:textFill>
        </w:rPr>
        <w:instrText xml:space="preserve"> = 6 \* GB3 \* MERGEFORMAT </w:instrText>
      </w:r>
      <w:r>
        <w:rPr>
          <w:rFonts w:ascii="Times New Roman"/>
          <w:snapToGrid w:val="0"/>
          <w:color w:val="000000" w:themeColor="text1"/>
          <w:spacing w:val="-16"/>
          <w:kern w:val="21"/>
          <w:szCs w:val="21"/>
          <w14:textFill>
            <w14:solidFill>
              <w14:schemeClr w14:val="tx1"/>
            </w14:solidFill>
          </w14:textFill>
        </w:rPr>
        <w:fldChar w:fldCharType="separate"/>
      </w:r>
      <w:r>
        <w:rPr>
          <w:rFonts w:ascii="Times New Roman"/>
          <w:color w:val="000000" w:themeColor="text1"/>
          <w:szCs w:val="21"/>
          <w14:textFill>
            <w14:solidFill>
              <w14:schemeClr w14:val="tx1"/>
            </w14:solidFill>
          </w14:textFill>
        </w:rPr>
        <w:t>⑥</w:t>
      </w:r>
      <w:r>
        <w:rPr>
          <w:rFonts w:ascii="Times New Roman"/>
          <w:snapToGrid w:val="0"/>
          <w:color w:val="000000" w:themeColor="text1"/>
          <w:spacing w:val="-16"/>
          <w:kern w:val="21"/>
          <w:szCs w:val="21"/>
          <w14:textFill>
            <w14:solidFill>
              <w14:schemeClr w14:val="tx1"/>
            </w14:solidFill>
          </w14:textFill>
        </w:rPr>
        <w:fldChar w:fldCharType="end"/>
      </w:r>
      <w:r>
        <w:rPr>
          <w:rFonts w:ascii="Times New Roman"/>
          <w:snapToGrid w:val="0"/>
          <w:color w:val="000000" w:themeColor="text1"/>
          <w:spacing w:val="-16"/>
          <w:kern w:val="21"/>
          <w:szCs w:val="21"/>
          <w14:textFill>
            <w14:solidFill>
              <w14:schemeClr w14:val="tx1"/>
            </w14:solidFill>
          </w14:textFill>
        </w:rPr>
        <w:t>=</w:t>
      </w:r>
      <w:r>
        <w:rPr>
          <w:rFonts w:ascii="Times New Roman"/>
          <w:snapToGrid w:val="0"/>
          <w:color w:val="000000" w:themeColor="text1"/>
          <w:spacing w:val="-6"/>
          <w:kern w:val="21"/>
          <w:szCs w:val="21"/>
          <w14:textFill>
            <w14:solidFill>
              <w14:schemeClr w14:val="tx1"/>
            </w14:solidFill>
          </w14:textFill>
        </w:rPr>
        <w:fldChar w:fldCharType="begin"/>
      </w:r>
      <w:r>
        <w:rPr>
          <w:rFonts w:ascii="Times New Roman"/>
          <w:snapToGrid w:val="0"/>
          <w:color w:val="000000" w:themeColor="text1"/>
          <w:spacing w:val="-6"/>
          <w:kern w:val="21"/>
          <w:szCs w:val="21"/>
          <w14:textFill>
            <w14:solidFill>
              <w14:schemeClr w14:val="tx1"/>
            </w14:solidFill>
          </w14:textFill>
        </w:rPr>
        <w:instrText xml:space="preserve"> = 1 \* GB3 \* MERGEFORMAT </w:instrText>
      </w:r>
      <w:r>
        <w:rPr>
          <w:rFonts w:ascii="Times New Roman"/>
          <w:snapToGrid w:val="0"/>
          <w:color w:val="000000" w:themeColor="text1"/>
          <w:spacing w:val="-6"/>
          <w:kern w:val="21"/>
          <w:szCs w:val="21"/>
          <w14:textFill>
            <w14:solidFill>
              <w14:schemeClr w14:val="tx1"/>
            </w14:solidFill>
          </w14:textFill>
        </w:rPr>
        <w:fldChar w:fldCharType="separate"/>
      </w:r>
      <w:r>
        <w:rPr>
          <w:rFonts w:ascii="Times New Roman"/>
          <w:color w:val="000000" w:themeColor="text1"/>
          <w:szCs w:val="21"/>
          <w14:textFill>
            <w14:solidFill>
              <w14:schemeClr w14:val="tx1"/>
            </w14:solidFill>
          </w14:textFill>
        </w:rPr>
        <w:t>①</w:t>
      </w:r>
      <w:r>
        <w:rPr>
          <w:rFonts w:ascii="Times New Roman"/>
          <w:snapToGrid w:val="0"/>
          <w:color w:val="000000" w:themeColor="text1"/>
          <w:spacing w:val="-6"/>
          <w:kern w:val="21"/>
          <w:szCs w:val="21"/>
          <w14:textFill>
            <w14:solidFill>
              <w14:schemeClr w14:val="tx1"/>
            </w14:solidFill>
          </w14:textFill>
        </w:rPr>
        <w:fldChar w:fldCharType="end"/>
      </w:r>
      <w:r>
        <w:rPr>
          <w:rFonts w:ascii="Times New Roman"/>
          <w:snapToGrid w:val="0"/>
          <w:color w:val="000000" w:themeColor="text1"/>
          <w:spacing w:val="-6"/>
          <w:kern w:val="21"/>
          <w:szCs w:val="21"/>
          <w14:textFill>
            <w14:solidFill>
              <w14:schemeClr w14:val="tx1"/>
            </w14:solidFill>
          </w14:textFill>
        </w:rPr>
        <w:t>+</w:t>
      </w:r>
      <w:r>
        <w:rPr>
          <w:rFonts w:ascii="Times New Roman"/>
          <w:snapToGrid w:val="0"/>
          <w:color w:val="000000" w:themeColor="text1"/>
          <w:spacing w:val="-6"/>
          <w:kern w:val="21"/>
          <w:szCs w:val="21"/>
          <w14:textFill>
            <w14:solidFill>
              <w14:schemeClr w14:val="tx1"/>
            </w14:solidFill>
          </w14:textFill>
        </w:rPr>
        <w:fldChar w:fldCharType="begin"/>
      </w:r>
      <w:r>
        <w:rPr>
          <w:rFonts w:ascii="Times New Roman"/>
          <w:snapToGrid w:val="0"/>
          <w:color w:val="000000" w:themeColor="text1"/>
          <w:spacing w:val="-6"/>
          <w:kern w:val="21"/>
          <w:szCs w:val="21"/>
          <w14:textFill>
            <w14:solidFill>
              <w14:schemeClr w14:val="tx1"/>
            </w14:solidFill>
          </w14:textFill>
        </w:rPr>
        <w:instrText xml:space="preserve"> = 3 \* GB3 \* MERGEFORMAT </w:instrText>
      </w:r>
      <w:r>
        <w:rPr>
          <w:rFonts w:ascii="Times New Roman"/>
          <w:snapToGrid w:val="0"/>
          <w:color w:val="000000" w:themeColor="text1"/>
          <w:spacing w:val="-6"/>
          <w:kern w:val="21"/>
          <w:szCs w:val="21"/>
          <w14:textFill>
            <w14:solidFill>
              <w14:schemeClr w14:val="tx1"/>
            </w14:solidFill>
          </w14:textFill>
        </w:rPr>
        <w:fldChar w:fldCharType="separate"/>
      </w:r>
      <w:r>
        <w:rPr>
          <w:rFonts w:ascii="Times New Roman"/>
          <w:color w:val="000000" w:themeColor="text1"/>
          <w:szCs w:val="21"/>
          <w14:textFill>
            <w14:solidFill>
              <w14:schemeClr w14:val="tx1"/>
            </w14:solidFill>
          </w14:textFill>
        </w:rPr>
        <w:t>③</w:t>
      </w:r>
      <w:r>
        <w:rPr>
          <w:rFonts w:ascii="Times New Roman"/>
          <w:snapToGrid w:val="0"/>
          <w:color w:val="000000" w:themeColor="text1"/>
          <w:spacing w:val="-6"/>
          <w:kern w:val="21"/>
          <w:szCs w:val="21"/>
          <w14:textFill>
            <w14:solidFill>
              <w14:schemeClr w14:val="tx1"/>
            </w14:solidFill>
          </w14:textFill>
        </w:rPr>
        <w:fldChar w:fldCharType="end"/>
      </w:r>
      <w:r>
        <w:rPr>
          <w:rFonts w:ascii="Times New Roman"/>
          <w:snapToGrid w:val="0"/>
          <w:color w:val="000000" w:themeColor="text1"/>
          <w:spacing w:val="-6"/>
          <w:kern w:val="21"/>
          <w:szCs w:val="21"/>
          <w14:textFill>
            <w14:solidFill>
              <w14:schemeClr w14:val="tx1"/>
            </w14:solidFill>
          </w14:textFill>
        </w:rPr>
        <w:t>+</w:t>
      </w:r>
      <w:r>
        <w:rPr>
          <w:rFonts w:ascii="Times New Roman"/>
          <w:snapToGrid w:val="0"/>
          <w:color w:val="000000" w:themeColor="text1"/>
          <w:spacing w:val="-6"/>
          <w:kern w:val="21"/>
          <w:szCs w:val="21"/>
          <w14:textFill>
            <w14:solidFill>
              <w14:schemeClr w14:val="tx1"/>
            </w14:solidFill>
          </w14:textFill>
        </w:rPr>
        <w:fldChar w:fldCharType="begin"/>
      </w:r>
      <w:r>
        <w:rPr>
          <w:rFonts w:ascii="Times New Roman"/>
          <w:snapToGrid w:val="0"/>
          <w:color w:val="000000" w:themeColor="text1"/>
          <w:spacing w:val="-6"/>
          <w:kern w:val="21"/>
          <w:szCs w:val="21"/>
          <w14:textFill>
            <w14:solidFill>
              <w14:schemeClr w14:val="tx1"/>
            </w14:solidFill>
          </w14:textFill>
        </w:rPr>
        <w:instrText xml:space="preserve"> = 4 \* GB3 \* MERGEFORMAT </w:instrText>
      </w:r>
      <w:r>
        <w:rPr>
          <w:rFonts w:ascii="Times New Roman"/>
          <w:snapToGrid w:val="0"/>
          <w:color w:val="000000" w:themeColor="text1"/>
          <w:spacing w:val="-6"/>
          <w:kern w:val="21"/>
          <w:szCs w:val="21"/>
          <w14:textFill>
            <w14:solidFill>
              <w14:schemeClr w14:val="tx1"/>
            </w14:solidFill>
          </w14:textFill>
        </w:rPr>
        <w:fldChar w:fldCharType="separate"/>
      </w:r>
      <w:r>
        <w:rPr>
          <w:rFonts w:ascii="Times New Roman"/>
          <w:color w:val="000000" w:themeColor="text1"/>
          <w:szCs w:val="21"/>
          <w14:textFill>
            <w14:solidFill>
              <w14:schemeClr w14:val="tx1"/>
            </w14:solidFill>
          </w14:textFill>
        </w:rPr>
        <w:t>④</w:t>
      </w:r>
      <w:r>
        <w:rPr>
          <w:rFonts w:ascii="Times New Roman"/>
          <w:snapToGrid w:val="0"/>
          <w:color w:val="000000" w:themeColor="text1"/>
          <w:spacing w:val="-6"/>
          <w:kern w:val="21"/>
          <w:szCs w:val="21"/>
          <w14:textFill>
            <w14:solidFill>
              <w14:schemeClr w14:val="tx1"/>
            </w14:solidFill>
          </w14:textFill>
        </w:rPr>
        <w:fldChar w:fldCharType="end"/>
      </w:r>
      <w:r>
        <w:rPr>
          <w:rFonts w:ascii="Times New Roman"/>
          <w:snapToGrid w:val="0"/>
          <w:color w:val="000000" w:themeColor="text1"/>
          <w:spacing w:val="-6"/>
          <w:kern w:val="21"/>
          <w:szCs w:val="21"/>
          <w14:textFill>
            <w14:solidFill>
              <w14:schemeClr w14:val="tx1"/>
            </w14:solidFill>
          </w14:textFill>
        </w:rPr>
        <w:t>-</w:t>
      </w:r>
      <w:r>
        <w:rPr>
          <w:rFonts w:ascii="Times New Roman"/>
          <w:snapToGrid w:val="0"/>
          <w:color w:val="000000" w:themeColor="text1"/>
          <w:spacing w:val="-16"/>
          <w:kern w:val="21"/>
          <w:szCs w:val="21"/>
          <w14:textFill>
            <w14:solidFill>
              <w14:schemeClr w14:val="tx1"/>
            </w14:solidFill>
          </w14:textFill>
        </w:rPr>
        <w:fldChar w:fldCharType="begin"/>
      </w:r>
      <w:r>
        <w:rPr>
          <w:rFonts w:ascii="Times New Roman"/>
          <w:snapToGrid w:val="0"/>
          <w:color w:val="000000" w:themeColor="text1"/>
          <w:spacing w:val="-16"/>
          <w:kern w:val="21"/>
          <w:szCs w:val="21"/>
          <w14:textFill>
            <w14:solidFill>
              <w14:schemeClr w14:val="tx1"/>
            </w14:solidFill>
          </w14:textFill>
        </w:rPr>
        <w:instrText xml:space="preserve"> = 5 \* GB3 \* MERGEFORMAT </w:instrText>
      </w:r>
      <w:r>
        <w:rPr>
          <w:rFonts w:ascii="Times New Roman"/>
          <w:snapToGrid w:val="0"/>
          <w:color w:val="000000" w:themeColor="text1"/>
          <w:spacing w:val="-16"/>
          <w:kern w:val="21"/>
          <w:szCs w:val="21"/>
          <w14:textFill>
            <w14:solidFill>
              <w14:schemeClr w14:val="tx1"/>
            </w14:solidFill>
          </w14:textFill>
        </w:rPr>
        <w:fldChar w:fldCharType="separate"/>
      </w:r>
      <w:r>
        <w:rPr>
          <w:rFonts w:ascii="Times New Roman"/>
          <w:color w:val="000000" w:themeColor="text1"/>
          <w:szCs w:val="21"/>
          <w14:textFill>
            <w14:solidFill>
              <w14:schemeClr w14:val="tx1"/>
            </w14:solidFill>
          </w14:textFill>
        </w:rPr>
        <w:t>⑤</w:t>
      </w:r>
      <w:r>
        <w:rPr>
          <w:rFonts w:ascii="Times New Roman"/>
          <w:snapToGrid w:val="0"/>
          <w:color w:val="000000" w:themeColor="text1"/>
          <w:spacing w:val="-16"/>
          <w:kern w:val="21"/>
          <w:szCs w:val="21"/>
          <w14:textFill>
            <w14:solidFill>
              <w14:schemeClr w14:val="tx1"/>
            </w14:solidFill>
          </w14:textFill>
        </w:rPr>
        <w:fldChar w:fldCharType="end"/>
      </w:r>
      <w:r>
        <w:rPr>
          <w:rFonts w:ascii="Times New Roman"/>
          <w:snapToGrid w:val="0"/>
          <w:color w:val="000000" w:themeColor="text1"/>
          <w:spacing w:val="-16"/>
          <w:kern w:val="21"/>
          <w:szCs w:val="21"/>
          <w14:textFill>
            <w14:solidFill>
              <w14:schemeClr w14:val="tx1"/>
            </w14:solidFill>
          </w14:textFill>
        </w:rPr>
        <w:t>；</w:t>
      </w:r>
      <w:r>
        <w:rPr>
          <w:rFonts w:ascii="Times New Roman"/>
          <w:snapToGrid w:val="0"/>
          <w:color w:val="000000" w:themeColor="text1"/>
          <w:spacing w:val="-6"/>
          <w:kern w:val="21"/>
          <w:szCs w:val="21"/>
          <w14:textFill>
            <w14:solidFill>
              <w14:schemeClr w14:val="tx1"/>
            </w14:solidFill>
          </w14:textFill>
        </w:rPr>
        <w:fldChar w:fldCharType="begin"/>
      </w:r>
      <w:r>
        <w:rPr>
          <w:rFonts w:ascii="Times New Roman"/>
          <w:snapToGrid w:val="0"/>
          <w:color w:val="000000" w:themeColor="text1"/>
          <w:spacing w:val="-6"/>
          <w:kern w:val="21"/>
          <w:szCs w:val="21"/>
          <w14:textFill>
            <w14:solidFill>
              <w14:schemeClr w14:val="tx1"/>
            </w14:solidFill>
          </w14:textFill>
        </w:rPr>
        <w:instrText xml:space="preserve"> = 7 \* GB3 \* MERGEFORMAT </w:instrText>
      </w:r>
      <w:r>
        <w:rPr>
          <w:rFonts w:ascii="Times New Roman"/>
          <w:snapToGrid w:val="0"/>
          <w:color w:val="000000" w:themeColor="text1"/>
          <w:spacing w:val="-6"/>
          <w:kern w:val="21"/>
          <w:szCs w:val="21"/>
          <w14:textFill>
            <w14:solidFill>
              <w14:schemeClr w14:val="tx1"/>
            </w14:solidFill>
          </w14:textFill>
        </w:rPr>
        <w:fldChar w:fldCharType="separate"/>
      </w:r>
      <w:r>
        <w:rPr>
          <w:rFonts w:ascii="Times New Roman"/>
          <w:color w:val="000000" w:themeColor="text1"/>
          <w:szCs w:val="21"/>
          <w14:textFill>
            <w14:solidFill>
              <w14:schemeClr w14:val="tx1"/>
            </w14:solidFill>
          </w14:textFill>
        </w:rPr>
        <w:t>⑦</w:t>
      </w:r>
      <w:r>
        <w:rPr>
          <w:rFonts w:ascii="Times New Roman"/>
          <w:snapToGrid w:val="0"/>
          <w:color w:val="000000" w:themeColor="text1"/>
          <w:spacing w:val="-6"/>
          <w:kern w:val="21"/>
          <w:szCs w:val="21"/>
          <w14:textFill>
            <w14:solidFill>
              <w14:schemeClr w14:val="tx1"/>
            </w14:solidFill>
          </w14:textFill>
        </w:rPr>
        <w:fldChar w:fldCharType="end"/>
      </w:r>
      <w:r>
        <w:rPr>
          <w:rFonts w:ascii="Times New Roman"/>
          <w:snapToGrid w:val="0"/>
          <w:color w:val="000000" w:themeColor="text1"/>
          <w:spacing w:val="-6"/>
          <w:kern w:val="21"/>
          <w:szCs w:val="21"/>
          <w14:textFill>
            <w14:solidFill>
              <w14:schemeClr w14:val="tx1"/>
            </w14:solidFill>
          </w14:textFill>
        </w:rPr>
        <w:t>=</w:t>
      </w:r>
      <w:r>
        <w:rPr>
          <w:rFonts w:ascii="Times New Roman"/>
          <w:snapToGrid w:val="0"/>
          <w:color w:val="000000" w:themeColor="text1"/>
          <w:spacing w:val="-16"/>
          <w:kern w:val="21"/>
          <w:szCs w:val="21"/>
          <w14:textFill>
            <w14:solidFill>
              <w14:schemeClr w14:val="tx1"/>
            </w14:solidFill>
          </w14:textFill>
        </w:rPr>
        <w:fldChar w:fldCharType="begin"/>
      </w:r>
      <w:r>
        <w:rPr>
          <w:rFonts w:ascii="Times New Roman"/>
          <w:snapToGrid w:val="0"/>
          <w:color w:val="000000" w:themeColor="text1"/>
          <w:spacing w:val="-16"/>
          <w:kern w:val="21"/>
          <w:szCs w:val="21"/>
          <w14:textFill>
            <w14:solidFill>
              <w14:schemeClr w14:val="tx1"/>
            </w14:solidFill>
          </w14:textFill>
        </w:rPr>
        <w:instrText xml:space="preserve"> = 6 \* GB3 \* MERGEFORMAT </w:instrText>
      </w:r>
      <w:r>
        <w:rPr>
          <w:rFonts w:ascii="Times New Roman"/>
          <w:snapToGrid w:val="0"/>
          <w:color w:val="000000" w:themeColor="text1"/>
          <w:spacing w:val="-16"/>
          <w:kern w:val="21"/>
          <w:szCs w:val="21"/>
          <w14:textFill>
            <w14:solidFill>
              <w14:schemeClr w14:val="tx1"/>
            </w14:solidFill>
          </w14:textFill>
        </w:rPr>
        <w:fldChar w:fldCharType="separate"/>
      </w:r>
      <w:r>
        <w:rPr>
          <w:rFonts w:ascii="Times New Roman"/>
          <w:color w:val="000000" w:themeColor="text1"/>
          <w:szCs w:val="21"/>
          <w14:textFill>
            <w14:solidFill>
              <w14:schemeClr w14:val="tx1"/>
            </w14:solidFill>
          </w14:textFill>
        </w:rPr>
        <w:t>⑥</w:t>
      </w:r>
      <w:r>
        <w:rPr>
          <w:rFonts w:ascii="Times New Roman"/>
          <w:snapToGrid w:val="0"/>
          <w:color w:val="000000" w:themeColor="text1"/>
          <w:spacing w:val="-16"/>
          <w:kern w:val="21"/>
          <w:szCs w:val="21"/>
          <w14:textFill>
            <w14:solidFill>
              <w14:schemeClr w14:val="tx1"/>
            </w14:solidFill>
          </w14:textFill>
        </w:rPr>
        <w:fldChar w:fldCharType="end"/>
      </w:r>
      <w:r>
        <w:rPr>
          <w:rFonts w:ascii="Times New Roman"/>
          <w:snapToGrid w:val="0"/>
          <w:color w:val="000000" w:themeColor="text1"/>
          <w:spacing w:val="-16"/>
          <w:kern w:val="21"/>
          <w:szCs w:val="21"/>
          <w14:textFill>
            <w14:solidFill>
              <w14:schemeClr w14:val="tx1"/>
            </w14:solidFill>
          </w14:textFill>
        </w:rPr>
        <w:t>-</w:t>
      </w:r>
      <w:r>
        <w:rPr>
          <w:rFonts w:ascii="Times New Roman"/>
          <w:snapToGrid w:val="0"/>
          <w:color w:val="000000" w:themeColor="text1"/>
          <w:spacing w:val="-6"/>
          <w:kern w:val="21"/>
          <w:szCs w:val="21"/>
          <w14:textFill>
            <w14:solidFill>
              <w14:schemeClr w14:val="tx1"/>
            </w14:solidFill>
          </w14:textFill>
        </w:rPr>
        <w:fldChar w:fldCharType="begin"/>
      </w:r>
      <w:r>
        <w:rPr>
          <w:rFonts w:ascii="Times New Roman"/>
          <w:snapToGrid w:val="0"/>
          <w:color w:val="000000" w:themeColor="text1"/>
          <w:spacing w:val="-6"/>
          <w:kern w:val="21"/>
          <w:szCs w:val="21"/>
          <w14:textFill>
            <w14:solidFill>
              <w14:schemeClr w14:val="tx1"/>
            </w14:solidFill>
          </w14:textFill>
        </w:rPr>
        <w:instrText xml:space="preserve"> = 1 \* GB3 \* MERGEFORMAT </w:instrText>
      </w:r>
      <w:r>
        <w:rPr>
          <w:rFonts w:ascii="Times New Roman"/>
          <w:snapToGrid w:val="0"/>
          <w:color w:val="000000" w:themeColor="text1"/>
          <w:spacing w:val="-6"/>
          <w:kern w:val="21"/>
          <w:szCs w:val="21"/>
          <w14:textFill>
            <w14:solidFill>
              <w14:schemeClr w14:val="tx1"/>
            </w14:solidFill>
          </w14:textFill>
        </w:rPr>
        <w:fldChar w:fldCharType="separate"/>
      </w:r>
      <w:r>
        <w:rPr>
          <w:rFonts w:ascii="Times New Roman"/>
          <w:color w:val="000000" w:themeColor="text1"/>
          <w:szCs w:val="21"/>
          <w14:textFill>
            <w14:solidFill>
              <w14:schemeClr w14:val="tx1"/>
            </w14:solidFill>
          </w14:textFill>
        </w:rPr>
        <w:t>①</w:t>
      </w:r>
      <w:r>
        <w:rPr>
          <w:rFonts w:ascii="Times New Roman"/>
          <w:snapToGrid w:val="0"/>
          <w:color w:val="000000" w:themeColor="text1"/>
          <w:spacing w:val="-6"/>
          <w:kern w:val="21"/>
          <w:szCs w:val="21"/>
          <w14:textFill>
            <w14:solidFill>
              <w14:schemeClr w14:val="tx1"/>
            </w14:solidFill>
          </w14:textFill>
        </w:rPr>
        <w:fldChar w:fldCharType="end"/>
      </w:r>
    </w:p>
    <w:p w14:paraId="4098AAC8">
      <w:pPr>
        <w:rPr>
          <w:color w:val="000000" w:themeColor="text1"/>
          <w14:textFill>
            <w14:solidFill>
              <w14:schemeClr w14:val="tx1"/>
            </w14:solidFill>
          </w14:textFill>
        </w:rPr>
      </w:pPr>
    </w:p>
    <w:p w14:paraId="3BDC9ED6">
      <w:pPr>
        <w:jc w:val="left"/>
        <w:rPr>
          <w:color w:val="000000" w:themeColor="text1"/>
          <w14:textFill>
            <w14:solidFill>
              <w14:schemeClr w14:val="tx1"/>
            </w14:solidFill>
          </w14:textFill>
        </w:rPr>
        <w:sectPr>
          <w:footerReference r:id="rId6" w:type="default"/>
          <w:pgSz w:w="16838" w:h="11906" w:orient="landscape"/>
          <w:pgMar w:top="1440" w:right="1800" w:bottom="1440" w:left="1800" w:header="851" w:footer="851" w:gutter="0"/>
          <w:cols w:space="720" w:num="1"/>
          <w:docGrid w:linePitch="312" w:charSpace="0"/>
        </w:sectPr>
      </w:pPr>
    </w:p>
    <w:p w14:paraId="19C64BF7">
      <w:pPr>
        <w:pStyle w:val="20"/>
        <w:adjustRightInd w:val="0"/>
        <w:snapToGrid w:val="0"/>
        <w:spacing w:before="0" w:beforeAutospacing="0" w:after="0" w:afterAutospacing="0"/>
        <w:outlineLvl w:val="0"/>
        <w:rPr>
          <w:rFonts w:ascii="Times New Roman" w:hAnsi="Times New Roman" w:eastAsia="黑体"/>
          <w:snapToGrid w:val="0"/>
          <w:color w:val="000000" w:themeColor="text1"/>
          <w:sz w:val="28"/>
          <w:szCs w:val="28"/>
          <w14:textFill>
            <w14:solidFill>
              <w14:schemeClr w14:val="tx1"/>
            </w14:solidFill>
          </w14:textFill>
        </w:rPr>
      </w:pPr>
      <w:bookmarkStart w:id="51" w:name="_Toc26570"/>
      <w:bookmarkStart w:id="52" w:name="_Toc23128"/>
      <w:r>
        <w:rPr>
          <w:rFonts w:ascii="Times New Roman" w:hAnsi="Times New Roman" w:eastAsia="黑体"/>
          <w:snapToGrid w:val="0"/>
          <w:color w:val="000000" w:themeColor="text1"/>
          <w:sz w:val="28"/>
          <w:szCs w:val="28"/>
          <w14:textFill>
            <w14:solidFill>
              <w14:schemeClr w14:val="tx1"/>
            </w14:solidFill>
          </w14:textFill>
        </w:rPr>
        <w:t>附图1 本项目地理位置图</w:t>
      </w:r>
      <w:bookmarkEnd w:id="51"/>
      <w:bookmarkEnd w:id="52"/>
    </w:p>
    <w:p w14:paraId="675CFC80">
      <w:pPr>
        <w:pStyle w:val="20"/>
        <w:adjustRightInd w:val="0"/>
        <w:snapToGrid w:val="0"/>
        <w:spacing w:before="0" w:beforeAutospacing="0" w:after="0" w:afterAutospacing="0"/>
        <w:jc w:val="center"/>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 </w:t>
      </w:r>
    </w:p>
    <w:p w14:paraId="754F960F">
      <w:pPr>
        <w:pStyle w:val="20"/>
        <w:adjustRightInd w:val="0"/>
        <w:snapToGrid w:val="0"/>
        <w:spacing w:before="0" w:beforeAutospacing="0" w:after="0" w:afterAutospacing="0"/>
        <w:jc w:val="center"/>
        <w:rPr>
          <w:rFonts w:hint="eastAsia"/>
          <w:color w:val="000000" w:themeColor="text1"/>
          <w14:textFill>
            <w14:solidFill>
              <w14:schemeClr w14:val="tx1"/>
            </w14:solidFill>
          </w14:textFill>
        </w:rPr>
        <w:sectPr>
          <w:footerReference r:id="rId7" w:type="default"/>
          <w:pgSz w:w="16838" w:h="11906" w:orient="landscape"/>
          <w:pgMar w:top="1440" w:right="1800" w:bottom="1440" w:left="1800" w:header="851" w:footer="851" w:gutter="0"/>
          <w:cols w:space="720" w:num="1"/>
          <w:docGrid w:linePitch="312" w:charSpace="0"/>
        </w:sectPr>
      </w:pPr>
      <w:r>
        <w:rPr>
          <w:color w:val="000000" w:themeColor="text1"/>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3733165</wp:posOffset>
                </wp:positionH>
                <wp:positionV relativeFrom="paragraph">
                  <wp:posOffset>2278380</wp:posOffset>
                </wp:positionV>
                <wp:extent cx="633095" cy="265430"/>
                <wp:effectExtent l="4445" t="4445" r="10160" b="73025"/>
                <wp:wrapNone/>
                <wp:docPr id="3" name="自选图形 315"/>
                <wp:cNvGraphicFramePr/>
                <a:graphic xmlns:a="http://schemas.openxmlformats.org/drawingml/2006/main">
                  <a:graphicData uri="http://schemas.microsoft.com/office/word/2010/wordprocessingShape">
                    <wps:wsp>
                      <wps:cNvSpPr/>
                      <wps:spPr>
                        <a:xfrm>
                          <a:off x="0" y="0"/>
                          <a:ext cx="633095" cy="265430"/>
                        </a:xfrm>
                        <a:prstGeom prst="wedgeRectCallout">
                          <a:avLst>
                            <a:gd name="adj1" fmla="val -43750"/>
                            <a:gd name="adj2" fmla="val 70000"/>
                          </a:avLst>
                        </a:prstGeom>
                        <a:noFill/>
                        <a:ln w="6350" cap="flat" cmpd="sng">
                          <a:solidFill>
                            <a:srgbClr val="000000"/>
                          </a:solidFill>
                          <a:prstDash val="solid"/>
                          <a:miter/>
                          <a:headEnd type="none" w="med" len="med"/>
                          <a:tailEnd type="none" w="med" len="med"/>
                        </a:ln>
                      </wps:spPr>
                      <wps:txbx>
                        <w:txbxContent>
                          <w:p w14:paraId="55D1849A">
                            <w:pPr>
                              <w:jc w:val="center"/>
                            </w:pPr>
                            <w:r>
                              <w:rPr>
                                <w:rFonts w:hint="eastAsia"/>
                              </w:rPr>
                              <w:t>本项目</w:t>
                            </w:r>
                          </w:p>
                        </w:txbxContent>
                      </wps:txbx>
                      <wps:bodyPr vert="horz" wrap="square" anchor="t" anchorCtr="0" upright="1"/>
                    </wps:wsp>
                  </a:graphicData>
                </a:graphic>
              </wp:anchor>
            </w:drawing>
          </mc:Choice>
          <mc:Fallback>
            <w:pict>
              <v:shape id="自选图形 315" o:spid="_x0000_s1026" o:spt="61" type="#_x0000_t61" style="position:absolute;left:0pt;margin-left:293.95pt;margin-top:179.4pt;height:20.9pt;width:49.85pt;z-index:251661312;mso-width-relative:page;mso-height-relative:page;" filled="f" stroked="t" coordsize="21600,21600" o:gfxdata="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B70cnfYAAAACwEA&#10;AA8AAAAAAAAAAQAgAAAAIgAAAGRycy9kb3ducmV2LnhtbFBLAQIUABQAAAAIAIdO4kAl2323UwIA&#10;AJgEAAAOAAAAAAAAAAEAIAAAACcBAABkcnMvZTJvRG9jLnhtbFBLBQYAAAAABgAGAFkBAADsBQAA&#10;AAA=&#10;" adj="1350,25920">
                <v:fill on="f" focussize="0,0"/>
                <v:stroke weight="0.5pt" color="#000000" joinstyle="miter"/>
                <v:imagedata o:title=""/>
                <o:lock v:ext="edit" aspectratio="f"/>
                <v:textbox>
                  <w:txbxContent>
                    <w:p w14:paraId="55D1849A">
                      <w:pPr>
                        <w:jc w:val="center"/>
                      </w:pPr>
                      <w:r>
                        <w:rPr>
                          <w:rFonts w:hint="eastAsia"/>
                        </w:rPr>
                        <w:t>本项目</w:t>
                      </w:r>
                    </w:p>
                  </w:txbxContent>
                </v:textbox>
              </v:shape>
            </w:pict>
          </mc:Fallback>
        </mc:AlternateContent>
      </w:r>
      <w:r>
        <w:rPr>
          <w:rFonts w:ascii="Times New Roman" w:hAnsi="Times New Roman"/>
          <w:color w:val="000000" w:themeColor="text1"/>
          <w14:textFill>
            <w14:solidFill>
              <w14:schemeClr w14:val="tx1"/>
            </w14:solidFill>
          </w14:textFill>
        </w:rPr>
        <w:drawing>
          <wp:anchor distT="0" distB="0" distL="114300" distR="114300" simplePos="0" relativeHeight="251659264" behindDoc="0" locked="0" layoutInCell="1" allowOverlap="1">
            <wp:simplePos x="0" y="0"/>
            <wp:positionH relativeFrom="column">
              <wp:posOffset>7161530</wp:posOffset>
            </wp:positionH>
            <wp:positionV relativeFrom="paragraph">
              <wp:posOffset>6350</wp:posOffset>
            </wp:positionV>
            <wp:extent cx="1238250" cy="1343025"/>
            <wp:effectExtent l="0" t="0" r="0" b="9525"/>
            <wp:wrapNone/>
            <wp:docPr id="1" name="图片 290" descr="ccff2cfdb4e5c4eb98dd252b68231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90" descr="ccff2cfdb4e5c4eb98dd252b68231328"/>
                    <pic:cNvPicPr>
                      <a:picLocks noChangeAspect="1"/>
                    </pic:cNvPicPr>
                  </pic:nvPicPr>
                  <pic:blipFill>
                    <a:blip r:embed="rId28"/>
                    <a:stretch>
                      <a:fillRect/>
                    </a:stretch>
                  </pic:blipFill>
                  <pic:spPr>
                    <a:xfrm>
                      <a:off x="0" y="0"/>
                      <a:ext cx="1238250" cy="1343025"/>
                    </a:xfrm>
                    <a:prstGeom prst="rect">
                      <a:avLst/>
                    </a:prstGeom>
                    <a:noFill/>
                    <a:ln>
                      <a:noFill/>
                    </a:ln>
                  </pic:spPr>
                </pic:pic>
              </a:graphicData>
            </a:graphic>
          </wp:anchor>
        </w:drawing>
      </w:r>
      <w:r>
        <w:rPr>
          <w:color w:val="000000" w:themeColor="text1"/>
          <w14:textFill>
            <w14:solidFill>
              <w14:schemeClr w14:val="tx1"/>
            </w14:solidFill>
          </w14:textFill>
        </w:rPr>
        <w:drawing>
          <wp:inline distT="0" distB="0" distL="114300" distR="114300">
            <wp:extent cx="8404860" cy="4629150"/>
            <wp:effectExtent l="0" t="0" r="15240" b="0"/>
            <wp:docPr id="32"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24"/>
                    <pic:cNvPicPr>
                      <a:picLocks noChangeAspect="1"/>
                    </pic:cNvPicPr>
                  </pic:nvPicPr>
                  <pic:blipFill>
                    <a:blip r:embed="rId29"/>
                    <a:stretch>
                      <a:fillRect/>
                    </a:stretch>
                  </pic:blipFill>
                  <pic:spPr>
                    <a:xfrm>
                      <a:off x="0" y="0"/>
                      <a:ext cx="8404860" cy="4629150"/>
                    </a:xfrm>
                    <a:prstGeom prst="rect">
                      <a:avLst/>
                    </a:prstGeom>
                    <a:noFill/>
                    <a:ln>
                      <a:noFill/>
                    </a:ln>
                  </pic:spPr>
                </pic:pic>
              </a:graphicData>
            </a:graphic>
          </wp:inline>
        </w:drawing>
      </w:r>
    </w:p>
    <w:p w14:paraId="093CBC4E">
      <w:pPr>
        <w:pStyle w:val="20"/>
        <w:adjustRightInd w:val="0"/>
        <w:snapToGrid w:val="0"/>
        <w:spacing w:before="0" w:beforeAutospacing="0" w:after="0" w:afterAutospacing="0"/>
        <w:outlineLvl w:val="0"/>
        <w:rPr>
          <w:rFonts w:ascii="Times New Roman" w:hAnsi="Times New Roman" w:eastAsia="黑体"/>
          <w:snapToGrid w:val="0"/>
          <w:color w:val="000000" w:themeColor="text1"/>
          <w:sz w:val="28"/>
          <w:szCs w:val="28"/>
          <w14:textFill>
            <w14:solidFill>
              <w14:schemeClr w14:val="tx1"/>
            </w14:solidFill>
          </w14:textFill>
        </w:rPr>
      </w:pPr>
      <w:bookmarkStart w:id="53" w:name="_Toc25979"/>
      <w:bookmarkStart w:id="54" w:name="_Toc23849"/>
      <w:r>
        <w:rPr>
          <w:rFonts w:ascii="Times New Roman" w:hAnsi="Times New Roman" w:eastAsia="黑体"/>
          <w:snapToGrid w:val="0"/>
          <w:color w:val="000000" w:themeColor="text1"/>
          <w:sz w:val="28"/>
          <w:szCs w:val="28"/>
          <w14:textFill>
            <w14:solidFill>
              <w14:schemeClr w14:val="tx1"/>
            </w14:solidFill>
          </w14:textFill>
        </w:rPr>
        <w:t>附图2 厂区总平面布置图</w:t>
      </w:r>
      <w:bookmarkEnd w:id="53"/>
      <w:bookmarkEnd w:id="54"/>
    </w:p>
    <w:p w14:paraId="7A10C3BD">
      <w:pPr>
        <w:pStyle w:val="20"/>
        <w:adjustRightInd w:val="0"/>
        <w:snapToGrid w:val="0"/>
        <w:spacing w:before="0" w:beforeAutospacing="0" w:after="0" w:afterAutospacing="0"/>
        <w:outlineLvl w:val="0"/>
        <w:rPr>
          <w:rFonts w:ascii="Times New Roman" w:hAnsi="Times New Roman" w:eastAsia="黑体"/>
          <w:snapToGrid w:val="0"/>
          <w:color w:val="000000" w:themeColor="text1"/>
          <w:sz w:val="28"/>
          <w:szCs w:val="28"/>
          <w14:textFill>
            <w14:solidFill>
              <w14:schemeClr w14:val="tx1"/>
            </w14:solidFill>
          </w14:textFill>
        </w:rPr>
        <w:sectPr>
          <w:pgSz w:w="11906" w:h="16838"/>
          <w:pgMar w:top="1800" w:right="1440" w:bottom="1800" w:left="1440" w:header="851" w:footer="851" w:gutter="0"/>
          <w:cols w:space="720" w:num="1"/>
          <w:docGrid w:linePitch="312" w:charSpace="0"/>
        </w:sectPr>
      </w:pPr>
      <w:r>
        <w:rPr>
          <w:color w:val="000000" w:themeColor="text1"/>
          <w:sz w:val="32"/>
          <w14:textFill>
            <w14:solidFill>
              <w14:schemeClr w14:val="tx1"/>
            </w14:solidFill>
          </w14:textFill>
        </w:rPr>
        <mc:AlternateContent>
          <mc:Choice Requires="wps">
            <w:drawing>
              <wp:anchor distT="0" distB="0" distL="114300" distR="114300" simplePos="0" relativeHeight="251676672" behindDoc="0" locked="0" layoutInCell="1" allowOverlap="1">
                <wp:simplePos x="0" y="0"/>
                <wp:positionH relativeFrom="column">
                  <wp:posOffset>3234055</wp:posOffset>
                </wp:positionH>
                <wp:positionV relativeFrom="paragraph">
                  <wp:posOffset>4589145</wp:posOffset>
                </wp:positionV>
                <wp:extent cx="1466850" cy="504825"/>
                <wp:effectExtent l="4445" t="389255" r="14605" b="20320"/>
                <wp:wrapNone/>
                <wp:docPr id="13" name="矩形标注 13"/>
                <wp:cNvGraphicFramePr/>
                <a:graphic xmlns:a="http://schemas.openxmlformats.org/drawingml/2006/main">
                  <a:graphicData uri="http://schemas.microsoft.com/office/word/2010/wordprocessingShape">
                    <wps:wsp>
                      <wps:cNvSpPr/>
                      <wps:spPr>
                        <a:xfrm>
                          <a:off x="4148455" y="5962650"/>
                          <a:ext cx="1466850" cy="504825"/>
                        </a:xfrm>
                        <a:prstGeom prst="wedgeRectCallout">
                          <a:avLst>
                            <a:gd name="adj1" fmla="val -45497"/>
                            <a:gd name="adj2" fmla="val -126226"/>
                          </a:avLst>
                        </a:prstGeom>
                        <a:no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8AF5012">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危险废物贮存库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54.65pt;margin-top:361.35pt;height:39.75pt;width:115.5pt;z-index:251676672;v-text-anchor:middle;mso-width-relative:page;mso-height-relative:page;" filled="f" stroked="t" coordsize="21600,21600" o:gfxdata="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6KyEItkAAAALAQAADwAAAAAAAAABACAAAAAiAAAAZHJzL2Rvd25y&#10;ZXYueG1sUEsBAhQAFAAAAAgAh07iQOep2SuoAgAAMgUAAA4AAAAAAAAAAQAgAAAAKAEAAGRycy9l&#10;Mm9Eb2MueG1sUEsFBgAAAAAGAAYAWQEAAEIGAAAAAA==&#10;" adj="973,-16465">
                <v:fill on="f" focussize="0,0"/>
                <v:stroke weight="0.5pt" color="#000000 [3213]" joinstyle="round"/>
                <v:imagedata o:title=""/>
                <o:lock v:ext="edit" aspectratio="f"/>
                <v:textbox>
                  <w:txbxContent>
                    <w:p w14:paraId="28AF5012">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危险废物贮存库</w:t>
                      </w:r>
                    </w:p>
                  </w:txbxContent>
                </v:textbox>
              </v:shape>
            </w:pict>
          </mc:Fallback>
        </mc:AlternateContent>
      </w:r>
      <w:r>
        <w:rPr>
          <w:color w:val="000000" w:themeColor="text1"/>
          <w:sz w:val="32"/>
          <w14:textFill>
            <w14:solidFill>
              <w14:schemeClr w14:val="tx1"/>
            </w14:solidFill>
          </w14:textFill>
        </w:rPr>
        <mc:AlternateContent>
          <mc:Choice Requires="wps">
            <w:drawing>
              <wp:anchor distT="0" distB="0" distL="114300" distR="114300" simplePos="0" relativeHeight="251675648" behindDoc="0" locked="0" layoutInCell="1" allowOverlap="1">
                <wp:simplePos x="0" y="0"/>
                <wp:positionH relativeFrom="column">
                  <wp:posOffset>2967355</wp:posOffset>
                </wp:positionH>
                <wp:positionV relativeFrom="paragraph">
                  <wp:posOffset>3779520</wp:posOffset>
                </wp:positionV>
                <wp:extent cx="323850" cy="323850"/>
                <wp:effectExtent l="27940" t="27940" r="29210" b="29210"/>
                <wp:wrapNone/>
                <wp:docPr id="12" name="矩形 12"/>
                <wp:cNvGraphicFramePr/>
                <a:graphic xmlns:a="http://schemas.openxmlformats.org/drawingml/2006/main">
                  <a:graphicData uri="http://schemas.microsoft.com/office/word/2010/wordprocessingShape">
                    <wps:wsp>
                      <wps:cNvSpPr/>
                      <wps:spPr>
                        <a:xfrm rot="540000">
                          <a:off x="3881755" y="5153025"/>
                          <a:ext cx="323850" cy="323850"/>
                        </a:xfrm>
                        <a:prstGeom prst="rect">
                          <a:avLst/>
                        </a:prstGeom>
                        <a:ln w="6350"/>
                      </wps:spPr>
                      <wps:style>
                        <a:lnRef idx="2">
                          <a:prstClr val="black"/>
                        </a:lnRef>
                        <a:fillRef idx="0">
                          <a:srgbClr val="FFFFFF"/>
                        </a:fillRef>
                        <a:effectRef idx="0">
                          <a:srgbClr val="FFFFFF"/>
                        </a:effectRef>
                        <a:fontRef idx="minor">
                          <a:schemeClr val="tx1"/>
                        </a:fontRef>
                      </wps:style>
                      <wps:txbx>
                        <w:txbxContent>
                          <w:p w14:paraId="343BB80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3.65pt;margin-top:297.6pt;height:25.5pt;width:25.5pt;rotation:589824f;z-index:251675648;v-text-anchor:middle;mso-width-relative:page;mso-height-relative:page;" filled="f" stroked="t" coordsize="21600,21600" o:gfxdata="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C+OfobbAAAACwEAAA8AAAAAAAAAAQAgAAAAIgAAAGRycy9kb3du&#10;cmV2LnhtbFBLAQIUABQAAAAIAIdO4kCMOCOAbgIAANcEAAAOAAAAAAAAAAEAIAAAACoBAABkcnMv&#10;ZTJvRG9jLnhtbFBLBQYAAAAABgAGAFkBAAAKBgAAAAA=&#10;">
                <v:fill on="f" focussize="0,0"/>
                <v:stroke weight="0.5pt" color="#000000" joinstyle="round"/>
                <v:imagedata o:title=""/>
                <o:lock v:ext="edit" aspectratio="f"/>
                <v:textbox>
                  <w:txbxContent>
                    <w:p w14:paraId="343BB80D">
                      <w:pPr>
                        <w:jc w:val="center"/>
                      </w:pPr>
                    </w:p>
                  </w:txbxContent>
                </v:textbox>
              </v:rect>
            </w:pict>
          </mc:Fallback>
        </mc:AlternateContent>
      </w:r>
      <w:r>
        <w:rPr>
          <w:rFonts w:ascii="Times New Roman" w:hAnsi="Times New Roman"/>
          <w:color w:val="000000" w:themeColor="text1"/>
          <w:sz w:val="32"/>
          <w14:textFill>
            <w14:solidFill>
              <w14:schemeClr w14:val="tx1"/>
            </w14:solidFill>
          </w14:textFill>
        </w:rPr>
        <w:drawing>
          <wp:anchor distT="0" distB="0" distL="114300" distR="114300" simplePos="0" relativeHeight="251674624" behindDoc="0" locked="0" layoutInCell="1" allowOverlap="1">
            <wp:simplePos x="0" y="0"/>
            <wp:positionH relativeFrom="column">
              <wp:posOffset>4675505</wp:posOffset>
            </wp:positionH>
            <wp:positionV relativeFrom="paragraph">
              <wp:posOffset>980440</wp:posOffset>
            </wp:positionV>
            <wp:extent cx="876300" cy="965835"/>
            <wp:effectExtent l="0" t="0" r="0" b="5715"/>
            <wp:wrapNone/>
            <wp:docPr id="21" name="图片 333" descr="ccff2cfdb4e5c4eb98dd252b68231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33" descr="ccff2cfdb4e5c4eb98dd252b68231328"/>
                    <pic:cNvPicPr>
                      <a:picLocks noChangeAspect="1"/>
                    </pic:cNvPicPr>
                  </pic:nvPicPr>
                  <pic:blipFill>
                    <a:blip r:embed="rId28"/>
                    <a:stretch>
                      <a:fillRect/>
                    </a:stretch>
                  </pic:blipFill>
                  <pic:spPr>
                    <a:xfrm>
                      <a:off x="0" y="0"/>
                      <a:ext cx="876300" cy="965835"/>
                    </a:xfrm>
                    <a:prstGeom prst="rect">
                      <a:avLst/>
                    </a:prstGeom>
                    <a:noFill/>
                    <a:ln>
                      <a:noFill/>
                    </a:ln>
                  </pic:spPr>
                </pic:pic>
              </a:graphicData>
            </a:graphic>
          </wp:anchor>
        </w:drawing>
      </w:r>
      <w:r>
        <w:rPr>
          <w:color w:val="000000" w:themeColor="text1"/>
          <w14:textFill>
            <w14:solidFill>
              <w14:schemeClr w14:val="tx1"/>
            </w14:solidFill>
          </w14:textFill>
        </w:rPr>
        <w:drawing>
          <wp:anchor distT="0" distB="0" distL="114300" distR="114300" simplePos="0" relativeHeight="251673600" behindDoc="0" locked="0" layoutInCell="1" allowOverlap="1">
            <wp:simplePos x="0" y="0"/>
            <wp:positionH relativeFrom="column">
              <wp:posOffset>121285</wp:posOffset>
            </wp:positionH>
            <wp:positionV relativeFrom="paragraph">
              <wp:posOffset>337820</wp:posOffset>
            </wp:positionV>
            <wp:extent cx="5334000" cy="6962775"/>
            <wp:effectExtent l="458470" t="337185" r="474980" b="339090"/>
            <wp:wrapNone/>
            <wp:docPr id="6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5"/>
                    <pic:cNvPicPr>
                      <a:picLocks noChangeAspect="1"/>
                    </pic:cNvPicPr>
                  </pic:nvPicPr>
                  <pic:blipFill>
                    <a:blip r:embed="rId30"/>
                    <a:stretch>
                      <a:fillRect/>
                    </a:stretch>
                  </pic:blipFill>
                  <pic:spPr>
                    <a:xfrm rot="480000">
                      <a:off x="0" y="0"/>
                      <a:ext cx="5334000" cy="6962775"/>
                    </a:xfrm>
                    <a:prstGeom prst="rect">
                      <a:avLst/>
                    </a:prstGeom>
                    <a:noFill/>
                    <a:ln>
                      <a:noFill/>
                    </a:ln>
                  </pic:spPr>
                </pic:pic>
              </a:graphicData>
            </a:graphic>
          </wp:anchor>
        </w:drawing>
      </w:r>
    </w:p>
    <w:p w14:paraId="70322DD5">
      <w:pPr>
        <w:pStyle w:val="20"/>
        <w:adjustRightInd w:val="0"/>
        <w:snapToGrid w:val="0"/>
        <w:spacing w:before="0" w:beforeAutospacing="0" w:after="0" w:afterAutospacing="0"/>
        <w:outlineLvl w:val="0"/>
        <w:rPr>
          <w:rFonts w:ascii="Times New Roman" w:hAnsi="Times New Roman" w:eastAsia="黑体"/>
          <w:snapToGrid w:val="0"/>
          <w:color w:val="000000" w:themeColor="text1"/>
          <w:sz w:val="28"/>
          <w:szCs w:val="28"/>
          <w14:textFill>
            <w14:solidFill>
              <w14:schemeClr w14:val="tx1"/>
            </w14:solidFill>
          </w14:textFill>
        </w:rPr>
      </w:pPr>
      <w:bookmarkStart w:id="55" w:name="_Toc23571"/>
      <w:bookmarkStart w:id="56" w:name="_Toc15105"/>
      <w:r>
        <w:rPr>
          <w:rFonts w:ascii="Times New Roman" w:hAnsi="Times New Roman" w:eastAsia="黑体"/>
          <w:snapToGrid w:val="0"/>
          <w:color w:val="000000" w:themeColor="text1"/>
          <w:sz w:val="28"/>
          <w:szCs w:val="28"/>
          <w14:textFill>
            <w14:solidFill>
              <w14:schemeClr w14:val="tx1"/>
            </w14:solidFill>
          </w14:textFill>
        </w:rPr>
        <w:t>附图3</w:t>
      </w:r>
      <w:r>
        <w:rPr>
          <w:rFonts w:hint="eastAsia" w:ascii="Times New Roman" w:hAnsi="Times New Roman" w:eastAsia="黑体"/>
          <w:snapToGrid w:val="0"/>
          <w:color w:val="000000" w:themeColor="text1"/>
          <w:sz w:val="28"/>
          <w:szCs w:val="28"/>
          <w14:textFill>
            <w14:solidFill>
              <w14:schemeClr w14:val="tx1"/>
            </w14:solidFill>
          </w14:textFill>
        </w:rPr>
        <w:t>评价范围</w:t>
      </w:r>
      <w:r>
        <w:rPr>
          <w:rFonts w:ascii="Times New Roman" w:hAnsi="Times New Roman" w:eastAsia="黑体"/>
          <w:snapToGrid w:val="0"/>
          <w:color w:val="000000" w:themeColor="text1"/>
          <w:sz w:val="28"/>
          <w:szCs w:val="28"/>
          <w14:textFill>
            <w14:solidFill>
              <w14:schemeClr w14:val="tx1"/>
            </w14:solidFill>
          </w14:textFill>
        </w:rPr>
        <w:t>标图</w:t>
      </w:r>
      <w:bookmarkEnd w:id="55"/>
      <w:bookmarkEnd w:id="56"/>
    </w:p>
    <w:p w14:paraId="50152E1A">
      <w:pPr>
        <w:pStyle w:val="20"/>
        <w:adjustRightInd w:val="0"/>
        <w:snapToGrid w:val="0"/>
        <w:spacing w:before="0" w:beforeAutospacing="0" w:after="0" w:afterAutospacing="0"/>
        <w:outlineLvl w:val="0"/>
        <w:rPr>
          <w:rFonts w:ascii="Times New Roman" w:hAnsi="Times New Roman" w:eastAsia="黑体"/>
          <w:snapToGrid w:val="0"/>
          <w:color w:val="000000" w:themeColor="text1"/>
          <w:sz w:val="28"/>
          <w:szCs w:val="28"/>
          <w14:textFill>
            <w14:solidFill>
              <w14:schemeClr w14:val="tx1"/>
            </w14:solidFill>
          </w14:textFill>
        </w:rPr>
        <w:sectPr>
          <w:pgSz w:w="16838" w:h="11906" w:orient="landscape"/>
          <w:pgMar w:top="1440" w:right="1800" w:bottom="1440" w:left="1800" w:header="851" w:footer="851" w:gutter="0"/>
          <w:cols w:space="720" w:num="1"/>
          <w:docGrid w:linePitch="312" w:charSpace="0"/>
        </w:sectPr>
      </w:pPr>
      <w:bookmarkStart w:id="57" w:name="_Toc2936"/>
      <w:bookmarkStart w:id="58" w:name="_Toc9067"/>
      <w:bookmarkStart w:id="59" w:name="_Toc20508"/>
      <w:r>
        <w:rPr>
          <w:rFonts w:ascii="Times New Roman" w:hAnsi="Times New Roman"/>
          <w:color w:val="000000" w:themeColor="text1"/>
          <w:sz w:val="32"/>
          <w14:textFill>
            <w14:solidFill>
              <w14:schemeClr w14:val="tx1"/>
            </w14:solidFill>
          </w14:textFill>
        </w:rPr>
        <w:drawing>
          <wp:anchor distT="0" distB="0" distL="114300" distR="114300" simplePos="0" relativeHeight="251671552" behindDoc="0" locked="0" layoutInCell="1" allowOverlap="1">
            <wp:simplePos x="0" y="0"/>
            <wp:positionH relativeFrom="column">
              <wp:posOffset>7522210</wp:posOffset>
            </wp:positionH>
            <wp:positionV relativeFrom="paragraph">
              <wp:posOffset>11430</wp:posOffset>
            </wp:positionV>
            <wp:extent cx="876300" cy="965835"/>
            <wp:effectExtent l="0" t="0" r="0" b="5715"/>
            <wp:wrapNone/>
            <wp:docPr id="23" name="图片 335" descr="ccff2cfdb4e5c4eb98dd252b68231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35" descr="ccff2cfdb4e5c4eb98dd252b68231328"/>
                    <pic:cNvPicPr>
                      <a:picLocks noChangeAspect="1"/>
                    </pic:cNvPicPr>
                  </pic:nvPicPr>
                  <pic:blipFill>
                    <a:blip r:embed="rId28"/>
                    <a:stretch>
                      <a:fillRect/>
                    </a:stretch>
                  </pic:blipFill>
                  <pic:spPr>
                    <a:xfrm>
                      <a:off x="0" y="0"/>
                      <a:ext cx="876300" cy="965835"/>
                    </a:xfrm>
                    <a:prstGeom prst="rect">
                      <a:avLst/>
                    </a:prstGeom>
                    <a:noFill/>
                    <a:ln>
                      <a:noFill/>
                    </a:ln>
                  </pic:spPr>
                </pic:pic>
              </a:graphicData>
            </a:graphic>
          </wp:anchor>
        </w:drawing>
      </w:r>
      <w:r>
        <w:rPr>
          <w:color w:val="000000" w:themeColor="text1"/>
          <w14:textFill>
            <w14:solidFill>
              <w14:schemeClr w14:val="tx1"/>
            </w14:solidFill>
          </w14:textFill>
        </w:rPr>
        <w:drawing>
          <wp:anchor distT="0" distB="0" distL="114300" distR="114300" simplePos="0" relativeHeight="251670528" behindDoc="0" locked="0" layoutInCell="1" allowOverlap="1">
            <wp:simplePos x="0" y="0"/>
            <wp:positionH relativeFrom="column">
              <wp:posOffset>7082155</wp:posOffset>
            </wp:positionH>
            <wp:positionV relativeFrom="paragraph">
              <wp:posOffset>4123055</wp:posOffset>
            </wp:positionV>
            <wp:extent cx="1299210" cy="1003300"/>
            <wp:effectExtent l="0" t="0" r="15240" b="6350"/>
            <wp:wrapNone/>
            <wp:docPr id="22" name="图片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34"/>
                    <pic:cNvPicPr>
                      <a:picLocks noChangeAspect="1"/>
                    </pic:cNvPicPr>
                  </pic:nvPicPr>
                  <pic:blipFill>
                    <a:blip r:embed="rId31"/>
                    <a:stretch>
                      <a:fillRect/>
                    </a:stretch>
                  </pic:blipFill>
                  <pic:spPr>
                    <a:xfrm>
                      <a:off x="0" y="0"/>
                      <a:ext cx="1299210" cy="1003300"/>
                    </a:xfrm>
                    <a:prstGeom prst="rect">
                      <a:avLst/>
                    </a:prstGeom>
                    <a:noFill/>
                    <a:ln>
                      <a:noFill/>
                    </a:ln>
                  </pic:spPr>
                </pic:pic>
              </a:graphicData>
            </a:graphic>
          </wp:anchor>
        </w:drawing>
      </w:r>
      <w:r>
        <w:rPr>
          <w:color w:val="000000" w:themeColor="text1"/>
          <w14:textFill>
            <w14:solidFill>
              <w14:schemeClr w14:val="tx1"/>
            </w14:solidFill>
          </w14:textFill>
        </w:rPr>
        <w:drawing>
          <wp:inline distT="0" distB="0" distL="114300" distR="114300">
            <wp:extent cx="8402955" cy="5156835"/>
            <wp:effectExtent l="0" t="0" r="17145" b="5715"/>
            <wp:docPr id="33"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28"/>
                    <pic:cNvPicPr>
                      <a:picLocks noChangeAspect="1"/>
                    </pic:cNvPicPr>
                  </pic:nvPicPr>
                  <pic:blipFill>
                    <a:blip r:embed="rId32"/>
                    <a:stretch>
                      <a:fillRect/>
                    </a:stretch>
                  </pic:blipFill>
                  <pic:spPr>
                    <a:xfrm>
                      <a:off x="0" y="0"/>
                      <a:ext cx="8402955" cy="5156835"/>
                    </a:xfrm>
                    <a:prstGeom prst="rect">
                      <a:avLst/>
                    </a:prstGeom>
                    <a:noFill/>
                    <a:ln>
                      <a:noFill/>
                    </a:ln>
                  </pic:spPr>
                </pic:pic>
              </a:graphicData>
            </a:graphic>
          </wp:inline>
        </w:drawing>
      </w:r>
      <w:bookmarkEnd w:id="57"/>
      <w:bookmarkEnd w:id="58"/>
      <w:bookmarkEnd w:id="59"/>
    </w:p>
    <w:p w14:paraId="579680AC">
      <w:pPr>
        <w:pStyle w:val="2"/>
        <w:rPr>
          <w:color w:val="000000" w:themeColor="text1"/>
          <w14:textFill>
            <w14:solidFill>
              <w14:schemeClr w14:val="tx1"/>
            </w14:solidFill>
          </w14:textFill>
        </w:rPr>
      </w:pPr>
      <w:bookmarkStart w:id="60" w:name="_Toc19698"/>
      <w:bookmarkStart w:id="61" w:name="_Toc9031"/>
      <w:r>
        <w:rPr>
          <w:color w:val="000000" w:themeColor="text1"/>
          <w14:textFill>
            <w14:solidFill>
              <w14:schemeClr w14:val="tx1"/>
            </w14:solidFill>
          </w14:textFill>
        </w:rPr>
        <w:t xml:space="preserve">附件1 </w:t>
      </w:r>
      <w:r>
        <w:rPr>
          <w:rFonts w:hint="eastAsia"/>
          <w:color w:val="000000" w:themeColor="text1"/>
          <w14:textFill>
            <w14:solidFill>
              <w14:schemeClr w14:val="tx1"/>
            </w14:solidFill>
          </w14:textFill>
        </w:rPr>
        <w:t>事业单位法人证书</w:t>
      </w:r>
      <w:bookmarkEnd w:id="60"/>
    </w:p>
    <w:p w14:paraId="43D32F8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drawing>
          <wp:inline distT="0" distB="0" distL="114300" distR="114300">
            <wp:extent cx="7239635" cy="5196840"/>
            <wp:effectExtent l="0" t="0" r="3810" b="18415"/>
            <wp:docPr id="34" name="图片 126" descr="5ec76983d77c7039a886ccaecd0ebf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26" descr="5ec76983d77c7039a886ccaecd0ebf77"/>
                    <pic:cNvPicPr>
                      <a:picLocks noChangeAspect="1"/>
                    </pic:cNvPicPr>
                  </pic:nvPicPr>
                  <pic:blipFill>
                    <a:blip r:embed="rId33"/>
                    <a:stretch>
                      <a:fillRect/>
                    </a:stretch>
                  </pic:blipFill>
                  <pic:spPr>
                    <a:xfrm rot="16200000">
                      <a:off x="0" y="0"/>
                      <a:ext cx="7239635" cy="5196840"/>
                    </a:xfrm>
                    <a:prstGeom prst="rect">
                      <a:avLst/>
                    </a:prstGeom>
                    <a:noFill/>
                    <a:ln>
                      <a:noFill/>
                    </a:ln>
                  </pic:spPr>
                </pic:pic>
              </a:graphicData>
            </a:graphic>
          </wp:inline>
        </w:drawing>
      </w:r>
    </w:p>
    <w:p w14:paraId="17D36793">
      <w:pPr>
        <w:pStyle w:val="2"/>
        <w:rPr>
          <w:color w:val="000000" w:themeColor="text1"/>
          <w14:textFill>
            <w14:solidFill>
              <w14:schemeClr w14:val="tx1"/>
            </w14:solidFill>
          </w14:textFill>
        </w:rPr>
      </w:pPr>
      <w:bookmarkStart w:id="62" w:name="_Toc17155"/>
      <w:bookmarkStart w:id="63" w:name="_Toc1458"/>
      <w:r>
        <w:rPr>
          <w:color w:val="000000" w:themeColor="text1"/>
          <w14:textFill>
            <w14:solidFill>
              <w14:schemeClr w14:val="tx1"/>
            </w14:solidFill>
          </w14:textFill>
        </w:rPr>
        <w:t>附件</w:t>
      </w:r>
      <w:r>
        <w:rPr>
          <w:rFonts w:hint="eastAsia"/>
          <w:color w:val="000000" w:themeColor="text1"/>
          <w14:textFill>
            <w14:solidFill>
              <w14:schemeClr w14:val="tx1"/>
            </w14:solidFill>
          </w14:textFill>
        </w:rPr>
        <w:t>2</w:t>
      </w:r>
      <w:bookmarkEnd w:id="61"/>
      <w:r>
        <w:rPr>
          <w:rFonts w:hint="eastAsia"/>
          <w:color w:val="000000" w:themeColor="text1"/>
          <w14:textFill>
            <w14:solidFill>
              <w14:schemeClr w14:val="tx1"/>
            </w14:solidFill>
          </w14:textFill>
        </w:rPr>
        <w:t>土地性质</w:t>
      </w:r>
      <w:bookmarkEnd w:id="62"/>
      <w:bookmarkEnd w:id="63"/>
    </w:p>
    <w:p w14:paraId="24392CD9">
      <w:pPr>
        <w:jc w:val="center"/>
        <w:rPr>
          <w:color w:val="000000" w:themeColor="text1"/>
          <w14:textFill>
            <w14:solidFill>
              <w14:schemeClr w14:val="tx1"/>
            </w14:solidFill>
          </w14:textFill>
        </w:rPr>
        <w:sectPr>
          <w:footerReference r:id="rId8" w:type="default"/>
          <w:pgSz w:w="11906" w:h="16838"/>
          <w:pgMar w:top="1440" w:right="1800" w:bottom="1440" w:left="1800" w:header="851" w:footer="851" w:gutter="0"/>
          <w:cols w:space="720" w:num="1"/>
          <w:docGrid w:linePitch="312" w:charSpace="0"/>
        </w:sectPr>
      </w:pPr>
      <w:r>
        <w:rPr>
          <w:color w:val="000000" w:themeColor="text1"/>
          <w14:textFill>
            <w14:solidFill>
              <w14:schemeClr w14:val="tx1"/>
            </w14:solidFill>
          </w14:textFill>
        </w:rPr>
        <mc:AlternateContent>
          <mc:Choice Requires="wps">
            <w:drawing>
              <wp:anchor distT="0" distB="0" distL="114300" distR="114300" simplePos="0" relativeHeight="251669504" behindDoc="0" locked="0" layoutInCell="1" allowOverlap="1">
                <wp:simplePos x="0" y="0"/>
                <wp:positionH relativeFrom="column">
                  <wp:posOffset>2516505</wp:posOffset>
                </wp:positionH>
                <wp:positionV relativeFrom="paragraph">
                  <wp:posOffset>4162425</wp:posOffset>
                </wp:positionV>
                <wp:extent cx="760095" cy="230505"/>
                <wp:effectExtent l="1905" t="6350" r="19050" b="10795"/>
                <wp:wrapNone/>
                <wp:docPr id="11" name="直线 323"/>
                <wp:cNvGraphicFramePr/>
                <a:graphic xmlns:a="http://schemas.openxmlformats.org/drawingml/2006/main">
                  <a:graphicData uri="http://schemas.microsoft.com/office/word/2010/wordprocessingShape">
                    <wps:wsp>
                      <wps:cNvCnPr/>
                      <wps:spPr>
                        <a:xfrm flipH="1" flipV="1">
                          <a:off x="0" y="0"/>
                          <a:ext cx="760095" cy="230505"/>
                        </a:xfrm>
                        <a:prstGeom prst="line">
                          <a:avLst/>
                        </a:prstGeom>
                        <a:ln w="12700" cap="flat" cmpd="sng">
                          <a:solidFill>
                            <a:srgbClr val="FF0000"/>
                          </a:solidFill>
                          <a:prstDash val="solid"/>
                          <a:miter/>
                          <a:headEnd type="none" w="med" len="med"/>
                          <a:tailEnd type="none" w="med" len="med"/>
                        </a:ln>
                      </wps:spPr>
                      <wps:bodyPr/>
                    </wps:wsp>
                  </a:graphicData>
                </a:graphic>
              </wp:anchor>
            </w:drawing>
          </mc:Choice>
          <mc:Fallback>
            <w:pict>
              <v:line id="直线 323" o:spid="_x0000_s1026" o:spt="20" style="position:absolute;left:0pt;flip:x y;margin-left:198.15pt;margin-top:327.75pt;height:18.15pt;width:59.85pt;z-index:251669504;mso-width-relative:page;mso-height-relative:page;" filled="f" stroked="t" coordsize="21600,21600" o:gfxdata="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OlW7OdgAAAALAQAADwAAAAAAAAABACAAAAAiAAAAZHJzL2Rvd25yZXYueG1s&#10;UEsBAhQAFAAAAAgAh07iQHNHkvT4AQAA9QMAAA4AAAAAAAAAAQAgAAAAJwEAAGRycy9lMm9Eb2Mu&#10;eG1sUEsFBgAAAAAGAAYAWQEAAJEFAAAAAA==&#10;">
                <v:fill on="f" focussize="0,0"/>
                <v:stroke weight="1pt" color="#FF0000" joinstyle="miter"/>
                <v:imagedata o:title=""/>
                <o:lock v:ext="edit" aspectratio="f"/>
              </v:lin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8480" behindDoc="0" locked="0" layoutInCell="1" allowOverlap="1">
                <wp:simplePos x="0" y="0"/>
                <wp:positionH relativeFrom="column">
                  <wp:posOffset>3267710</wp:posOffset>
                </wp:positionH>
                <wp:positionV relativeFrom="paragraph">
                  <wp:posOffset>3302635</wp:posOffset>
                </wp:positionV>
                <wp:extent cx="243205" cy="1089025"/>
                <wp:effectExtent l="6350" t="1270" r="17145" b="14605"/>
                <wp:wrapNone/>
                <wp:docPr id="10" name="直线 322"/>
                <wp:cNvGraphicFramePr/>
                <a:graphic xmlns:a="http://schemas.openxmlformats.org/drawingml/2006/main">
                  <a:graphicData uri="http://schemas.microsoft.com/office/word/2010/wordprocessingShape">
                    <wps:wsp>
                      <wps:cNvCnPr/>
                      <wps:spPr>
                        <a:xfrm flipH="1">
                          <a:off x="0" y="0"/>
                          <a:ext cx="243205" cy="1089025"/>
                        </a:xfrm>
                        <a:prstGeom prst="line">
                          <a:avLst/>
                        </a:prstGeom>
                        <a:ln w="12700" cap="flat" cmpd="sng">
                          <a:solidFill>
                            <a:srgbClr val="FF0000"/>
                          </a:solidFill>
                          <a:prstDash val="solid"/>
                          <a:miter/>
                          <a:headEnd type="none" w="med" len="med"/>
                          <a:tailEnd type="none" w="med" len="med"/>
                        </a:ln>
                      </wps:spPr>
                      <wps:bodyPr/>
                    </wps:wsp>
                  </a:graphicData>
                </a:graphic>
              </wp:anchor>
            </w:drawing>
          </mc:Choice>
          <mc:Fallback>
            <w:pict>
              <v:line id="直线 322" o:spid="_x0000_s1026" o:spt="20" style="position:absolute;left:0pt;flip:x;margin-left:257.3pt;margin-top:260.05pt;height:85.75pt;width:19.15pt;z-index:251668480;mso-width-relative:page;mso-height-relative:page;" filled="f" stroked="t" coordsize="21600,21600" o:gfxdata="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Gu2++jaAAAACwEAAA8AAAAAAAAAAQAgAAAAIgAAAGRycy9kb3ducmV2LnhtbFBL&#10;AQIUABQAAAAIAIdO4kCtMA2J9AEAAOwDAAAOAAAAAAAAAAEAIAAAACkBAABkcnMvZTJvRG9jLnht&#10;bFBLBQYAAAAABgAGAFkBAACPBQAAAAA=&#10;">
                <v:fill on="f" focussize="0,0"/>
                <v:stroke weight="1pt" color="#FF0000" joinstyle="miter"/>
                <v:imagedata o:title=""/>
                <o:lock v:ext="edit" aspectratio="f"/>
              </v:lin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3503295</wp:posOffset>
                </wp:positionH>
                <wp:positionV relativeFrom="paragraph">
                  <wp:posOffset>3301365</wp:posOffset>
                </wp:positionV>
                <wp:extent cx="596900" cy="73660"/>
                <wp:effectExtent l="635" t="6350" r="12065" b="15240"/>
                <wp:wrapNone/>
                <wp:docPr id="9" name="直线 321"/>
                <wp:cNvGraphicFramePr/>
                <a:graphic xmlns:a="http://schemas.openxmlformats.org/drawingml/2006/main">
                  <a:graphicData uri="http://schemas.microsoft.com/office/word/2010/wordprocessingShape">
                    <wps:wsp>
                      <wps:cNvCnPr/>
                      <wps:spPr>
                        <a:xfrm flipH="1" flipV="1">
                          <a:off x="0" y="0"/>
                          <a:ext cx="596900" cy="73660"/>
                        </a:xfrm>
                        <a:prstGeom prst="line">
                          <a:avLst/>
                        </a:prstGeom>
                        <a:ln w="12700" cap="flat" cmpd="sng">
                          <a:solidFill>
                            <a:srgbClr val="FF0000"/>
                          </a:solidFill>
                          <a:prstDash val="solid"/>
                          <a:miter/>
                          <a:headEnd type="none" w="med" len="med"/>
                          <a:tailEnd type="none" w="med" len="med"/>
                        </a:ln>
                      </wps:spPr>
                      <wps:bodyPr/>
                    </wps:wsp>
                  </a:graphicData>
                </a:graphic>
              </wp:anchor>
            </w:drawing>
          </mc:Choice>
          <mc:Fallback>
            <w:pict>
              <v:line id="直线 321" o:spid="_x0000_s1026" o:spt="20" style="position:absolute;left:0pt;flip:x y;margin-left:275.85pt;margin-top:259.95pt;height:5.8pt;width:47pt;z-index:251667456;mso-width-relative:page;mso-height-relative:page;" filled="f" stroked="t" coordsize="21600,21600" o:gfxdata="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FambqNkAAAALAQAADwAAAAAAAAABACAAAAAiAAAAZHJzL2Rvd25yZXYueG1s&#10;UEsBAhQAFAAAAAgAh07iQEliIsj3AQAA8wMAAA4AAAAAAAAAAQAgAAAAKAEAAGRycy9lMm9Eb2Mu&#10;eG1sUEsFBgAAAAAGAAYAWQEAAJEFAAAAAA==&#10;">
                <v:fill on="f" focussize="0,0"/>
                <v:stroke weight="1pt" color="#FF0000" joinstyle="miter"/>
                <v:imagedata o:title=""/>
                <o:lock v:ext="edit" aspectratio="f"/>
              </v:lin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posOffset>4105910</wp:posOffset>
                </wp:positionH>
                <wp:positionV relativeFrom="paragraph">
                  <wp:posOffset>2983865</wp:posOffset>
                </wp:positionV>
                <wp:extent cx="155575" cy="375920"/>
                <wp:effectExtent l="5715" t="2540" r="10160" b="2540"/>
                <wp:wrapNone/>
                <wp:docPr id="8" name="直线 320"/>
                <wp:cNvGraphicFramePr/>
                <a:graphic xmlns:a="http://schemas.openxmlformats.org/drawingml/2006/main">
                  <a:graphicData uri="http://schemas.microsoft.com/office/word/2010/wordprocessingShape">
                    <wps:wsp>
                      <wps:cNvCnPr/>
                      <wps:spPr>
                        <a:xfrm flipH="1">
                          <a:off x="0" y="0"/>
                          <a:ext cx="155575" cy="375920"/>
                        </a:xfrm>
                        <a:prstGeom prst="line">
                          <a:avLst/>
                        </a:prstGeom>
                        <a:ln w="12700" cap="flat" cmpd="sng">
                          <a:solidFill>
                            <a:srgbClr val="FF0000"/>
                          </a:solidFill>
                          <a:prstDash val="solid"/>
                          <a:miter/>
                          <a:headEnd type="none" w="med" len="med"/>
                          <a:tailEnd type="none" w="med" len="med"/>
                        </a:ln>
                      </wps:spPr>
                      <wps:bodyPr/>
                    </wps:wsp>
                  </a:graphicData>
                </a:graphic>
              </wp:anchor>
            </w:drawing>
          </mc:Choice>
          <mc:Fallback>
            <w:pict>
              <v:line id="直线 320" o:spid="_x0000_s1026" o:spt="20" style="position:absolute;left:0pt;flip:x;margin-left:323.3pt;margin-top:234.95pt;height:29.6pt;width:12.25pt;z-index:251666432;mso-width-relative:page;mso-height-relative:page;" filled="f" stroked="t" coordsize="21600,21600" o:gfxdata="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Bqfh2DaAAAACwEAAA8AAAAAAAAAAQAgAAAAIgAAAGRycy9kb3ducmV2LnhtbFBL&#10;AQIUABQAAAAIAIdO4kBMIlCT9AEAAOoDAAAOAAAAAAAAAAEAIAAAACkBAABkcnMvZTJvRG9jLnht&#10;bFBLBQYAAAAABgAGAFkBAACPBQAAAAA=&#10;">
                <v:fill on="f" focussize="0,0"/>
                <v:stroke weight="1pt" color="#FF0000" joinstyle="miter"/>
                <v:imagedata o:title=""/>
                <o:lock v:ext="edit" aspectratio="f"/>
              </v:lin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posOffset>4252595</wp:posOffset>
                </wp:positionH>
                <wp:positionV relativeFrom="paragraph">
                  <wp:posOffset>2205355</wp:posOffset>
                </wp:positionV>
                <wp:extent cx="135890" cy="742315"/>
                <wp:effectExtent l="6350" t="1270" r="10160" b="18415"/>
                <wp:wrapNone/>
                <wp:docPr id="7" name="直线 319"/>
                <wp:cNvGraphicFramePr/>
                <a:graphic xmlns:a="http://schemas.openxmlformats.org/drawingml/2006/main">
                  <a:graphicData uri="http://schemas.microsoft.com/office/word/2010/wordprocessingShape">
                    <wps:wsp>
                      <wps:cNvCnPr/>
                      <wps:spPr>
                        <a:xfrm flipH="1">
                          <a:off x="0" y="0"/>
                          <a:ext cx="135890" cy="742315"/>
                        </a:xfrm>
                        <a:prstGeom prst="line">
                          <a:avLst/>
                        </a:prstGeom>
                        <a:ln w="12700" cap="flat" cmpd="sng">
                          <a:solidFill>
                            <a:srgbClr val="FF0000"/>
                          </a:solidFill>
                          <a:prstDash val="solid"/>
                          <a:miter/>
                          <a:headEnd type="none" w="med" len="med"/>
                          <a:tailEnd type="none" w="med" len="med"/>
                        </a:ln>
                      </wps:spPr>
                      <wps:bodyPr/>
                    </wps:wsp>
                  </a:graphicData>
                </a:graphic>
              </wp:anchor>
            </w:drawing>
          </mc:Choice>
          <mc:Fallback>
            <w:pict>
              <v:line id="直线 319" o:spid="_x0000_s1026" o:spt="20" style="position:absolute;left:0pt;flip:x;margin-left:334.85pt;margin-top:173.65pt;height:58.45pt;width:10.7pt;z-index:251665408;mso-width-relative:page;mso-height-relative:page;" filled="f" stroked="t" coordsize="21600,21600" o:gfxdata="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zk1Kw2wAAAAsBAAAPAAAAAAAAAAEAIAAAACIAAABkcnMvZG93bnJldi54bWxQ&#10;SwECFAAUAAAACACHTuJAGbZALfQBAADqAwAADgAAAAAAAAABACAAAAAqAQAAZHJzL2Uyb0RvYy54&#10;bWxQSwUGAAAAAAYABgBZAQAAkAUAAAAA&#10;">
                <v:fill on="f" focussize="0,0"/>
                <v:stroke weight="1pt" color="#FF0000" joinstyle="miter"/>
                <v:imagedata o:title=""/>
                <o:lock v:ext="edit" aspectratio="f"/>
              </v:lin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3277235</wp:posOffset>
                </wp:positionH>
                <wp:positionV relativeFrom="paragraph">
                  <wp:posOffset>1821180</wp:posOffset>
                </wp:positionV>
                <wp:extent cx="1122045" cy="388620"/>
                <wp:effectExtent l="1905" t="5715" r="19050" b="24765"/>
                <wp:wrapNone/>
                <wp:docPr id="6" name="直线 318"/>
                <wp:cNvGraphicFramePr/>
                <a:graphic xmlns:a="http://schemas.openxmlformats.org/drawingml/2006/main">
                  <a:graphicData uri="http://schemas.microsoft.com/office/word/2010/wordprocessingShape">
                    <wps:wsp>
                      <wps:cNvCnPr/>
                      <wps:spPr>
                        <a:xfrm>
                          <a:off x="0" y="0"/>
                          <a:ext cx="1122045" cy="388620"/>
                        </a:xfrm>
                        <a:prstGeom prst="line">
                          <a:avLst/>
                        </a:prstGeom>
                        <a:ln w="12700" cap="flat" cmpd="sng">
                          <a:solidFill>
                            <a:srgbClr val="FF0000"/>
                          </a:solidFill>
                          <a:prstDash val="solid"/>
                          <a:miter/>
                          <a:headEnd type="none" w="med" len="med"/>
                          <a:tailEnd type="none" w="med" len="med"/>
                        </a:ln>
                      </wps:spPr>
                      <wps:bodyPr/>
                    </wps:wsp>
                  </a:graphicData>
                </a:graphic>
              </wp:anchor>
            </w:drawing>
          </mc:Choice>
          <mc:Fallback>
            <w:pict>
              <v:line id="直线 318" o:spid="_x0000_s1026" o:spt="20" style="position:absolute;left:0pt;margin-left:258.05pt;margin-top:143.4pt;height:30.6pt;width:88.35pt;z-index:251664384;mso-width-relative:page;mso-height-relative:page;" filled="f" stroked="t" coordsize="21600,21600" o:gfxdata="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V88Dh2wAAAAsBAAAPAAAAAAAAAAEAIAAAACIAAABkcnMvZG93bnJldi54bWxQSwECFAAU&#10;AAAACACHTuJAg6am4+4BAADhAwAADgAAAAAAAAABACAAAAAqAQAAZHJzL2Uyb0RvYy54bWxQSwUG&#10;AAAAAAYABgBZAQAAigUAAAAA&#10;">
                <v:fill on="f" focussize="0,0"/>
                <v:stroke weight="1pt" color="#FF0000" joinstyle="miter"/>
                <v:imagedata o:title=""/>
                <o:lock v:ext="edit" aspectratio="f"/>
              </v:lin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2512695</wp:posOffset>
                </wp:positionH>
                <wp:positionV relativeFrom="paragraph">
                  <wp:posOffset>1838960</wp:posOffset>
                </wp:positionV>
                <wp:extent cx="748665" cy="2320290"/>
                <wp:effectExtent l="4445" t="1270" r="8890" b="2540"/>
                <wp:wrapNone/>
                <wp:docPr id="5" name="直线 317"/>
                <wp:cNvGraphicFramePr/>
                <a:graphic xmlns:a="http://schemas.openxmlformats.org/drawingml/2006/main">
                  <a:graphicData uri="http://schemas.microsoft.com/office/word/2010/wordprocessingShape">
                    <wps:wsp>
                      <wps:cNvCnPr/>
                      <wps:spPr>
                        <a:xfrm flipH="1">
                          <a:off x="0" y="0"/>
                          <a:ext cx="748665" cy="2320290"/>
                        </a:xfrm>
                        <a:prstGeom prst="line">
                          <a:avLst/>
                        </a:prstGeom>
                        <a:ln w="6350" cap="flat" cmpd="sng">
                          <a:solidFill>
                            <a:srgbClr val="FF0000"/>
                          </a:solidFill>
                          <a:prstDash val="solid"/>
                          <a:miter/>
                          <a:headEnd type="none" w="med" len="med"/>
                          <a:tailEnd type="none" w="med" len="med"/>
                        </a:ln>
                      </wps:spPr>
                      <wps:bodyPr/>
                    </wps:wsp>
                  </a:graphicData>
                </a:graphic>
              </wp:anchor>
            </w:drawing>
          </mc:Choice>
          <mc:Fallback>
            <w:pict>
              <v:line id="直线 317" o:spid="_x0000_s1026" o:spt="20" style="position:absolute;left:0pt;flip:x;margin-left:197.85pt;margin-top:144.8pt;height:182.7pt;width:58.95pt;z-index:251663360;mso-width-relative:page;mso-height-relative:page;" filled="f" stroked="t" coordsize="21600,21600" o:gfxdata="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JUALTnaAAAACwEAAA8AAAAAAAAAAQAgAAAAIgAAAGRycy9kb3ducmV2Lnht&#10;bFBLAQIUABQAAAAIAIdO4kBUbnqB9wEAAOoDAAAOAAAAAAAAAAEAIAAAACkBAABkcnMvZTJvRG9j&#10;LnhtbFBLBQYAAAAABgAGAFkBAACSBQAAAAA=&#10;">
                <v:fill on="f" focussize="0,0"/>
                <v:stroke weight="0.5pt" color="#FF0000" joinstyle="miter"/>
                <v:imagedata o:title=""/>
                <o:lock v:ext="edit" aspectratio="f"/>
              </v:lin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3295015</wp:posOffset>
                </wp:positionH>
                <wp:positionV relativeFrom="paragraph">
                  <wp:posOffset>1832610</wp:posOffset>
                </wp:positionV>
                <wp:extent cx="635" cy="6350"/>
                <wp:effectExtent l="0" t="0" r="0" b="0"/>
                <wp:wrapNone/>
                <wp:docPr id="4" name="直线 316"/>
                <wp:cNvGraphicFramePr/>
                <a:graphic xmlns:a="http://schemas.openxmlformats.org/drawingml/2006/main">
                  <a:graphicData uri="http://schemas.microsoft.com/office/word/2010/wordprocessingShape">
                    <wps:wsp>
                      <wps:cNvCnPr/>
                      <wps:spPr>
                        <a:xfrm flipV="1">
                          <a:off x="0" y="0"/>
                          <a:ext cx="635" cy="6350"/>
                        </a:xfrm>
                        <a:prstGeom prst="line">
                          <a:avLst/>
                        </a:prstGeom>
                        <a:ln w="6350" cap="flat" cmpd="sng">
                          <a:solidFill>
                            <a:srgbClr val="000000"/>
                          </a:solidFill>
                          <a:prstDash val="solid"/>
                          <a:miter/>
                          <a:headEnd type="none" w="med" len="med"/>
                          <a:tailEnd type="none" w="med" len="med"/>
                        </a:ln>
                      </wps:spPr>
                      <wps:bodyPr/>
                    </wps:wsp>
                  </a:graphicData>
                </a:graphic>
              </wp:anchor>
            </w:drawing>
          </mc:Choice>
          <mc:Fallback>
            <w:pict>
              <v:line id="直线 316" o:spid="_x0000_s1026" o:spt="20" style="position:absolute;left:0pt;flip:y;margin-left:259.45pt;margin-top:144.3pt;height:0.5pt;width:0.05pt;z-index:251662336;mso-width-relative:page;mso-height-relative:page;" filled="f" stroked="t" coordsize="21600,21600" o:gfxdata="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3dl&#10;i9gAAAALAQAADwAAAAAAAAABACAAAAAiAAAAZHJzL2Rvd25yZXYueG1sUEsBAhQAFAAAAAgAh07i&#10;QBFaYtzpAQAA5AMAAA4AAAAAAAAAAQAgAAAAJwEAAGRycy9lMm9Eb2MueG1sUEsFBgAAAAAGAAYA&#10;WQEAAIIFAAAAAA==&#10;">
                <v:fill on="f" focussize="0,0"/>
                <v:stroke weight="0.5pt" color="#000000" joinstyle="miter"/>
                <v:imagedata o:title=""/>
                <o:lock v:ext="edit" aspectratio="f"/>
              </v:line>
            </w:pict>
          </mc:Fallback>
        </mc:AlternateContent>
      </w:r>
      <w:r>
        <w:rPr>
          <w:color w:val="000000" w:themeColor="text1"/>
          <w14:textFill>
            <w14:solidFill>
              <w14:schemeClr w14:val="tx1"/>
            </w14:solidFill>
          </w14:textFill>
        </w:rPr>
        <w:drawing>
          <wp:inline distT="0" distB="0" distL="114300" distR="114300">
            <wp:extent cx="5271135" cy="7293610"/>
            <wp:effectExtent l="0" t="0" r="5715" b="2540"/>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34"/>
                    <a:stretch>
                      <a:fillRect/>
                    </a:stretch>
                  </pic:blipFill>
                  <pic:spPr>
                    <a:xfrm>
                      <a:off x="0" y="0"/>
                      <a:ext cx="5271135" cy="7293610"/>
                    </a:xfrm>
                    <a:prstGeom prst="rect">
                      <a:avLst/>
                    </a:prstGeom>
                    <a:noFill/>
                    <a:ln>
                      <a:noFill/>
                    </a:ln>
                  </pic:spPr>
                </pic:pic>
              </a:graphicData>
            </a:graphic>
          </wp:inline>
        </w:drawing>
      </w:r>
    </w:p>
    <w:p w14:paraId="407A4E62">
      <w:pPr>
        <w:pStyle w:val="2"/>
        <w:rPr>
          <w:rFonts w:eastAsia="宋体"/>
          <w:color w:val="000000" w:themeColor="text1"/>
          <w14:textFill>
            <w14:solidFill>
              <w14:schemeClr w14:val="tx1"/>
            </w14:solidFill>
          </w14:textFill>
        </w:rPr>
      </w:pPr>
      <w:bookmarkStart w:id="64" w:name="_Toc25248"/>
      <w:r>
        <w:rPr>
          <w:color w:val="000000" w:themeColor="text1"/>
          <w14:textFill>
            <w14:solidFill>
              <w14:schemeClr w14:val="tx1"/>
            </w14:solidFill>
          </w14:textFill>
        </w:rPr>
        <w:t>附件</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 xml:space="preserve"> 燃料分析单</w:t>
      </w:r>
      <w:bookmarkEnd w:id="64"/>
    </w:p>
    <w:p w14:paraId="2F1DDF5E">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drawing>
          <wp:inline distT="0" distB="0" distL="114300" distR="114300">
            <wp:extent cx="5600065" cy="8026400"/>
            <wp:effectExtent l="0" t="0" r="635" b="12700"/>
            <wp:docPr id="36" name="图片 115" descr="f1a8980e63755910903844efd37c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15" descr="f1a8980e63755910903844efd37c089"/>
                    <pic:cNvPicPr>
                      <a:picLocks noChangeAspect="1"/>
                    </pic:cNvPicPr>
                  </pic:nvPicPr>
                  <pic:blipFill>
                    <a:blip r:embed="rId35"/>
                    <a:stretch>
                      <a:fillRect/>
                    </a:stretch>
                  </pic:blipFill>
                  <pic:spPr>
                    <a:xfrm>
                      <a:off x="0" y="0"/>
                      <a:ext cx="5600065" cy="8026400"/>
                    </a:xfrm>
                    <a:prstGeom prst="rect">
                      <a:avLst/>
                    </a:prstGeom>
                    <a:noFill/>
                    <a:ln>
                      <a:noFill/>
                    </a:ln>
                  </pic:spPr>
                </pic:pic>
              </a:graphicData>
            </a:graphic>
          </wp:inline>
        </w:drawing>
      </w:r>
    </w:p>
    <w:p w14:paraId="280EE3DB">
      <w:pPr>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5E47FFB4">
      <w:pPr>
        <w:pStyle w:val="2"/>
        <w:rPr>
          <w:color w:val="000000" w:themeColor="text1"/>
          <w14:textFill>
            <w14:solidFill>
              <w14:schemeClr w14:val="tx1"/>
            </w14:solidFill>
          </w14:textFill>
        </w:rPr>
      </w:pPr>
      <w:bookmarkStart w:id="65" w:name="_Toc14201"/>
      <w:r>
        <w:rPr>
          <w:color w:val="000000" w:themeColor="text1"/>
          <w14:textFill>
            <w14:solidFill>
              <w14:schemeClr w14:val="tx1"/>
            </w14:solidFill>
          </w14:textFill>
        </w:rPr>
        <w:t>附件</w:t>
      </w:r>
      <w:r>
        <w:rPr>
          <w:rFonts w:hint="eastAsia"/>
          <w:color w:val="000000" w:themeColor="text1"/>
          <w14:textFill>
            <w14:solidFill>
              <w14:schemeClr w14:val="tx1"/>
            </w14:solidFill>
          </w14:textFill>
        </w:rPr>
        <w:t>4 兰新经营所供热情况说明</w:t>
      </w:r>
      <w:bookmarkEnd w:id="65"/>
    </w:p>
    <w:p w14:paraId="0B29909C">
      <w:pP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0975" cy="7284720"/>
            <wp:effectExtent l="0" t="0" r="15875" b="11430"/>
            <wp:docPr id="5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
                    <pic:cNvPicPr>
                      <a:picLocks noChangeAspect="1"/>
                    </pic:cNvPicPr>
                  </pic:nvPicPr>
                  <pic:blipFill>
                    <a:blip r:embed="rId36"/>
                    <a:stretch>
                      <a:fillRect/>
                    </a:stretch>
                  </pic:blipFill>
                  <pic:spPr>
                    <a:xfrm>
                      <a:off x="0" y="0"/>
                      <a:ext cx="5260975" cy="7284720"/>
                    </a:xfrm>
                    <a:prstGeom prst="rect">
                      <a:avLst/>
                    </a:prstGeom>
                    <a:noFill/>
                    <a:ln>
                      <a:noFill/>
                    </a:ln>
                  </pic:spPr>
                </pic:pic>
              </a:graphicData>
            </a:graphic>
          </wp:inline>
        </w:drawing>
      </w:r>
    </w:p>
    <w:p w14:paraId="549D5995">
      <w:pPr>
        <w:jc w:val="center"/>
        <w:rPr>
          <w:color w:val="000000" w:themeColor="text1"/>
          <w:sz w:val="24"/>
          <w14:textFill>
            <w14:solidFill>
              <w14:schemeClr w14:val="tx1"/>
            </w14:solidFill>
          </w14:textFill>
        </w:rPr>
      </w:pPr>
    </w:p>
    <w:p w14:paraId="338289B6">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br w:type="page"/>
      </w:r>
    </w:p>
    <w:p w14:paraId="31E9EA21">
      <w:pPr>
        <w:pStyle w:val="2"/>
        <w:rPr>
          <w:color w:val="000000" w:themeColor="text1"/>
          <w14:textFill>
            <w14:solidFill>
              <w14:schemeClr w14:val="tx1"/>
            </w14:solidFill>
          </w14:textFill>
        </w:rPr>
      </w:pPr>
      <w:bookmarkStart w:id="66" w:name="_Toc12913"/>
      <w:r>
        <w:rPr>
          <w:color w:val="000000" w:themeColor="text1"/>
          <w:sz w:val="28"/>
          <w:szCs w:val="28"/>
          <w14:textFill>
            <w14:solidFill>
              <w14:schemeClr w14:val="tx1"/>
            </w14:solidFill>
          </w14:textFill>
        </w:rPr>
        <w:t>附件</w:t>
      </w:r>
      <w:r>
        <w:rPr>
          <w:rFonts w:hint="eastAsia"/>
          <w:color w:val="000000" w:themeColor="text1"/>
          <w:sz w:val="28"/>
          <w:szCs w:val="28"/>
          <w14:textFill>
            <w14:solidFill>
              <w14:schemeClr w14:val="tx1"/>
            </w14:solidFill>
          </w14:textFill>
        </w:rPr>
        <w:t>5</w:t>
      </w:r>
      <w:r>
        <w:rPr>
          <w:color w:val="000000" w:themeColor="text1"/>
          <w:sz w:val="28"/>
          <w:szCs w:val="28"/>
          <w14:textFill>
            <w14:solidFill>
              <w14:schemeClr w14:val="tx1"/>
            </w14:solidFill>
          </w14:textFill>
        </w:rPr>
        <w:t xml:space="preserve"> 现状监测报告</w:t>
      </w:r>
      <w:bookmarkEnd w:id="66"/>
    </w:p>
    <w:p w14:paraId="75C7B3C0">
      <w:pPr>
        <w:pStyle w:val="2"/>
        <w:ind w:left="0" w:firstLine="0"/>
        <w:rPr>
          <w:color w:val="000000" w:themeColor="text1"/>
          <w14:textFill>
            <w14:solidFill>
              <w14:schemeClr w14:val="tx1"/>
            </w14:solidFill>
          </w14:textFill>
        </w:rPr>
        <w:sectPr>
          <w:pgSz w:w="11906" w:h="16838"/>
          <w:pgMar w:top="1440" w:right="1800" w:bottom="1440" w:left="1800" w:header="851" w:footer="851" w:gutter="0"/>
          <w:cols w:space="720" w:num="1"/>
          <w:docGrid w:linePitch="312" w:charSpace="0"/>
        </w:sectPr>
      </w:pPr>
      <w:bookmarkStart w:id="67" w:name="_Toc24495"/>
      <w:bookmarkStart w:id="68" w:name="_Toc21746"/>
      <w:r>
        <w:rPr>
          <w:color w:val="000000" w:themeColor="text1"/>
          <w14:textFill>
            <w14:solidFill>
              <w14:schemeClr w14:val="tx1"/>
            </w14:solidFill>
          </w14:textFill>
        </w:rPr>
        <w:drawing>
          <wp:inline distT="0" distB="0" distL="114300" distR="114300">
            <wp:extent cx="5269865" cy="7449185"/>
            <wp:effectExtent l="0" t="0" r="6985" b="18415"/>
            <wp:docPr id="5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
                    <pic:cNvPicPr>
                      <a:picLocks noChangeAspect="1"/>
                    </pic:cNvPicPr>
                  </pic:nvPicPr>
                  <pic:blipFill>
                    <a:blip r:embed="rId37"/>
                    <a:stretch>
                      <a:fillRect/>
                    </a:stretch>
                  </pic:blipFill>
                  <pic:spPr>
                    <a:xfrm>
                      <a:off x="0" y="0"/>
                      <a:ext cx="5269865" cy="7449185"/>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5269865" cy="7449185"/>
            <wp:effectExtent l="0" t="0" r="6985" b="18415"/>
            <wp:docPr id="5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6"/>
                    <pic:cNvPicPr>
                      <a:picLocks noChangeAspect="1"/>
                    </pic:cNvPicPr>
                  </pic:nvPicPr>
                  <pic:blipFill>
                    <a:blip r:embed="rId38"/>
                    <a:stretch>
                      <a:fillRect/>
                    </a:stretch>
                  </pic:blipFill>
                  <pic:spPr>
                    <a:xfrm>
                      <a:off x="0" y="0"/>
                      <a:ext cx="5269865" cy="7449185"/>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5269865" cy="7449185"/>
            <wp:effectExtent l="0" t="0" r="6985" b="18415"/>
            <wp:docPr id="5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7"/>
                    <pic:cNvPicPr>
                      <a:picLocks noChangeAspect="1"/>
                    </pic:cNvPicPr>
                  </pic:nvPicPr>
                  <pic:blipFill>
                    <a:blip r:embed="rId39"/>
                    <a:stretch>
                      <a:fillRect/>
                    </a:stretch>
                  </pic:blipFill>
                  <pic:spPr>
                    <a:xfrm>
                      <a:off x="0" y="0"/>
                      <a:ext cx="5269865" cy="7449185"/>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5269865" cy="7449185"/>
            <wp:effectExtent l="0" t="0" r="6985" b="18415"/>
            <wp:docPr id="6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8"/>
                    <pic:cNvPicPr>
                      <a:picLocks noChangeAspect="1"/>
                    </pic:cNvPicPr>
                  </pic:nvPicPr>
                  <pic:blipFill>
                    <a:blip r:embed="rId40"/>
                    <a:stretch>
                      <a:fillRect/>
                    </a:stretch>
                  </pic:blipFill>
                  <pic:spPr>
                    <a:xfrm>
                      <a:off x="0" y="0"/>
                      <a:ext cx="5269865" cy="7449185"/>
                    </a:xfrm>
                    <a:prstGeom prst="rect">
                      <a:avLst/>
                    </a:prstGeom>
                    <a:noFill/>
                    <a:ln>
                      <a:noFill/>
                    </a:ln>
                  </pic:spPr>
                </pic:pic>
              </a:graphicData>
            </a:graphic>
          </wp:inline>
        </w:drawing>
      </w:r>
      <w:bookmarkEnd w:id="67"/>
      <w:bookmarkEnd w:id="68"/>
    </w:p>
    <w:p w14:paraId="0947BCB2">
      <w:pPr>
        <w:pStyle w:val="2"/>
        <w:ind w:left="0" w:firstLine="0"/>
        <w:rPr>
          <w:color w:val="000000" w:themeColor="text1"/>
          <w:sz w:val="28"/>
          <w:szCs w:val="28"/>
          <w14:textFill>
            <w14:solidFill>
              <w14:schemeClr w14:val="tx1"/>
            </w14:solidFill>
          </w14:textFill>
        </w:rPr>
      </w:pPr>
      <w:bookmarkStart w:id="69" w:name="_Toc7536"/>
      <w:r>
        <w:rPr>
          <w:color w:val="000000" w:themeColor="text1"/>
          <w:sz w:val="28"/>
          <w:szCs w:val="28"/>
          <w14:textFill>
            <w14:solidFill>
              <w14:schemeClr w14:val="tx1"/>
            </w14:solidFill>
          </w14:textFill>
        </w:rPr>
        <w:t>附件</w:t>
      </w:r>
      <w:r>
        <w:rPr>
          <w:rFonts w:hint="eastAsia"/>
          <w:color w:val="000000" w:themeColor="text1"/>
          <w:sz w:val="28"/>
          <w:szCs w:val="28"/>
          <w14:textFill>
            <w14:solidFill>
              <w14:schemeClr w14:val="tx1"/>
            </w14:solidFill>
          </w14:textFill>
        </w:rPr>
        <w:t xml:space="preserve">6 </w:t>
      </w:r>
      <w:r>
        <w:rPr>
          <w:color w:val="000000" w:themeColor="text1"/>
          <w:sz w:val="28"/>
          <w:szCs w:val="28"/>
          <w14:textFill>
            <w14:solidFill>
              <w14:schemeClr w14:val="tx1"/>
            </w14:solidFill>
          </w14:textFill>
        </w:rPr>
        <w:t>总量计算说明</w:t>
      </w:r>
      <w:bookmarkEnd w:id="69"/>
    </w:p>
    <w:p w14:paraId="201EBA87">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废气：</w:t>
      </w:r>
    </w:p>
    <w:p w14:paraId="55E699EB">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根据《排污许可证申请与核发技术规范 锅炉》（HJ953-2018），废气污染物年许可排放量按下式计算：</w:t>
      </w:r>
    </w:p>
    <w:p w14:paraId="0AABB426">
      <w:pPr>
        <w:spacing w:line="360" w:lineRule="auto"/>
        <w:jc w:val="center"/>
        <w:rPr>
          <w:color w:val="000000" w:themeColor="text1"/>
          <w:sz w:val="24"/>
          <w14:textFill>
            <w14:solidFill>
              <w14:schemeClr w14:val="tx1"/>
            </w14:solidFill>
          </w14:textFill>
        </w:rPr>
      </w:pPr>
      <w:r>
        <w:rPr>
          <w:color w:val="000000" w:themeColor="text1"/>
          <w14:textFill>
            <w14:solidFill>
              <w14:schemeClr w14:val="tx1"/>
            </w14:solidFill>
          </w14:textFill>
        </w:rPr>
        <w:drawing>
          <wp:inline distT="0" distB="0" distL="114300" distR="114300">
            <wp:extent cx="2889250" cy="514985"/>
            <wp:effectExtent l="0" t="0" r="6350" b="18415"/>
            <wp:docPr id="3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9"/>
                    <pic:cNvPicPr>
                      <a:picLocks noChangeAspect="1"/>
                    </pic:cNvPicPr>
                  </pic:nvPicPr>
                  <pic:blipFill>
                    <a:blip r:embed="rId41"/>
                    <a:stretch>
                      <a:fillRect/>
                    </a:stretch>
                  </pic:blipFill>
                  <pic:spPr>
                    <a:xfrm>
                      <a:off x="0" y="0"/>
                      <a:ext cx="2889250" cy="514985"/>
                    </a:xfrm>
                    <a:prstGeom prst="rect">
                      <a:avLst/>
                    </a:prstGeom>
                    <a:noFill/>
                    <a:ln>
                      <a:noFill/>
                    </a:ln>
                  </pic:spPr>
                </pic:pic>
              </a:graphicData>
            </a:graphic>
          </wp:inline>
        </w:drawing>
      </w:r>
    </w:p>
    <w:p w14:paraId="782ADF3B">
      <w:pPr>
        <w:spacing w:line="360" w:lineRule="auto"/>
        <w:jc w:val="center"/>
        <w:rPr>
          <w:color w:val="000000" w:themeColor="text1"/>
          <w:sz w:val="24"/>
          <w14:textFill>
            <w14:solidFill>
              <w14:schemeClr w14:val="tx1"/>
            </w14:solidFill>
          </w14:textFill>
        </w:rPr>
      </w:pPr>
      <w:r>
        <w:rPr>
          <w:color w:val="000000" w:themeColor="text1"/>
          <w14:textFill>
            <w14:solidFill>
              <w14:schemeClr w14:val="tx1"/>
            </w14:solidFill>
          </w14:textFill>
        </w:rPr>
        <w:drawing>
          <wp:inline distT="0" distB="0" distL="114300" distR="114300">
            <wp:extent cx="5608320" cy="3143250"/>
            <wp:effectExtent l="0" t="0" r="11430" b="0"/>
            <wp:docPr id="3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8"/>
                    <pic:cNvPicPr>
                      <a:picLocks noChangeAspect="1"/>
                    </pic:cNvPicPr>
                  </pic:nvPicPr>
                  <pic:blipFill>
                    <a:blip r:embed="rId42"/>
                    <a:stretch>
                      <a:fillRect/>
                    </a:stretch>
                  </pic:blipFill>
                  <pic:spPr>
                    <a:xfrm>
                      <a:off x="0" y="0"/>
                      <a:ext cx="5608320" cy="3143250"/>
                    </a:xfrm>
                    <a:prstGeom prst="rect">
                      <a:avLst/>
                    </a:prstGeom>
                    <a:noFill/>
                    <a:ln>
                      <a:noFill/>
                    </a:ln>
                  </pic:spPr>
                </pic:pic>
              </a:graphicData>
            </a:graphic>
          </wp:inline>
        </w:drawing>
      </w:r>
    </w:p>
    <w:p w14:paraId="1FC2DAF0">
      <w:pPr>
        <w:pStyle w:val="8"/>
        <w:spacing w:before="0" w:after="0"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本项目设计年燃料使用量为</w:t>
      </w:r>
      <w:r>
        <w:rPr>
          <w:rFonts w:hint="eastAsia"/>
          <w:color w:val="000000" w:themeColor="text1"/>
          <w:sz w:val="24"/>
          <w:szCs w:val="24"/>
          <w14:textFill>
            <w14:solidFill>
              <w14:schemeClr w14:val="tx1"/>
            </w14:solidFill>
          </w14:textFill>
        </w:rPr>
        <w:t>338.22</w:t>
      </w:r>
      <w:r>
        <w:rPr>
          <w:color w:val="000000" w:themeColor="text1"/>
          <w:sz w:val="24"/>
          <w:szCs w:val="24"/>
          <w14:textFill>
            <w14:solidFill>
              <w14:schemeClr w14:val="tx1"/>
            </w14:solidFill>
          </w14:textFill>
        </w:rPr>
        <w:t>t。基准烟气量为7.467Nm</w:t>
      </w:r>
      <w:r>
        <w:rPr>
          <w:color w:val="000000" w:themeColor="text1"/>
          <w:sz w:val="24"/>
          <w:szCs w:val="24"/>
          <w:vertAlign w:val="superscript"/>
          <w14:textFill>
            <w14:solidFill>
              <w14:schemeClr w14:val="tx1"/>
            </w14:solidFill>
          </w14:textFill>
        </w:rPr>
        <w:t>3</w:t>
      </w:r>
      <w:r>
        <w:rPr>
          <w:color w:val="000000" w:themeColor="text1"/>
          <w:sz w:val="24"/>
          <w:szCs w:val="24"/>
          <w14:textFill>
            <w14:solidFill>
              <w14:schemeClr w14:val="tx1"/>
            </w14:solidFill>
          </w14:textFill>
        </w:rPr>
        <w:t>/kg。</w:t>
      </w:r>
    </w:p>
    <w:p w14:paraId="1155F073">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基准烟气量计算公式选取过程：根据《排污许可证申请与核发技术规范 锅炉》（HJ953-2018），对于燃料干燥无灰基挥发分Vdaf&gt;65%的燃料，基准烟气量采用经验公式V0=0.393Qnet,ar+0.876计算。本项目燃料为生物质成型颗粒，燃料干燥无灰基挥发分Vdaf=70.12%（&gt;65%），燃料收到基低位发热量Qnet,ar=16.77MJ/kg，符合该公式适用条件。计算得：V0=0.393×16.77+0.876=7.467Nm3/kg。</w:t>
      </w:r>
    </w:p>
    <w:p w14:paraId="28F6154A">
      <w:pPr>
        <w:spacing w:line="360" w:lineRule="auto"/>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E</w:t>
      </w:r>
      <w:r>
        <w:rPr>
          <w:color w:val="000000" w:themeColor="text1"/>
          <w:sz w:val="24"/>
          <w:vertAlign w:val="subscript"/>
          <w14:textFill>
            <w14:solidFill>
              <w14:schemeClr w14:val="tx1"/>
            </w14:solidFill>
          </w14:textFill>
        </w:rPr>
        <w:t>颗粒物</w:t>
      </w:r>
      <w:r>
        <w:rPr>
          <w:color w:val="000000" w:themeColor="text1"/>
          <w:sz w:val="24"/>
          <w14:textFill>
            <w14:solidFill>
              <w14:schemeClr w14:val="tx1"/>
            </w14:solidFill>
          </w14:textFill>
        </w:rPr>
        <w:t>=50×7.467×</w:t>
      </w:r>
      <w:r>
        <w:rPr>
          <w:rFonts w:hint="eastAsia"/>
          <w:color w:val="000000" w:themeColor="text1"/>
          <w:sz w:val="24"/>
          <w14:textFill>
            <w14:solidFill>
              <w14:schemeClr w14:val="tx1"/>
            </w14:solidFill>
          </w14:textFill>
        </w:rPr>
        <w:t>338.22</w:t>
      </w:r>
      <w:r>
        <w:rPr>
          <w:color w:val="000000" w:themeColor="text1"/>
          <w:sz w:val="24"/>
          <w14:textFill>
            <w14:solidFill>
              <w14:schemeClr w14:val="tx1"/>
            </w14:solidFill>
          </w14:textFill>
        </w:rPr>
        <w:t>×1×10</w:t>
      </w:r>
      <w:r>
        <w:rPr>
          <w:color w:val="000000" w:themeColor="text1"/>
          <w:sz w:val="24"/>
          <w:vertAlign w:val="superscript"/>
          <w14:textFill>
            <w14:solidFill>
              <w14:schemeClr w14:val="tx1"/>
            </w14:solidFill>
          </w14:textFill>
        </w:rPr>
        <w:t>-6</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0.126</w:t>
      </w:r>
      <w:r>
        <w:rPr>
          <w:color w:val="000000" w:themeColor="text1"/>
          <w:sz w:val="24"/>
          <w14:textFill>
            <w14:solidFill>
              <w14:schemeClr w14:val="tx1"/>
            </w14:solidFill>
          </w14:textFill>
        </w:rPr>
        <w:t>t/a</w:t>
      </w:r>
    </w:p>
    <w:p w14:paraId="039B837D">
      <w:pPr>
        <w:spacing w:line="360" w:lineRule="auto"/>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E</w:t>
      </w:r>
      <w:r>
        <w:rPr>
          <w:color w:val="000000" w:themeColor="text1"/>
          <w:sz w:val="24"/>
          <w:vertAlign w:val="subscript"/>
          <w14:textFill>
            <w14:solidFill>
              <w14:schemeClr w14:val="tx1"/>
            </w14:solidFill>
          </w14:textFill>
        </w:rPr>
        <w:t>二氧化硫</w:t>
      </w:r>
      <w:r>
        <w:rPr>
          <w:color w:val="000000" w:themeColor="text1"/>
          <w:sz w:val="24"/>
          <w14:textFill>
            <w14:solidFill>
              <w14:schemeClr w14:val="tx1"/>
            </w14:solidFill>
          </w14:textFill>
        </w:rPr>
        <w:t>=300×7.467×</w:t>
      </w:r>
      <w:r>
        <w:rPr>
          <w:rFonts w:hint="eastAsia"/>
          <w:color w:val="000000" w:themeColor="text1"/>
          <w:sz w:val="24"/>
          <w14:textFill>
            <w14:solidFill>
              <w14:schemeClr w14:val="tx1"/>
            </w14:solidFill>
          </w14:textFill>
        </w:rPr>
        <w:t>338.22</w:t>
      </w:r>
      <w:r>
        <w:rPr>
          <w:color w:val="000000" w:themeColor="text1"/>
          <w:sz w:val="24"/>
          <w14:textFill>
            <w14:solidFill>
              <w14:schemeClr w14:val="tx1"/>
            </w14:solidFill>
          </w14:textFill>
        </w:rPr>
        <w:t>×0.8×10</w:t>
      </w:r>
      <w:r>
        <w:rPr>
          <w:color w:val="000000" w:themeColor="text1"/>
          <w:sz w:val="24"/>
          <w:vertAlign w:val="superscript"/>
          <w14:textFill>
            <w14:solidFill>
              <w14:schemeClr w14:val="tx1"/>
            </w14:solidFill>
          </w14:textFill>
        </w:rPr>
        <w:t>-6</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0.605</w:t>
      </w:r>
      <w:r>
        <w:rPr>
          <w:color w:val="000000" w:themeColor="text1"/>
          <w:sz w:val="24"/>
          <w14:textFill>
            <w14:solidFill>
              <w14:schemeClr w14:val="tx1"/>
            </w14:solidFill>
          </w14:textFill>
        </w:rPr>
        <w:t>t/a</w:t>
      </w:r>
    </w:p>
    <w:p w14:paraId="00101074">
      <w:pPr>
        <w:spacing w:line="360" w:lineRule="auto"/>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E</w:t>
      </w:r>
      <w:r>
        <w:rPr>
          <w:color w:val="000000" w:themeColor="text1"/>
          <w:sz w:val="24"/>
          <w:vertAlign w:val="subscript"/>
          <w14:textFill>
            <w14:solidFill>
              <w14:schemeClr w14:val="tx1"/>
            </w14:solidFill>
          </w14:textFill>
        </w:rPr>
        <w:t>氮氧化物</w:t>
      </w:r>
      <w:r>
        <w:rPr>
          <w:color w:val="000000" w:themeColor="text1"/>
          <w:sz w:val="24"/>
          <w14:textFill>
            <w14:solidFill>
              <w14:schemeClr w14:val="tx1"/>
            </w14:solidFill>
          </w14:textFill>
        </w:rPr>
        <w:t>=300×7.467×</w:t>
      </w:r>
      <w:r>
        <w:rPr>
          <w:rFonts w:hint="eastAsia"/>
          <w:color w:val="000000" w:themeColor="text1"/>
          <w:sz w:val="24"/>
          <w14:textFill>
            <w14:solidFill>
              <w14:schemeClr w14:val="tx1"/>
            </w14:solidFill>
          </w14:textFill>
        </w:rPr>
        <w:t>338.22</w:t>
      </w:r>
      <w:r>
        <w:rPr>
          <w:color w:val="000000" w:themeColor="text1"/>
          <w:sz w:val="24"/>
          <w14:textFill>
            <w14:solidFill>
              <w14:schemeClr w14:val="tx1"/>
            </w14:solidFill>
          </w14:textFill>
        </w:rPr>
        <w:t>×1×10</w:t>
      </w:r>
      <w:r>
        <w:rPr>
          <w:color w:val="000000" w:themeColor="text1"/>
          <w:sz w:val="24"/>
          <w:vertAlign w:val="superscript"/>
          <w14:textFill>
            <w14:solidFill>
              <w14:schemeClr w14:val="tx1"/>
            </w14:solidFill>
          </w14:textFill>
        </w:rPr>
        <w:t>-6</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0.756</w:t>
      </w:r>
      <w:r>
        <w:rPr>
          <w:color w:val="000000" w:themeColor="text1"/>
          <w:sz w:val="24"/>
          <w14:textFill>
            <w14:solidFill>
              <w14:schemeClr w14:val="tx1"/>
            </w14:solidFill>
          </w14:textFill>
        </w:rPr>
        <w:t>t/a</w:t>
      </w:r>
    </w:p>
    <w:p w14:paraId="0353F4E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计算得E</w:t>
      </w:r>
      <w:r>
        <w:rPr>
          <w:color w:val="000000" w:themeColor="text1"/>
          <w:sz w:val="24"/>
          <w:vertAlign w:val="subscript"/>
          <w14:textFill>
            <w14:solidFill>
              <w14:schemeClr w14:val="tx1"/>
            </w14:solidFill>
          </w14:textFill>
        </w:rPr>
        <w:t>颗粒物</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0.126</w:t>
      </w:r>
      <w:r>
        <w:rPr>
          <w:color w:val="000000" w:themeColor="text1"/>
          <w:sz w:val="24"/>
          <w14:textFill>
            <w14:solidFill>
              <w14:schemeClr w14:val="tx1"/>
            </w14:solidFill>
          </w14:textFill>
        </w:rPr>
        <w:t>t/a，E</w:t>
      </w:r>
      <w:r>
        <w:rPr>
          <w:color w:val="000000" w:themeColor="text1"/>
          <w:sz w:val="24"/>
          <w:vertAlign w:val="subscript"/>
          <w14:textFill>
            <w14:solidFill>
              <w14:schemeClr w14:val="tx1"/>
            </w14:solidFill>
          </w14:textFill>
        </w:rPr>
        <w:t>二氧化硫</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0.605</w:t>
      </w:r>
      <w:r>
        <w:rPr>
          <w:color w:val="000000" w:themeColor="text1"/>
          <w:sz w:val="24"/>
          <w14:textFill>
            <w14:solidFill>
              <w14:schemeClr w14:val="tx1"/>
            </w14:solidFill>
          </w14:textFill>
        </w:rPr>
        <w:t>t/a，E</w:t>
      </w:r>
      <w:r>
        <w:rPr>
          <w:color w:val="000000" w:themeColor="text1"/>
          <w:sz w:val="24"/>
          <w:vertAlign w:val="subscript"/>
          <w14:textFill>
            <w14:solidFill>
              <w14:schemeClr w14:val="tx1"/>
            </w14:solidFill>
          </w14:textFill>
        </w:rPr>
        <w:t>氮氧化物</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0.756</w:t>
      </w:r>
      <w:r>
        <w:rPr>
          <w:color w:val="000000" w:themeColor="text1"/>
          <w:sz w:val="24"/>
          <w14:textFill>
            <w14:solidFill>
              <w14:schemeClr w14:val="tx1"/>
            </w14:solidFill>
          </w14:textFill>
        </w:rPr>
        <w:t>t/a。</w:t>
      </w:r>
    </w:p>
    <w:p w14:paraId="46E715B0">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2A37EB48">
      <w:pPr>
        <w:pStyle w:val="2"/>
        <w:ind w:left="0" w:firstLine="0"/>
        <w:rPr>
          <w:color w:val="000000" w:themeColor="text1"/>
          <w:sz w:val="28"/>
          <w:szCs w:val="28"/>
          <w14:textFill>
            <w14:solidFill>
              <w14:schemeClr w14:val="tx1"/>
            </w14:solidFill>
          </w14:textFill>
        </w:rPr>
      </w:pPr>
      <w:bookmarkStart w:id="70" w:name="_Toc29677"/>
      <w:r>
        <w:rPr>
          <w:color w:val="000000" w:themeColor="text1"/>
          <w:sz w:val="28"/>
          <w:szCs w:val="28"/>
          <w14:textFill>
            <w14:solidFill>
              <w14:schemeClr w14:val="tx1"/>
            </w14:solidFill>
          </w14:textFill>
        </w:rPr>
        <w:t>附件</w:t>
      </w:r>
      <w:r>
        <w:rPr>
          <w:rFonts w:hint="eastAsia"/>
          <w:color w:val="000000" w:themeColor="text1"/>
          <w:sz w:val="28"/>
          <w:szCs w:val="28"/>
          <w14:textFill>
            <w14:solidFill>
              <w14:schemeClr w14:val="tx1"/>
            </w14:solidFill>
          </w14:textFill>
        </w:rPr>
        <w:t>7 炉渣处置协议</w:t>
      </w:r>
      <w:bookmarkEnd w:id="70"/>
    </w:p>
    <w:p w14:paraId="35C12092">
      <w:pP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727700" cy="7976235"/>
            <wp:effectExtent l="0" t="0" r="6350" b="5715"/>
            <wp:docPr id="6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4"/>
                    <pic:cNvPicPr>
                      <a:picLocks noChangeAspect="1"/>
                    </pic:cNvPicPr>
                  </pic:nvPicPr>
                  <pic:blipFill>
                    <a:blip r:embed="rId43"/>
                    <a:stretch>
                      <a:fillRect/>
                    </a:stretch>
                  </pic:blipFill>
                  <pic:spPr>
                    <a:xfrm>
                      <a:off x="0" y="0"/>
                      <a:ext cx="5727700" cy="7976235"/>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5729605" cy="7582535"/>
            <wp:effectExtent l="0" t="0" r="4445" b="18415"/>
            <wp:docPr id="6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5"/>
                    <pic:cNvPicPr>
                      <a:picLocks noChangeAspect="1"/>
                    </pic:cNvPicPr>
                  </pic:nvPicPr>
                  <pic:blipFill>
                    <a:blip r:embed="rId44"/>
                    <a:stretch>
                      <a:fillRect/>
                    </a:stretch>
                  </pic:blipFill>
                  <pic:spPr>
                    <a:xfrm>
                      <a:off x="0" y="0"/>
                      <a:ext cx="5729605" cy="7582535"/>
                    </a:xfrm>
                    <a:prstGeom prst="rect">
                      <a:avLst/>
                    </a:prstGeom>
                    <a:noFill/>
                    <a:ln>
                      <a:noFill/>
                    </a:ln>
                  </pic:spPr>
                </pic:pic>
              </a:graphicData>
            </a:graphic>
          </wp:inline>
        </w:drawing>
      </w:r>
    </w:p>
    <w:p w14:paraId="4D0B5FAC">
      <w:pPr>
        <w:rPr>
          <w:color w:val="000000" w:themeColor="text1"/>
          <w14:textFill>
            <w14:solidFill>
              <w14:schemeClr w14:val="tx1"/>
            </w14:solidFill>
          </w14:textFill>
        </w:rPr>
        <w:sectPr>
          <w:footerReference r:id="rId9" w:type="default"/>
          <w:pgSz w:w="11906" w:h="16838"/>
          <w:pgMar w:top="1800" w:right="1440" w:bottom="1800" w:left="1440" w:header="851" w:footer="851" w:gutter="0"/>
          <w:cols w:space="720" w:num="1"/>
          <w:docGrid w:linePitch="312" w:charSpace="0"/>
        </w:sectPr>
      </w:pPr>
    </w:p>
    <w:p w14:paraId="48623322">
      <w:pPr>
        <w:pStyle w:val="2"/>
        <w:ind w:left="0" w:firstLine="0"/>
        <w:rPr>
          <w:color w:val="000000" w:themeColor="text1"/>
          <w14:textFill>
            <w14:solidFill>
              <w14:schemeClr w14:val="tx1"/>
            </w14:solidFill>
          </w14:textFill>
        </w:rPr>
      </w:pPr>
      <w:bookmarkStart w:id="71" w:name="_Toc24739"/>
      <w:r>
        <w:rPr>
          <w:color w:val="000000" w:themeColor="text1"/>
          <w14:textFill>
            <w14:solidFill>
              <w14:schemeClr w14:val="tx1"/>
            </w14:solidFill>
          </w14:textFill>
        </w:rPr>
        <w:t>附件</w:t>
      </w:r>
      <w:r>
        <w:rPr>
          <w:rFonts w:hint="eastAsia"/>
          <w:color w:val="000000" w:themeColor="text1"/>
          <w14:textFill>
            <w14:solidFill>
              <w14:schemeClr w14:val="tx1"/>
            </w14:solidFill>
          </w14:textFill>
        </w:rPr>
        <w:t xml:space="preserve">8 </w:t>
      </w:r>
      <w:r>
        <w:rPr>
          <w:color w:val="000000" w:themeColor="text1"/>
          <w14:textFill>
            <w14:solidFill>
              <w14:schemeClr w14:val="tx1"/>
            </w14:solidFill>
          </w14:textFill>
        </w:rPr>
        <w:t>生态分区管控分析报告</w:t>
      </w:r>
      <w:bookmarkEnd w:id="71"/>
    </w:p>
    <w:p w14:paraId="7A507D88">
      <w:pP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8401685" cy="5244465"/>
            <wp:effectExtent l="0" t="0" r="18415" b="13335"/>
            <wp:docPr id="39"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32"/>
                    <pic:cNvPicPr>
                      <a:picLocks noChangeAspect="1"/>
                    </pic:cNvPicPr>
                  </pic:nvPicPr>
                  <pic:blipFill>
                    <a:blip r:embed="rId45"/>
                    <a:stretch>
                      <a:fillRect/>
                    </a:stretch>
                  </pic:blipFill>
                  <pic:spPr>
                    <a:xfrm>
                      <a:off x="0" y="0"/>
                      <a:ext cx="8401685" cy="5244465"/>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8397875" cy="5530850"/>
            <wp:effectExtent l="0" t="0" r="3175" b="12700"/>
            <wp:docPr id="40"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33"/>
                    <pic:cNvPicPr>
                      <a:picLocks noChangeAspect="1"/>
                    </pic:cNvPicPr>
                  </pic:nvPicPr>
                  <pic:blipFill>
                    <a:blip r:embed="rId46"/>
                    <a:stretch>
                      <a:fillRect/>
                    </a:stretch>
                  </pic:blipFill>
                  <pic:spPr>
                    <a:xfrm>
                      <a:off x="0" y="0"/>
                      <a:ext cx="8397875" cy="5530850"/>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8396605" cy="5048250"/>
            <wp:effectExtent l="0" t="0" r="4445" b="0"/>
            <wp:docPr id="41"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34"/>
                    <pic:cNvPicPr>
                      <a:picLocks noChangeAspect="1"/>
                    </pic:cNvPicPr>
                  </pic:nvPicPr>
                  <pic:blipFill>
                    <a:blip r:embed="rId47"/>
                    <a:stretch>
                      <a:fillRect/>
                    </a:stretch>
                  </pic:blipFill>
                  <pic:spPr>
                    <a:xfrm>
                      <a:off x="0" y="0"/>
                      <a:ext cx="8396605" cy="5048250"/>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8402955" cy="5299710"/>
            <wp:effectExtent l="0" t="0" r="17145" b="15240"/>
            <wp:docPr id="42"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35"/>
                    <pic:cNvPicPr>
                      <a:picLocks noChangeAspect="1"/>
                    </pic:cNvPicPr>
                  </pic:nvPicPr>
                  <pic:blipFill>
                    <a:blip r:embed="rId48"/>
                    <a:stretch>
                      <a:fillRect/>
                    </a:stretch>
                  </pic:blipFill>
                  <pic:spPr>
                    <a:xfrm>
                      <a:off x="0" y="0"/>
                      <a:ext cx="8402955" cy="5299710"/>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8402955" cy="5208270"/>
            <wp:effectExtent l="0" t="0" r="17145" b="11430"/>
            <wp:docPr id="43"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36"/>
                    <pic:cNvPicPr>
                      <a:picLocks noChangeAspect="1"/>
                    </pic:cNvPicPr>
                  </pic:nvPicPr>
                  <pic:blipFill>
                    <a:blip r:embed="rId49"/>
                    <a:stretch>
                      <a:fillRect/>
                    </a:stretch>
                  </pic:blipFill>
                  <pic:spPr>
                    <a:xfrm>
                      <a:off x="0" y="0"/>
                      <a:ext cx="8402955" cy="5208270"/>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8396605" cy="5085080"/>
            <wp:effectExtent l="0" t="0" r="4445" b="1270"/>
            <wp:docPr id="44"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37"/>
                    <pic:cNvPicPr>
                      <a:picLocks noChangeAspect="1"/>
                    </pic:cNvPicPr>
                  </pic:nvPicPr>
                  <pic:blipFill>
                    <a:blip r:embed="rId50"/>
                    <a:stretch>
                      <a:fillRect/>
                    </a:stretch>
                  </pic:blipFill>
                  <pic:spPr>
                    <a:xfrm>
                      <a:off x="0" y="0"/>
                      <a:ext cx="8396605" cy="5085080"/>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8397240" cy="5088255"/>
            <wp:effectExtent l="0" t="0" r="3810" b="17145"/>
            <wp:docPr id="45"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38"/>
                    <pic:cNvPicPr>
                      <a:picLocks noChangeAspect="1"/>
                    </pic:cNvPicPr>
                  </pic:nvPicPr>
                  <pic:blipFill>
                    <a:blip r:embed="rId51"/>
                    <a:stretch>
                      <a:fillRect/>
                    </a:stretch>
                  </pic:blipFill>
                  <pic:spPr>
                    <a:xfrm>
                      <a:off x="0" y="0"/>
                      <a:ext cx="8397240" cy="5088255"/>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8406130" cy="5058410"/>
            <wp:effectExtent l="0" t="0" r="13970" b="8890"/>
            <wp:docPr id="46"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39"/>
                    <pic:cNvPicPr>
                      <a:picLocks noChangeAspect="1"/>
                    </pic:cNvPicPr>
                  </pic:nvPicPr>
                  <pic:blipFill>
                    <a:blip r:embed="rId52"/>
                    <a:stretch>
                      <a:fillRect/>
                    </a:stretch>
                  </pic:blipFill>
                  <pic:spPr>
                    <a:xfrm>
                      <a:off x="0" y="0"/>
                      <a:ext cx="8406130" cy="5058410"/>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8401050" cy="5398770"/>
            <wp:effectExtent l="0" t="0" r="0" b="11430"/>
            <wp:docPr id="47"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40"/>
                    <pic:cNvPicPr>
                      <a:picLocks noChangeAspect="1"/>
                    </pic:cNvPicPr>
                  </pic:nvPicPr>
                  <pic:blipFill>
                    <a:blip r:embed="rId53"/>
                    <a:stretch>
                      <a:fillRect/>
                    </a:stretch>
                  </pic:blipFill>
                  <pic:spPr>
                    <a:xfrm>
                      <a:off x="0" y="0"/>
                      <a:ext cx="8401050" cy="5398770"/>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8400415" cy="5241290"/>
            <wp:effectExtent l="0" t="0" r="635" b="16510"/>
            <wp:docPr id="48"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41"/>
                    <pic:cNvPicPr>
                      <a:picLocks noChangeAspect="1"/>
                    </pic:cNvPicPr>
                  </pic:nvPicPr>
                  <pic:blipFill>
                    <a:blip r:embed="rId54"/>
                    <a:stretch>
                      <a:fillRect/>
                    </a:stretch>
                  </pic:blipFill>
                  <pic:spPr>
                    <a:xfrm>
                      <a:off x="0" y="0"/>
                      <a:ext cx="8400415" cy="5241290"/>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8401685" cy="5549265"/>
            <wp:effectExtent l="0" t="0" r="18415" b="13335"/>
            <wp:docPr id="49"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42"/>
                    <pic:cNvPicPr>
                      <a:picLocks noChangeAspect="1"/>
                    </pic:cNvPicPr>
                  </pic:nvPicPr>
                  <pic:blipFill>
                    <a:blip r:embed="rId55"/>
                    <a:stretch>
                      <a:fillRect/>
                    </a:stretch>
                  </pic:blipFill>
                  <pic:spPr>
                    <a:xfrm>
                      <a:off x="0" y="0"/>
                      <a:ext cx="8401685" cy="5549265"/>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8404860" cy="5438140"/>
            <wp:effectExtent l="0" t="0" r="15240" b="10160"/>
            <wp:docPr id="50"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43"/>
                    <pic:cNvPicPr>
                      <a:picLocks noChangeAspect="1"/>
                    </pic:cNvPicPr>
                  </pic:nvPicPr>
                  <pic:blipFill>
                    <a:blip r:embed="rId56"/>
                    <a:stretch>
                      <a:fillRect/>
                    </a:stretch>
                  </pic:blipFill>
                  <pic:spPr>
                    <a:xfrm>
                      <a:off x="0" y="0"/>
                      <a:ext cx="8404860" cy="5438140"/>
                    </a:xfrm>
                    <a:prstGeom prst="rect">
                      <a:avLst/>
                    </a:prstGeom>
                    <a:noFill/>
                    <a:ln>
                      <a:noFill/>
                    </a:ln>
                  </pic:spPr>
                </pic:pic>
              </a:graphicData>
            </a:graphic>
          </wp:inline>
        </w:drawing>
      </w:r>
    </w:p>
    <w:p w14:paraId="1EBBE2FA">
      <w:pPr>
        <w:rPr>
          <w:b/>
          <w:color w:val="000000" w:themeColor="text1"/>
          <w:sz w:val="24"/>
          <w14:textFill>
            <w14:solidFill>
              <w14:schemeClr w14:val="tx1"/>
            </w14:solidFill>
          </w14:textFill>
        </w:rPr>
      </w:pPr>
    </w:p>
    <w:sectPr>
      <w:pgSz w:w="16838" w:h="11906" w:orient="landscape"/>
      <w:pgMar w:top="1440" w:right="1800" w:bottom="1440" w:left="1800"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Arial Black">
    <w:panose1 w:val="020B0A04020102020204"/>
    <w:charset w:val="00"/>
    <w:family w:val="swiss"/>
    <w:pitch w:val="default"/>
    <w:sig w:usb0="A00002AF" w:usb1="400078FB" w:usb2="00000000" w:usb3="00000000" w:csb0="6000009F" w:csb1="DFD70000"/>
  </w:font>
  <w:font w:name="楷体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00"/>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1799D">
    <w:pPr>
      <w:pStyle w:val="1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C3414">
    <w:pPr>
      <w:pStyle w:val="15"/>
      <w:framePr w:wrap="around" w:vAnchor="text" w:hAnchor="margin" w:xAlign="center" w:y="1"/>
      <w:rPr>
        <w:rStyle w:val="28"/>
      </w:rPr>
    </w:pPr>
    <w:r>
      <w:fldChar w:fldCharType="begin"/>
    </w:r>
    <w:r>
      <w:rPr>
        <w:rStyle w:val="28"/>
      </w:rPr>
      <w:instrText xml:space="preserve">PAGE  </w:instrText>
    </w:r>
    <w:r>
      <w:fldChar w:fldCharType="separate"/>
    </w:r>
    <w:r>
      <w:rPr>
        <w:rStyle w:val="28"/>
      </w:rPr>
      <w:t>13</w:t>
    </w:r>
    <w:r>
      <w:fldChar w:fldCharType="end"/>
    </w:r>
  </w:p>
  <w:p w14:paraId="39C6AE58">
    <w:pPr>
      <w:pStyle w:val="15"/>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4D30C">
    <w:pPr>
      <w:pStyle w:val="15"/>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B0F3708">
                          <w:pPr>
                            <w:pStyle w:val="1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vert="horz" wrap="none" lIns="0" tIns="0" rIns="0" bIns="0" anchor="t" anchorCtr="0">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LNJWO7QAAAABQEAAA8AAAAA&#10;AAAAAQAgAAAAIgAAAGRycy9kb3ducmV2LnhtbFBLAQIUABQAAAAIAIdO4kBvdyjt4wEAAL8DAAAO&#10;AAAAAAAAAAEAIAAAAB8BAABkcnMvZTJvRG9jLnhtbFBLBQYAAAAABgAGAFkBAAB0BQAAAAA=&#10;">
              <v:fill on="f" focussize="0,0"/>
              <v:stroke on="f" weight="0.5pt"/>
              <v:imagedata o:title=""/>
              <o:lock v:ext="edit" aspectratio="f"/>
              <v:textbox inset="0mm,0mm,0mm,0mm" style="mso-fit-shape-to-text:t;">
                <w:txbxContent>
                  <w:p w14:paraId="3B0F3708">
                    <w:pPr>
                      <w:pStyle w:val="1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09174">
    <w:pPr>
      <w:pStyle w:val="15"/>
      <w:ind w:right="360"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523A3E5">
                          <w:pPr>
                            <w:pStyle w:val="15"/>
                          </w:pPr>
                          <w:r>
                            <w:t xml:space="preserve">第 </w:t>
                          </w:r>
                          <w:r>
                            <w:fldChar w:fldCharType="begin"/>
                          </w:r>
                          <w:r>
                            <w:instrText xml:space="preserve"> PAGE  \* MERGEFORMAT </w:instrText>
                          </w:r>
                          <w:r>
                            <w:fldChar w:fldCharType="separate"/>
                          </w:r>
                          <w:r>
                            <w:t>38</w:t>
                          </w:r>
                          <w:r>
                            <w:fldChar w:fldCharType="end"/>
                          </w:r>
                          <w:r>
                            <w:t xml:space="preserve"> 页</w:t>
                          </w:r>
                        </w:p>
                      </w:txbxContent>
                    </wps:txbx>
                    <wps:bodyPr vert="horz" wrap="none" lIns="0" tIns="0" rIns="0" bIns="0" anchor="t" anchorCtr="0">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zSVju0AAAAAUBAAAPAAAA&#10;AAAAAAEAIAAAACIAAABkcnMvZG93bnJldi54bWxQSwECFAAUAAAACACHTuJAwoetZ+QBAAC/AwAA&#10;DgAAAAAAAAABACAAAAAfAQAAZHJzL2Uyb0RvYy54bWxQSwUGAAAAAAYABgBZAQAAdQUAAAAA&#10;">
              <v:fill on="f" focussize="0,0"/>
              <v:stroke on="f" weight="0.5pt"/>
              <v:imagedata o:title=""/>
              <o:lock v:ext="edit" aspectratio="f"/>
              <v:textbox inset="0mm,0mm,0mm,0mm" style="mso-fit-shape-to-text:t;">
                <w:txbxContent>
                  <w:p w14:paraId="2523A3E5">
                    <w:pPr>
                      <w:pStyle w:val="15"/>
                    </w:pPr>
                    <w:r>
                      <w:t xml:space="preserve">第 </w:t>
                    </w:r>
                    <w:r>
                      <w:fldChar w:fldCharType="begin"/>
                    </w:r>
                    <w:r>
                      <w:instrText xml:space="preserve"> PAGE  \* MERGEFORMAT </w:instrText>
                    </w:r>
                    <w:r>
                      <w:fldChar w:fldCharType="separate"/>
                    </w:r>
                    <w:r>
                      <w:t>38</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CA43C">
    <w:pPr>
      <w:pStyle w:val="15"/>
      <w:ind w:right="360" w:firstLine="36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10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B921BE2">
                          <w:pPr>
                            <w:pStyle w:val="15"/>
                          </w:pPr>
                          <w:r>
                            <w:t xml:space="preserve">第 </w:t>
                          </w:r>
                          <w:r>
                            <w:fldChar w:fldCharType="begin"/>
                          </w:r>
                          <w:r>
                            <w:instrText xml:space="preserve"> PAGE  \* MERGEFORMAT </w:instrText>
                          </w:r>
                          <w:r>
                            <w:fldChar w:fldCharType="separate"/>
                          </w:r>
                          <w:r>
                            <w:t>39</w:t>
                          </w:r>
                          <w:r>
                            <w:fldChar w:fldCharType="end"/>
                          </w:r>
                          <w:r>
                            <w:t xml:space="preserve"> 页</w:t>
                          </w:r>
                        </w:p>
                      </w:txbxContent>
                    </wps:txbx>
                    <wps:bodyPr vert="horz" wrap="none" lIns="0" tIns="0" rIns="0" bIns="0" anchor="t" anchorCtr="0">
                      <a:spAutoFit/>
                    </wps:bodyPr>
                  </wps:wsp>
                </a:graphicData>
              </a:graphic>
            </wp:anchor>
          </w:drawing>
        </mc:Choice>
        <mc:Fallback>
          <w:pict>
            <v:shape id="文本框 1042"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zSVju0AAAAAUBAAAPAAAA&#10;AAAAAAEAIAAAACIAAABkcnMvZG93bnJldi54bWxQSwECFAAUAAAACACHTuJAgbx4WuQBAAC/AwAA&#10;DgAAAAAAAAABACAAAAAfAQAAZHJzL2Uyb0RvYy54bWxQSwUGAAAAAAYABgBZAQAAdQUAAAAA&#10;">
              <v:fill on="f" focussize="0,0"/>
              <v:stroke on="f" weight="0.5pt"/>
              <v:imagedata o:title=""/>
              <o:lock v:ext="edit" aspectratio="f"/>
              <v:textbox inset="0mm,0mm,0mm,0mm" style="mso-fit-shape-to-text:t;">
                <w:txbxContent>
                  <w:p w14:paraId="0B921BE2">
                    <w:pPr>
                      <w:pStyle w:val="15"/>
                    </w:pPr>
                    <w:r>
                      <w:t xml:space="preserve">第 </w:t>
                    </w:r>
                    <w:r>
                      <w:fldChar w:fldCharType="begin"/>
                    </w:r>
                    <w:r>
                      <w:instrText xml:space="preserve"> PAGE  \* MERGEFORMAT </w:instrText>
                    </w:r>
                    <w:r>
                      <w:fldChar w:fldCharType="separate"/>
                    </w:r>
                    <w:r>
                      <w:t>39</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BFDB4">
    <w:pPr>
      <w:pStyle w:val="15"/>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10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CAFE5A4">
                          <w:pPr>
                            <w:pStyle w:val="15"/>
                          </w:pPr>
                          <w:r>
                            <w:t xml:space="preserve">第 </w:t>
                          </w:r>
                          <w:r>
                            <w:fldChar w:fldCharType="begin"/>
                          </w:r>
                          <w:r>
                            <w:instrText xml:space="preserve"> PAGE  \* MERGEFORMAT </w:instrText>
                          </w:r>
                          <w:r>
                            <w:fldChar w:fldCharType="separate"/>
                          </w:r>
                          <w:r>
                            <w:t>41</w:t>
                          </w:r>
                          <w:r>
                            <w:fldChar w:fldCharType="end"/>
                          </w:r>
                          <w:r>
                            <w:t xml:space="preserve"> 页</w:t>
                          </w:r>
                        </w:p>
                      </w:txbxContent>
                    </wps:txbx>
                    <wps:bodyPr vert="horz" wrap="none" lIns="0" tIns="0" rIns="0" bIns="0" anchor="t" anchorCtr="0">
                      <a:spAutoFit/>
                    </wps:bodyPr>
                  </wps:wsp>
                </a:graphicData>
              </a:graphic>
            </wp:anchor>
          </w:drawing>
        </mc:Choice>
        <mc:Fallback>
          <w:pict>
            <v:shape id="文本框 104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zSVju0AAAAAUBAAAPAAAA&#10;AAAAAAEAIAAAACIAAABkcnMvZG93bnJldi54bWxQSwECFAAUAAAACACHTuJA2WDXqeQBAAC/AwAA&#10;DgAAAAAAAAABACAAAAAfAQAAZHJzL2Uyb0RvYy54bWxQSwUGAAAAAAYABgBZAQAAdQUAAAAA&#10;">
              <v:fill on="f" focussize="0,0"/>
              <v:stroke on="f" weight="0.5pt"/>
              <v:imagedata o:title=""/>
              <o:lock v:ext="edit" aspectratio="f"/>
              <v:textbox inset="0mm,0mm,0mm,0mm" style="mso-fit-shape-to-text:t;">
                <w:txbxContent>
                  <w:p w14:paraId="7CAFE5A4">
                    <w:pPr>
                      <w:pStyle w:val="15"/>
                    </w:pPr>
                    <w:r>
                      <w:t xml:space="preserve">第 </w:t>
                    </w:r>
                    <w:r>
                      <w:fldChar w:fldCharType="begin"/>
                    </w:r>
                    <w:r>
                      <w:instrText xml:space="preserve"> PAGE  \* MERGEFORMAT </w:instrText>
                    </w:r>
                    <w:r>
                      <w:fldChar w:fldCharType="separate"/>
                    </w:r>
                    <w:r>
                      <w:t>41</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39BE8">
    <w:pPr>
      <w:pStyle w:val="15"/>
      <w:ind w:right="360"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10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9A97493">
                          <w:pPr>
                            <w:pStyle w:val="15"/>
                          </w:pPr>
                          <w:r>
                            <w:t xml:space="preserve">第 </w:t>
                          </w:r>
                          <w:r>
                            <w:fldChar w:fldCharType="begin"/>
                          </w:r>
                          <w:r>
                            <w:instrText xml:space="preserve"> PAGE  \* MERGEFORMAT </w:instrText>
                          </w:r>
                          <w:r>
                            <w:fldChar w:fldCharType="separate"/>
                          </w:r>
                          <w:r>
                            <w:t>42</w:t>
                          </w:r>
                          <w:r>
                            <w:fldChar w:fldCharType="end"/>
                          </w:r>
                          <w:r>
                            <w:t xml:space="preserve"> 页</w:t>
                          </w:r>
                        </w:p>
                      </w:txbxContent>
                    </wps:txbx>
                    <wps:bodyPr vert="horz" wrap="none" lIns="0" tIns="0" rIns="0" bIns="0" anchor="t" anchorCtr="0">
                      <a:spAutoFit/>
                    </wps:bodyPr>
                  </wps:wsp>
                </a:graphicData>
              </a:graphic>
            </wp:anchor>
          </w:drawing>
        </mc:Choice>
        <mc:Fallback>
          <w:pict>
            <v:shape id="文本框 1044"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zSVju0AAAAAUBAAAPAAAA&#10;AAAAAAEAIAAAACIAAABkcnMvZG93bnJldi54bWxQSwECFAAUAAAACACHTuJA8ub4WOQBAAC/AwAA&#10;DgAAAAAAAAABACAAAAAfAQAAZHJzL2Uyb0RvYy54bWxQSwUGAAAAAAYABgBZAQAAdQUAAAAA&#10;">
              <v:fill on="f" focussize="0,0"/>
              <v:stroke on="f" weight="0.5pt"/>
              <v:imagedata o:title=""/>
              <o:lock v:ext="edit" aspectratio="f"/>
              <v:textbox inset="0mm,0mm,0mm,0mm" style="mso-fit-shape-to-text:t;">
                <w:txbxContent>
                  <w:p w14:paraId="29A97493">
                    <w:pPr>
                      <w:pStyle w:val="15"/>
                    </w:pPr>
                    <w:r>
                      <w:t xml:space="preserve">第 </w:t>
                    </w:r>
                    <w:r>
                      <w:fldChar w:fldCharType="begin"/>
                    </w:r>
                    <w:r>
                      <w:instrText xml:space="preserve"> PAGE  \* MERGEFORMAT </w:instrText>
                    </w:r>
                    <w:r>
                      <w:fldChar w:fldCharType="separate"/>
                    </w:r>
                    <w:r>
                      <w:t>42</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82EB17"/>
    <w:multiLevelType w:val="singleLevel"/>
    <w:tmpl w:val="C982EB17"/>
    <w:lvl w:ilvl="0" w:tentative="0">
      <w:start w:val="1"/>
      <w:numFmt w:val="decimal"/>
      <w:suff w:val="nothing"/>
      <w:lvlText w:val="%1、"/>
      <w:lvlJc w:val="left"/>
    </w:lvl>
  </w:abstractNum>
  <w:abstractNum w:abstractNumId="1">
    <w:nsid w:val="00000003"/>
    <w:multiLevelType w:val="singleLevel"/>
    <w:tmpl w:val="00000003"/>
    <w:lvl w:ilvl="0" w:tentative="0">
      <w:start w:val="2"/>
      <w:numFmt w:val="decimal"/>
      <w:suff w:val="nothing"/>
      <w:lvlText w:val="（%1）"/>
      <w:lvlJc w:val="left"/>
    </w:lvl>
  </w:abstractNum>
  <w:abstractNum w:abstractNumId="2">
    <w:nsid w:val="155218AF"/>
    <w:multiLevelType w:val="multilevel"/>
    <w:tmpl w:val="155218AF"/>
    <w:lvl w:ilvl="0" w:tentative="0">
      <w:start w:val="1"/>
      <w:numFmt w:val="decimal"/>
      <w:pStyle w:val="71"/>
      <w:lvlText w:val="表%1"/>
      <w:lvlJc w:val="left"/>
      <w:pPr>
        <w:ind w:left="620" w:hanging="420"/>
      </w:pPr>
      <w:rPr>
        <w:rFonts w:hint="default"/>
      </w:rPr>
    </w:lvl>
    <w:lvl w:ilvl="1" w:tentative="0">
      <w:start w:val="1"/>
      <w:numFmt w:val="lowerLetter"/>
      <w:lvlText w:val="%2)"/>
      <w:lvlJc w:val="left"/>
      <w:pPr>
        <w:ind w:left="1040" w:hanging="420"/>
      </w:p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abstractNum w:abstractNumId="3">
    <w:nsid w:val="245E0D7B"/>
    <w:multiLevelType w:val="singleLevel"/>
    <w:tmpl w:val="245E0D7B"/>
    <w:lvl w:ilvl="0" w:tentative="0">
      <w:start w:val="1"/>
      <w:numFmt w:val="decimal"/>
      <w:suff w:val="nothing"/>
      <w:lvlText w:val="（%1）"/>
      <w:lvlJc w:val="left"/>
    </w:lvl>
  </w:abstractNum>
  <w:abstractNum w:abstractNumId="4">
    <w:nsid w:val="3D67D9EA"/>
    <w:multiLevelType w:val="singleLevel"/>
    <w:tmpl w:val="3D67D9EA"/>
    <w:lvl w:ilvl="0" w:tentative="0">
      <w:start w:val="2"/>
      <w:numFmt w:val="decimal"/>
      <w:suff w:val="nothing"/>
      <w:lvlText w:val="%1、"/>
      <w:lvlJc w:val="left"/>
      <w:pPr>
        <w:ind w:left="150"/>
      </w:pPr>
    </w:lvl>
  </w:abstractNum>
  <w:abstractNum w:abstractNumId="5">
    <w:nsid w:val="76896012"/>
    <w:multiLevelType w:val="singleLevel"/>
    <w:tmpl w:val="76896012"/>
    <w:lvl w:ilvl="0" w:tentative="0">
      <w:start w:val="1"/>
      <w:numFmt w:val="bullet"/>
      <w:pStyle w:val="11"/>
      <w:lvlText w:val=""/>
      <w:lvlJc w:val="left"/>
      <w:pPr>
        <w:tabs>
          <w:tab w:val="left" w:pos="2040"/>
        </w:tabs>
        <w:ind w:left="2040" w:hanging="360"/>
      </w:pPr>
      <w:rPr>
        <w:rFonts w:hint="default" w:ascii="Wingdings" w:hAnsi="Wingdings"/>
      </w:rPr>
    </w:lvl>
  </w:abstractNum>
  <w:num w:numId="1">
    <w:abstractNumId w:val="5"/>
  </w:num>
  <w:num w:numId="2">
    <w:abstractNumId w:val="2"/>
  </w:num>
  <w:num w:numId="3">
    <w:abstractNumId w:val="4"/>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doNotHyphenateCaps/>
  <w:drawingGridVerticalSpacing w:val="156"/>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947"/>
    <w:rsid w:val="0000241E"/>
    <w:rsid w:val="000060B3"/>
    <w:rsid w:val="00012294"/>
    <w:rsid w:val="00023AAF"/>
    <w:rsid w:val="00026055"/>
    <w:rsid w:val="00033AFD"/>
    <w:rsid w:val="000344BF"/>
    <w:rsid w:val="0004364B"/>
    <w:rsid w:val="00050B82"/>
    <w:rsid w:val="0005266D"/>
    <w:rsid w:val="00052EB6"/>
    <w:rsid w:val="00060C75"/>
    <w:rsid w:val="00061398"/>
    <w:rsid w:val="00061B1F"/>
    <w:rsid w:val="000733C4"/>
    <w:rsid w:val="00074783"/>
    <w:rsid w:val="0008016B"/>
    <w:rsid w:val="0008070B"/>
    <w:rsid w:val="000810AC"/>
    <w:rsid w:val="00081A02"/>
    <w:rsid w:val="00082231"/>
    <w:rsid w:val="0008444A"/>
    <w:rsid w:val="0008451C"/>
    <w:rsid w:val="000858E1"/>
    <w:rsid w:val="000861DA"/>
    <w:rsid w:val="00092D38"/>
    <w:rsid w:val="0009377B"/>
    <w:rsid w:val="000964B6"/>
    <w:rsid w:val="000A20C9"/>
    <w:rsid w:val="000B058F"/>
    <w:rsid w:val="000B05D4"/>
    <w:rsid w:val="000B1205"/>
    <w:rsid w:val="000B194B"/>
    <w:rsid w:val="000B4467"/>
    <w:rsid w:val="000B4479"/>
    <w:rsid w:val="000B4DB9"/>
    <w:rsid w:val="000C09AC"/>
    <w:rsid w:val="000C2464"/>
    <w:rsid w:val="000C3A02"/>
    <w:rsid w:val="000C767F"/>
    <w:rsid w:val="000C795B"/>
    <w:rsid w:val="000D5A44"/>
    <w:rsid w:val="000E041A"/>
    <w:rsid w:val="000E1EBF"/>
    <w:rsid w:val="000E3E38"/>
    <w:rsid w:val="000E3ED2"/>
    <w:rsid w:val="000F15B6"/>
    <w:rsid w:val="000F52FC"/>
    <w:rsid w:val="000F5904"/>
    <w:rsid w:val="000F6562"/>
    <w:rsid w:val="000F6BE3"/>
    <w:rsid w:val="000F6D59"/>
    <w:rsid w:val="00104178"/>
    <w:rsid w:val="00105012"/>
    <w:rsid w:val="0011275A"/>
    <w:rsid w:val="00116749"/>
    <w:rsid w:val="001240ED"/>
    <w:rsid w:val="00131F42"/>
    <w:rsid w:val="00131F47"/>
    <w:rsid w:val="0013231F"/>
    <w:rsid w:val="00133D0C"/>
    <w:rsid w:val="001357F1"/>
    <w:rsid w:val="00140ED3"/>
    <w:rsid w:val="00140FA8"/>
    <w:rsid w:val="00142FEB"/>
    <w:rsid w:val="0014317D"/>
    <w:rsid w:val="0014373B"/>
    <w:rsid w:val="00143A2D"/>
    <w:rsid w:val="00145A41"/>
    <w:rsid w:val="00145C34"/>
    <w:rsid w:val="00146054"/>
    <w:rsid w:val="001501E2"/>
    <w:rsid w:val="00151675"/>
    <w:rsid w:val="00153A62"/>
    <w:rsid w:val="00154739"/>
    <w:rsid w:val="00156A05"/>
    <w:rsid w:val="00157435"/>
    <w:rsid w:val="00160DBA"/>
    <w:rsid w:val="0017504D"/>
    <w:rsid w:val="00176687"/>
    <w:rsid w:val="0017671A"/>
    <w:rsid w:val="00177422"/>
    <w:rsid w:val="00184590"/>
    <w:rsid w:val="0018519B"/>
    <w:rsid w:val="001870D1"/>
    <w:rsid w:val="0018781E"/>
    <w:rsid w:val="0019262D"/>
    <w:rsid w:val="0019633E"/>
    <w:rsid w:val="00197516"/>
    <w:rsid w:val="001976E1"/>
    <w:rsid w:val="00197F11"/>
    <w:rsid w:val="001A18E1"/>
    <w:rsid w:val="001A1B35"/>
    <w:rsid w:val="001A48A2"/>
    <w:rsid w:val="001A6F61"/>
    <w:rsid w:val="001A7FBB"/>
    <w:rsid w:val="001B39BE"/>
    <w:rsid w:val="001B3AC3"/>
    <w:rsid w:val="001B4782"/>
    <w:rsid w:val="001B5D27"/>
    <w:rsid w:val="001B72B8"/>
    <w:rsid w:val="001C3904"/>
    <w:rsid w:val="001C69B3"/>
    <w:rsid w:val="001D0B18"/>
    <w:rsid w:val="001D19B9"/>
    <w:rsid w:val="001D52DD"/>
    <w:rsid w:val="001D5595"/>
    <w:rsid w:val="001D7874"/>
    <w:rsid w:val="001D7F22"/>
    <w:rsid w:val="001E0209"/>
    <w:rsid w:val="001E18BB"/>
    <w:rsid w:val="001E2FB2"/>
    <w:rsid w:val="001E7676"/>
    <w:rsid w:val="001E77C9"/>
    <w:rsid w:val="001F0F17"/>
    <w:rsid w:val="001F3347"/>
    <w:rsid w:val="001F69E4"/>
    <w:rsid w:val="002017B9"/>
    <w:rsid w:val="0020343B"/>
    <w:rsid w:val="00203D42"/>
    <w:rsid w:val="0021119D"/>
    <w:rsid w:val="002125B4"/>
    <w:rsid w:val="00214ADC"/>
    <w:rsid w:val="002155B8"/>
    <w:rsid w:val="00220124"/>
    <w:rsid w:val="002234A4"/>
    <w:rsid w:val="00224839"/>
    <w:rsid w:val="002249B2"/>
    <w:rsid w:val="00226012"/>
    <w:rsid w:val="00226574"/>
    <w:rsid w:val="002278EC"/>
    <w:rsid w:val="00231241"/>
    <w:rsid w:val="00231528"/>
    <w:rsid w:val="0023280E"/>
    <w:rsid w:val="002339B7"/>
    <w:rsid w:val="002371C4"/>
    <w:rsid w:val="002377D1"/>
    <w:rsid w:val="0024240E"/>
    <w:rsid w:val="00245737"/>
    <w:rsid w:val="002506BC"/>
    <w:rsid w:val="00254345"/>
    <w:rsid w:val="0025756A"/>
    <w:rsid w:val="00262AB9"/>
    <w:rsid w:val="00264557"/>
    <w:rsid w:val="00266744"/>
    <w:rsid w:val="00270707"/>
    <w:rsid w:val="00270E74"/>
    <w:rsid w:val="002805AB"/>
    <w:rsid w:val="00283716"/>
    <w:rsid w:val="00284204"/>
    <w:rsid w:val="002909D0"/>
    <w:rsid w:val="0029173A"/>
    <w:rsid w:val="00291773"/>
    <w:rsid w:val="0029504B"/>
    <w:rsid w:val="00297459"/>
    <w:rsid w:val="00297D43"/>
    <w:rsid w:val="002A168C"/>
    <w:rsid w:val="002A25F8"/>
    <w:rsid w:val="002A2E21"/>
    <w:rsid w:val="002A3DC7"/>
    <w:rsid w:val="002B2198"/>
    <w:rsid w:val="002B49E2"/>
    <w:rsid w:val="002B7B00"/>
    <w:rsid w:val="002B7C44"/>
    <w:rsid w:val="002C2B17"/>
    <w:rsid w:val="002D0DFD"/>
    <w:rsid w:val="002D3DD0"/>
    <w:rsid w:val="002D425D"/>
    <w:rsid w:val="002D433F"/>
    <w:rsid w:val="002E1F3A"/>
    <w:rsid w:val="002E203C"/>
    <w:rsid w:val="002E23C7"/>
    <w:rsid w:val="002E298A"/>
    <w:rsid w:val="002E3035"/>
    <w:rsid w:val="002E5572"/>
    <w:rsid w:val="002E6D5C"/>
    <w:rsid w:val="002E7962"/>
    <w:rsid w:val="002F0D4E"/>
    <w:rsid w:val="003004D4"/>
    <w:rsid w:val="00301978"/>
    <w:rsid w:val="00301EA5"/>
    <w:rsid w:val="00302B10"/>
    <w:rsid w:val="0030332C"/>
    <w:rsid w:val="003051C2"/>
    <w:rsid w:val="00310329"/>
    <w:rsid w:val="0031134A"/>
    <w:rsid w:val="00312296"/>
    <w:rsid w:val="00314F0E"/>
    <w:rsid w:val="00317595"/>
    <w:rsid w:val="00321D8E"/>
    <w:rsid w:val="00322357"/>
    <w:rsid w:val="00323040"/>
    <w:rsid w:val="00325928"/>
    <w:rsid w:val="00325F46"/>
    <w:rsid w:val="00332863"/>
    <w:rsid w:val="0033587E"/>
    <w:rsid w:val="00335F7B"/>
    <w:rsid w:val="00336535"/>
    <w:rsid w:val="003366EE"/>
    <w:rsid w:val="0033684D"/>
    <w:rsid w:val="00336B25"/>
    <w:rsid w:val="00337B42"/>
    <w:rsid w:val="003405C3"/>
    <w:rsid w:val="00341B42"/>
    <w:rsid w:val="0034348F"/>
    <w:rsid w:val="0034460E"/>
    <w:rsid w:val="00345E37"/>
    <w:rsid w:val="003506D8"/>
    <w:rsid w:val="00350E26"/>
    <w:rsid w:val="003510F3"/>
    <w:rsid w:val="00354971"/>
    <w:rsid w:val="00354D46"/>
    <w:rsid w:val="00354F30"/>
    <w:rsid w:val="00356496"/>
    <w:rsid w:val="00356653"/>
    <w:rsid w:val="0035743F"/>
    <w:rsid w:val="00357BE2"/>
    <w:rsid w:val="0036170C"/>
    <w:rsid w:val="00366E0F"/>
    <w:rsid w:val="0037129F"/>
    <w:rsid w:val="00373F34"/>
    <w:rsid w:val="00377154"/>
    <w:rsid w:val="0038114A"/>
    <w:rsid w:val="00381A72"/>
    <w:rsid w:val="003825B3"/>
    <w:rsid w:val="00384676"/>
    <w:rsid w:val="003861C3"/>
    <w:rsid w:val="00387620"/>
    <w:rsid w:val="00390857"/>
    <w:rsid w:val="003911B0"/>
    <w:rsid w:val="00391B00"/>
    <w:rsid w:val="003934FD"/>
    <w:rsid w:val="003975E3"/>
    <w:rsid w:val="003A4BF3"/>
    <w:rsid w:val="003B19F5"/>
    <w:rsid w:val="003B2A7A"/>
    <w:rsid w:val="003B420D"/>
    <w:rsid w:val="003C503B"/>
    <w:rsid w:val="003C6C16"/>
    <w:rsid w:val="003D52E7"/>
    <w:rsid w:val="003D794D"/>
    <w:rsid w:val="003D7A71"/>
    <w:rsid w:val="003D7BF2"/>
    <w:rsid w:val="003E2DE2"/>
    <w:rsid w:val="003E3058"/>
    <w:rsid w:val="003E76A9"/>
    <w:rsid w:val="003E7D2B"/>
    <w:rsid w:val="003F0809"/>
    <w:rsid w:val="003F6A8C"/>
    <w:rsid w:val="003F6B91"/>
    <w:rsid w:val="003F755C"/>
    <w:rsid w:val="0040080F"/>
    <w:rsid w:val="00400F0D"/>
    <w:rsid w:val="0040336C"/>
    <w:rsid w:val="00406F01"/>
    <w:rsid w:val="004125C8"/>
    <w:rsid w:val="00413C39"/>
    <w:rsid w:val="004169D8"/>
    <w:rsid w:val="00416D50"/>
    <w:rsid w:val="00416FD5"/>
    <w:rsid w:val="004171BD"/>
    <w:rsid w:val="00417772"/>
    <w:rsid w:val="00420D0E"/>
    <w:rsid w:val="00420E6A"/>
    <w:rsid w:val="00423076"/>
    <w:rsid w:val="00424784"/>
    <w:rsid w:val="00425A9E"/>
    <w:rsid w:val="00426D6B"/>
    <w:rsid w:val="00427C3C"/>
    <w:rsid w:val="00431E6C"/>
    <w:rsid w:val="004334D8"/>
    <w:rsid w:val="00433CE7"/>
    <w:rsid w:val="00434EAD"/>
    <w:rsid w:val="00441899"/>
    <w:rsid w:val="0044583A"/>
    <w:rsid w:val="0045025C"/>
    <w:rsid w:val="00452738"/>
    <w:rsid w:val="00453D93"/>
    <w:rsid w:val="00456091"/>
    <w:rsid w:val="00461DAD"/>
    <w:rsid w:val="00466321"/>
    <w:rsid w:val="004676AB"/>
    <w:rsid w:val="00470D6C"/>
    <w:rsid w:val="00476C70"/>
    <w:rsid w:val="00484B9B"/>
    <w:rsid w:val="00485140"/>
    <w:rsid w:val="004855F6"/>
    <w:rsid w:val="0048661E"/>
    <w:rsid w:val="00490BC6"/>
    <w:rsid w:val="00490BD3"/>
    <w:rsid w:val="00494670"/>
    <w:rsid w:val="00495577"/>
    <w:rsid w:val="0049694F"/>
    <w:rsid w:val="004A0E9F"/>
    <w:rsid w:val="004A1165"/>
    <w:rsid w:val="004A3046"/>
    <w:rsid w:val="004A3823"/>
    <w:rsid w:val="004A4E84"/>
    <w:rsid w:val="004B13CD"/>
    <w:rsid w:val="004B2880"/>
    <w:rsid w:val="004C1670"/>
    <w:rsid w:val="004D23B1"/>
    <w:rsid w:val="004D366C"/>
    <w:rsid w:val="004D41C7"/>
    <w:rsid w:val="004D641E"/>
    <w:rsid w:val="004E4AE5"/>
    <w:rsid w:val="004E5B44"/>
    <w:rsid w:val="004E6946"/>
    <w:rsid w:val="004F1AD8"/>
    <w:rsid w:val="004F1ECB"/>
    <w:rsid w:val="0050061F"/>
    <w:rsid w:val="00501650"/>
    <w:rsid w:val="00502037"/>
    <w:rsid w:val="00502141"/>
    <w:rsid w:val="00502CA2"/>
    <w:rsid w:val="005039CB"/>
    <w:rsid w:val="00504C7D"/>
    <w:rsid w:val="00504E0C"/>
    <w:rsid w:val="0050558F"/>
    <w:rsid w:val="00506286"/>
    <w:rsid w:val="00507391"/>
    <w:rsid w:val="00510813"/>
    <w:rsid w:val="00510CEC"/>
    <w:rsid w:val="005113B1"/>
    <w:rsid w:val="00511990"/>
    <w:rsid w:val="00511DE0"/>
    <w:rsid w:val="00514870"/>
    <w:rsid w:val="00514B9B"/>
    <w:rsid w:val="005160D8"/>
    <w:rsid w:val="005163D0"/>
    <w:rsid w:val="00516405"/>
    <w:rsid w:val="00517F02"/>
    <w:rsid w:val="0052355A"/>
    <w:rsid w:val="00523928"/>
    <w:rsid w:val="00524303"/>
    <w:rsid w:val="005258A2"/>
    <w:rsid w:val="00525C5A"/>
    <w:rsid w:val="005302E4"/>
    <w:rsid w:val="0053257A"/>
    <w:rsid w:val="005355E4"/>
    <w:rsid w:val="0053612E"/>
    <w:rsid w:val="005401AE"/>
    <w:rsid w:val="00540E59"/>
    <w:rsid w:val="00542E07"/>
    <w:rsid w:val="00542EA7"/>
    <w:rsid w:val="00545330"/>
    <w:rsid w:val="00545424"/>
    <w:rsid w:val="0054678D"/>
    <w:rsid w:val="00550819"/>
    <w:rsid w:val="00552DFF"/>
    <w:rsid w:val="005536AF"/>
    <w:rsid w:val="00554A7B"/>
    <w:rsid w:val="0055572C"/>
    <w:rsid w:val="00555D5D"/>
    <w:rsid w:val="0056106A"/>
    <w:rsid w:val="00562046"/>
    <w:rsid w:val="005628AE"/>
    <w:rsid w:val="0056653B"/>
    <w:rsid w:val="00570BA5"/>
    <w:rsid w:val="00571459"/>
    <w:rsid w:val="005719E5"/>
    <w:rsid w:val="005720AE"/>
    <w:rsid w:val="00574CEF"/>
    <w:rsid w:val="00577EA3"/>
    <w:rsid w:val="00581058"/>
    <w:rsid w:val="00582288"/>
    <w:rsid w:val="00585730"/>
    <w:rsid w:val="00585807"/>
    <w:rsid w:val="005908E9"/>
    <w:rsid w:val="00593EF4"/>
    <w:rsid w:val="00594D77"/>
    <w:rsid w:val="0059664D"/>
    <w:rsid w:val="005969E4"/>
    <w:rsid w:val="005977A1"/>
    <w:rsid w:val="00597D49"/>
    <w:rsid w:val="005A06B7"/>
    <w:rsid w:val="005A1759"/>
    <w:rsid w:val="005A2ECC"/>
    <w:rsid w:val="005A549C"/>
    <w:rsid w:val="005A68A7"/>
    <w:rsid w:val="005B0DD3"/>
    <w:rsid w:val="005B5540"/>
    <w:rsid w:val="005B68B3"/>
    <w:rsid w:val="005C09BB"/>
    <w:rsid w:val="005C4185"/>
    <w:rsid w:val="005C41B1"/>
    <w:rsid w:val="005C595E"/>
    <w:rsid w:val="005D063A"/>
    <w:rsid w:val="005D36AB"/>
    <w:rsid w:val="005D41E9"/>
    <w:rsid w:val="005D4FE5"/>
    <w:rsid w:val="005D6330"/>
    <w:rsid w:val="005E590B"/>
    <w:rsid w:val="005F7AF5"/>
    <w:rsid w:val="00602212"/>
    <w:rsid w:val="006048AF"/>
    <w:rsid w:val="00606C60"/>
    <w:rsid w:val="006074A5"/>
    <w:rsid w:val="00610E2C"/>
    <w:rsid w:val="00611BE0"/>
    <w:rsid w:val="00617CC3"/>
    <w:rsid w:val="006246EF"/>
    <w:rsid w:val="0062617C"/>
    <w:rsid w:val="00633DD7"/>
    <w:rsid w:val="0063529A"/>
    <w:rsid w:val="00635771"/>
    <w:rsid w:val="00635905"/>
    <w:rsid w:val="006377A6"/>
    <w:rsid w:val="00637A3D"/>
    <w:rsid w:val="00640CF3"/>
    <w:rsid w:val="006411EF"/>
    <w:rsid w:val="00646CC2"/>
    <w:rsid w:val="00653A2D"/>
    <w:rsid w:val="00654A95"/>
    <w:rsid w:val="00655BD2"/>
    <w:rsid w:val="00656EE5"/>
    <w:rsid w:val="00664EC4"/>
    <w:rsid w:val="00670663"/>
    <w:rsid w:val="006748B8"/>
    <w:rsid w:val="006775C3"/>
    <w:rsid w:val="00682ADC"/>
    <w:rsid w:val="0069290A"/>
    <w:rsid w:val="006941F7"/>
    <w:rsid w:val="0069775A"/>
    <w:rsid w:val="00697813"/>
    <w:rsid w:val="006A1F37"/>
    <w:rsid w:val="006A3EE8"/>
    <w:rsid w:val="006A5740"/>
    <w:rsid w:val="006A72BF"/>
    <w:rsid w:val="006B03F2"/>
    <w:rsid w:val="006B0D11"/>
    <w:rsid w:val="006B1D4A"/>
    <w:rsid w:val="006B37DC"/>
    <w:rsid w:val="006B4F68"/>
    <w:rsid w:val="006C0592"/>
    <w:rsid w:val="006C272E"/>
    <w:rsid w:val="006C48A0"/>
    <w:rsid w:val="006C5479"/>
    <w:rsid w:val="006C54A1"/>
    <w:rsid w:val="006C6260"/>
    <w:rsid w:val="006D13B5"/>
    <w:rsid w:val="006D1E92"/>
    <w:rsid w:val="006D35E5"/>
    <w:rsid w:val="006D44D9"/>
    <w:rsid w:val="006E12FF"/>
    <w:rsid w:val="006E2B98"/>
    <w:rsid w:val="006E45A8"/>
    <w:rsid w:val="006E4C6A"/>
    <w:rsid w:val="006E5E66"/>
    <w:rsid w:val="006E607E"/>
    <w:rsid w:val="006F3718"/>
    <w:rsid w:val="00700E2D"/>
    <w:rsid w:val="00701886"/>
    <w:rsid w:val="00704D26"/>
    <w:rsid w:val="007051F3"/>
    <w:rsid w:val="00706C5D"/>
    <w:rsid w:val="00710039"/>
    <w:rsid w:val="00710B4C"/>
    <w:rsid w:val="0071368A"/>
    <w:rsid w:val="00716E7F"/>
    <w:rsid w:val="00722981"/>
    <w:rsid w:val="00727313"/>
    <w:rsid w:val="0073048B"/>
    <w:rsid w:val="00732922"/>
    <w:rsid w:val="00735683"/>
    <w:rsid w:val="00737E52"/>
    <w:rsid w:val="0074282F"/>
    <w:rsid w:val="00746244"/>
    <w:rsid w:val="007470A0"/>
    <w:rsid w:val="0075162E"/>
    <w:rsid w:val="00753386"/>
    <w:rsid w:val="00754034"/>
    <w:rsid w:val="00756556"/>
    <w:rsid w:val="00757483"/>
    <w:rsid w:val="007618C4"/>
    <w:rsid w:val="00767980"/>
    <w:rsid w:val="00770374"/>
    <w:rsid w:val="00770904"/>
    <w:rsid w:val="00770B19"/>
    <w:rsid w:val="0077321F"/>
    <w:rsid w:val="00773527"/>
    <w:rsid w:val="0077463F"/>
    <w:rsid w:val="0077594D"/>
    <w:rsid w:val="00783038"/>
    <w:rsid w:val="007836EA"/>
    <w:rsid w:val="007840C0"/>
    <w:rsid w:val="00784CDA"/>
    <w:rsid w:val="007858B0"/>
    <w:rsid w:val="007906C4"/>
    <w:rsid w:val="007940EA"/>
    <w:rsid w:val="00794677"/>
    <w:rsid w:val="00794B83"/>
    <w:rsid w:val="00794BA0"/>
    <w:rsid w:val="007967E8"/>
    <w:rsid w:val="007A0119"/>
    <w:rsid w:val="007A08EA"/>
    <w:rsid w:val="007A2170"/>
    <w:rsid w:val="007A22BF"/>
    <w:rsid w:val="007A3323"/>
    <w:rsid w:val="007A35DA"/>
    <w:rsid w:val="007A7C7B"/>
    <w:rsid w:val="007B0F5E"/>
    <w:rsid w:val="007B1432"/>
    <w:rsid w:val="007B4399"/>
    <w:rsid w:val="007B72B8"/>
    <w:rsid w:val="007B7901"/>
    <w:rsid w:val="007B7A58"/>
    <w:rsid w:val="007C21B5"/>
    <w:rsid w:val="007C3462"/>
    <w:rsid w:val="007C5F63"/>
    <w:rsid w:val="007D0784"/>
    <w:rsid w:val="007D07CB"/>
    <w:rsid w:val="007D1E8F"/>
    <w:rsid w:val="007D378F"/>
    <w:rsid w:val="007E048C"/>
    <w:rsid w:val="007E181B"/>
    <w:rsid w:val="007E3A51"/>
    <w:rsid w:val="007E4BD2"/>
    <w:rsid w:val="007F0A45"/>
    <w:rsid w:val="007F0CC1"/>
    <w:rsid w:val="007F7E0C"/>
    <w:rsid w:val="00801393"/>
    <w:rsid w:val="00802F88"/>
    <w:rsid w:val="00803ED4"/>
    <w:rsid w:val="0080611D"/>
    <w:rsid w:val="0081293E"/>
    <w:rsid w:val="00814057"/>
    <w:rsid w:val="0081471B"/>
    <w:rsid w:val="00814835"/>
    <w:rsid w:val="00815465"/>
    <w:rsid w:val="0081750F"/>
    <w:rsid w:val="00817D1D"/>
    <w:rsid w:val="00817E9A"/>
    <w:rsid w:val="0082269E"/>
    <w:rsid w:val="00823188"/>
    <w:rsid w:val="008257B2"/>
    <w:rsid w:val="008306BD"/>
    <w:rsid w:val="008312B0"/>
    <w:rsid w:val="00831A80"/>
    <w:rsid w:val="00833743"/>
    <w:rsid w:val="0083377F"/>
    <w:rsid w:val="008340A4"/>
    <w:rsid w:val="00836B72"/>
    <w:rsid w:val="00837B3F"/>
    <w:rsid w:val="00837D50"/>
    <w:rsid w:val="008528A0"/>
    <w:rsid w:val="00854BDC"/>
    <w:rsid w:val="00857C6D"/>
    <w:rsid w:val="00857CAB"/>
    <w:rsid w:val="00860D9F"/>
    <w:rsid w:val="0086501F"/>
    <w:rsid w:val="008700C2"/>
    <w:rsid w:val="0087135F"/>
    <w:rsid w:val="00872D94"/>
    <w:rsid w:val="00876209"/>
    <w:rsid w:val="00876EE4"/>
    <w:rsid w:val="00880364"/>
    <w:rsid w:val="00880989"/>
    <w:rsid w:val="00883507"/>
    <w:rsid w:val="00884F4A"/>
    <w:rsid w:val="00891592"/>
    <w:rsid w:val="00891E9E"/>
    <w:rsid w:val="0089383C"/>
    <w:rsid w:val="008A2F68"/>
    <w:rsid w:val="008B2108"/>
    <w:rsid w:val="008B4FA6"/>
    <w:rsid w:val="008B5282"/>
    <w:rsid w:val="008B7C17"/>
    <w:rsid w:val="008B7C2D"/>
    <w:rsid w:val="008C00B7"/>
    <w:rsid w:val="008C174B"/>
    <w:rsid w:val="008C219C"/>
    <w:rsid w:val="008C2D01"/>
    <w:rsid w:val="008C40E6"/>
    <w:rsid w:val="008C442D"/>
    <w:rsid w:val="008D0F7A"/>
    <w:rsid w:val="008D385E"/>
    <w:rsid w:val="008D68E4"/>
    <w:rsid w:val="008D69A4"/>
    <w:rsid w:val="008E0506"/>
    <w:rsid w:val="008E0CFF"/>
    <w:rsid w:val="008E278C"/>
    <w:rsid w:val="008E5D6B"/>
    <w:rsid w:val="008E76F0"/>
    <w:rsid w:val="008F0D8E"/>
    <w:rsid w:val="008F15FE"/>
    <w:rsid w:val="008F1DB7"/>
    <w:rsid w:val="008F2642"/>
    <w:rsid w:val="008F2D29"/>
    <w:rsid w:val="008F5187"/>
    <w:rsid w:val="008F60D8"/>
    <w:rsid w:val="00902727"/>
    <w:rsid w:val="0090312B"/>
    <w:rsid w:val="00903287"/>
    <w:rsid w:val="00906EB6"/>
    <w:rsid w:val="0090701C"/>
    <w:rsid w:val="00915C84"/>
    <w:rsid w:val="0091736D"/>
    <w:rsid w:val="009173B3"/>
    <w:rsid w:val="00917597"/>
    <w:rsid w:val="009218D6"/>
    <w:rsid w:val="0092240B"/>
    <w:rsid w:val="00924181"/>
    <w:rsid w:val="00924B49"/>
    <w:rsid w:val="009258CE"/>
    <w:rsid w:val="0093037A"/>
    <w:rsid w:val="00932FCB"/>
    <w:rsid w:val="0093480D"/>
    <w:rsid w:val="00934A35"/>
    <w:rsid w:val="0093664F"/>
    <w:rsid w:val="0094154D"/>
    <w:rsid w:val="0094796F"/>
    <w:rsid w:val="0095155F"/>
    <w:rsid w:val="00954429"/>
    <w:rsid w:val="009563CE"/>
    <w:rsid w:val="00956611"/>
    <w:rsid w:val="00963ED6"/>
    <w:rsid w:val="0096404C"/>
    <w:rsid w:val="0097223F"/>
    <w:rsid w:val="009724F3"/>
    <w:rsid w:val="009729EF"/>
    <w:rsid w:val="0097486F"/>
    <w:rsid w:val="00975115"/>
    <w:rsid w:val="00975735"/>
    <w:rsid w:val="00975AD4"/>
    <w:rsid w:val="00976328"/>
    <w:rsid w:val="0097680D"/>
    <w:rsid w:val="00982438"/>
    <w:rsid w:val="00983481"/>
    <w:rsid w:val="0098404C"/>
    <w:rsid w:val="009844CD"/>
    <w:rsid w:val="00985283"/>
    <w:rsid w:val="00991EAB"/>
    <w:rsid w:val="00992402"/>
    <w:rsid w:val="0099382F"/>
    <w:rsid w:val="009939A7"/>
    <w:rsid w:val="009947A8"/>
    <w:rsid w:val="0099528A"/>
    <w:rsid w:val="009957BD"/>
    <w:rsid w:val="00995992"/>
    <w:rsid w:val="009A03E5"/>
    <w:rsid w:val="009A0F3B"/>
    <w:rsid w:val="009A1BB4"/>
    <w:rsid w:val="009A2628"/>
    <w:rsid w:val="009A3200"/>
    <w:rsid w:val="009A34AD"/>
    <w:rsid w:val="009B0897"/>
    <w:rsid w:val="009B0FAE"/>
    <w:rsid w:val="009B38A0"/>
    <w:rsid w:val="009B3B37"/>
    <w:rsid w:val="009B7BD9"/>
    <w:rsid w:val="009C12EC"/>
    <w:rsid w:val="009C5D6D"/>
    <w:rsid w:val="009C7DD5"/>
    <w:rsid w:val="009D0ADC"/>
    <w:rsid w:val="009D0C94"/>
    <w:rsid w:val="009D4949"/>
    <w:rsid w:val="009D4CEA"/>
    <w:rsid w:val="009D5CED"/>
    <w:rsid w:val="009E17F8"/>
    <w:rsid w:val="009E227D"/>
    <w:rsid w:val="009E5019"/>
    <w:rsid w:val="009F1ADE"/>
    <w:rsid w:val="009F733D"/>
    <w:rsid w:val="00A039D7"/>
    <w:rsid w:val="00A04F1B"/>
    <w:rsid w:val="00A0501B"/>
    <w:rsid w:val="00A06167"/>
    <w:rsid w:val="00A07222"/>
    <w:rsid w:val="00A14947"/>
    <w:rsid w:val="00A224E2"/>
    <w:rsid w:val="00A22652"/>
    <w:rsid w:val="00A315C8"/>
    <w:rsid w:val="00A32598"/>
    <w:rsid w:val="00A32A83"/>
    <w:rsid w:val="00A368DB"/>
    <w:rsid w:val="00A41E90"/>
    <w:rsid w:val="00A423AA"/>
    <w:rsid w:val="00A427D3"/>
    <w:rsid w:val="00A42F18"/>
    <w:rsid w:val="00A431EC"/>
    <w:rsid w:val="00A4463C"/>
    <w:rsid w:val="00A44990"/>
    <w:rsid w:val="00A46F4A"/>
    <w:rsid w:val="00A5280D"/>
    <w:rsid w:val="00A52DA4"/>
    <w:rsid w:val="00A53EC6"/>
    <w:rsid w:val="00A55C0F"/>
    <w:rsid w:val="00A71D59"/>
    <w:rsid w:val="00A726D5"/>
    <w:rsid w:val="00A76A39"/>
    <w:rsid w:val="00A8713F"/>
    <w:rsid w:val="00A90BA1"/>
    <w:rsid w:val="00A913F3"/>
    <w:rsid w:val="00A92045"/>
    <w:rsid w:val="00A94E53"/>
    <w:rsid w:val="00A95408"/>
    <w:rsid w:val="00A97A9A"/>
    <w:rsid w:val="00AA0671"/>
    <w:rsid w:val="00AA2531"/>
    <w:rsid w:val="00AA7E00"/>
    <w:rsid w:val="00AB1E09"/>
    <w:rsid w:val="00AB295E"/>
    <w:rsid w:val="00AB2B32"/>
    <w:rsid w:val="00AB5330"/>
    <w:rsid w:val="00AB5AAA"/>
    <w:rsid w:val="00AB7747"/>
    <w:rsid w:val="00AB7E17"/>
    <w:rsid w:val="00AC063F"/>
    <w:rsid w:val="00AC14CE"/>
    <w:rsid w:val="00AC2A56"/>
    <w:rsid w:val="00AC3BB8"/>
    <w:rsid w:val="00AD055E"/>
    <w:rsid w:val="00AD1FAE"/>
    <w:rsid w:val="00AD3947"/>
    <w:rsid w:val="00AD47A7"/>
    <w:rsid w:val="00AE2010"/>
    <w:rsid w:val="00AE3D15"/>
    <w:rsid w:val="00AF0CBF"/>
    <w:rsid w:val="00AF248E"/>
    <w:rsid w:val="00AF257F"/>
    <w:rsid w:val="00AF2892"/>
    <w:rsid w:val="00AF33CF"/>
    <w:rsid w:val="00AF4D50"/>
    <w:rsid w:val="00AF6179"/>
    <w:rsid w:val="00AF6BF1"/>
    <w:rsid w:val="00B05DFD"/>
    <w:rsid w:val="00B0603E"/>
    <w:rsid w:val="00B1078B"/>
    <w:rsid w:val="00B1295A"/>
    <w:rsid w:val="00B16A25"/>
    <w:rsid w:val="00B20A45"/>
    <w:rsid w:val="00B21812"/>
    <w:rsid w:val="00B22C5C"/>
    <w:rsid w:val="00B24F30"/>
    <w:rsid w:val="00B2679E"/>
    <w:rsid w:val="00B26845"/>
    <w:rsid w:val="00B31ABF"/>
    <w:rsid w:val="00B33BE3"/>
    <w:rsid w:val="00B37CB5"/>
    <w:rsid w:val="00B400F4"/>
    <w:rsid w:val="00B44E0C"/>
    <w:rsid w:val="00B452E3"/>
    <w:rsid w:val="00B5158D"/>
    <w:rsid w:val="00B52C4E"/>
    <w:rsid w:val="00B52E07"/>
    <w:rsid w:val="00B53B5D"/>
    <w:rsid w:val="00B57F43"/>
    <w:rsid w:val="00B6055E"/>
    <w:rsid w:val="00B6317D"/>
    <w:rsid w:val="00B67223"/>
    <w:rsid w:val="00B72FCC"/>
    <w:rsid w:val="00B7538A"/>
    <w:rsid w:val="00B76814"/>
    <w:rsid w:val="00B7723F"/>
    <w:rsid w:val="00B77B7F"/>
    <w:rsid w:val="00B77C55"/>
    <w:rsid w:val="00B80534"/>
    <w:rsid w:val="00B82623"/>
    <w:rsid w:val="00B82AD2"/>
    <w:rsid w:val="00B8433C"/>
    <w:rsid w:val="00B87491"/>
    <w:rsid w:val="00B87CED"/>
    <w:rsid w:val="00B96EB2"/>
    <w:rsid w:val="00B97F9F"/>
    <w:rsid w:val="00BA1552"/>
    <w:rsid w:val="00BA29E9"/>
    <w:rsid w:val="00BA48FF"/>
    <w:rsid w:val="00BA533C"/>
    <w:rsid w:val="00BA6C16"/>
    <w:rsid w:val="00BA7142"/>
    <w:rsid w:val="00BB237C"/>
    <w:rsid w:val="00BB3BFA"/>
    <w:rsid w:val="00BB41A3"/>
    <w:rsid w:val="00BB7B22"/>
    <w:rsid w:val="00BC150A"/>
    <w:rsid w:val="00BC32DC"/>
    <w:rsid w:val="00BC35B6"/>
    <w:rsid w:val="00BC6139"/>
    <w:rsid w:val="00BD1B51"/>
    <w:rsid w:val="00BD4596"/>
    <w:rsid w:val="00BD5B75"/>
    <w:rsid w:val="00BD6185"/>
    <w:rsid w:val="00BE1405"/>
    <w:rsid w:val="00BE312D"/>
    <w:rsid w:val="00BE3D66"/>
    <w:rsid w:val="00BE5D9B"/>
    <w:rsid w:val="00BE6176"/>
    <w:rsid w:val="00BE7E83"/>
    <w:rsid w:val="00BF0DF1"/>
    <w:rsid w:val="00BF1C20"/>
    <w:rsid w:val="00BF2842"/>
    <w:rsid w:val="00BF37AE"/>
    <w:rsid w:val="00C01274"/>
    <w:rsid w:val="00C0184F"/>
    <w:rsid w:val="00C03D1E"/>
    <w:rsid w:val="00C05929"/>
    <w:rsid w:val="00C10578"/>
    <w:rsid w:val="00C13476"/>
    <w:rsid w:val="00C135BC"/>
    <w:rsid w:val="00C15C95"/>
    <w:rsid w:val="00C20959"/>
    <w:rsid w:val="00C222A2"/>
    <w:rsid w:val="00C22B5D"/>
    <w:rsid w:val="00C2468C"/>
    <w:rsid w:val="00C2596A"/>
    <w:rsid w:val="00C27537"/>
    <w:rsid w:val="00C30992"/>
    <w:rsid w:val="00C328FE"/>
    <w:rsid w:val="00C33507"/>
    <w:rsid w:val="00C33CF9"/>
    <w:rsid w:val="00C37A43"/>
    <w:rsid w:val="00C42445"/>
    <w:rsid w:val="00C4409D"/>
    <w:rsid w:val="00C44528"/>
    <w:rsid w:val="00C44DF4"/>
    <w:rsid w:val="00C44E72"/>
    <w:rsid w:val="00C45A06"/>
    <w:rsid w:val="00C47E5B"/>
    <w:rsid w:val="00C510DE"/>
    <w:rsid w:val="00C54855"/>
    <w:rsid w:val="00C55B28"/>
    <w:rsid w:val="00C6036A"/>
    <w:rsid w:val="00C61DE2"/>
    <w:rsid w:val="00C61E4B"/>
    <w:rsid w:val="00C645E5"/>
    <w:rsid w:val="00C64BFF"/>
    <w:rsid w:val="00C704E9"/>
    <w:rsid w:val="00C763C9"/>
    <w:rsid w:val="00C80057"/>
    <w:rsid w:val="00C81D61"/>
    <w:rsid w:val="00C82232"/>
    <w:rsid w:val="00C82913"/>
    <w:rsid w:val="00C82BE2"/>
    <w:rsid w:val="00C82C84"/>
    <w:rsid w:val="00C82F6D"/>
    <w:rsid w:val="00C84A28"/>
    <w:rsid w:val="00C9190A"/>
    <w:rsid w:val="00C972B1"/>
    <w:rsid w:val="00CA2CCE"/>
    <w:rsid w:val="00CA31AF"/>
    <w:rsid w:val="00CA43FD"/>
    <w:rsid w:val="00CA7EF8"/>
    <w:rsid w:val="00CC30B8"/>
    <w:rsid w:val="00CC489B"/>
    <w:rsid w:val="00CC5611"/>
    <w:rsid w:val="00CD205B"/>
    <w:rsid w:val="00CD2BCD"/>
    <w:rsid w:val="00CD34EB"/>
    <w:rsid w:val="00CD3A4C"/>
    <w:rsid w:val="00CD4D79"/>
    <w:rsid w:val="00CE0B25"/>
    <w:rsid w:val="00CE10E9"/>
    <w:rsid w:val="00CE2910"/>
    <w:rsid w:val="00CE5393"/>
    <w:rsid w:val="00CE799E"/>
    <w:rsid w:val="00CF36BE"/>
    <w:rsid w:val="00CF6000"/>
    <w:rsid w:val="00CF77A8"/>
    <w:rsid w:val="00D003F3"/>
    <w:rsid w:val="00D009E9"/>
    <w:rsid w:val="00D01085"/>
    <w:rsid w:val="00D0249C"/>
    <w:rsid w:val="00D0364F"/>
    <w:rsid w:val="00D042FD"/>
    <w:rsid w:val="00D06834"/>
    <w:rsid w:val="00D12F7F"/>
    <w:rsid w:val="00D152DA"/>
    <w:rsid w:val="00D22933"/>
    <w:rsid w:val="00D241C6"/>
    <w:rsid w:val="00D249E2"/>
    <w:rsid w:val="00D308ED"/>
    <w:rsid w:val="00D320A6"/>
    <w:rsid w:val="00D3264F"/>
    <w:rsid w:val="00D33AC1"/>
    <w:rsid w:val="00D36D86"/>
    <w:rsid w:val="00D37EB9"/>
    <w:rsid w:val="00D428AA"/>
    <w:rsid w:val="00D47915"/>
    <w:rsid w:val="00D506F2"/>
    <w:rsid w:val="00D50A34"/>
    <w:rsid w:val="00D53EFA"/>
    <w:rsid w:val="00D672CE"/>
    <w:rsid w:val="00D722C6"/>
    <w:rsid w:val="00D75E1D"/>
    <w:rsid w:val="00D76ACC"/>
    <w:rsid w:val="00D77105"/>
    <w:rsid w:val="00D80464"/>
    <w:rsid w:val="00D81B6A"/>
    <w:rsid w:val="00D83AB7"/>
    <w:rsid w:val="00D86115"/>
    <w:rsid w:val="00D87193"/>
    <w:rsid w:val="00D918B1"/>
    <w:rsid w:val="00D94A7C"/>
    <w:rsid w:val="00D95896"/>
    <w:rsid w:val="00DA071E"/>
    <w:rsid w:val="00DA3098"/>
    <w:rsid w:val="00DA48CC"/>
    <w:rsid w:val="00DB15D0"/>
    <w:rsid w:val="00DB2983"/>
    <w:rsid w:val="00DC1257"/>
    <w:rsid w:val="00DC3DC0"/>
    <w:rsid w:val="00DC434C"/>
    <w:rsid w:val="00DC4BA4"/>
    <w:rsid w:val="00DC5B2B"/>
    <w:rsid w:val="00DC6BF9"/>
    <w:rsid w:val="00DC716E"/>
    <w:rsid w:val="00DD1A0D"/>
    <w:rsid w:val="00DD318D"/>
    <w:rsid w:val="00DD3826"/>
    <w:rsid w:val="00DD76C0"/>
    <w:rsid w:val="00DE0459"/>
    <w:rsid w:val="00DE192F"/>
    <w:rsid w:val="00DE632F"/>
    <w:rsid w:val="00DF0F3C"/>
    <w:rsid w:val="00DF2E12"/>
    <w:rsid w:val="00DF514A"/>
    <w:rsid w:val="00DF6690"/>
    <w:rsid w:val="00DF6804"/>
    <w:rsid w:val="00E00792"/>
    <w:rsid w:val="00E0358D"/>
    <w:rsid w:val="00E04323"/>
    <w:rsid w:val="00E05102"/>
    <w:rsid w:val="00E070A2"/>
    <w:rsid w:val="00E0798D"/>
    <w:rsid w:val="00E12794"/>
    <w:rsid w:val="00E14954"/>
    <w:rsid w:val="00E164FE"/>
    <w:rsid w:val="00E17073"/>
    <w:rsid w:val="00E17347"/>
    <w:rsid w:val="00E215D2"/>
    <w:rsid w:val="00E24545"/>
    <w:rsid w:val="00E25CFF"/>
    <w:rsid w:val="00E2656A"/>
    <w:rsid w:val="00E40F17"/>
    <w:rsid w:val="00E412D0"/>
    <w:rsid w:val="00E42E23"/>
    <w:rsid w:val="00E42E77"/>
    <w:rsid w:val="00E43685"/>
    <w:rsid w:val="00E470F3"/>
    <w:rsid w:val="00E56322"/>
    <w:rsid w:val="00E60982"/>
    <w:rsid w:val="00E62187"/>
    <w:rsid w:val="00E62C62"/>
    <w:rsid w:val="00E64727"/>
    <w:rsid w:val="00E64EF7"/>
    <w:rsid w:val="00E654C1"/>
    <w:rsid w:val="00E65D97"/>
    <w:rsid w:val="00E7253D"/>
    <w:rsid w:val="00E72A5A"/>
    <w:rsid w:val="00E73354"/>
    <w:rsid w:val="00E73696"/>
    <w:rsid w:val="00E80007"/>
    <w:rsid w:val="00E82927"/>
    <w:rsid w:val="00E9242D"/>
    <w:rsid w:val="00E92E76"/>
    <w:rsid w:val="00E94952"/>
    <w:rsid w:val="00E95016"/>
    <w:rsid w:val="00EA3FA5"/>
    <w:rsid w:val="00EB3744"/>
    <w:rsid w:val="00EB4CF5"/>
    <w:rsid w:val="00EB5255"/>
    <w:rsid w:val="00EB5C47"/>
    <w:rsid w:val="00EC07D1"/>
    <w:rsid w:val="00EC0A6F"/>
    <w:rsid w:val="00EC18AB"/>
    <w:rsid w:val="00EC6180"/>
    <w:rsid w:val="00ED0076"/>
    <w:rsid w:val="00ED0639"/>
    <w:rsid w:val="00ED47E3"/>
    <w:rsid w:val="00ED4DAA"/>
    <w:rsid w:val="00EE31F6"/>
    <w:rsid w:val="00EF4755"/>
    <w:rsid w:val="00EF4AB6"/>
    <w:rsid w:val="00EF7135"/>
    <w:rsid w:val="00F01893"/>
    <w:rsid w:val="00F027DB"/>
    <w:rsid w:val="00F13C1E"/>
    <w:rsid w:val="00F14A7A"/>
    <w:rsid w:val="00F14FDF"/>
    <w:rsid w:val="00F15391"/>
    <w:rsid w:val="00F20485"/>
    <w:rsid w:val="00F2296C"/>
    <w:rsid w:val="00F22985"/>
    <w:rsid w:val="00F2497E"/>
    <w:rsid w:val="00F24C70"/>
    <w:rsid w:val="00F24D4E"/>
    <w:rsid w:val="00F32060"/>
    <w:rsid w:val="00F3293F"/>
    <w:rsid w:val="00F3383E"/>
    <w:rsid w:val="00F34C18"/>
    <w:rsid w:val="00F35714"/>
    <w:rsid w:val="00F40602"/>
    <w:rsid w:val="00F465A7"/>
    <w:rsid w:val="00F50B7C"/>
    <w:rsid w:val="00F550E6"/>
    <w:rsid w:val="00F55CBD"/>
    <w:rsid w:val="00F561CF"/>
    <w:rsid w:val="00F562D8"/>
    <w:rsid w:val="00F572B8"/>
    <w:rsid w:val="00F605A4"/>
    <w:rsid w:val="00F74345"/>
    <w:rsid w:val="00F751D0"/>
    <w:rsid w:val="00F80A0A"/>
    <w:rsid w:val="00F82B19"/>
    <w:rsid w:val="00F83198"/>
    <w:rsid w:val="00F83AA2"/>
    <w:rsid w:val="00F842F4"/>
    <w:rsid w:val="00F9212D"/>
    <w:rsid w:val="00F9371E"/>
    <w:rsid w:val="00F957EF"/>
    <w:rsid w:val="00F965DA"/>
    <w:rsid w:val="00FA2AAC"/>
    <w:rsid w:val="00FA406A"/>
    <w:rsid w:val="00FA5F20"/>
    <w:rsid w:val="00FA6E5C"/>
    <w:rsid w:val="00FA6EC2"/>
    <w:rsid w:val="00FA6ED4"/>
    <w:rsid w:val="00FA720F"/>
    <w:rsid w:val="00FB13E6"/>
    <w:rsid w:val="00FB503A"/>
    <w:rsid w:val="00FB516C"/>
    <w:rsid w:val="00FB6BD9"/>
    <w:rsid w:val="00FD0236"/>
    <w:rsid w:val="00FD053D"/>
    <w:rsid w:val="00FD18F4"/>
    <w:rsid w:val="00FD279F"/>
    <w:rsid w:val="00FD54DB"/>
    <w:rsid w:val="00FD619F"/>
    <w:rsid w:val="00FE1ACF"/>
    <w:rsid w:val="00FE2182"/>
    <w:rsid w:val="00FE4F27"/>
    <w:rsid w:val="00FF6EEB"/>
    <w:rsid w:val="00FF700A"/>
    <w:rsid w:val="00FF73BD"/>
    <w:rsid w:val="00FF7460"/>
    <w:rsid w:val="00FF7AB8"/>
    <w:rsid w:val="010A11A6"/>
    <w:rsid w:val="01290F7E"/>
    <w:rsid w:val="015D1E09"/>
    <w:rsid w:val="018B65D1"/>
    <w:rsid w:val="01981E86"/>
    <w:rsid w:val="01D2320F"/>
    <w:rsid w:val="01E95A2F"/>
    <w:rsid w:val="02697903"/>
    <w:rsid w:val="027D6FE3"/>
    <w:rsid w:val="02A65C54"/>
    <w:rsid w:val="02B97880"/>
    <w:rsid w:val="02F96569"/>
    <w:rsid w:val="0359750E"/>
    <w:rsid w:val="03AE4816"/>
    <w:rsid w:val="03EA7B21"/>
    <w:rsid w:val="04400509"/>
    <w:rsid w:val="046D182C"/>
    <w:rsid w:val="047742CE"/>
    <w:rsid w:val="04A1535C"/>
    <w:rsid w:val="05842F33"/>
    <w:rsid w:val="05906B61"/>
    <w:rsid w:val="05940531"/>
    <w:rsid w:val="059F6D52"/>
    <w:rsid w:val="05F83EAE"/>
    <w:rsid w:val="05FF2DCA"/>
    <w:rsid w:val="060302C9"/>
    <w:rsid w:val="06185823"/>
    <w:rsid w:val="062D04CD"/>
    <w:rsid w:val="063E7D85"/>
    <w:rsid w:val="069E353D"/>
    <w:rsid w:val="06AD3B9F"/>
    <w:rsid w:val="07293586"/>
    <w:rsid w:val="07295285"/>
    <w:rsid w:val="07475D1D"/>
    <w:rsid w:val="075B4745"/>
    <w:rsid w:val="07636392"/>
    <w:rsid w:val="07770C56"/>
    <w:rsid w:val="07F41892"/>
    <w:rsid w:val="0871016C"/>
    <w:rsid w:val="08BE2C8A"/>
    <w:rsid w:val="08E60B1E"/>
    <w:rsid w:val="08F6498F"/>
    <w:rsid w:val="092217DD"/>
    <w:rsid w:val="093A7294"/>
    <w:rsid w:val="09721FE4"/>
    <w:rsid w:val="099830FE"/>
    <w:rsid w:val="099E1067"/>
    <w:rsid w:val="0A0E259B"/>
    <w:rsid w:val="0A263993"/>
    <w:rsid w:val="0A2D3AC2"/>
    <w:rsid w:val="0A361932"/>
    <w:rsid w:val="0AA755DF"/>
    <w:rsid w:val="0B041011"/>
    <w:rsid w:val="0B120D44"/>
    <w:rsid w:val="0B5149B3"/>
    <w:rsid w:val="0BD27BF6"/>
    <w:rsid w:val="0BE42C4E"/>
    <w:rsid w:val="0BEF2EFA"/>
    <w:rsid w:val="0C2A0C3B"/>
    <w:rsid w:val="0C3B3C7D"/>
    <w:rsid w:val="0C623AD8"/>
    <w:rsid w:val="0CAB2EAE"/>
    <w:rsid w:val="0CB52CDE"/>
    <w:rsid w:val="0CCE444A"/>
    <w:rsid w:val="0CD5218F"/>
    <w:rsid w:val="0CF304AA"/>
    <w:rsid w:val="0D247604"/>
    <w:rsid w:val="0D621C7D"/>
    <w:rsid w:val="0DB433B1"/>
    <w:rsid w:val="0DD83693"/>
    <w:rsid w:val="0E1F1513"/>
    <w:rsid w:val="0E73034D"/>
    <w:rsid w:val="0E734078"/>
    <w:rsid w:val="0F13775A"/>
    <w:rsid w:val="0F326506"/>
    <w:rsid w:val="0F3A4F92"/>
    <w:rsid w:val="0F5F45FE"/>
    <w:rsid w:val="0F9A112B"/>
    <w:rsid w:val="106D2F64"/>
    <w:rsid w:val="108159E5"/>
    <w:rsid w:val="10874341"/>
    <w:rsid w:val="10A9038F"/>
    <w:rsid w:val="10B63710"/>
    <w:rsid w:val="10F10820"/>
    <w:rsid w:val="1100609C"/>
    <w:rsid w:val="11013319"/>
    <w:rsid w:val="111C2F7A"/>
    <w:rsid w:val="1136760C"/>
    <w:rsid w:val="114715D3"/>
    <w:rsid w:val="11665CA1"/>
    <w:rsid w:val="11DB10E2"/>
    <w:rsid w:val="12177554"/>
    <w:rsid w:val="1222743B"/>
    <w:rsid w:val="12333462"/>
    <w:rsid w:val="13137E5F"/>
    <w:rsid w:val="13701ECC"/>
    <w:rsid w:val="137919E5"/>
    <w:rsid w:val="13951726"/>
    <w:rsid w:val="13BE1058"/>
    <w:rsid w:val="14197EED"/>
    <w:rsid w:val="142851ED"/>
    <w:rsid w:val="14396509"/>
    <w:rsid w:val="143C5B6F"/>
    <w:rsid w:val="14513BBE"/>
    <w:rsid w:val="14DD2C3C"/>
    <w:rsid w:val="14E121AE"/>
    <w:rsid w:val="14F6759B"/>
    <w:rsid w:val="15461D15"/>
    <w:rsid w:val="15895A52"/>
    <w:rsid w:val="15A07375"/>
    <w:rsid w:val="15AD48E8"/>
    <w:rsid w:val="16087E1D"/>
    <w:rsid w:val="16576794"/>
    <w:rsid w:val="16D9518C"/>
    <w:rsid w:val="16EE290E"/>
    <w:rsid w:val="17214B15"/>
    <w:rsid w:val="17701D14"/>
    <w:rsid w:val="17735226"/>
    <w:rsid w:val="17883F1B"/>
    <w:rsid w:val="184134ED"/>
    <w:rsid w:val="18671A52"/>
    <w:rsid w:val="18742FF5"/>
    <w:rsid w:val="189F624C"/>
    <w:rsid w:val="18B301B7"/>
    <w:rsid w:val="19676F62"/>
    <w:rsid w:val="19731D23"/>
    <w:rsid w:val="19AD6EF2"/>
    <w:rsid w:val="19CD5980"/>
    <w:rsid w:val="19FB1145"/>
    <w:rsid w:val="1A122317"/>
    <w:rsid w:val="1A1C3F14"/>
    <w:rsid w:val="1A1C66C0"/>
    <w:rsid w:val="1A42393B"/>
    <w:rsid w:val="1A814378"/>
    <w:rsid w:val="1A8E4B88"/>
    <w:rsid w:val="1AA33FDB"/>
    <w:rsid w:val="1AAD45DE"/>
    <w:rsid w:val="1AD70F2D"/>
    <w:rsid w:val="1B046F80"/>
    <w:rsid w:val="1B1473BC"/>
    <w:rsid w:val="1B197F31"/>
    <w:rsid w:val="1B2E2687"/>
    <w:rsid w:val="1B3267B5"/>
    <w:rsid w:val="1B40161D"/>
    <w:rsid w:val="1B441859"/>
    <w:rsid w:val="1B64559E"/>
    <w:rsid w:val="1B6606B1"/>
    <w:rsid w:val="1BA52478"/>
    <w:rsid w:val="1BC36FC3"/>
    <w:rsid w:val="1C2A6AC2"/>
    <w:rsid w:val="1C4228FA"/>
    <w:rsid w:val="1C5E7925"/>
    <w:rsid w:val="1C6671ED"/>
    <w:rsid w:val="1CBA10F7"/>
    <w:rsid w:val="1CFD070F"/>
    <w:rsid w:val="1D5232E9"/>
    <w:rsid w:val="1D5F6196"/>
    <w:rsid w:val="1D6132A5"/>
    <w:rsid w:val="1D871D2E"/>
    <w:rsid w:val="1D8C461D"/>
    <w:rsid w:val="1D8E56D5"/>
    <w:rsid w:val="1D8F0979"/>
    <w:rsid w:val="1D8F1B2C"/>
    <w:rsid w:val="1D9A1AE4"/>
    <w:rsid w:val="1DC83F0E"/>
    <w:rsid w:val="1E2C13E6"/>
    <w:rsid w:val="1E49588A"/>
    <w:rsid w:val="1E6C7520"/>
    <w:rsid w:val="1E7A43DA"/>
    <w:rsid w:val="1F4443B2"/>
    <w:rsid w:val="1F47161D"/>
    <w:rsid w:val="1F820D8D"/>
    <w:rsid w:val="1FE7441D"/>
    <w:rsid w:val="1FE7539E"/>
    <w:rsid w:val="20043587"/>
    <w:rsid w:val="203936FA"/>
    <w:rsid w:val="20431449"/>
    <w:rsid w:val="205B69ED"/>
    <w:rsid w:val="20671BE0"/>
    <w:rsid w:val="207B4C6C"/>
    <w:rsid w:val="20864E0B"/>
    <w:rsid w:val="20963CB8"/>
    <w:rsid w:val="20A81A1B"/>
    <w:rsid w:val="20B07FB6"/>
    <w:rsid w:val="20B646FB"/>
    <w:rsid w:val="213B74B1"/>
    <w:rsid w:val="21583B73"/>
    <w:rsid w:val="215A2310"/>
    <w:rsid w:val="21C83EC5"/>
    <w:rsid w:val="21DE318A"/>
    <w:rsid w:val="21EF5B80"/>
    <w:rsid w:val="21FE4B23"/>
    <w:rsid w:val="220232F7"/>
    <w:rsid w:val="22283958"/>
    <w:rsid w:val="223934A8"/>
    <w:rsid w:val="223C2575"/>
    <w:rsid w:val="22576990"/>
    <w:rsid w:val="226C04FA"/>
    <w:rsid w:val="229972EB"/>
    <w:rsid w:val="22B11DC8"/>
    <w:rsid w:val="22B45AD8"/>
    <w:rsid w:val="22F47480"/>
    <w:rsid w:val="231C1EC6"/>
    <w:rsid w:val="235F450F"/>
    <w:rsid w:val="2361744E"/>
    <w:rsid w:val="23DE1C48"/>
    <w:rsid w:val="240210CD"/>
    <w:rsid w:val="24105E21"/>
    <w:rsid w:val="249101A6"/>
    <w:rsid w:val="24BF09F7"/>
    <w:rsid w:val="25014703"/>
    <w:rsid w:val="252D53FE"/>
    <w:rsid w:val="25353D2F"/>
    <w:rsid w:val="257B6516"/>
    <w:rsid w:val="25C4399B"/>
    <w:rsid w:val="25DA3182"/>
    <w:rsid w:val="25E67F48"/>
    <w:rsid w:val="25EC2D81"/>
    <w:rsid w:val="25F866D1"/>
    <w:rsid w:val="25FA4A5F"/>
    <w:rsid w:val="265D1549"/>
    <w:rsid w:val="266D7D5B"/>
    <w:rsid w:val="267E28DB"/>
    <w:rsid w:val="26C371DD"/>
    <w:rsid w:val="26CE741C"/>
    <w:rsid w:val="275F58AA"/>
    <w:rsid w:val="277057A2"/>
    <w:rsid w:val="27E33207"/>
    <w:rsid w:val="28072F0C"/>
    <w:rsid w:val="28684D98"/>
    <w:rsid w:val="28DA1A91"/>
    <w:rsid w:val="28E4073A"/>
    <w:rsid w:val="28FD5F5C"/>
    <w:rsid w:val="29206EB8"/>
    <w:rsid w:val="29327961"/>
    <w:rsid w:val="29595666"/>
    <w:rsid w:val="29874881"/>
    <w:rsid w:val="298924A9"/>
    <w:rsid w:val="299E6D8C"/>
    <w:rsid w:val="29BC5AD7"/>
    <w:rsid w:val="29DC72A3"/>
    <w:rsid w:val="29DD5048"/>
    <w:rsid w:val="29E325E0"/>
    <w:rsid w:val="2A1360C6"/>
    <w:rsid w:val="2A16686A"/>
    <w:rsid w:val="2A3A77A4"/>
    <w:rsid w:val="2A452503"/>
    <w:rsid w:val="2A521B11"/>
    <w:rsid w:val="2AD50023"/>
    <w:rsid w:val="2AF51608"/>
    <w:rsid w:val="2B465DBF"/>
    <w:rsid w:val="2B4A5F6D"/>
    <w:rsid w:val="2B7B7489"/>
    <w:rsid w:val="2B8560A6"/>
    <w:rsid w:val="2BA936A8"/>
    <w:rsid w:val="2BC92761"/>
    <w:rsid w:val="2BCD7344"/>
    <w:rsid w:val="2C0D314C"/>
    <w:rsid w:val="2C0E681E"/>
    <w:rsid w:val="2C315A5A"/>
    <w:rsid w:val="2C4B1C25"/>
    <w:rsid w:val="2C4F6588"/>
    <w:rsid w:val="2C5D7BC0"/>
    <w:rsid w:val="2CB9732B"/>
    <w:rsid w:val="2D22403A"/>
    <w:rsid w:val="2D3F3E15"/>
    <w:rsid w:val="2D5B60AE"/>
    <w:rsid w:val="2D837EA7"/>
    <w:rsid w:val="2D991F3C"/>
    <w:rsid w:val="2D9B6B0E"/>
    <w:rsid w:val="2D9E56F5"/>
    <w:rsid w:val="2DF418AB"/>
    <w:rsid w:val="2E120A28"/>
    <w:rsid w:val="2E13250E"/>
    <w:rsid w:val="2E3F52FA"/>
    <w:rsid w:val="2E51371E"/>
    <w:rsid w:val="2E525E2B"/>
    <w:rsid w:val="2E667F96"/>
    <w:rsid w:val="2E7150F5"/>
    <w:rsid w:val="2E8226AB"/>
    <w:rsid w:val="2FD065E6"/>
    <w:rsid w:val="2FD9236C"/>
    <w:rsid w:val="2FD96870"/>
    <w:rsid w:val="2FE856FA"/>
    <w:rsid w:val="30082A1C"/>
    <w:rsid w:val="301E10B7"/>
    <w:rsid w:val="30384577"/>
    <w:rsid w:val="303A0C09"/>
    <w:rsid w:val="305539E9"/>
    <w:rsid w:val="30580BC9"/>
    <w:rsid w:val="306F47AD"/>
    <w:rsid w:val="30B14365"/>
    <w:rsid w:val="31045D62"/>
    <w:rsid w:val="311E2ED7"/>
    <w:rsid w:val="312019DF"/>
    <w:rsid w:val="315619EE"/>
    <w:rsid w:val="315C449C"/>
    <w:rsid w:val="31AB31B8"/>
    <w:rsid w:val="31B82709"/>
    <w:rsid w:val="31D05482"/>
    <w:rsid w:val="31D63623"/>
    <w:rsid w:val="31F427A0"/>
    <w:rsid w:val="320819D7"/>
    <w:rsid w:val="32201C61"/>
    <w:rsid w:val="32277185"/>
    <w:rsid w:val="32400B34"/>
    <w:rsid w:val="329E6876"/>
    <w:rsid w:val="32C92C60"/>
    <w:rsid w:val="32E90F04"/>
    <w:rsid w:val="32FE10C9"/>
    <w:rsid w:val="333015F2"/>
    <w:rsid w:val="334B6320"/>
    <w:rsid w:val="33C847BD"/>
    <w:rsid w:val="33D934D4"/>
    <w:rsid w:val="33EF7EAE"/>
    <w:rsid w:val="33FE2F6A"/>
    <w:rsid w:val="340E07E5"/>
    <w:rsid w:val="34235BF7"/>
    <w:rsid w:val="34237BF5"/>
    <w:rsid w:val="34A65E6C"/>
    <w:rsid w:val="34CA0B14"/>
    <w:rsid w:val="3508784C"/>
    <w:rsid w:val="35106AFE"/>
    <w:rsid w:val="356B5A2B"/>
    <w:rsid w:val="358C5FA8"/>
    <w:rsid w:val="35C0684E"/>
    <w:rsid w:val="35C15DF1"/>
    <w:rsid w:val="36074A7F"/>
    <w:rsid w:val="36476097"/>
    <w:rsid w:val="36631EE4"/>
    <w:rsid w:val="36923549"/>
    <w:rsid w:val="36B75FBF"/>
    <w:rsid w:val="36BD0C45"/>
    <w:rsid w:val="373E55B7"/>
    <w:rsid w:val="378F2F1D"/>
    <w:rsid w:val="37A20C84"/>
    <w:rsid w:val="37A2491D"/>
    <w:rsid w:val="37E00298"/>
    <w:rsid w:val="389E6D44"/>
    <w:rsid w:val="38B302F9"/>
    <w:rsid w:val="38F12CD3"/>
    <w:rsid w:val="38F24280"/>
    <w:rsid w:val="38F94775"/>
    <w:rsid w:val="392971ED"/>
    <w:rsid w:val="39325651"/>
    <w:rsid w:val="39E958F2"/>
    <w:rsid w:val="3A5028DA"/>
    <w:rsid w:val="3A5A6577"/>
    <w:rsid w:val="3A715BE6"/>
    <w:rsid w:val="3A7E45B8"/>
    <w:rsid w:val="3A806781"/>
    <w:rsid w:val="3A872856"/>
    <w:rsid w:val="3B3763D1"/>
    <w:rsid w:val="3B593A49"/>
    <w:rsid w:val="3B7A0443"/>
    <w:rsid w:val="3BD01333"/>
    <w:rsid w:val="3BFE5695"/>
    <w:rsid w:val="3C2F6E1E"/>
    <w:rsid w:val="3C4F64BA"/>
    <w:rsid w:val="3C976B3F"/>
    <w:rsid w:val="3CDA245A"/>
    <w:rsid w:val="3D1E06B7"/>
    <w:rsid w:val="3D1F0905"/>
    <w:rsid w:val="3DEF7D28"/>
    <w:rsid w:val="3E6650CD"/>
    <w:rsid w:val="3EB65825"/>
    <w:rsid w:val="3EDA0523"/>
    <w:rsid w:val="3F304BA2"/>
    <w:rsid w:val="3FA310C4"/>
    <w:rsid w:val="40741B85"/>
    <w:rsid w:val="407A6407"/>
    <w:rsid w:val="416F4A67"/>
    <w:rsid w:val="41D546E9"/>
    <w:rsid w:val="4200449D"/>
    <w:rsid w:val="423A3BCC"/>
    <w:rsid w:val="424E57D2"/>
    <w:rsid w:val="42572CB5"/>
    <w:rsid w:val="427463F4"/>
    <w:rsid w:val="42954D3B"/>
    <w:rsid w:val="42B26C49"/>
    <w:rsid w:val="42B655FF"/>
    <w:rsid w:val="42C2380C"/>
    <w:rsid w:val="42C24B15"/>
    <w:rsid w:val="433A6FE6"/>
    <w:rsid w:val="43480868"/>
    <w:rsid w:val="4350713C"/>
    <w:rsid w:val="436653E0"/>
    <w:rsid w:val="436B4F55"/>
    <w:rsid w:val="43702A96"/>
    <w:rsid w:val="4398797B"/>
    <w:rsid w:val="439B5919"/>
    <w:rsid w:val="43C4431A"/>
    <w:rsid w:val="43F226EB"/>
    <w:rsid w:val="441516CC"/>
    <w:rsid w:val="44562E01"/>
    <w:rsid w:val="446903D6"/>
    <w:rsid w:val="44B951CC"/>
    <w:rsid w:val="44CD14E0"/>
    <w:rsid w:val="44CE2FFB"/>
    <w:rsid w:val="44F20B0B"/>
    <w:rsid w:val="45261D80"/>
    <w:rsid w:val="4529706E"/>
    <w:rsid w:val="45297855"/>
    <w:rsid w:val="452E5F4C"/>
    <w:rsid w:val="45612018"/>
    <w:rsid w:val="458946E9"/>
    <w:rsid w:val="45A47C0E"/>
    <w:rsid w:val="45D12B05"/>
    <w:rsid w:val="4648629F"/>
    <w:rsid w:val="46491DC7"/>
    <w:rsid w:val="46577FD6"/>
    <w:rsid w:val="466F6F87"/>
    <w:rsid w:val="46BE4E4D"/>
    <w:rsid w:val="46D955A7"/>
    <w:rsid w:val="47095454"/>
    <w:rsid w:val="47133957"/>
    <w:rsid w:val="474230B2"/>
    <w:rsid w:val="475805F1"/>
    <w:rsid w:val="47616EFE"/>
    <w:rsid w:val="479D597F"/>
    <w:rsid w:val="47A07E0C"/>
    <w:rsid w:val="47BF067F"/>
    <w:rsid w:val="47D15E70"/>
    <w:rsid w:val="48334420"/>
    <w:rsid w:val="4870272E"/>
    <w:rsid w:val="48CF2379"/>
    <w:rsid w:val="48ED42DA"/>
    <w:rsid w:val="495B540A"/>
    <w:rsid w:val="497D6999"/>
    <w:rsid w:val="498165A3"/>
    <w:rsid w:val="49934347"/>
    <w:rsid w:val="49DC7715"/>
    <w:rsid w:val="49F14B41"/>
    <w:rsid w:val="4A023139"/>
    <w:rsid w:val="4A140F89"/>
    <w:rsid w:val="4A7B576F"/>
    <w:rsid w:val="4A9926A3"/>
    <w:rsid w:val="4A9C33B3"/>
    <w:rsid w:val="4AEE64A1"/>
    <w:rsid w:val="4AF561A9"/>
    <w:rsid w:val="4B7064C7"/>
    <w:rsid w:val="4B7E5F4D"/>
    <w:rsid w:val="4B8962C1"/>
    <w:rsid w:val="4B9E4B6B"/>
    <w:rsid w:val="4BC67AC5"/>
    <w:rsid w:val="4BC92923"/>
    <w:rsid w:val="4C166F33"/>
    <w:rsid w:val="4C4A0649"/>
    <w:rsid w:val="4C7E5ECA"/>
    <w:rsid w:val="4C876AA5"/>
    <w:rsid w:val="4D0E00FB"/>
    <w:rsid w:val="4D176606"/>
    <w:rsid w:val="4DD57541"/>
    <w:rsid w:val="4DEC4FB0"/>
    <w:rsid w:val="4DF0078E"/>
    <w:rsid w:val="4E075D8A"/>
    <w:rsid w:val="4E244CA2"/>
    <w:rsid w:val="4E2D64C8"/>
    <w:rsid w:val="4E4C00C0"/>
    <w:rsid w:val="4EC00FAD"/>
    <w:rsid w:val="4ED97085"/>
    <w:rsid w:val="4F232A45"/>
    <w:rsid w:val="4F2B3316"/>
    <w:rsid w:val="4F3E2CB1"/>
    <w:rsid w:val="4F4A3A14"/>
    <w:rsid w:val="4F855099"/>
    <w:rsid w:val="4F8F3D7E"/>
    <w:rsid w:val="4F910714"/>
    <w:rsid w:val="4F9843DC"/>
    <w:rsid w:val="4FA328B9"/>
    <w:rsid w:val="4FBD09EC"/>
    <w:rsid w:val="4FC62A8C"/>
    <w:rsid w:val="4FE20F0D"/>
    <w:rsid w:val="4FE321F8"/>
    <w:rsid w:val="4FE51552"/>
    <w:rsid w:val="50215F8D"/>
    <w:rsid w:val="50485798"/>
    <w:rsid w:val="50504C4B"/>
    <w:rsid w:val="50575FD5"/>
    <w:rsid w:val="50732DCE"/>
    <w:rsid w:val="509C6E7C"/>
    <w:rsid w:val="50E11ED6"/>
    <w:rsid w:val="51480A14"/>
    <w:rsid w:val="5162104E"/>
    <w:rsid w:val="516C31A7"/>
    <w:rsid w:val="519B3C4D"/>
    <w:rsid w:val="51BE7DA6"/>
    <w:rsid w:val="51E64440"/>
    <w:rsid w:val="521C520E"/>
    <w:rsid w:val="526C67A8"/>
    <w:rsid w:val="528406AA"/>
    <w:rsid w:val="52854557"/>
    <w:rsid w:val="5286627D"/>
    <w:rsid w:val="52963C92"/>
    <w:rsid w:val="52C377BA"/>
    <w:rsid w:val="52D407FC"/>
    <w:rsid w:val="52DA41EC"/>
    <w:rsid w:val="53702648"/>
    <w:rsid w:val="53A039CC"/>
    <w:rsid w:val="53A1505A"/>
    <w:rsid w:val="53A22660"/>
    <w:rsid w:val="53FB691A"/>
    <w:rsid w:val="54063E08"/>
    <w:rsid w:val="541C1DE5"/>
    <w:rsid w:val="542A3EBA"/>
    <w:rsid w:val="543437E8"/>
    <w:rsid w:val="54E516BA"/>
    <w:rsid w:val="54F73313"/>
    <w:rsid w:val="54F80955"/>
    <w:rsid w:val="555170A7"/>
    <w:rsid w:val="5561317F"/>
    <w:rsid w:val="557953CE"/>
    <w:rsid w:val="5587536D"/>
    <w:rsid w:val="55997492"/>
    <w:rsid w:val="559B174B"/>
    <w:rsid w:val="55BA702D"/>
    <w:rsid w:val="55CD4B0F"/>
    <w:rsid w:val="55CE0CF4"/>
    <w:rsid w:val="561D433A"/>
    <w:rsid w:val="561F12FE"/>
    <w:rsid w:val="563A768B"/>
    <w:rsid w:val="563B6ADC"/>
    <w:rsid w:val="56A87CFA"/>
    <w:rsid w:val="56B22A9C"/>
    <w:rsid w:val="57187D26"/>
    <w:rsid w:val="573A048D"/>
    <w:rsid w:val="5784108D"/>
    <w:rsid w:val="57B72A76"/>
    <w:rsid w:val="57C3426C"/>
    <w:rsid w:val="57C63810"/>
    <w:rsid w:val="57CE1F93"/>
    <w:rsid w:val="57E042BB"/>
    <w:rsid w:val="57FF1A49"/>
    <w:rsid w:val="581945AB"/>
    <w:rsid w:val="588743D1"/>
    <w:rsid w:val="5887701A"/>
    <w:rsid w:val="58B92541"/>
    <w:rsid w:val="58FC76B5"/>
    <w:rsid w:val="593E2AF5"/>
    <w:rsid w:val="5997731E"/>
    <w:rsid w:val="59C0439F"/>
    <w:rsid w:val="5ABE2233"/>
    <w:rsid w:val="5B5248E7"/>
    <w:rsid w:val="5BDA19DD"/>
    <w:rsid w:val="5BDF5D95"/>
    <w:rsid w:val="5BFE7528"/>
    <w:rsid w:val="5CCE1164"/>
    <w:rsid w:val="5D191420"/>
    <w:rsid w:val="5D2D35B3"/>
    <w:rsid w:val="5D3366CE"/>
    <w:rsid w:val="5D3A7198"/>
    <w:rsid w:val="5D4468C7"/>
    <w:rsid w:val="5D9F1DED"/>
    <w:rsid w:val="5E2467F1"/>
    <w:rsid w:val="5E656409"/>
    <w:rsid w:val="5E951265"/>
    <w:rsid w:val="5EF6305C"/>
    <w:rsid w:val="5F1A2B43"/>
    <w:rsid w:val="5F4F4223"/>
    <w:rsid w:val="5F8B538B"/>
    <w:rsid w:val="5FB837BB"/>
    <w:rsid w:val="5FD06561"/>
    <w:rsid w:val="60265103"/>
    <w:rsid w:val="606B66CF"/>
    <w:rsid w:val="608B4070"/>
    <w:rsid w:val="60C81F49"/>
    <w:rsid w:val="60CC405A"/>
    <w:rsid w:val="60F23EFB"/>
    <w:rsid w:val="60FD5758"/>
    <w:rsid w:val="61382315"/>
    <w:rsid w:val="61DC6D71"/>
    <w:rsid w:val="61E215D8"/>
    <w:rsid w:val="621B3775"/>
    <w:rsid w:val="62265F1F"/>
    <w:rsid w:val="62341E34"/>
    <w:rsid w:val="62356C42"/>
    <w:rsid w:val="62364782"/>
    <w:rsid w:val="62460D5D"/>
    <w:rsid w:val="6257784E"/>
    <w:rsid w:val="6258314A"/>
    <w:rsid w:val="627C1941"/>
    <w:rsid w:val="627E5269"/>
    <w:rsid w:val="627F68E2"/>
    <w:rsid w:val="63487385"/>
    <w:rsid w:val="63736944"/>
    <w:rsid w:val="637870D8"/>
    <w:rsid w:val="6394356A"/>
    <w:rsid w:val="63C61B2C"/>
    <w:rsid w:val="63D40BE9"/>
    <w:rsid w:val="63E20AFF"/>
    <w:rsid w:val="64066FDC"/>
    <w:rsid w:val="64102431"/>
    <w:rsid w:val="643904E7"/>
    <w:rsid w:val="643B15B9"/>
    <w:rsid w:val="649858BE"/>
    <w:rsid w:val="649B674B"/>
    <w:rsid w:val="64A5243A"/>
    <w:rsid w:val="64C23AE9"/>
    <w:rsid w:val="64E32A70"/>
    <w:rsid w:val="64F531DE"/>
    <w:rsid w:val="65373578"/>
    <w:rsid w:val="658B1C05"/>
    <w:rsid w:val="65EE5FD9"/>
    <w:rsid w:val="660D5046"/>
    <w:rsid w:val="66554236"/>
    <w:rsid w:val="66771136"/>
    <w:rsid w:val="66D25F52"/>
    <w:rsid w:val="66E66951"/>
    <w:rsid w:val="671F124A"/>
    <w:rsid w:val="673166A4"/>
    <w:rsid w:val="677572FE"/>
    <w:rsid w:val="677A33C6"/>
    <w:rsid w:val="67EF6D96"/>
    <w:rsid w:val="681F6961"/>
    <w:rsid w:val="68374809"/>
    <w:rsid w:val="68610A2F"/>
    <w:rsid w:val="68805514"/>
    <w:rsid w:val="688954CE"/>
    <w:rsid w:val="690901CC"/>
    <w:rsid w:val="690F0496"/>
    <w:rsid w:val="69111DF5"/>
    <w:rsid w:val="69316E2F"/>
    <w:rsid w:val="693376BF"/>
    <w:rsid w:val="694E2071"/>
    <w:rsid w:val="69766163"/>
    <w:rsid w:val="697A3B33"/>
    <w:rsid w:val="699C1A51"/>
    <w:rsid w:val="69A97E3B"/>
    <w:rsid w:val="69B74052"/>
    <w:rsid w:val="69D44760"/>
    <w:rsid w:val="6A00335B"/>
    <w:rsid w:val="6A081E44"/>
    <w:rsid w:val="6A267FC8"/>
    <w:rsid w:val="6A2B2B65"/>
    <w:rsid w:val="6A323A90"/>
    <w:rsid w:val="6A4429D4"/>
    <w:rsid w:val="6A5035F7"/>
    <w:rsid w:val="6A520EC7"/>
    <w:rsid w:val="6AF87E20"/>
    <w:rsid w:val="6B2F60AA"/>
    <w:rsid w:val="6B322639"/>
    <w:rsid w:val="6BB90F67"/>
    <w:rsid w:val="6BC175D1"/>
    <w:rsid w:val="6BC21E6E"/>
    <w:rsid w:val="6C636C38"/>
    <w:rsid w:val="6D313D20"/>
    <w:rsid w:val="6DB34098"/>
    <w:rsid w:val="6DB545B6"/>
    <w:rsid w:val="6DBF0E72"/>
    <w:rsid w:val="6DE02FB4"/>
    <w:rsid w:val="6E514CED"/>
    <w:rsid w:val="6EB563D5"/>
    <w:rsid w:val="6ED92677"/>
    <w:rsid w:val="6EE86444"/>
    <w:rsid w:val="6F1C6BD8"/>
    <w:rsid w:val="6F225983"/>
    <w:rsid w:val="6F9A2A97"/>
    <w:rsid w:val="6F9D427E"/>
    <w:rsid w:val="6FA31C46"/>
    <w:rsid w:val="6FCF2EC3"/>
    <w:rsid w:val="6FFC5590"/>
    <w:rsid w:val="706D1DD0"/>
    <w:rsid w:val="70856B87"/>
    <w:rsid w:val="70B87E5C"/>
    <w:rsid w:val="70D527EE"/>
    <w:rsid w:val="712C766A"/>
    <w:rsid w:val="715B5300"/>
    <w:rsid w:val="716615CA"/>
    <w:rsid w:val="71694B53"/>
    <w:rsid w:val="71C72A98"/>
    <w:rsid w:val="71D27F8A"/>
    <w:rsid w:val="723C286F"/>
    <w:rsid w:val="72553024"/>
    <w:rsid w:val="725C36D7"/>
    <w:rsid w:val="725F7B05"/>
    <w:rsid w:val="726608A1"/>
    <w:rsid w:val="72BB5E2B"/>
    <w:rsid w:val="72DB36EB"/>
    <w:rsid w:val="73122968"/>
    <w:rsid w:val="731F5D5E"/>
    <w:rsid w:val="738241DD"/>
    <w:rsid w:val="73C51AD5"/>
    <w:rsid w:val="73EE37DA"/>
    <w:rsid w:val="7413377E"/>
    <w:rsid w:val="741E793C"/>
    <w:rsid w:val="745E3944"/>
    <w:rsid w:val="7469331D"/>
    <w:rsid w:val="749D6BF1"/>
    <w:rsid w:val="750B1D5B"/>
    <w:rsid w:val="75593167"/>
    <w:rsid w:val="75D749B5"/>
    <w:rsid w:val="75E11409"/>
    <w:rsid w:val="75EE152B"/>
    <w:rsid w:val="7635099D"/>
    <w:rsid w:val="76C54FA2"/>
    <w:rsid w:val="775C65B3"/>
    <w:rsid w:val="77762421"/>
    <w:rsid w:val="77847A66"/>
    <w:rsid w:val="77B56B1F"/>
    <w:rsid w:val="77C10F8E"/>
    <w:rsid w:val="780F09F4"/>
    <w:rsid w:val="780F3D0F"/>
    <w:rsid w:val="78787A55"/>
    <w:rsid w:val="78A90480"/>
    <w:rsid w:val="79461626"/>
    <w:rsid w:val="79B83386"/>
    <w:rsid w:val="7A1454F7"/>
    <w:rsid w:val="7A206127"/>
    <w:rsid w:val="7A2D4631"/>
    <w:rsid w:val="7A364017"/>
    <w:rsid w:val="7A3C5A1C"/>
    <w:rsid w:val="7A8265E1"/>
    <w:rsid w:val="7A9602C7"/>
    <w:rsid w:val="7AF76099"/>
    <w:rsid w:val="7B686D42"/>
    <w:rsid w:val="7B841746"/>
    <w:rsid w:val="7BE56CDB"/>
    <w:rsid w:val="7C3D7EC8"/>
    <w:rsid w:val="7C6B66BE"/>
    <w:rsid w:val="7C6C5AC7"/>
    <w:rsid w:val="7C824F62"/>
    <w:rsid w:val="7CB54128"/>
    <w:rsid w:val="7CC4280E"/>
    <w:rsid w:val="7CC6544B"/>
    <w:rsid w:val="7CE96622"/>
    <w:rsid w:val="7D000796"/>
    <w:rsid w:val="7D0239FF"/>
    <w:rsid w:val="7D575641"/>
    <w:rsid w:val="7D5D70C3"/>
    <w:rsid w:val="7D5E40CD"/>
    <w:rsid w:val="7D9646CB"/>
    <w:rsid w:val="7DCA312F"/>
    <w:rsid w:val="7DCD56F2"/>
    <w:rsid w:val="7DE3465D"/>
    <w:rsid w:val="7DFE20CA"/>
    <w:rsid w:val="7E3C2804"/>
    <w:rsid w:val="7E425F30"/>
    <w:rsid w:val="7EA41D49"/>
    <w:rsid w:val="7F001CE7"/>
    <w:rsid w:val="7F2B2126"/>
    <w:rsid w:val="7F6646B8"/>
    <w:rsid w:val="7FA70E4C"/>
    <w:rsid w:val="7FE47E50"/>
    <w:rsid w:val="7FF60AAF"/>
    <w:rsid w:val="7FFB31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weight="0.5pt"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9" w:semiHidden="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39" w:semiHidden="0" w:name="toc 1" w:locked="1"/>
    <w:lsdException w:qFormat="1"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semiHidden="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qFormat="1"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qFormat="1"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qFormat="1" w:unhideWhenUsed="0" w:uiPriority="99" w:semiHidden="0" w:name="Body Text Indent 2" w:locked="1"/>
    <w:lsdException w:unhideWhenUsed="0" w:uiPriority="0" w:semiHidden="0" w:name="Body Text Indent 3" w:locked="1"/>
    <w:lsdException w:unhideWhenUsed="0" w:uiPriority="0" w:semiHidden="0" w:name="Block Text" w:locked="1"/>
    <w:lsdException w:qFormat="1" w:unhideWhenUsed="0" w:uiPriority="99"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nhideWhenUsed="0" w:uiPriority="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name="Balloon Text"/>
    <w:lsdException w:qFormat="1" w:unhideWhenUsed="0" w:uiPriority="0" w:semiHidden="0" w:name="Table Grid"/>
    <w:lsdException w:uiPriority="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locked/>
    <w:uiPriority w:val="9"/>
    <w:pPr>
      <w:keepNext/>
      <w:keepLines/>
      <w:spacing w:before="260" w:after="260" w:line="413" w:lineRule="auto"/>
      <w:outlineLvl w:val="1"/>
    </w:pPr>
    <w:rPr>
      <w:rFonts w:ascii="Arial" w:hAnsi="Arial" w:eastAsia="黑体"/>
      <w:b/>
      <w:sz w:val="32"/>
    </w:rPr>
  </w:style>
  <w:style w:type="paragraph" w:styleId="4">
    <w:name w:val="heading 3"/>
    <w:basedOn w:val="1"/>
    <w:next w:val="1"/>
    <w:qFormat/>
    <w:locked/>
    <w:uiPriority w:val="0"/>
    <w:pPr>
      <w:keepNext/>
      <w:keepLines/>
      <w:spacing w:before="260" w:after="260" w:line="416" w:lineRule="auto"/>
      <w:outlineLvl w:val="2"/>
    </w:pPr>
    <w:rPr>
      <w:b/>
      <w:bCs/>
      <w:sz w:val="32"/>
      <w:szCs w:val="32"/>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5">
    <w:name w:val="table of authorities"/>
    <w:basedOn w:val="1"/>
    <w:next w:val="1"/>
    <w:qFormat/>
    <w:locked/>
    <w:uiPriority w:val="0"/>
    <w:pPr>
      <w:ind w:left="420" w:leftChars="200"/>
    </w:pPr>
  </w:style>
  <w:style w:type="paragraph" w:styleId="6">
    <w:name w:val="Normal Indent"/>
    <w:basedOn w:val="1"/>
    <w:qFormat/>
    <w:locked/>
    <w:uiPriority w:val="0"/>
    <w:pPr>
      <w:ind w:firstLine="420"/>
    </w:pPr>
    <w:rPr>
      <w:szCs w:val="21"/>
      <w:u w:color="000000"/>
    </w:rPr>
  </w:style>
  <w:style w:type="paragraph" w:styleId="7">
    <w:name w:val="annotation text"/>
    <w:basedOn w:val="1"/>
    <w:link w:val="31"/>
    <w:semiHidden/>
    <w:qFormat/>
    <w:uiPriority w:val="0"/>
    <w:pPr>
      <w:jc w:val="left"/>
    </w:pPr>
    <w:rPr>
      <w:kern w:val="0"/>
      <w:sz w:val="24"/>
      <w:szCs w:val="20"/>
    </w:rPr>
  </w:style>
  <w:style w:type="paragraph" w:styleId="8">
    <w:name w:val="Body Text"/>
    <w:basedOn w:val="1"/>
    <w:link w:val="32"/>
    <w:qFormat/>
    <w:uiPriority w:val="0"/>
    <w:pPr>
      <w:widowControl/>
      <w:snapToGrid w:val="0"/>
      <w:spacing w:before="60" w:after="160" w:line="259" w:lineRule="auto"/>
      <w:ind w:right="113"/>
    </w:pPr>
    <w:rPr>
      <w:kern w:val="0"/>
      <w:sz w:val="18"/>
      <w:szCs w:val="20"/>
    </w:rPr>
  </w:style>
  <w:style w:type="paragraph" w:styleId="9">
    <w:name w:val="Body Text Indent"/>
    <w:basedOn w:val="1"/>
    <w:link w:val="33"/>
    <w:qFormat/>
    <w:uiPriority w:val="0"/>
    <w:pPr>
      <w:spacing w:after="120"/>
      <w:ind w:left="420" w:leftChars="200"/>
    </w:pPr>
    <w:rPr>
      <w:kern w:val="0"/>
      <w:sz w:val="24"/>
      <w:szCs w:val="20"/>
    </w:rPr>
  </w:style>
  <w:style w:type="paragraph" w:styleId="10">
    <w:name w:val="Plain Text"/>
    <w:basedOn w:val="1"/>
    <w:qFormat/>
    <w:locked/>
    <w:uiPriority w:val="0"/>
    <w:rPr>
      <w:rFonts w:ascii="宋体" w:hAnsi="Courier New" w:eastAsia="仿宋_GB2312"/>
      <w:sz w:val="28"/>
      <w:szCs w:val="20"/>
    </w:rPr>
  </w:style>
  <w:style w:type="paragraph" w:styleId="11">
    <w:name w:val="List Bullet 5"/>
    <w:basedOn w:val="1"/>
    <w:qFormat/>
    <w:locked/>
    <w:uiPriority w:val="0"/>
    <w:pPr>
      <w:numPr>
        <w:ilvl w:val="0"/>
        <w:numId w:val="1"/>
      </w:numPr>
    </w:pPr>
  </w:style>
  <w:style w:type="paragraph" w:styleId="12">
    <w:name w:val="Date"/>
    <w:basedOn w:val="1"/>
    <w:next w:val="1"/>
    <w:link w:val="34"/>
    <w:qFormat/>
    <w:uiPriority w:val="0"/>
    <w:pPr>
      <w:ind w:left="100" w:leftChars="2500"/>
    </w:pPr>
    <w:rPr>
      <w:kern w:val="0"/>
      <w:sz w:val="24"/>
      <w:szCs w:val="20"/>
    </w:rPr>
  </w:style>
  <w:style w:type="paragraph" w:styleId="13">
    <w:name w:val="Body Text Indent 2"/>
    <w:basedOn w:val="1"/>
    <w:link w:val="35"/>
    <w:qFormat/>
    <w:locked/>
    <w:uiPriority w:val="99"/>
    <w:pPr>
      <w:spacing w:after="120" w:line="480" w:lineRule="auto"/>
      <w:ind w:left="420" w:leftChars="200"/>
    </w:pPr>
  </w:style>
  <w:style w:type="paragraph" w:styleId="14">
    <w:name w:val="Balloon Text"/>
    <w:basedOn w:val="1"/>
    <w:link w:val="36"/>
    <w:semiHidden/>
    <w:qFormat/>
    <w:uiPriority w:val="0"/>
    <w:rPr>
      <w:kern w:val="0"/>
      <w:sz w:val="18"/>
      <w:szCs w:val="20"/>
    </w:rPr>
  </w:style>
  <w:style w:type="paragraph" w:styleId="15">
    <w:name w:val="footer"/>
    <w:basedOn w:val="1"/>
    <w:link w:val="37"/>
    <w:qFormat/>
    <w:uiPriority w:val="99"/>
    <w:pPr>
      <w:tabs>
        <w:tab w:val="center" w:pos="4153"/>
        <w:tab w:val="right" w:pos="8306"/>
      </w:tabs>
      <w:snapToGrid w:val="0"/>
      <w:jc w:val="left"/>
    </w:pPr>
    <w:rPr>
      <w:kern w:val="0"/>
      <w:sz w:val="18"/>
      <w:szCs w:val="20"/>
    </w:rPr>
  </w:style>
  <w:style w:type="paragraph" w:styleId="16">
    <w:name w:val="header"/>
    <w:basedOn w:val="1"/>
    <w:link w:val="38"/>
    <w:qFormat/>
    <w:uiPriority w:val="0"/>
    <w:pPr>
      <w:pBdr>
        <w:bottom w:val="single" w:color="auto" w:sz="6" w:space="1"/>
      </w:pBdr>
      <w:tabs>
        <w:tab w:val="center" w:pos="4153"/>
        <w:tab w:val="right" w:pos="8306"/>
      </w:tabs>
      <w:snapToGrid w:val="0"/>
      <w:jc w:val="center"/>
    </w:pPr>
    <w:rPr>
      <w:kern w:val="0"/>
      <w:sz w:val="18"/>
      <w:szCs w:val="20"/>
    </w:rPr>
  </w:style>
  <w:style w:type="paragraph" w:styleId="17">
    <w:name w:val="toc 1"/>
    <w:basedOn w:val="1"/>
    <w:next w:val="1"/>
    <w:qFormat/>
    <w:locked/>
    <w:uiPriority w:val="39"/>
  </w:style>
  <w:style w:type="paragraph" w:styleId="18">
    <w:name w:val="toc 2"/>
    <w:basedOn w:val="1"/>
    <w:next w:val="1"/>
    <w:qFormat/>
    <w:locked/>
    <w:uiPriority w:val="0"/>
    <w:pPr>
      <w:ind w:left="420" w:leftChars="200"/>
    </w:pPr>
  </w:style>
  <w:style w:type="paragraph" w:styleId="19">
    <w:name w:val="Message Header"/>
    <w:basedOn w:val="1"/>
    <w:link w:val="39"/>
    <w:qFormat/>
    <w:locked/>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等线 Light" w:hAnsi="等线 Light" w:eastAsia="等线 Light"/>
      <w:sz w:val="24"/>
    </w:rPr>
  </w:style>
  <w:style w:type="paragraph" w:styleId="20">
    <w:name w:val="Normal (Web)"/>
    <w:basedOn w:val="1"/>
    <w:link w:val="40"/>
    <w:qFormat/>
    <w:uiPriority w:val="0"/>
    <w:pPr>
      <w:widowControl/>
      <w:spacing w:before="100" w:beforeAutospacing="1" w:after="100" w:afterAutospacing="1"/>
      <w:jc w:val="left"/>
    </w:pPr>
    <w:rPr>
      <w:rFonts w:ascii="宋体" w:hAnsi="宋体"/>
      <w:kern w:val="0"/>
      <w:sz w:val="24"/>
      <w:szCs w:val="20"/>
    </w:rPr>
  </w:style>
  <w:style w:type="paragraph" w:styleId="21">
    <w:name w:val="annotation subject"/>
    <w:basedOn w:val="7"/>
    <w:next w:val="7"/>
    <w:link w:val="41"/>
    <w:semiHidden/>
    <w:qFormat/>
    <w:uiPriority w:val="0"/>
    <w:rPr>
      <w:b/>
    </w:rPr>
  </w:style>
  <w:style w:type="paragraph" w:styleId="22">
    <w:name w:val="Body Text First Indent"/>
    <w:basedOn w:val="8"/>
    <w:next w:val="1"/>
    <w:qFormat/>
    <w:locked/>
    <w:uiPriority w:val="0"/>
    <w:pPr>
      <w:ind w:firstLine="420" w:firstLineChars="100"/>
    </w:pPr>
  </w:style>
  <w:style w:type="paragraph" w:styleId="23">
    <w:name w:val="Body Text First Indent 2"/>
    <w:basedOn w:val="9"/>
    <w:next w:val="1"/>
    <w:qFormat/>
    <w:locked/>
    <w:uiPriority w:val="0"/>
    <w:pPr>
      <w:ind w:firstLine="420" w:firstLineChars="200"/>
    </w:pPr>
  </w:style>
  <w:style w:type="table" w:styleId="25">
    <w:name w:val="Table Grid"/>
    <w:basedOn w:val="2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locked/>
    <w:uiPriority w:val="0"/>
    <w:rPr>
      <w:b/>
    </w:rPr>
  </w:style>
  <w:style w:type="character" w:styleId="28">
    <w:name w:val="page number"/>
    <w:qFormat/>
    <w:locked/>
    <w:uiPriority w:val="0"/>
  </w:style>
  <w:style w:type="character" w:styleId="29">
    <w:name w:val="Hyperlink"/>
    <w:qFormat/>
    <w:locked/>
    <w:uiPriority w:val="99"/>
    <w:rPr>
      <w:color w:val="3366CC"/>
      <w:u w:val="single"/>
    </w:rPr>
  </w:style>
  <w:style w:type="character" w:styleId="30">
    <w:name w:val="annotation reference"/>
    <w:qFormat/>
    <w:uiPriority w:val="0"/>
    <w:rPr>
      <w:sz w:val="21"/>
    </w:rPr>
  </w:style>
  <w:style w:type="character" w:customStyle="1" w:styleId="31">
    <w:name w:val="批注文字 字符"/>
    <w:link w:val="7"/>
    <w:qFormat/>
    <w:locked/>
    <w:uiPriority w:val="0"/>
    <w:rPr>
      <w:rFonts w:ascii="Times New Roman" w:hAnsi="Times New Roman" w:eastAsia="宋体"/>
      <w:sz w:val="24"/>
    </w:rPr>
  </w:style>
  <w:style w:type="character" w:customStyle="1" w:styleId="32">
    <w:name w:val="正文文本 字符"/>
    <w:link w:val="8"/>
    <w:qFormat/>
    <w:locked/>
    <w:uiPriority w:val="0"/>
    <w:rPr>
      <w:sz w:val="18"/>
    </w:rPr>
  </w:style>
  <w:style w:type="character" w:customStyle="1" w:styleId="33">
    <w:name w:val="正文文本缩进 字符"/>
    <w:link w:val="9"/>
    <w:semiHidden/>
    <w:qFormat/>
    <w:locked/>
    <w:uiPriority w:val="0"/>
    <w:rPr>
      <w:rFonts w:ascii="Times New Roman" w:hAnsi="Times New Roman" w:eastAsia="宋体"/>
      <w:sz w:val="24"/>
    </w:rPr>
  </w:style>
  <w:style w:type="character" w:customStyle="1" w:styleId="34">
    <w:name w:val="日期 字符1"/>
    <w:link w:val="12"/>
    <w:qFormat/>
    <w:locked/>
    <w:uiPriority w:val="0"/>
    <w:rPr>
      <w:rFonts w:ascii="Times New Roman" w:hAnsi="Times New Roman" w:eastAsia="宋体"/>
      <w:sz w:val="24"/>
    </w:rPr>
  </w:style>
  <w:style w:type="character" w:customStyle="1" w:styleId="35">
    <w:name w:val="正文文本缩进 2 字符"/>
    <w:link w:val="13"/>
    <w:qFormat/>
    <w:uiPriority w:val="99"/>
    <w:rPr>
      <w:kern w:val="2"/>
      <w:sz w:val="21"/>
      <w:szCs w:val="24"/>
    </w:rPr>
  </w:style>
  <w:style w:type="character" w:customStyle="1" w:styleId="36">
    <w:name w:val="批注框文本 字符"/>
    <w:link w:val="14"/>
    <w:semiHidden/>
    <w:qFormat/>
    <w:locked/>
    <w:uiPriority w:val="0"/>
    <w:rPr>
      <w:rFonts w:ascii="Times New Roman" w:hAnsi="Times New Roman" w:eastAsia="宋体"/>
      <w:sz w:val="18"/>
    </w:rPr>
  </w:style>
  <w:style w:type="character" w:customStyle="1" w:styleId="37">
    <w:name w:val="页脚 字符1"/>
    <w:link w:val="15"/>
    <w:qFormat/>
    <w:locked/>
    <w:uiPriority w:val="99"/>
    <w:rPr>
      <w:sz w:val="18"/>
    </w:rPr>
  </w:style>
  <w:style w:type="character" w:customStyle="1" w:styleId="38">
    <w:name w:val="页眉 字符"/>
    <w:link w:val="16"/>
    <w:qFormat/>
    <w:locked/>
    <w:uiPriority w:val="0"/>
    <w:rPr>
      <w:sz w:val="18"/>
    </w:rPr>
  </w:style>
  <w:style w:type="character" w:customStyle="1" w:styleId="39">
    <w:name w:val="信息标题 字符"/>
    <w:link w:val="19"/>
    <w:qFormat/>
    <w:uiPriority w:val="0"/>
    <w:rPr>
      <w:rFonts w:ascii="等线 Light" w:hAnsi="等线 Light" w:eastAsia="等线 Light" w:cs="Times New Roman"/>
      <w:kern w:val="2"/>
      <w:sz w:val="24"/>
      <w:szCs w:val="24"/>
      <w:shd w:val="pct20" w:color="auto" w:fill="auto"/>
    </w:rPr>
  </w:style>
  <w:style w:type="character" w:customStyle="1" w:styleId="40">
    <w:name w:val="普通(网站) 字符"/>
    <w:link w:val="20"/>
    <w:qFormat/>
    <w:locked/>
    <w:uiPriority w:val="0"/>
    <w:rPr>
      <w:rFonts w:ascii="宋体" w:hAnsi="宋体" w:eastAsia="宋体"/>
      <w:sz w:val="24"/>
    </w:rPr>
  </w:style>
  <w:style w:type="character" w:customStyle="1" w:styleId="41">
    <w:name w:val="批注主题 字符"/>
    <w:link w:val="21"/>
    <w:semiHidden/>
    <w:qFormat/>
    <w:locked/>
    <w:uiPriority w:val="0"/>
    <w:rPr>
      <w:rFonts w:ascii="Times New Roman" w:hAnsi="Times New Roman" w:eastAsia="宋体"/>
      <w:b/>
      <w:kern w:val="2"/>
      <w:sz w:val="24"/>
    </w:rPr>
  </w:style>
  <w:style w:type="character" w:customStyle="1" w:styleId="42">
    <w:name w:val="表中文字 Char"/>
    <w:link w:val="43"/>
    <w:qFormat/>
    <w:uiPriority w:val="0"/>
    <w:rPr>
      <w:rFonts w:ascii="Times New Roman" w:hAnsi="Times New Roman" w:cs="Times New Roman"/>
      <w:kern w:val="2"/>
      <w:sz w:val="21"/>
    </w:rPr>
  </w:style>
  <w:style w:type="paragraph" w:customStyle="1" w:styleId="43">
    <w:name w:val="表中文字"/>
    <w:basedOn w:val="1"/>
    <w:link w:val="42"/>
    <w:qFormat/>
    <w:uiPriority w:val="0"/>
    <w:pPr>
      <w:jc w:val="center"/>
    </w:pPr>
  </w:style>
  <w:style w:type="character" w:customStyle="1" w:styleId="44">
    <w:name w:val="正文文本缩进 2 Char"/>
    <w:qFormat/>
    <w:uiPriority w:val="99"/>
    <w:rPr>
      <w:kern w:val="2"/>
      <w:sz w:val="21"/>
      <w:szCs w:val="24"/>
    </w:rPr>
  </w:style>
  <w:style w:type="character" w:customStyle="1" w:styleId="45">
    <w:name w:val="a正文 Char"/>
    <w:link w:val="46"/>
    <w:qFormat/>
    <w:uiPriority w:val="0"/>
    <w:rPr>
      <w:sz w:val="24"/>
    </w:rPr>
  </w:style>
  <w:style w:type="paragraph" w:customStyle="1" w:styleId="46">
    <w:name w:val="a正文"/>
    <w:basedOn w:val="47"/>
    <w:link w:val="45"/>
    <w:qFormat/>
    <w:uiPriority w:val="0"/>
    <w:pPr>
      <w:spacing w:line="520" w:lineRule="exact"/>
      <w:ind w:firstLine="200"/>
    </w:pPr>
  </w:style>
  <w:style w:type="paragraph" w:customStyle="1" w:styleId="47">
    <w:name w:val="正文格式"/>
    <w:basedOn w:val="1"/>
    <w:next w:val="1"/>
    <w:qFormat/>
    <w:uiPriority w:val="0"/>
    <w:pPr>
      <w:spacing w:line="360" w:lineRule="auto"/>
      <w:ind w:firstLine="482"/>
    </w:pPr>
    <w:rPr>
      <w:sz w:val="24"/>
    </w:rPr>
  </w:style>
  <w:style w:type="character" w:customStyle="1" w:styleId="48">
    <w:name w:val="日期 字符"/>
    <w:semiHidden/>
    <w:qFormat/>
    <w:uiPriority w:val="0"/>
    <w:rPr>
      <w:rFonts w:ascii="Times New Roman" w:hAnsi="Times New Roman" w:eastAsia="宋体"/>
      <w:sz w:val="24"/>
    </w:rPr>
  </w:style>
  <w:style w:type="character" w:customStyle="1" w:styleId="49">
    <w:name w:val="【正文】 Char"/>
    <w:link w:val="50"/>
    <w:qFormat/>
    <w:locked/>
    <w:uiPriority w:val="0"/>
    <w:rPr>
      <w:spacing w:val="16"/>
      <w:kern w:val="2"/>
      <w:sz w:val="24"/>
      <w:szCs w:val="24"/>
    </w:rPr>
  </w:style>
  <w:style w:type="paragraph" w:customStyle="1" w:styleId="50">
    <w:name w:val="【正文】"/>
    <w:basedOn w:val="1"/>
    <w:link w:val="49"/>
    <w:qFormat/>
    <w:uiPriority w:val="0"/>
    <w:pPr>
      <w:spacing w:line="440" w:lineRule="exact"/>
      <w:ind w:firstLine="544" w:firstLineChars="200"/>
    </w:pPr>
    <w:rPr>
      <w:spacing w:val="16"/>
      <w:sz w:val="24"/>
    </w:rPr>
  </w:style>
  <w:style w:type="character" w:customStyle="1" w:styleId="51">
    <w:name w:val="C首行缩进正文 字符"/>
    <w:link w:val="52"/>
    <w:qFormat/>
    <w:uiPriority w:val="0"/>
    <w:rPr>
      <w:rFonts w:cs="宋体"/>
      <w:color w:val="000000"/>
      <w:kern w:val="2"/>
      <w:sz w:val="21"/>
      <w:szCs w:val="24"/>
    </w:rPr>
  </w:style>
  <w:style w:type="paragraph" w:customStyle="1" w:styleId="52">
    <w:name w:val="C首行缩进正文"/>
    <w:basedOn w:val="50"/>
    <w:link w:val="51"/>
    <w:qFormat/>
    <w:uiPriority w:val="0"/>
    <w:pPr>
      <w:spacing w:line="360" w:lineRule="auto"/>
      <w:ind w:firstLine="200"/>
    </w:pPr>
    <w:rPr>
      <w:rFonts w:cs="宋体"/>
      <w:color w:val="000000"/>
      <w:spacing w:val="0"/>
      <w:sz w:val="21"/>
    </w:rPr>
  </w:style>
  <w:style w:type="character" w:customStyle="1" w:styleId="53">
    <w:name w:val="【表中文字】 Char"/>
    <w:link w:val="54"/>
    <w:qFormat/>
    <w:locked/>
    <w:uiPriority w:val="0"/>
    <w:rPr>
      <w:kern w:val="2"/>
      <w:sz w:val="21"/>
    </w:rPr>
  </w:style>
  <w:style w:type="paragraph" w:customStyle="1" w:styleId="54">
    <w:name w:val="【表中文字】"/>
    <w:basedOn w:val="55"/>
    <w:link w:val="53"/>
    <w:qFormat/>
    <w:uiPriority w:val="0"/>
    <w:pPr>
      <w:adjustRightInd w:val="0"/>
      <w:snapToGrid w:val="0"/>
    </w:pPr>
    <w:rPr>
      <w:szCs w:val="20"/>
    </w:rPr>
  </w:style>
  <w:style w:type="paragraph" w:customStyle="1" w:styleId="55">
    <w:name w:val=".表1-1-1内容"/>
    <w:basedOn w:val="1"/>
    <w:qFormat/>
    <w:uiPriority w:val="0"/>
    <w:pPr>
      <w:spacing w:line="300" w:lineRule="exact"/>
      <w:jc w:val="center"/>
    </w:pPr>
    <w:rPr>
      <w:kern w:val="0"/>
      <w:szCs w:val="21"/>
    </w:rPr>
  </w:style>
  <w:style w:type="character" w:customStyle="1" w:styleId="56">
    <w:name w:val="Default Char Char"/>
    <w:link w:val="57"/>
    <w:qFormat/>
    <w:uiPriority w:val="0"/>
    <w:rPr>
      <w:rFonts w:ascii="仿宋_GB2312" w:eastAsia="仿宋_GB2312" w:cs="仿宋_GB2312"/>
      <w:color w:val="000000"/>
      <w:sz w:val="24"/>
      <w:szCs w:val="24"/>
    </w:rPr>
  </w:style>
  <w:style w:type="paragraph" w:customStyle="1" w:styleId="57">
    <w:name w:val="Default"/>
    <w:basedOn w:val="58"/>
    <w:next w:val="1"/>
    <w:link w:val="56"/>
    <w:qFormat/>
    <w:uiPriority w:val="0"/>
    <w:pPr>
      <w:autoSpaceDE w:val="0"/>
      <w:autoSpaceDN w:val="0"/>
    </w:pPr>
    <w:rPr>
      <w:rFonts w:ascii="仿宋_GB2312" w:eastAsia="仿宋_GB2312" w:cs="仿宋_GB2312"/>
      <w:color w:val="000000"/>
      <w:sz w:val="24"/>
      <w:szCs w:val="24"/>
    </w:rPr>
  </w:style>
  <w:style w:type="paragraph" w:customStyle="1" w:styleId="58">
    <w:name w:val="纯文本1"/>
    <w:basedOn w:val="1"/>
    <w:qFormat/>
    <w:uiPriority w:val="0"/>
    <w:pPr>
      <w:adjustRightInd w:val="0"/>
      <w:textAlignment w:val="baseline"/>
    </w:pPr>
    <w:rPr>
      <w:rFonts w:hAnsi="Courier New"/>
      <w:szCs w:val="20"/>
    </w:rPr>
  </w:style>
  <w:style w:type="character" w:customStyle="1" w:styleId="59">
    <w:name w:val="NormalCharacter"/>
    <w:semiHidden/>
    <w:qFormat/>
    <w:uiPriority w:val="0"/>
    <w:rPr>
      <w:kern w:val="2"/>
      <w:sz w:val="21"/>
      <w:szCs w:val="24"/>
      <w:lang w:val="en-US" w:eastAsia="zh-CN" w:bidi="ar-SA"/>
    </w:rPr>
  </w:style>
  <w:style w:type="character" w:customStyle="1" w:styleId="60">
    <w:name w:val="正文文本 字符1"/>
    <w:semiHidden/>
    <w:qFormat/>
    <w:uiPriority w:val="0"/>
    <w:rPr>
      <w:rFonts w:ascii="Times New Roman" w:hAnsi="Times New Roman" w:eastAsia="宋体"/>
      <w:sz w:val="24"/>
    </w:rPr>
  </w:style>
  <w:style w:type="character" w:customStyle="1" w:styleId="61">
    <w:name w:val="表格 Char"/>
    <w:link w:val="62"/>
    <w:qFormat/>
    <w:locked/>
    <w:uiPriority w:val="0"/>
    <w:rPr>
      <w:rFonts w:ascii="宋体"/>
      <w:sz w:val="21"/>
    </w:rPr>
  </w:style>
  <w:style w:type="paragraph" w:customStyle="1" w:styleId="62">
    <w:name w:val="表格"/>
    <w:basedOn w:val="1"/>
    <w:next w:val="1"/>
    <w:link w:val="61"/>
    <w:qFormat/>
    <w:uiPriority w:val="0"/>
    <w:pPr>
      <w:adjustRightInd w:val="0"/>
      <w:snapToGrid w:val="0"/>
      <w:spacing w:beforeLines="10" w:afterLines="10" w:line="259" w:lineRule="auto"/>
      <w:jc w:val="center"/>
    </w:pPr>
    <w:rPr>
      <w:rFonts w:ascii="宋体"/>
      <w:kern w:val="0"/>
      <w:szCs w:val="20"/>
    </w:rPr>
  </w:style>
  <w:style w:type="character" w:customStyle="1" w:styleId="63">
    <w:name w:val="页脚 字符"/>
    <w:qFormat/>
    <w:uiPriority w:val="99"/>
  </w:style>
  <w:style w:type="character" w:customStyle="1" w:styleId="64">
    <w:name w:val="批注文字 字符1"/>
    <w:semiHidden/>
    <w:qFormat/>
    <w:uiPriority w:val="0"/>
    <w:rPr>
      <w:rFonts w:ascii="Times New Roman" w:hAnsi="Times New Roman" w:eastAsia="宋体"/>
      <w:sz w:val="24"/>
    </w:rPr>
  </w:style>
  <w:style w:type="character" w:customStyle="1" w:styleId="65">
    <w:name w:val="【表头】 Char"/>
    <w:link w:val="66"/>
    <w:qFormat/>
    <w:locked/>
    <w:uiPriority w:val="0"/>
    <w:rPr>
      <w:rFonts w:eastAsia="黑体"/>
      <w:kern w:val="2"/>
      <w:sz w:val="24"/>
      <w:szCs w:val="24"/>
    </w:rPr>
  </w:style>
  <w:style w:type="paragraph" w:customStyle="1" w:styleId="66">
    <w:name w:val="【表头】"/>
    <w:basedOn w:val="67"/>
    <w:next w:val="1"/>
    <w:link w:val="65"/>
    <w:qFormat/>
    <w:uiPriority w:val="0"/>
    <w:pPr>
      <w:adjustRightInd w:val="0"/>
      <w:jc w:val="center"/>
    </w:pPr>
    <w:rPr>
      <w:rFonts w:ascii="Times New Roman" w:eastAsia="黑体"/>
      <w:sz w:val="24"/>
    </w:rPr>
  </w:style>
  <w:style w:type="paragraph" w:customStyle="1" w:styleId="67">
    <w:name w:val="0"/>
    <w:basedOn w:val="1"/>
    <w:qFormat/>
    <w:uiPriority w:val="99"/>
    <w:pPr>
      <w:widowControl/>
      <w:snapToGrid w:val="0"/>
      <w:jc w:val="left"/>
    </w:pPr>
    <w:rPr>
      <w:rFonts w:ascii="宋体"/>
      <w:kern w:val="0"/>
      <w:sz w:val="20"/>
      <w:szCs w:val="20"/>
    </w:rPr>
  </w:style>
  <w:style w:type="character" w:customStyle="1" w:styleId="68">
    <w:name w:val="内容 Char"/>
    <w:link w:val="69"/>
    <w:qFormat/>
    <w:uiPriority w:val="0"/>
    <w:rPr>
      <w:color w:val="000000"/>
      <w:kern w:val="2"/>
      <w:sz w:val="24"/>
      <w:szCs w:val="24"/>
    </w:rPr>
  </w:style>
  <w:style w:type="paragraph" w:customStyle="1" w:styleId="69">
    <w:name w:val="内容"/>
    <w:basedOn w:val="1"/>
    <w:link w:val="68"/>
    <w:qFormat/>
    <w:uiPriority w:val="0"/>
    <w:pPr>
      <w:spacing w:before="50" w:beforeLines="50" w:after="50" w:afterLines="50"/>
      <w:ind w:firstLine="200" w:firstLineChars="200"/>
    </w:pPr>
    <w:rPr>
      <w:color w:val="000000"/>
      <w:sz w:val="24"/>
    </w:rPr>
  </w:style>
  <w:style w:type="character" w:customStyle="1" w:styleId="70">
    <w:name w:val="表头 Char"/>
    <w:link w:val="71"/>
    <w:qFormat/>
    <w:uiPriority w:val="0"/>
    <w:rPr>
      <w:rFonts w:eastAsia="黑体"/>
      <w:kern w:val="2"/>
      <w:sz w:val="24"/>
    </w:rPr>
  </w:style>
  <w:style w:type="paragraph" w:customStyle="1" w:styleId="71">
    <w:name w:val="表头"/>
    <w:basedOn w:val="72"/>
    <w:next w:val="1"/>
    <w:link w:val="70"/>
    <w:qFormat/>
    <w:uiPriority w:val="0"/>
    <w:pPr>
      <w:numPr>
        <w:ilvl w:val="0"/>
        <w:numId w:val="2"/>
      </w:numPr>
    </w:pPr>
    <w:rPr>
      <w:rFonts w:eastAsia="黑体"/>
    </w:rPr>
  </w:style>
  <w:style w:type="paragraph" w:customStyle="1" w:styleId="72">
    <w:name w:val="样式4"/>
    <w:basedOn w:val="1"/>
    <w:qFormat/>
    <w:uiPriority w:val="0"/>
    <w:pPr>
      <w:adjustRightInd w:val="0"/>
      <w:snapToGrid w:val="0"/>
      <w:jc w:val="center"/>
    </w:pPr>
    <w:rPr>
      <w:sz w:val="24"/>
      <w:szCs w:val="20"/>
    </w:rPr>
  </w:style>
  <w:style w:type="character" w:customStyle="1" w:styleId="73">
    <w:name w:val="zhengwencolor1"/>
    <w:qFormat/>
    <w:uiPriority w:val="0"/>
    <w:rPr>
      <w:color w:val="000000"/>
      <w:sz w:val="18"/>
      <w:szCs w:val="18"/>
    </w:rPr>
  </w:style>
  <w:style w:type="character" w:customStyle="1" w:styleId="74">
    <w:name w:val="页脚 Char"/>
    <w:qFormat/>
    <w:uiPriority w:val="0"/>
    <w:rPr>
      <w:rFonts w:ascii="Times New Roman" w:hAnsi="Times New Roman" w:eastAsia="宋体" w:cs="Times New Roman"/>
      <w:sz w:val="18"/>
    </w:rPr>
  </w:style>
  <w:style w:type="character" w:customStyle="1" w:styleId="75">
    <w:name w:val="表文 Char"/>
    <w:link w:val="76"/>
    <w:qFormat/>
    <w:uiPriority w:val="0"/>
    <w:rPr>
      <w:kern w:val="2"/>
      <w:sz w:val="21"/>
      <w:szCs w:val="21"/>
    </w:rPr>
  </w:style>
  <w:style w:type="paragraph" w:customStyle="1" w:styleId="76">
    <w:name w:val="表文"/>
    <w:basedOn w:val="1"/>
    <w:next w:val="1"/>
    <w:link w:val="75"/>
    <w:qFormat/>
    <w:uiPriority w:val="0"/>
    <w:pPr>
      <w:jc w:val="center"/>
    </w:pPr>
    <w:rPr>
      <w:szCs w:val="21"/>
    </w:rPr>
  </w:style>
  <w:style w:type="character" w:customStyle="1" w:styleId="77">
    <w:name w:val="font51"/>
    <w:qFormat/>
    <w:uiPriority w:val="0"/>
    <w:rPr>
      <w:rFonts w:hint="eastAsia" w:ascii="宋体" w:hAnsi="宋体" w:eastAsia="宋体" w:cs="宋体"/>
      <w:color w:val="000000"/>
      <w:sz w:val="21"/>
      <w:szCs w:val="21"/>
      <w:u w:val="none"/>
    </w:rPr>
  </w:style>
  <w:style w:type="character" w:customStyle="1" w:styleId="78">
    <w:name w:val="font81"/>
    <w:qFormat/>
    <w:uiPriority w:val="0"/>
    <w:rPr>
      <w:rFonts w:hint="default" w:ascii="Times New Roman" w:hAnsi="Times New Roman" w:cs="Times New Roman"/>
      <w:color w:val="000000"/>
      <w:sz w:val="21"/>
      <w:szCs w:val="21"/>
      <w:u w:val="none"/>
      <w:vertAlign w:val="subscript"/>
    </w:rPr>
  </w:style>
  <w:style w:type="character" w:customStyle="1" w:styleId="79">
    <w:name w:val="font61"/>
    <w:qFormat/>
    <w:uiPriority w:val="0"/>
    <w:rPr>
      <w:rFonts w:hint="default" w:ascii="Times New Roman" w:hAnsi="Times New Roman" w:cs="Times New Roman"/>
      <w:color w:val="000000"/>
      <w:sz w:val="21"/>
      <w:szCs w:val="21"/>
      <w:u w:val="none"/>
      <w:vertAlign w:val="subscript"/>
    </w:rPr>
  </w:style>
  <w:style w:type="character" w:customStyle="1" w:styleId="80">
    <w:name w:val="font71"/>
    <w:qFormat/>
    <w:uiPriority w:val="0"/>
    <w:rPr>
      <w:rFonts w:hint="default" w:ascii="Times New Roman" w:hAnsi="Times New Roman" w:cs="Times New Roman"/>
      <w:color w:val="000000"/>
      <w:sz w:val="21"/>
      <w:szCs w:val="21"/>
      <w:u w:val="none"/>
    </w:rPr>
  </w:style>
  <w:style w:type="character" w:customStyle="1" w:styleId="81">
    <w:name w:val="Normal Char"/>
    <w:link w:val="82"/>
    <w:qFormat/>
    <w:uiPriority w:val="0"/>
    <w:rPr>
      <w:kern w:val="2"/>
      <w:sz w:val="24"/>
      <w:szCs w:val="24"/>
    </w:rPr>
  </w:style>
  <w:style w:type="paragraph" w:customStyle="1" w:styleId="82">
    <w:name w:val="正文1"/>
    <w:basedOn w:val="1"/>
    <w:link w:val="81"/>
    <w:qFormat/>
    <w:uiPriority w:val="0"/>
    <w:pPr>
      <w:spacing w:before="78" w:beforeLines="25" w:after="78" w:afterLines="25" w:line="360" w:lineRule="auto"/>
      <w:ind w:firstLine="480" w:firstLineChars="200"/>
    </w:pPr>
    <w:rPr>
      <w:sz w:val="24"/>
    </w:rPr>
  </w:style>
  <w:style w:type="character" w:customStyle="1" w:styleId="83">
    <w:name w:val="普通(网站) Char"/>
    <w:qFormat/>
    <w:uiPriority w:val="0"/>
    <w:rPr>
      <w:rFonts w:ascii="宋体" w:hAnsi="宋体" w:eastAsia="宋体" w:cs="Times New Roman"/>
      <w:sz w:val="24"/>
    </w:rPr>
  </w:style>
  <w:style w:type="paragraph" w:customStyle="1" w:styleId="84">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customStyle="1" w:styleId="85">
    <w:name w:val="②JM正文"/>
    <w:basedOn w:val="86"/>
    <w:qFormat/>
    <w:uiPriority w:val="0"/>
    <w:pPr>
      <w:ind w:firstLine="720" w:firstLineChars="200"/>
    </w:pPr>
  </w:style>
  <w:style w:type="paragraph" w:customStyle="1" w:styleId="86">
    <w:name w:val="②JM正文 顶格"/>
    <w:basedOn w:val="87"/>
    <w:next w:val="85"/>
    <w:qFormat/>
    <w:uiPriority w:val="0"/>
    <w:pPr>
      <w:jc w:val="left"/>
    </w:pPr>
  </w:style>
  <w:style w:type="paragraph" w:customStyle="1" w:styleId="87">
    <w:name w:val="①JM表格 居中"/>
    <w:basedOn w:val="1"/>
    <w:next w:val="1"/>
    <w:qFormat/>
    <w:uiPriority w:val="0"/>
    <w:pPr>
      <w:jc w:val="center"/>
    </w:pPr>
  </w:style>
  <w:style w:type="paragraph" w:customStyle="1" w:styleId="88">
    <w:name w:val="报告书正文"/>
    <w:basedOn w:val="1"/>
    <w:qFormat/>
    <w:uiPriority w:val="0"/>
    <w:pPr>
      <w:adjustRightInd w:val="0"/>
      <w:snapToGrid w:val="0"/>
      <w:spacing w:line="360" w:lineRule="auto"/>
      <w:ind w:firstLine="425"/>
      <w:textAlignment w:val="baseline"/>
    </w:pPr>
    <w:rPr>
      <w:rFonts w:ascii="Arial" w:hAnsi="Arial"/>
      <w:kern w:val="0"/>
      <w:sz w:val="24"/>
    </w:rPr>
  </w:style>
  <w:style w:type="paragraph" w:customStyle="1" w:styleId="89">
    <w:name w:val="1黑体头"/>
    <w:basedOn w:val="1"/>
    <w:qFormat/>
    <w:uiPriority w:val="0"/>
    <w:pPr>
      <w:spacing w:line="360" w:lineRule="auto"/>
      <w:ind w:firstLine="479" w:firstLineChars="199"/>
      <w:jc w:val="left"/>
      <w:textAlignment w:val="center"/>
    </w:pPr>
    <w:rPr>
      <w:b/>
      <w:sz w:val="24"/>
    </w:rPr>
  </w:style>
  <w:style w:type="paragraph" w:customStyle="1" w:styleId="90">
    <w:name w:val="正文的"/>
    <w:basedOn w:val="1"/>
    <w:qFormat/>
    <w:uiPriority w:val="0"/>
    <w:pPr>
      <w:spacing w:line="360" w:lineRule="auto"/>
      <w:ind w:firstLine="480" w:firstLineChars="200"/>
    </w:pPr>
    <w:rPr>
      <w:rFonts w:ascii="宋体" w:cs="Calibri"/>
      <w:kern w:val="0"/>
      <w:sz w:val="24"/>
      <w:szCs w:val="20"/>
    </w:rPr>
  </w:style>
  <w:style w:type="paragraph" w:customStyle="1" w:styleId="91">
    <w:name w:val="正文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92">
    <w:name w:val="UserStyle_13"/>
    <w:basedOn w:val="1"/>
    <w:qFormat/>
    <w:uiPriority w:val="0"/>
    <w:pPr>
      <w:textAlignment w:val="baseline"/>
    </w:pPr>
    <w:rPr>
      <w:rFonts w:ascii="宋体" w:hAnsi="Courier New"/>
      <w:szCs w:val="20"/>
    </w:rPr>
  </w:style>
  <w:style w:type="paragraph" w:customStyle="1" w:styleId="93">
    <w:name w:val="②JM表格小标题 仿宋"/>
    <w:basedOn w:val="87"/>
    <w:next w:val="85"/>
    <w:qFormat/>
    <w:uiPriority w:val="0"/>
    <w:rPr>
      <w:rFonts w:eastAsia="仿宋"/>
      <w:b/>
    </w:rPr>
  </w:style>
  <w:style w:type="paragraph" w:customStyle="1" w:styleId="94">
    <w:name w:val="11111"/>
    <w:basedOn w:val="1"/>
    <w:next w:val="1"/>
    <w:qFormat/>
    <w:uiPriority w:val="0"/>
    <w:pPr>
      <w:spacing w:line="360" w:lineRule="auto"/>
      <w:ind w:firstLine="200" w:firstLineChars="200"/>
    </w:pPr>
    <w:rPr>
      <w:rFonts w:ascii="宋体" w:hAnsi="宋体" w:cs="宋体"/>
      <w:sz w:val="24"/>
    </w:rPr>
  </w:style>
  <w:style w:type="paragraph" w:customStyle="1" w:styleId="95">
    <w:name w:val="标题 段落4级"/>
    <w:qFormat/>
    <w:uiPriority w:val="0"/>
    <w:pPr>
      <w:spacing w:line="500" w:lineRule="exact"/>
      <w:outlineLvl w:val="3"/>
    </w:pPr>
    <w:rPr>
      <w:rFonts w:ascii="Times New Roman" w:hAnsi="Times New Roman" w:eastAsia="仿宋_GB2312" w:cs="Calibri"/>
      <w:b/>
      <w:kern w:val="2"/>
      <w:sz w:val="28"/>
      <w:szCs w:val="24"/>
      <w:lang w:val="en-US" w:eastAsia="zh-CN" w:bidi="ar-SA"/>
    </w:rPr>
  </w:style>
  <w:style w:type="paragraph" w:customStyle="1" w:styleId="96">
    <w:name w:val="_Style 117"/>
    <w:basedOn w:val="1"/>
    <w:next w:val="1"/>
    <w:qFormat/>
    <w:uiPriority w:val="0"/>
  </w:style>
  <w:style w:type="paragraph" w:customStyle="1" w:styleId="97">
    <w:name w:val="正文00"/>
    <w:basedOn w:val="1"/>
    <w:qFormat/>
    <w:uiPriority w:val="0"/>
    <w:pPr>
      <w:widowControl/>
      <w:spacing w:line="425" w:lineRule="atLeast"/>
      <w:ind w:left="107" w:leftChars="51" w:right="124" w:rightChars="59" w:firstLine="480"/>
      <w:textAlignment w:val="baseline"/>
    </w:pPr>
    <w:rPr>
      <w:kern w:val="0"/>
      <w:sz w:val="28"/>
      <w:u w:color="000000"/>
    </w:rPr>
  </w:style>
  <w:style w:type="paragraph" w:customStyle="1" w:styleId="98">
    <w:name w:val="样式 Times New Roman 五号 居中1"/>
    <w:basedOn w:val="1"/>
    <w:next w:val="71"/>
    <w:qFormat/>
    <w:uiPriority w:val="99"/>
    <w:pPr>
      <w:jc w:val="center"/>
    </w:pPr>
    <w:rPr>
      <w:rFonts w:cs="宋体"/>
      <w:szCs w:val="21"/>
    </w:rPr>
  </w:style>
  <w:style w:type="paragraph" w:customStyle="1" w:styleId="99">
    <w:name w:val="Char Char Char Char Char Char Char2"/>
    <w:basedOn w:val="1"/>
    <w:qFormat/>
    <w:uiPriority w:val="0"/>
    <w:pPr>
      <w:snapToGrid w:val="0"/>
      <w:spacing w:line="360" w:lineRule="auto"/>
      <w:ind w:firstLine="529" w:firstLineChars="200"/>
    </w:pPr>
  </w:style>
  <w:style w:type="paragraph" w:customStyle="1" w:styleId="100">
    <w:name w:val="表头1"/>
    <w:basedOn w:val="1"/>
    <w:next w:val="1"/>
    <w:qFormat/>
    <w:uiPriority w:val="0"/>
    <w:pPr>
      <w:tabs>
        <w:tab w:val="left" w:pos="605"/>
      </w:tabs>
      <w:adjustRightInd w:val="0"/>
      <w:snapToGrid w:val="0"/>
      <w:jc w:val="center"/>
    </w:pPr>
    <w:rPr>
      <w:rFonts w:eastAsia="仿宋_GB2312"/>
      <w:b/>
      <w:kern w:val="0"/>
      <w:sz w:val="24"/>
      <w:szCs w:val="28"/>
    </w:rPr>
  </w:style>
  <w:style w:type="paragraph" w:customStyle="1" w:styleId="101">
    <w:name w:val="环评表中文字"/>
    <w:basedOn w:val="1"/>
    <w:qFormat/>
    <w:uiPriority w:val="0"/>
    <w:pPr>
      <w:widowControl/>
      <w:jc w:val="center"/>
    </w:pPr>
    <w:rPr>
      <w:rFonts w:ascii="宋体" w:hAnsi="宋体" w:cs="宋体"/>
      <w:kern w:val="0"/>
      <w:szCs w:val="22"/>
    </w:rPr>
  </w:style>
  <w:style w:type="paragraph" w:customStyle="1" w:styleId="102">
    <w:name w:val="00通用正文"/>
    <w:basedOn w:val="1"/>
    <w:qFormat/>
    <w:uiPriority w:val="0"/>
    <w:pPr>
      <w:wordWrap w:val="0"/>
      <w:spacing w:line="360" w:lineRule="auto"/>
      <w:ind w:firstLine="420" w:firstLineChars="200"/>
      <w:jc w:val="left"/>
    </w:pPr>
    <w:rPr>
      <w:color w:val="000000"/>
    </w:rPr>
  </w:style>
  <w:style w:type="paragraph" w:customStyle="1" w:styleId="103">
    <w:name w:val="Normal (Web)1"/>
    <w:basedOn w:val="1"/>
    <w:next w:val="104"/>
    <w:qFormat/>
    <w:uiPriority w:val="0"/>
    <w:pPr>
      <w:widowControl/>
      <w:jc w:val="left"/>
    </w:pPr>
    <w:rPr>
      <w:rFonts w:ascii="宋体"/>
      <w:kern w:val="0"/>
      <w:sz w:val="24"/>
      <w:szCs w:val="21"/>
    </w:rPr>
  </w:style>
  <w:style w:type="paragraph" w:customStyle="1" w:styleId="104">
    <w:name w:val="Date1"/>
    <w:basedOn w:val="1"/>
    <w:next w:val="1"/>
    <w:qFormat/>
    <w:uiPriority w:val="0"/>
    <w:pPr>
      <w:ind w:left="2500" w:leftChars="2500"/>
    </w:pPr>
  </w:style>
  <w:style w:type="paragraph" w:customStyle="1" w:styleId="105">
    <w:name w:val="合稿【表中文字】"/>
    <w:basedOn w:val="1"/>
    <w:qFormat/>
    <w:uiPriority w:val="0"/>
    <w:pPr>
      <w:adjustRightInd w:val="0"/>
      <w:snapToGrid w:val="0"/>
      <w:spacing w:line="312" w:lineRule="auto"/>
      <w:ind w:left="9" w:leftChars="9" w:right="9" w:rightChars="9"/>
      <w:jc w:val="center"/>
    </w:pPr>
    <w:rPr>
      <w:snapToGrid w:val="0"/>
      <w:color w:val="000000"/>
      <w:szCs w:val="20"/>
    </w:rPr>
  </w:style>
  <w:style w:type="paragraph" w:customStyle="1" w:styleId="106">
    <w:name w:val="Char Char Char Char Char Char Char1"/>
    <w:basedOn w:val="1"/>
    <w:qFormat/>
    <w:uiPriority w:val="0"/>
    <w:pPr>
      <w:spacing w:line="360" w:lineRule="auto"/>
      <w:ind w:firstLine="200" w:firstLineChars="200"/>
    </w:pPr>
    <w:rPr>
      <w:rFonts w:ascii="宋体" w:hAnsi="宋体" w:cs="宋体"/>
      <w:sz w:val="24"/>
    </w:rPr>
  </w:style>
  <w:style w:type="paragraph" w:customStyle="1" w:styleId="107">
    <w:name w:val="正文缩进1"/>
    <w:basedOn w:val="1"/>
    <w:qFormat/>
    <w:uiPriority w:val="0"/>
    <w:pPr>
      <w:spacing w:line="520" w:lineRule="exact"/>
      <w:ind w:firstLine="624"/>
    </w:pPr>
    <w:rPr>
      <w:sz w:val="28"/>
    </w:rPr>
  </w:style>
  <w:style w:type="paragraph" w:customStyle="1" w:styleId="108">
    <w:name w:val="表图头"/>
    <w:basedOn w:val="90"/>
    <w:qFormat/>
    <w:uiPriority w:val="0"/>
    <w:pPr>
      <w:ind w:firstLine="0" w:firstLineChars="0"/>
      <w:jc w:val="center"/>
    </w:pPr>
    <w:rPr>
      <w:b/>
      <w:sz w:val="22"/>
    </w:rPr>
  </w:style>
  <w:style w:type="paragraph" w:customStyle="1" w:styleId="109">
    <w:name w:val="正文内容"/>
    <w:basedOn w:val="8"/>
    <w:qFormat/>
    <w:uiPriority w:val="0"/>
    <w:pPr>
      <w:ind w:firstLine="200" w:firstLineChars="200"/>
    </w:pPr>
    <w:rPr>
      <w:sz w:val="28"/>
    </w:rPr>
  </w:style>
  <w:style w:type="paragraph" w:customStyle="1" w:styleId="110">
    <w:name w:val="样式 正文首行缩进 + 首行缩进:  2 字符1"/>
    <w:basedOn w:val="1"/>
    <w:next w:val="17"/>
    <w:qFormat/>
    <w:uiPriority w:val="0"/>
    <w:pPr>
      <w:spacing w:line="360" w:lineRule="auto"/>
      <w:ind w:firstLine="480" w:firstLineChars="200"/>
    </w:pPr>
    <w:rPr>
      <w:sz w:val="24"/>
    </w:rPr>
  </w:style>
  <w:style w:type="paragraph" w:customStyle="1" w:styleId="111">
    <w:name w:val="Char"/>
    <w:basedOn w:val="1"/>
    <w:qFormat/>
    <w:uiPriority w:val="0"/>
    <w:pPr>
      <w:snapToGrid w:val="0"/>
      <w:spacing w:line="440" w:lineRule="atLeast"/>
      <w:ind w:firstLine="200" w:firstLineChars="200"/>
    </w:pPr>
  </w:style>
  <w:style w:type="paragraph" w:customStyle="1" w:styleId="112">
    <w:name w:val="内容列表"/>
    <w:basedOn w:val="1"/>
    <w:qFormat/>
    <w:uiPriority w:val="0"/>
    <w:pPr>
      <w:adjustRightInd w:val="0"/>
      <w:spacing w:line="480" w:lineRule="exact"/>
      <w:ind w:firstLine="560" w:firstLineChars="200"/>
    </w:pPr>
    <w:rPr>
      <w:rFonts w:ascii="仿宋_GB2312" w:hAnsi="宋体" w:eastAsia="仿宋_GB2312"/>
      <w:bCs/>
      <w:color w:val="000000"/>
      <w:sz w:val="28"/>
      <w:szCs w:val="28"/>
    </w:rPr>
  </w:style>
  <w:style w:type="paragraph" w:customStyle="1" w:styleId="113">
    <w:name w:val="表内容"/>
    <w:basedOn w:val="1"/>
    <w:next w:val="1"/>
    <w:qFormat/>
    <w:uiPriority w:val="0"/>
    <w:pPr>
      <w:jc w:val="center"/>
    </w:pPr>
    <w:rPr>
      <w:szCs w:val="20"/>
    </w:rPr>
  </w:style>
  <w:style w:type="paragraph" w:customStyle="1" w:styleId="114">
    <w:name w:val="cucd-0"/>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115">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116">
    <w:name w:val="UserStyle_12"/>
    <w:basedOn w:val="92"/>
    <w:next w:val="1"/>
    <w:qFormat/>
    <w:uiPriority w:val="0"/>
    <w:pPr>
      <w:widowControl/>
      <w:spacing w:line="360" w:lineRule="exact"/>
      <w:jc w:val="left"/>
    </w:pPr>
    <w:rPr>
      <w:rFonts w:ascii="Arial Black" w:hAnsi="Arial Black"/>
      <w:color w:val="000000"/>
      <w:sz w:val="24"/>
    </w:rPr>
  </w:style>
  <w:style w:type="paragraph" w:customStyle="1" w:styleId="117">
    <w:name w:val="xl27"/>
    <w:basedOn w:val="1"/>
    <w:qFormat/>
    <w:uiPriority w:val="0"/>
    <w:pPr>
      <w:widowControl/>
      <w:pBdr>
        <w:bottom w:val="single" w:color="auto" w:sz="4" w:space="0"/>
        <w:right w:val="single" w:color="auto" w:sz="4" w:space="0"/>
      </w:pBdr>
      <w:spacing w:before="100" w:beforeAutospacing="1" w:after="100" w:afterAutospacing="1"/>
      <w:jc w:val="center"/>
    </w:pPr>
    <w:rPr>
      <w:kern w:val="0"/>
      <w:szCs w:val="20"/>
    </w:rPr>
  </w:style>
  <w:style w:type="paragraph" w:customStyle="1" w:styleId="118">
    <w:name w:val="设计表格"/>
    <w:basedOn w:val="1"/>
    <w:qFormat/>
    <w:uiPriority w:val="0"/>
    <w:pPr>
      <w:adjustRightInd w:val="0"/>
      <w:jc w:val="center"/>
    </w:pPr>
    <w:rPr>
      <w:kern w:val="0"/>
      <w:sz w:val="24"/>
    </w:rPr>
  </w:style>
  <w:style w:type="paragraph" w:customStyle="1" w:styleId="119">
    <w:name w:val="WPSOffice手动目录 1"/>
    <w:qFormat/>
    <w:uiPriority w:val="0"/>
    <w:rPr>
      <w:rFonts w:ascii="Times New Roman" w:hAnsi="Times New Roman" w:eastAsia="宋体" w:cs="Times New Roman"/>
      <w:lang w:val="en-US" w:eastAsia="zh-CN" w:bidi="ar-SA"/>
    </w:rPr>
  </w:style>
  <w:style w:type="paragraph" w:customStyle="1" w:styleId="120">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1">
    <w:name w:val="0表格文字"/>
    <w:basedOn w:val="102"/>
    <w:next w:val="102"/>
    <w:qFormat/>
    <w:uiPriority w:val="0"/>
    <w:pPr>
      <w:topLinePunct/>
      <w:spacing w:line="240" w:lineRule="auto"/>
      <w:ind w:firstLine="0" w:firstLineChars="0"/>
      <w:jc w:val="center"/>
    </w:pPr>
    <w:rPr>
      <w:rFonts w:cs="宋体"/>
      <w:szCs w:val="21"/>
    </w:rPr>
  </w:style>
  <w:style w:type="paragraph" w:customStyle="1" w:styleId="122">
    <w:name w:val="表格中文字"/>
    <w:basedOn w:val="123"/>
    <w:qFormat/>
    <w:uiPriority w:val="0"/>
    <w:pPr>
      <w:spacing w:line="360" w:lineRule="exact"/>
    </w:pPr>
    <w:rPr>
      <w:szCs w:val="21"/>
    </w:rPr>
  </w:style>
  <w:style w:type="paragraph" w:customStyle="1" w:styleId="123">
    <w:name w:val="填表正文"/>
    <w:basedOn w:val="1"/>
    <w:qFormat/>
    <w:uiPriority w:val="0"/>
    <w:pPr>
      <w:adjustRightInd w:val="0"/>
      <w:snapToGrid w:val="0"/>
      <w:jc w:val="center"/>
    </w:pPr>
    <w:rPr>
      <w:rFonts w:ascii="宋体" w:hAnsi="Calibri"/>
      <w:color w:val="000000"/>
      <w:kern w:val="0"/>
      <w:szCs w:val="44"/>
    </w:rPr>
  </w:style>
  <w:style w:type="paragraph" w:customStyle="1" w:styleId="124">
    <w:name w:val="Table Paragraph"/>
    <w:basedOn w:val="1"/>
    <w:qFormat/>
    <w:uiPriority w:val="0"/>
    <w:pPr>
      <w:autoSpaceDE w:val="0"/>
      <w:autoSpaceDN w:val="0"/>
      <w:jc w:val="center"/>
    </w:pPr>
    <w:rPr>
      <w:rFonts w:hint="eastAsia" w:ascii="仿宋" w:hAnsi="仿宋" w:eastAsia="仿宋"/>
      <w:kern w:val="0"/>
      <w:sz w:val="22"/>
      <w:szCs w:val="22"/>
    </w:rPr>
  </w:style>
  <w:style w:type="paragraph" w:customStyle="1" w:styleId="125">
    <w:name w:val="表格文字"/>
    <w:basedOn w:val="71"/>
    <w:qFormat/>
    <w:uiPriority w:val="0"/>
    <w:pPr>
      <w:spacing w:line="460" w:lineRule="exact"/>
    </w:pPr>
    <w:rPr>
      <w:rFonts w:eastAsia="楷体_GB2312"/>
    </w:rPr>
  </w:style>
  <w:style w:type="paragraph" w:customStyle="1" w:styleId="126">
    <w:name w:val="2表中文字"/>
    <w:qFormat/>
    <w:uiPriority w:val="0"/>
    <w:pPr>
      <w:jc w:val="center"/>
    </w:pPr>
    <w:rPr>
      <w:rFonts w:ascii="Calibri" w:hAnsi="Calibri" w:eastAsia="宋体" w:cs="Times New Roman"/>
      <w:kern w:val="2"/>
      <w:sz w:val="21"/>
      <w:szCs w:val="21"/>
      <w:lang w:val="en-US" w:eastAsia="zh-CN" w:bidi="ar-SA"/>
    </w:rPr>
  </w:style>
  <w:style w:type="paragraph" w:customStyle="1" w:styleId="127">
    <w:name w:val="【表中文字】-"/>
    <w:basedOn w:val="1"/>
    <w:qFormat/>
    <w:uiPriority w:val="0"/>
    <w:pPr>
      <w:jc w:val="center"/>
    </w:pPr>
    <w:rPr>
      <w:kern w:val="0"/>
      <w:sz w:val="20"/>
      <w:szCs w:val="20"/>
    </w:rPr>
  </w:style>
  <w:style w:type="paragraph" w:customStyle="1" w:styleId="128">
    <w:name w:val="_Style 91"/>
    <w:basedOn w:val="1"/>
    <w:next w:val="1"/>
    <w:qFormat/>
    <w:uiPriority w:val="0"/>
  </w:style>
  <w:style w:type="paragraph" w:customStyle="1" w:styleId="129">
    <w:name w:val="JM正文 表格  居中"/>
    <w:basedOn w:val="1"/>
    <w:next w:val="1"/>
    <w:qFormat/>
    <w:uiPriority w:val="0"/>
    <w:pPr>
      <w:jc w:val="center"/>
    </w:pPr>
  </w:style>
  <w:style w:type="paragraph" w:customStyle="1" w:styleId="130">
    <w:name w:val="②JM表格 居中 仿宋"/>
    <w:basedOn w:val="93"/>
    <w:next w:val="85"/>
    <w:qFormat/>
    <w:uiPriority w:val="0"/>
    <w:rPr>
      <w:b w:val="0"/>
    </w:rPr>
  </w:style>
  <w:style w:type="paragraph" w:customStyle="1" w:styleId="131">
    <w:name w:val="环评正文"/>
    <w:basedOn w:val="1"/>
    <w:qFormat/>
    <w:uiPriority w:val="0"/>
    <w:pPr>
      <w:spacing w:line="440" w:lineRule="exact"/>
      <w:ind w:firstLine="1446" w:firstLineChars="200"/>
    </w:pPr>
    <w:rPr>
      <w:kern w:val="0"/>
      <w:sz w:val="20"/>
      <w:szCs w:val="20"/>
    </w:rPr>
  </w:style>
  <w:style w:type="paragraph" w:customStyle="1" w:styleId="132">
    <w:name w:val="段落正文"/>
    <w:basedOn w:val="1"/>
    <w:qFormat/>
    <w:uiPriority w:val="0"/>
    <w:pPr>
      <w:spacing w:line="500" w:lineRule="atLeast"/>
      <w:ind w:firstLine="200" w:firstLineChars="200"/>
    </w:pPr>
    <w:rPr>
      <w:rFonts w:eastAsia="仿宋_GB2312"/>
      <w:sz w:val="28"/>
      <w:szCs w:val="28"/>
    </w:rPr>
  </w:style>
  <w:style w:type="paragraph" w:customStyle="1" w:styleId="133">
    <w:name w:val="首行缩进正文"/>
    <w:basedOn w:val="50"/>
    <w:qFormat/>
    <w:uiPriority w:val="0"/>
    <w:rPr>
      <w:sz w:val="21"/>
    </w:rPr>
  </w:style>
  <w:style w:type="paragraph" w:customStyle="1" w:styleId="134">
    <w:name w:val="_Style 24"/>
    <w:basedOn w:val="1"/>
    <w:next w:val="1"/>
    <w:qFormat/>
    <w:uiPriority w:val="0"/>
    <w:pPr>
      <w:spacing w:line="360" w:lineRule="auto"/>
      <w:ind w:firstLine="200" w:firstLineChars="200"/>
    </w:pPr>
    <w:rPr>
      <w:rFonts w:ascii="宋体" w:hAnsi="宋体" w:cs="宋体"/>
      <w:sz w:val="24"/>
      <w:szCs w:val="20"/>
    </w:rPr>
  </w:style>
  <w:style w:type="paragraph" w:customStyle="1" w:styleId="135">
    <w:name w:val="_Style 88"/>
    <w:basedOn w:val="9"/>
    <w:next w:val="22"/>
    <w:qFormat/>
    <w:uiPriority w:val="0"/>
    <w:pPr>
      <w:ind w:firstLine="420" w:firstLineChars="200"/>
    </w:pPr>
  </w:style>
  <w:style w:type="paragraph" w:customStyle="1" w:styleId="136">
    <w:name w:val="JM正文小标题"/>
    <w:basedOn w:val="1"/>
    <w:next w:val="1"/>
    <w:qFormat/>
    <w:uiPriority w:val="0"/>
    <w:pPr>
      <w:jc w:val="center"/>
    </w:pPr>
    <w:rPr>
      <w:b/>
      <w:kern w:val="0"/>
      <w:szCs w:val="18"/>
    </w:rPr>
  </w:style>
  <w:style w:type="paragraph" w:customStyle="1" w:styleId="137">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138">
    <w:name w:val="Char1"/>
    <w:basedOn w:val="1"/>
    <w:qFormat/>
    <w:uiPriority w:val="0"/>
    <w:rPr>
      <w:szCs w:val="21"/>
    </w:rPr>
  </w:style>
  <w:style w:type="paragraph" w:customStyle="1" w:styleId="139">
    <w:name w:val=".标题1.1.1"/>
    <w:basedOn w:val="1"/>
    <w:qFormat/>
    <w:uiPriority w:val="0"/>
    <w:pPr>
      <w:spacing w:line="500" w:lineRule="exact"/>
      <w:outlineLvl w:val="2"/>
    </w:pPr>
    <w:rPr>
      <w:rFonts w:ascii="黑体" w:hAnsi="黑体" w:eastAsia="黑体"/>
      <w:kern w:val="0"/>
    </w:rPr>
  </w:style>
  <w:style w:type="paragraph" w:customStyle="1" w:styleId="140">
    <w:name w:val="首行缩进表格正文"/>
    <w:basedOn w:val="1"/>
    <w:qFormat/>
    <w:uiPriority w:val="0"/>
    <w:pPr>
      <w:spacing w:line="360" w:lineRule="auto"/>
      <w:ind w:firstLine="720" w:firstLineChars="200"/>
      <w:jc w:val="left"/>
    </w:pPr>
    <w:rPr>
      <w:rFonts w:hint="eastAsia" w:cs="Calibri"/>
      <w:szCs w:val="20"/>
    </w:rPr>
  </w:style>
  <w:style w:type="paragraph" w:customStyle="1" w:styleId="141">
    <w:name w:val="图号 表号"/>
    <w:basedOn w:val="8"/>
    <w:qFormat/>
    <w:uiPriority w:val="0"/>
    <w:pPr>
      <w:snapToGrid/>
      <w:spacing w:before="0" w:after="0" w:line="360" w:lineRule="auto"/>
      <w:ind w:right="0"/>
      <w:jc w:val="center"/>
    </w:pPr>
    <w:rPr>
      <w:rFonts w:eastAsia="黑体"/>
      <w:b/>
      <w:sz w:val="24"/>
      <w:szCs w:val="22"/>
    </w:rPr>
  </w:style>
  <w:style w:type="paragraph" w:customStyle="1" w:styleId="142">
    <w:name w:val="_Style 129"/>
    <w:basedOn w:val="1"/>
    <w:next w:val="1"/>
    <w:qFormat/>
    <w:uiPriority w:val="39"/>
  </w:style>
  <w:style w:type="paragraph" w:customStyle="1" w:styleId="143">
    <w:name w:val="报告表正文"/>
    <w:basedOn w:val="1"/>
    <w:qFormat/>
    <w:uiPriority w:val="0"/>
    <w:pPr>
      <w:widowControl/>
      <w:spacing w:line="360" w:lineRule="auto"/>
      <w:ind w:firstLine="720" w:firstLineChars="200"/>
    </w:pPr>
    <w:rPr>
      <w:rFonts w:hint="eastAsia" w:cs="宋体"/>
      <w:kern w:val="0"/>
      <w:sz w:val="24"/>
      <w:szCs w:val="21"/>
    </w:rPr>
  </w:style>
  <w:style w:type="paragraph" w:customStyle="1" w:styleId="144">
    <w:name w:val="正文（首行缩进两字） Char"/>
    <w:basedOn w:val="1"/>
    <w:qFormat/>
    <w:uiPriority w:val="0"/>
    <w:pPr>
      <w:widowControl/>
      <w:spacing w:line="360" w:lineRule="auto"/>
      <w:ind w:firstLine="420"/>
    </w:pPr>
    <w:rPr>
      <w:szCs w:val="20"/>
    </w:rPr>
  </w:style>
  <w:style w:type="paragraph" w:customStyle="1" w:styleId="145">
    <w:name w:val="- 页码 -"/>
    <w:qFormat/>
    <w:uiPriority w:val="0"/>
    <w:pPr>
      <w:widowControl w:val="0"/>
      <w:spacing w:line="360" w:lineRule="auto"/>
      <w:ind w:firstLine="200" w:firstLineChars="200"/>
      <w:jc w:val="both"/>
    </w:pPr>
    <w:rPr>
      <w:rFonts w:ascii="Times New Roman" w:hAnsi="Times New Roman" w:eastAsia="宋体" w:cs="Times New Roman"/>
      <w:kern w:val="2"/>
      <w:sz w:val="24"/>
      <w:lang w:val="en-US" w:eastAsia="zh-CN" w:bidi="ar-SA"/>
    </w:rPr>
  </w:style>
  <w:style w:type="paragraph" w:customStyle="1" w:styleId="146">
    <w:name w:val="List Paragraph1"/>
    <w:basedOn w:val="1"/>
    <w:qFormat/>
    <w:uiPriority w:val="0"/>
    <w:pPr>
      <w:ind w:firstLine="420" w:firstLineChars="200"/>
    </w:pPr>
    <w:rPr>
      <w:sz w:val="24"/>
    </w:rPr>
  </w:style>
  <w:style w:type="paragraph" w:customStyle="1" w:styleId="147">
    <w:name w:val="我的正文"/>
    <w:basedOn w:val="1"/>
    <w:qFormat/>
    <w:uiPriority w:val="0"/>
    <w:pPr>
      <w:adjustRightInd w:val="0"/>
      <w:snapToGrid w:val="0"/>
      <w:spacing w:line="480" w:lineRule="exact"/>
      <w:ind w:firstLine="720" w:firstLineChars="200"/>
      <w:jc w:val="left"/>
    </w:pPr>
    <w:rPr>
      <w:rFonts w:ascii="Times New Roman" w:hAnsi="Times New Roman" w:eastAsia="宋体" w:cs="宋体"/>
      <w:bCs/>
      <w:szCs w:val="21"/>
    </w:rPr>
  </w:style>
  <w:style w:type="paragraph" w:customStyle="1" w:styleId="148">
    <w:name w:val="我的表格"/>
    <w:basedOn w:val="1"/>
    <w:next w:val="1"/>
    <w:qFormat/>
    <w:uiPriority w:val="0"/>
    <w:pPr>
      <w:adjustRightInd w:val="0"/>
      <w:snapToGrid w:val="0"/>
      <w:spacing w:before="10" w:beforeLines="10" w:after="10" w:afterLines="10" w:line="240" w:lineRule="atLeast"/>
      <w:jc w:val="center"/>
    </w:pPr>
    <w:rPr>
      <w:rFonts w:ascii="Times New Roman" w:hAnsi="Times New Roman" w:eastAsia="宋体"/>
      <w:kern w:val="0"/>
      <w:szCs w:val="20"/>
    </w:rPr>
  </w:style>
  <w:style w:type="table" w:customStyle="1" w:styleId="149">
    <w:name w:val="Table Normal"/>
    <w:unhideWhenUsed/>
    <w:qFormat/>
    <w:uiPriority w:val="0"/>
    <w:tblPr>
      <w:tblCellMar>
        <w:top w:w="0" w:type="dxa"/>
        <w:left w:w="0" w:type="dxa"/>
        <w:bottom w:w="0" w:type="dxa"/>
        <w:right w:w="0" w:type="dxa"/>
      </w:tblCellMar>
    </w:tblPr>
  </w:style>
  <w:style w:type="paragraph" w:customStyle="1" w:styleId="150">
    <w:name w:val="样式 Times New Roman 五号 居中"/>
    <w:basedOn w:val="1"/>
    <w:qFormat/>
    <w:uiPriority w:val="0"/>
    <w:pPr>
      <w:jc w:val="center"/>
    </w:pPr>
    <w:rPr>
      <w:rFonts w:ascii="Times New Roman" w:cs="宋体"/>
      <w:kern w:val="2"/>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0" Type="http://schemas.openxmlformats.org/officeDocument/2006/relationships/fontTable" Target="fontTable.xml"/><Relationship Id="rId6" Type="http://schemas.openxmlformats.org/officeDocument/2006/relationships/footer" Target="footer4.xml"/><Relationship Id="rId59" Type="http://schemas.openxmlformats.org/officeDocument/2006/relationships/customXml" Target="../customXml/item2.xml"/><Relationship Id="rId58" Type="http://schemas.openxmlformats.org/officeDocument/2006/relationships/numbering" Target="numbering.xml"/><Relationship Id="rId57" Type="http://schemas.openxmlformats.org/officeDocument/2006/relationships/customXml" Target="../customXml/item1.xml"/><Relationship Id="rId56" Type="http://schemas.openxmlformats.org/officeDocument/2006/relationships/image" Target="media/image43.png"/><Relationship Id="rId55" Type="http://schemas.openxmlformats.org/officeDocument/2006/relationships/image" Target="media/image42.png"/><Relationship Id="rId54" Type="http://schemas.openxmlformats.org/officeDocument/2006/relationships/image" Target="media/image41.png"/><Relationship Id="rId53" Type="http://schemas.openxmlformats.org/officeDocument/2006/relationships/image" Target="media/image40.png"/><Relationship Id="rId52" Type="http://schemas.openxmlformats.org/officeDocument/2006/relationships/image" Target="media/image39.png"/><Relationship Id="rId51" Type="http://schemas.openxmlformats.org/officeDocument/2006/relationships/image" Target="media/image38.png"/><Relationship Id="rId50" Type="http://schemas.openxmlformats.org/officeDocument/2006/relationships/image" Target="media/image37.png"/><Relationship Id="rId5" Type="http://schemas.openxmlformats.org/officeDocument/2006/relationships/footer" Target="footer3.xml"/><Relationship Id="rId49" Type="http://schemas.openxmlformats.org/officeDocument/2006/relationships/image" Target="media/image36.png"/><Relationship Id="rId48" Type="http://schemas.openxmlformats.org/officeDocument/2006/relationships/image" Target="media/image35.png"/><Relationship Id="rId47" Type="http://schemas.openxmlformats.org/officeDocument/2006/relationships/image" Target="media/image34.png"/><Relationship Id="rId46" Type="http://schemas.openxmlformats.org/officeDocument/2006/relationships/image" Target="media/image33.png"/><Relationship Id="rId45" Type="http://schemas.openxmlformats.org/officeDocument/2006/relationships/image" Target="media/image32.png"/><Relationship Id="rId44" Type="http://schemas.openxmlformats.org/officeDocument/2006/relationships/image" Target="media/image31.png"/><Relationship Id="rId43" Type="http://schemas.openxmlformats.org/officeDocument/2006/relationships/image" Target="media/image30.png"/><Relationship Id="rId42" Type="http://schemas.openxmlformats.org/officeDocument/2006/relationships/image" Target="media/image29.png"/><Relationship Id="rId41" Type="http://schemas.openxmlformats.org/officeDocument/2006/relationships/image" Target="media/image28.png"/><Relationship Id="rId40" Type="http://schemas.openxmlformats.org/officeDocument/2006/relationships/image" Target="media/image27.png"/><Relationship Id="rId4" Type="http://schemas.openxmlformats.org/officeDocument/2006/relationships/footer" Target="footer2.xml"/><Relationship Id="rId39" Type="http://schemas.openxmlformats.org/officeDocument/2006/relationships/image" Target="media/image26.png"/><Relationship Id="rId38" Type="http://schemas.openxmlformats.org/officeDocument/2006/relationships/image" Target="media/image25.png"/><Relationship Id="rId37" Type="http://schemas.openxmlformats.org/officeDocument/2006/relationships/image" Target="media/image24.png"/><Relationship Id="rId36" Type="http://schemas.openxmlformats.org/officeDocument/2006/relationships/image" Target="media/image23.png"/><Relationship Id="rId35" Type="http://schemas.openxmlformats.org/officeDocument/2006/relationships/image" Target="media/image22.jpeg"/><Relationship Id="rId34" Type="http://schemas.openxmlformats.org/officeDocument/2006/relationships/image" Target="media/image21.png"/><Relationship Id="rId33" Type="http://schemas.openxmlformats.org/officeDocument/2006/relationships/image" Target="media/image20.jpeg"/><Relationship Id="rId32" Type="http://schemas.openxmlformats.org/officeDocument/2006/relationships/image" Target="media/image19.png"/><Relationship Id="rId31" Type="http://schemas.openxmlformats.org/officeDocument/2006/relationships/image" Target="media/image18.png"/><Relationship Id="rId30" Type="http://schemas.openxmlformats.org/officeDocument/2006/relationships/image" Target="media/image17.png"/><Relationship Id="rId3" Type="http://schemas.openxmlformats.org/officeDocument/2006/relationships/footer" Target="foot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wmf"/><Relationship Id="rId23" Type="http://schemas.openxmlformats.org/officeDocument/2006/relationships/oleObject" Target="embeddings/oleObject3.bin"/><Relationship Id="rId22" Type="http://schemas.openxmlformats.org/officeDocument/2006/relationships/image" Target="media/image10.wmf"/><Relationship Id="rId21" Type="http://schemas.openxmlformats.org/officeDocument/2006/relationships/oleObject" Target="embeddings/oleObject2.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85e27d84-92c8-4bf4-82ad-dcc544160285</errorID>
      <errorWord>一-</errorWord>
      <group>L1_Punc</group>
      <groupName>标点问题</groupName>
      <ability>L2_Punc_CN</ability>
      <abilityName>标点符号问题</abilityName>
      <candidateList>
        <item>一</item>
      </candidateList>
      <explain/>
      <paraID>7EA024BE</paraID>
      <start>2</start>
      <end>4</end>
      <status>ignored</status>
      <modifiedWord/>
      <trackRevisions>false</trackRevisions>
    </reviewItem>
    <reviewItem>
      <errorID>d65ca292-ec1e-4943-8182-5b6db9367cdd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7A96CF13</paraID>
      <start>21</start>
      <end>22</end>
      <status>ignored</status>
      <modifiedWord/>
      <trackRevisions>false</trackRevisions>
    </reviewItem>
    <reviewItem>
      <errorID>e2cef5f6-32c1-4d0d-9246-293f1d897074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67E822BA</paraID>
      <start>19</start>
      <end>20</end>
      <status>ignored</status>
      <modifiedWord/>
      <trackRevisions>false</trackRevisions>
    </reviewItem>
    <reviewItem>
      <errorID>ff9f4666-f830-4ea3-81e1-5c643483bdd4</errorID>
      <errorWord>IV类</errorWord>
      <group>L1_Knowledge</group>
      <groupName>知识性问题</groupName>
      <ability>L2_Knowledge</ability>
      <abilityName>其他知识</abilityName>
      <candidateList>
        <item>Ⅳ类</item>
      </candidateList>
      <explain>中文环境下罗马数字格式错误。</explain>
      <paraID>67E822BA</paraID>
      <start>50</start>
      <end>50</end>
      <status>modified</status>
      <modifiedWord>Ⅳ类</modifiedWord>
      <trackRevisions>false</trackRevisions>
    </reviewItem>
    <reviewItem>
      <errorID>d57f6704-8aa6-4e86-8588-5966011a7a95</errorID>
      <errorWord>IV类</errorWord>
      <group>L1_Knowledge</group>
      <groupName>知识性问题</groupName>
      <ability>L2_Knowledge</ability>
      <abilityName>其他知识</abilityName>
      <candidateList>
        <item>Ⅳ类</item>
      </candidateList>
      <explain>中文环境下罗马数字格式错误。</explain>
      <paraID>67E822BA</paraID>
      <start>94</start>
      <end>94</end>
      <status>modified</status>
      <modifiedWord>Ⅳ类</modifiedWord>
      <trackRevisions>false</trackRevisions>
    </reviewItem>
    <reviewItem>
      <errorID>2d3b6a16-6726-4bb4-9854-0882bdf482d2</errorID>
      <errorWord>上线</errorWord>
      <group>L1_Word</group>
      <groupName>字词问题</groupName>
      <ability>L2_Typo</ability>
      <abilityName>字词错误</abilityName>
      <candidateList>
        <item>上限</item>
      </candidateList>
      <explain/>
      <paraID>7902FADA</paraID>
      <start>59</start>
      <end>61</end>
      <status>ignored</status>
      <modifiedWord/>
      <trackRevisions>false</trackRevisions>
    </reviewItem>
    <reviewItem>
      <errorID>e911bff2-aa68-4c19-b922-24d5d5c558ed</errorID>
      <errorWord>环</errorWord>
      <group>L1_Word</group>
      <groupName>字词问题</groupName>
      <ability>L2_Typo</ability>
      <abilityName>字词错误</abilityName>
      <candidateList>
        <item>环境</item>
      </candidateList>
      <explain/>
      <paraID> 4AAF1AE</paraID>
      <start>90</start>
      <end>91</end>
      <status>ignored</status>
      <modifiedWord/>
      <trackRevisions>false</trackRevisions>
    </reviewItem>
    <reviewItem>
      <errorID>c61a5d9a-a371-4000-bfbf-267ba48fae34</errorID>
      <errorWord>其它有害</errorWord>
      <group>L1_Word</group>
      <groupName>字词问题</groupName>
      <ability>L2_Alias</ability>
      <abilityName>也作/曾用词</abilityName>
      <candidateList>
        <item>其他有害</item>
      </candidateList>
      <explain>词汇[其它有害]为不规范表述或旧称，其规范书面表述为[其他有害]。</explain>
      <paraID> F3D2200</paraID>
      <start>13</start>
      <end>17</end>
      <status>ignored</status>
      <modifiedWord/>
      <trackRevisions>false</trackRevisions>
    </reviewItem>
    <reviewItem>
      <errorID>23b7b028-37c0-46ce-b62a-a4245fab1fe8</errorID>
      <errorWord>其它有害</errorWord>
      <group>L1_Word</group>
      <groupName>字词问题</groupName>
      <ability>L2_Alias</ability>
      <abilityName>也作/曾用词</abilityName>
      <candidateList>
        <item>其他有害</item>
      </candidateList>
      <explain>词汇[其它有害]为不规范表述或旧称，其规范书面表述为[其他有害]。</explain>
      <paraID> F3D2200</paraID>
      <start>145</start>
      <end>149</end>
      <status>ignored</status>
      <modifiedWord/>
      <trackRevisions>false</trackRevisions>
    </reviewItem>
    <reviewItem>
      <errorID>7af80df9-e42e-4453-b5f0-04742c769adb</errorID>
      <errorWord>作好</errorWord>
      <group>L1_Grammar</group>
      <groupName>语法问题</groupName>
      <ability>L2_Grammar</ability>
      <abilityName>语法错误</abilityName>
      <candidateList>
        <item>做好</item>
      </candidateList>
      <explain>“作好～措施”搭配不当，建议修改为“做好～措施”。</explain>
      <paraID> F3D2200</paraID>
      <start>417</start>
      <end>419</end>
      <status>ignored</status>
      <modifiedWord/>
      <trackRevisions>false</trackRevisions>
    </reviewItem>
    <reviewItem>
      <errorID>59dba80b-b526-488b-9498-71d4afc4fa25</errorID>
      <errorWord>数据交集</errorWord>
      <group>L1_Knowledge</group>
      <groupName>知识性问题</groupName>
      <ability>L2_Term</ability>
      <abilityName>专业术语</abilityName>
      <candidateList>
        <item>数据采集</item>
      </candidateList>
      <explain/>
      <paraID>658175E0</paraID>
      <start>12</start>
      <end>16</end>
      <status>ignored</status>
      <modifiedWord/>
      <trackRevisions>false</trackRevisions>
    </reviewItem>
    <reviewItem>
      <errorID>a363dbcb-cb18-4df6-a27a-a3b47189cc90</errorID>
      <errorWord>，</errorWord>
      <group>L1_Word</group>
      <groupName>字词问题</groupName>
      <ability>L2_Typo</ability>
      <abilityName>字词错误</abilityName>
      <candidateList>
        <item>，根</item>
      </candidateList>
      <explain/>
      <paraID>7957CE4D</paraID>
      <start>213</start>
      <end>215</end>
      <status>modified</status>
      <modifiedWord>，根</modifiedWord>
      <trackRevisions>false</trackRevisions>
    </reviewItem>
    <reviewItem>
      <errorID>f6b73a2d-4046-47e2-b5f7-6c0f1c821451</errorID>
      <errorWord>城乡结合部</errorWord>
      <group>L1_Knowledge</group>
      <groupName>知识性问题</groupName>
      <ability>L2_Knowledge</ability>
      <abilityName>其他知识</abilityName>
      <candidateList>
        <item>城乡接合部</item>
      </candidateList>
      <explain/>
      <paraID>3C7BDE50</paraID>
      <start>49</start>
      <end>54</end>
      <status>modified</status>
      <modifiedWord>城乡接合部</modifiedWord>
      <trackRevisions>false</trackRevisions>
    </reviewItem>
    <reviewItem>
      <errorID>67585625-b117-4287-914f-f6b4a15ab802</errorID>
      <errorWord>循环硫化床锅炉</errorWord>
      <group>L1_Knowledge</group>
      <groupName>知识性问题</groupName>
      <ability>L2_Term</ability>
      <abilityName>专业术语</abilityName>
      <candidateList>
        <item>循环流化床锅炉</item>
      </candidateList>
      <explain/>
      <paraID>608B1FCE</paraID>
      <start>14</start>
      <end>21</end>
      <status>ignored</status>
      <modifiedWord/>
      <trackRevisions>false</trackRevisions>
    </reviewItem>
    <reviewItem>
      <errorID>580e04b9-4889-4d07-8acf-823d52128e82</errorID>
      <errorWord>制定计划</errorWord>
      <group>L1_Knowledge</group>
      <groupName>知识性问题</groupName>
      <ability>L2_Knowledge</ability>
      <abilityName>其他知识</abilityName>
      <candidateList>
        <item>制订计划</item>
      </candidateList>
      <explain/>
      <paraID>7EB788BE</paraID>
      <start>322</start>
      <end>326</end>
      <status>modified</status>
      <modifiedWord>制订计划</modifiedWord>
      <trackRevisions>false</trackRevisions>
    </reviewItem>
    <reviewItem>
      <errorID>65c2097f-18c6-4ef1-baee-259f9ce42b21</errorID>
      <errorWord>城乡结合部</errorWord>
      <group>L1_Knowledge</group>
      <groupName>知识性问题</groupName>
      <ability>L2_Knowledge</ability>
      <abilityName>其他知识</abilityName>
      <candidateList>
        <item>城乡接合部</item>
      </candidateList>
      <explain/>
      <paraID>3D746A94</paraID>
      <start>44</start>
      <end>49</end>
      <status>modified</status>
      <modifiedWord>城乡接合部</modifiedWord>
      <trackRevisions>false</trackRevisions>
    </reviewItem>
    <reviewItem>
      <errorID>7ad6135d-efc0-44e4-b05e-e5e8090deb3f</errorID>
      <errorWord>锅炉锅炉</errorWord>
      <group>L1_Word</group>
      <groupName>字词问题</groupName>
      <ability>L2_Typo</ability>
      <abilityName>字词错误</abilityName>
      <candidateList>
        <item>锅炉</item>
      </candidateList>
      <explain/>
      <paraID>2633113A</paraID>
      <start>15</start>
      <end>17</end>
      <status>modified</status>
      <modifiedWord>锅炉</modifiedWord>
      <trackRevisions>false</trackRevisions>
    </reviewItem>
    <reviewItem>
      <errorID>3eb32912-5d2f-4ab8-b088-6ef157840979</errorID>
      <errorWord>(</errorWord>
      <group>L1_Format</group>
      <groupName>格式问题</groupName>
      <ability>L2_HalfPunc_CN</ability>
      <abilityName>全半角问题</abilityName>
      <candidateList>
        <item>（</item>
      </candidateList>
      <explain>文本全半角错误。</explain>
      <paraID>1698552F</paraID>
      <start>22</start>
      <end>23</end>
      <status>modified</status>
      <modifiedWord>（</modifiedWord>
      <trackRevisions>false</trackRevisions>
    </reviewItem>
    <reviewItem>
      <errorID>e86f2018-c925-48a8-9fd2-37a6706b425d</errorID>
      <errorWord>)</errorWord>
      <group>L1_Format</group>
      <groupName>格式问题</groupName>
      <ability>L2_HalfPunc_CN</ability>
      <abilityName>全半角问题</abilityName>
      <candidateList>
        <item>）</item>
      </candidateList>
      <explain>文本全半角错误。</explain>
      <paraID>1698552F</paraID>
      <start>24</start>
      <end>25</end>
      <status>modified</status>
      <modifiedWord>）</modifiedWord>
      <trackRevisions>false</trackRevisions>
    </reviewItem>
    <reviewItem>
      <errorID>096c52ac-2240-4f18-8477-83f280d62abd</errorID>
      <errorWord>,</errorWord>
      <group>L1_Format</group>
      <groupName>格式问题</groupName>
      <ability>L2_HalfPunc_CN</ability>
      <abilityName>全半角问题</abilityName>
      <candidateList>
        <item>，</item>
      </candidateList>
      <explain>文本全半角错误。</explain>
      <paraID>1698552F</paraID>
      <start>78</start>
      <end>79</end>
      <status>modified</status>
      <modifiedWord>，</modifiedWord>
      <trackRevisions>false</trackRevisions>
    </reviewItem>
    <reviewItem>
      <errorID>def37759-2aaa-4a7e-b663-d334888e1900</errorID>
      <errorWord>的</errorWord>
      <group>L1_Word</group>
      <groupName>字词问题</groupName>
      <ability>L2_DDD</ability>
      <abilityName>的地得用法</abilityName>
      <candidateList>
        <item>地</item>
      </candidateList>
      <explain/>
      <paraID>6A6BA5F8</paraID>
      <start>30</start>
      <end>31</end>
      <status>modified</status>
      <modifiedWord>地</modifiedWord>
      <trackRevisions>false</trackRevisions>
    </reviewItem>
    <reviewItem>
      <errorID>16fccaeb-26d8-4d72-bbc1-147003511501</errorID>
      <errorWord>ug/m3</errorWord>
      <group>L1_Word</group>
      <groupName>字词问题</groupName>
      <ability>L2_Typo</ability>
      <abilityName>字词错误</abilityName>
      <candidateList>
        <item>μg/m3</item>
      </candidateList>
      <explain/>
      <paraID>1B8AB3BC</paraID>
      <start>4</start>
      <end>9</end>
      <status>ignored</status>
      <modifiedWord/>
      <trackRevisions>false</trackRevisions>
    </reviewItem>
    <reviewItem>
      <errorID>1dbb3df8-6e56-4fbb-a774-4a7cbee92a57</errorID>
      <errorWord>ug/m3</errorWord>
      <group>L1_Word</group>
      <groupName>字词问题</groupName>
      <ability>L2_Typo</ability>
      <abilityName>字词错误</abilityName>
      <candidateList>
        <item>μg/m3</item>
      </candidateList>
      <explain/>
      <paraID> 5A01F78</paraID>
      <start>3</start>
      <end>8</end>
      <status>ignored</status>
      <modifiedWord/>
      <trackRevisions>false</trackRevisions>
    </reviewItem>
    <reviewItem>
      <errorID>53714af1-5d18-468e-8128-e2bbb36ad491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5B97C9A7</paraID>
      <start>15</start>
      <end>16</end>
      <status>ignored</status>
      <modifiedWord/>
      <trackRevisions>false</trackRevisions>
    </reviewItem>
    <reviewItem>
      <errorID>e5b833b3-ac62-434c-88af-8cc92db0c2b5</errorID>
      <errorWord>（</errorWord>
      <group>L1_Format</group>
      <groupName>格式问题</groupName>
      <ability>L2_HalfPunc_CN</ability>
      <abilityName>全半角问题</abilityName>
      <candidateList>
        <item>(</item>
      </candidateList>
      <explain>文本全半角错误。</explain>
      <paraID> 844D006</paraID>
      <start>0</start>
      <end>1</end>
      <status>ignored</status>
      <modifiedWord/>
      <trackRevisions>false</trackRevisions>
    </reviewItem>
    <reviewItem>
      <errorID>55469b3e-34ce-45c6-bb50-667a94c0ab04</errorID>
      <errorWord>）</errorWord>
      <group>L1_Format</group>
      <groupName>格式问题</groupName>
      <ability>L2_HalfPunc_CN</ability>
      <abilityName>全半角问题</abilityName>
      <candidateList>
        <item>)</item>
      </candidateList>
      <explain>文本全半角错误。</explain>
      <paraID> 844D006</paraID>
      <start>6</start>
      <end>7</end>
      <status>modified</status>
      <modifiedWord>)</modifiedWord>
      <trackRevisions>false</trackRevisions>
    </reviewItem>
    <reviewItem>
      <errorID>c12b9edf-0851-4efb-aa9e-53ceadf0a0a1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6EBAA4AB</paraID>
      <start>21</start>
      <end>22</end>
      <status>ignored</status>
      <modifiedWord/>
      <trackRevisions>false</trackRevisions>
    </reviewItem>
    <reviewItem>
      <errorID>fe271a91-e029-4654-9183-06bb85d49286</errorID>
      <errorWord>IV类</errorWord>
      <group>L1_Knowledge</group>
      <groupName>知识性问题</groupName>
      <ability>L2_Knowledge</ability>
      <abilityName>其他知识</abilityName>
      <candidateList>
        <item>Ⅳ类</item>
      </candidateList>
      <explain>中文环境下罗马数字格式错误。</explain>
      <paraID>6EBAA4AB</paraID>
      <start>54</start>
      <end>54</end>
      <status>modified</status>
      <modifiedWord>Ⅳ类</modifiedWord>
      <trackRevisions>false</trackRevisions>
    </reviewItem>
    <reviewItem>
      <errorID>f9335f5a-e332-4cd6-b4f8-a59a55c5da00</errorID>
      <errorWord>IV类</errorWord>
      <group>L1_Knowledge</group>
      <groupName>知识性问题</groupName>
      <ability>L2_Knowledge</ability>
      <abilityName>其他知识</abilityName>
      <candidateList>
        <item>Ⅳ类</item>
      </candidateList>
      <explain>中文环境下罗马数字格式错误。</explain>
      <paraID>6EBAA4AB</paraID>
      <start>84</start>
      <end>84</end>
      <status>modified</status>
      <modifiedWord>Ⅳ类</modifiedWord>
      <trackRevisions>false</trackRevisions>
    </reviewItem>
    <reviewItem>
      <errorID>416bddf9-58b1-48a4-bc1a-ddb462864a3f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7DABDE28</paraID>
      <start>19</start>
      <end>20</end>
      <status>ignored</status>
      <modifiedWord/>
      <trackRevisions>false</trackRevisions>
    </reviewItem>
    <reviewItem>
      <errorID>c9e641b0-7002-462d-90af-f99409c075d9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43BF10E6</paraID>
      <start>0</start>
      <end>2</end>
      <status>modified</status>
      <modifiedWord>1.</modifiedWord>
      <trackRevisions>false</trackRevisions>
    </reviewItem>
    <reviewItem>
      <errorID>56bdb0ae-1737-43ab-bba5-876adfd3e71c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2901ED59</paraID>
      <start>0</start>
      <end>2</end>
      <status>modified</status>
      <modifiedWord>2.</modifiedWord>
      <trackRevisions>false</trackRevisions>
    </reviewItem>
    <reviewItem>
      <errorID>26677799-c4b8-4fea-9eae-eefb958e7438</errorID>
      <errorWord>（</errorWord>
      <group>L1_Format</group>
      <groupName>格式问题</groupName>
      <ability>L2_HalfPunc_CN</ability>
      <abilityName>全半角问题</abilityName>
      <candidateList>
        <item>(</item>
      </candidateList>
      <explain>文本全半角错误。</explain>
      <paraID>73BCB2F0</paraID>
      <start>2</start>
      <end>3</end>
      <status>ignored</status>
      <modifiedWord/>
      <trackRevisions>false</trackRevisions>
    </reviewItem>
    <reviewItem>
      <errorID>cb89297a-38e1-429b-8ebd-515dd9f96fae</errorID>
      <errorWord>）</errorWord>
      <group>L1_Format</group>
      <groupName>格式问题</groupName>
      <ability>L2_HalfPunc_CN</ability>
      <abilityName>全半角问题</abilityName>
      <candidateList>
        <item>)</item>
      </candidateList>
      <explain>文本全半角错误。</explain>
      <paraID>73BCB2F0</paraID>
      <start>4</start>
      <end>5</end>
      <status>modified</status>
      <modifiedWord>)</modifiedWord>
      <trackRevisions>false</trackRevisions>
    </reviewItem>
    <reviewItem>
      <errorID>b95a58da-9ae2-41ee-8c53-542de758ea9d</errorID>
      <errorWord>（</errorWord>
      <group>L1_Format</group>
      <groupName>格式问题</groupName>
      <ability>L2_HalfPunc_CN</ability>
      <abilityName>全半角问题</abilityName>
      <candidateList>
        <item>(</item>
      </candidateList>
      <explain>文本全半角错误。</explain>
      <paraID>67606B1D</paraID>
      <start>2</start>
      <end>3</end>
      <status>ignored</status>
      <modifiedWord/>
      <trackRevisions>false</trackRevisions>
    </reviewItem>
    <reviewItem>
      <errorID>d1ac599a-a156-4629-97b1-ac1646025aca</errorID>
      <errorWord>）</errorWord>
      <group>L1_Format</group>
      <groupName>格式问题</groupName>
      <ability>L2_HalfPunc_CN</ability>
      <abilityName>全半角问题</abilityName>
      <candidateList>
        <item>)</item>
      </candidateList>
      <explain>文本全半角错误。</explain>
      <paraID>67606B1D</paraID>
      <start>4</start>
      <end>5</end>
      <status>modified</status>
      <modifiedWord>)</modifiedWord>
      <trackRevisions>false</trackRevisions>
    </reviewItem>
    <reviewItem>
      <errorID>ac25ed22-f7dc-486b-8a95-24b0dd944134</errorID>
      <errorWord>(</errorWord>
      <group>L1_Format</group>
      <groupName>格式问题</groupName>
      <ability>L2_HalfPunc_CN</ability>
      <abilityName>全半角问题</abilityName>
      <candidateList>
        <item>（</item>
      </candidateList>
      <explain>文本全半角错误。</explain>
      <paraID>2BAAFEF1</paraID>
      <start>25</start>
      <end>26</end>
      <status>modified</status>
      <modifiedWord>（</modifiedWord>
      <trackRevisions>false</trackRevisions>
    </reviewItem>
    <reviewItem>
      <errorID>406e512d-e062-4bfe-abdc-5589305dd797</errorID>
      <errorWord>)</errorWord>
      <group>L1_Format</group>
      <groupName>格式问题</groupName>
      <ability>L2_HalfPunc_CN</ability>
      <abilityName>全半角问题</abilityName>
      <candidateList>
        <item>）</item>
      </candidateList>
      <explain>文本全半角错误。</explain>
      <paraID>2BAAFEF1</paraID>
      <start>38</start>
      <end>39</end>
      <status>modified</status>
      <modifiedWord>）</modifiedWord>
      <trackRevisions>false</trackRevisions>
    </reviewItem>
    <reviewItem>
      <errorID>8986758c-db92-4030-8b18-4c17d33514cf</errorID>
      <errorWord>(</errorWord>
      <group>L1_Format</group>
      <groupName>格式问题</groupName>
      <ability>L2_HalfPunc_CN</ability>
      <abilityName>全半角问题</abilityName>
      <candidateList>
        <item>（</item>
      </candidateList>
      <explain>文本全半角错误。</explain>
      <paraID> D70DFF3</paraID>
      <start>26</start>
      <end>27</end>
      <status>modified</status>
      <modifiedWord>（</modifiedWord>
      <trackRevisions>false</trackRevisions>
    </reviewItem>
    <reviewItem>
      <errorID>ef765f99-c1c1-411a-b559-c5d183eee019</errorID>
      <errorWord>)</errorWord>
      <group>L1_Format</group>
      <groupName>格式问题</groupName>
      <ability>L2_HalfPunc_CN</ability>
      <abilityName>全半角问题</abilityName>
      <candidateList>
        <item>）</item>
      </candidateList>
      <explain>文本全半角错误。</explain>
      <paraID> D70DFF3</paraID>
      <start>39</start>
      <end>40</end>
      <status>modified</status>
      <modifiedWord>）</modifiedWord>
      <trackRevisions>false</trackRevisions>
    </reviewItem>
    <reviewItem>
      <errorID>f74a9fd5-e558-45a8-9439-0ec1b7ee7a03</errorID>
      <errorWord>(</errorWord>
      <group>L1_Format</group>
      <groupName>格式问题</groupName>
      <ability>L2_HalfPunc_CN</ability>
      <abilityName>全半角问题</abilityName>
      <candidateList>
        <item>（</item>
      </candidateList>
      <explain>文本全半角错误。</explain>
      <paraID>6D0348EE</paraID>
      <start>22</start>
      <end>23</end>
      <status>modified</status>
      <modifiedWord>（</modifiedWord>
      <trackRevisions>false</trackRevisions>
    </reviewItem>
    <reviewItem>
      <errorID>83b70290-776d-41a2-a46d-8e8c6f11332d</errorID>
      <errorWord>(</errorWord>
      <group>L1_Format</group>
      <groupName>格式问题</groupName>
      <ability>L2_HalfPunc_CN</ability>
      <abilityName>全半角问题</abilityName>
      <candidateList>
        <item>（</item>
      </candidateList>
      <explain>文本全半角错误。</explain>
      <paraID>1330497D</paraID>
      <start>16</start>
      <end>17</end>
      <status>modified</status>
      <modifiedWord>（</modifiedWord>
      <trackRevisions>false</trackRevisions>
    </reviewItem>
    <reviewItem>
      <errorID>d8e4117b-9653-4b12-a5c6-9ca3586fe074</errorID>
      <errorWord>)</errorWord>
      <group>L1_Format</group>
      <groupName>格式问题</groupName>
      <ability>L2_HalfPunc_CN</ability>
      <abilityName>全半角问题</abilityName>
      <candidateList>
        <item>）</item>
      </candidateList>
      <explain>文本全半角错误。</explain>
      <paraID>1330497D</paraID>
      <start>29</start>
      <end>30</end>
      <status>modified</status>
      <modifiedWord>）</modifiedWord>
      <trackRevisions>false</trackRevisions>
    </reviewItem>
    <reviewItem>
      <errorID>fcf3a2fc-0ced-40c1-a90d-81ee3b6960b5</errorID>
      <errorWord>（</errorWord>
      <group>L1_Format</group>
      <groupName>格式问题</groupName>
      <ability>L2_HalfPunc_CN</ability>
      <abilityName>全半角问题</abilityName>
      <candidateList>
        <item>(</item>
      </candidateList>
      <explain>文本全半角错误。</explain>
      <paraID>109048C7</paraID>
      <start>4</start>
      <end>5</end>
      <status>ignored</status>
      <modifiedWord/>
      <trackRevisions>false</trackRevisions>
    </reviewItem>
    <reviewItem>
      <errorID>843a8ed1-bfe9-42d7-8f00-f1d02c59708a</errorID>
      <errorWord>）</errorWord>
      <group>L1_Format</group>
      <groupName>格式问题</groupName>
      <ability>L2_HalfPunc_CN</ability>
      <abilityName>全半角问题</abilityName>
      <candidateList>
        <item>)</item>
      </candidateList>
      <explain>文本全半角错误。</explain>
      <paraID>109048C7</paraID>
      <start>6</start>
      <end>7</end>
      <status>modified</status>
      <modifiedWord>)</modifiedWord>
      <trackRevisions>false</trackRevisions>
    </reviewItem>
    <reviewItem>
      <errorID>f35723b6-76c7-448f-a4c0-d9e4d29287f5</errorID>
      <errorWord>（</errorWord>
      <group>L1_Format</group>
      <groupName>格式问题</groupName>
      <ability>L2_HalfPunc_CN</ability>
      <abilityName>全半角问题</abilityName>
      <candidateList>
        <item>(</item>
      </candidateList>
      <explain>文本全半角错误。</explain>
      <paraID>10FEDE1D</paraID>
      <start>4</start>
      <end>5</end>
      <status>ignored</status>
      <modifiedWord/>
      <trackRevisions>false</trackRevisions>
    </reviewItem>
    <reviewItem>
      <errorID>8f1a96f8-bbd1-476e-8a47-5bd9e913ba6c</errorID>
      <errorWord>）</errorWord>
      <group>L1_Format</group>
      <groupName>格式问题</groupName>
      <ability>L2_HalfPunc_CN</ability>
      <abilityName>全半角问题</abilityName>
      <candidateList>
        <item>)</item>
      </candidateList>
      <explain>文本全半角错误。</explain>
      <paraID>10FEDE1D</paraID>
      <start>6</start>
      <end>7</end>
      <status>modified</status>
      <modifiedWord>)</modifiedWord>
      <trackRevisions>false</trackRevisions>
    </reviewItem>
    <reviewItem>
      <errorID>fe739102-7ca6-4cb1-9c37-8b1fe2cd36a9</errorID>
      <errorWord>料</errorWord>
      <group>L1_Word</group>
      <groupName>字词问题</groupName>
      <ability>L2_Typo</ability>
      <abilityName>字词错误</abilityName>
      <candidateList>
        <item>料消</item>
      </candidateList>
      <explain/>
      <paraID>4CA40518</paraID>
      <start>10</start>
      <end>12</end>
      <status>modified</status>
      <modifiedWord>料消</modifiedWord>
      <trackRevisions>false</trackRevisions>
    </reviewItem>
    <reviewItem>
      <errorID>d7cebfde-4618-4c01-938e-e9c446d3ec7d</errorID>
      <errorWord>料</errorWord>
      <group>L1_Word</group>
      <groupName>字词问题</groupName>
      <ability>L2_Typo</ability>
      <abilityName>字词错误</abilityName>
      <candidateList>
        <item>料消</item>
      </candidateList>
      <explain/>
      <paraID>131B75A4</paraID>
      <start>10</start>
      <end>12</end>
      <status>modified</status>
      <modifiedWord>料消</modifiedWord>
      <trackRevisions>false</trackRevisions>
    </reviewItem>
    <reviewItem>
      <errorID>f20ba761-796d-4472-a2ef-728ee93cc41f</errorID>
      <errorWord>-</errorWord>
      <group>L1_Format</group>
      <groupName>格式问题</groupName>
      <ability>L2_HalfPunc_CN</ability>
      <abilityName>全半角问题</abilityName>
      <candidateList>
        <item>－</item>
      </candidateList>
      <explain>文本全半角错误。</explain>
      <paraID>408157E9</paraID>
      <start>18</start>
      <end>19</end>
      <status>ignored</status>
      <modifiedWord/>
      <trackRevisions>false</trackRevisions>
    </reviewItem>
    <reviewItem>
      <errorID>f3b5c59e-a8ea-42be-aa37-a14b394db538</errorID>
      <errorWord>-</errorWord>
      <group>L1_Format</group>
      <groupName>格式问题</groupName>
      <ability>L2_HalfPunc_CN</ability>
      <abilityName>全半角问题</abilityName>
      <candidateList>
        <item>－</item>
      </candidateList>
      <explain>文本全半角错误。</explain>
      <paraID> 738DC2F</paraID>
      <start>4</start>
      <end>5</end>
      <status>ignored</status>
      <modifiedWord/>
      <trackRevisions>false</trackRevisions>
    </reviewItem>
    <reviewItem>
      <errorID>70a3f7de-7bf1-48f6-8d95-ba5338e73d08</errorID>
      <errorWord>(</errorWord>
      <group>L1_Format</group>
      <groupName>格式问题</groupName>
      <ability>L2_HalfPunc_CN</ability>
      <abilityName>全半角问题</abilityName>
      <candidateList>
        <item>（</item>
      </candidateList>
      <explain>文本全半角错误。</explain>
      <paraID>26D1AACB</paraID>
      <start>56</start>
      <end>57</end>
      <status>modified</status>
      <modifiedWord>（</modifiedWord>
      <trackRevisions>false</trackRevisions>
    </reviewItem>
    <reviewItem>
      <errorID>022a7139-bd0e-4ef5-9881-b877d43f72f4</errorID>
      <errorWord>)</errorWord>
      <group>L1_Format</group>
      <groupName>格式问题</groupName>
      <ability>L2_HalfPunc_CN</ability>
      <abilityName>全半角问题</abilityName>
      <candidateList>
        <item>）</item>
      </candidateList>
      <explain>文本全半角错误。</explain>
      <paraID>26D1AACB</paraID>
      <start>67</start>
      <end>68</end>
      <status>modified</status>
      <modifiedWord>）</modifiedWord>
      <trackRevisions>false</trackRevisions>
    </reviewItem>
    <reviewItem>
      <errorID>cf81d5b1-2bd3-4855-b055-2c72bcee7f0b</errorID>
      <errorWord>合量</errorWord>
      <group>L1_Word</group>
      <groupName>字词问题</groupName>
      <ability>L2_Typo</ability>
      <abilityName>字词错误</abilityName>
      <candidateList>
        <item>含量</item>
      </candidateList>
      <explain/>
      <paraID>26D1AACB</paraID>
      <start>95</start>
      <end>97</end>
      <status>modified</status>
      <modifiedWord>含量</modifiedWord>
      <trackRevisions>false</trackRevisions>
    </reviewItem>
    <reviewItem>
      <errorID>693e4332-b078-4eda-9a03-a2ceb94251e9</errorID>
      <errorWord>程</errorWord>
      <group>L1_Word</group>
      <groupName>字词问题</groupName>
      <ability>L2_Typo</ability>
      <abilityName>字词错误</abilityName>
      <candidateList>
        <item>程中</item>
      </candidateList>
      <explain/>
      <paraID>2C43AEFB</paraID>
      <start>42</start>
      <end>44</end>
      <status>modified</status>
      <modifiedWord>程中</modifiedWord>
      <trackRevisions>false</trackRevisions>
    </reviewItem>
    <reviewItem>
      <errorID>7827820a-a2b8-4849-b1aa-7522d74d6c06</errorID>
      <errorWord>(</errorWord>
      <group>L1_Format</group>
      <groupName>格式问题</groupName>
      <ability>L2_HalfPunc_CN</ability>
      <abilityName>全半角问题</abilityName>
      <candidateList>
        <item>（</item>
      </candidateList>
      <explain>文本全半角错误。</explain>
      <paraID>37788FFD</paraID>
      <start>15</start>
      <end>16</end>
      <status>modified</status>
      <modifiedWord>（</modifiedWord>
      <trackRevisions>false</trackRevisions>
    </reviewItem>
    <reviewItem>
      <errorID>bb659668-62a6-4823-96e8-d6d172286857</errorID>
      <errorWord>(</errorWord>
      <group>L1_Format</group>
      <groupName>格式问题</groupName>
      <ability>L2_HalfPunc_CN</ability>
      <abilityName>全半角问题</abilityName>
      <candidateList>
        <item>（</item>
      </candidateList>
      <explain>文本全半角错误。</explain>
      <paraID>37788FFD</paraID>
      <start>174</start>
      <end>175</end>
      <status>modified</status>
      <modifiedWord>（</modifiedWord>
      <trackRevisions>false</trackRevisions>
    </reviewItem>
    <reviewItem>
      <errorID>3c59903a-b4a6-4a91-8b56-e5522162f060</errorID>
      <errorWord>)</errorWord>
      <group>L1_Format</group>
      <groupName>格式问题</groupName>
      <ability>L2_HalfPunc_CN</ability>
      <abilityName>全半角问题</abilityName>
      <candidateList>
        <item>）</item>
      </candidateList>
      <explain>文本全半角错误。</explain>
      <paraID>37788FFD</paraID>
      <start>187</start>
      <end>188</end>
      <status>modified</status>
      <modifiedWord>）</modifiedWord>
      <trackRevisions>false</trackRevisions>
    </reviewItem>
    <reviewItem>
      <errorID>05d24ea8-8b92-4dee-babb-dfd195373ab8</errorID>
      <errorWord>料</errorWord>
      <group>L1_Word</group>
      <groupName>字词问题</groupName>
      <ability>L2_Typo</ability>
      <abilityName>字词错误</abilityName>
      <candidateList>
        <item>料消</item>
      </candidateList>
      <explain/>
      <paraID>37A67AE9</paraID>
      <start>13</start>
      <end>15</end>
      <status>modified</status>
      <modifiedWord>料消</modifiedWord>
      <trackRevisions>false</trackRevisions>
    </reviewItem>
    <reviewItem>
      <errorID>2eba7c13-e972-447e-b870-20dde90e9ace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64EBA37F</paraID>
      <start>0</start>
      <end>2</end>
      <status>modified</status>
      <modifiedWord>5.</modifiedWord>
      <trackRevisions>false</trackRevisions>
    </reviewItem>
    <reviewItem>
      <errorID>151f949e-1d6a-475b-963e-8a45af27887c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952BBA8</paraID>
      <start>0</start>
      <end>2</end>
      <status>modified</status>
      <modifiedWord>6.</modifiedWord>
      <trackRevisions>false</trackRevisions>
    </reviewItem>
    <reviewItem>
      <errorID>7a4823a0-f288-4aef-a9eb-7d9280fa4494</errorID>
      <errorWord>(</errorWord>
      <group>L1_Format</group>
      <groupName>格式问题</groupName>
      <ability>L2_HalfPunc_CN</ability>
      <abilityName>全半角问题</abilityName>
      <candidateList>
        <item>（</item>
      </candidateList>
      <explain>文本全半角错误。</explain>
      <paraID>277726C2</paraID>
      <start>3</start>
      <end>4</end>
      <status>modified</status>
      <modifiedWord>（</modifiedWord>
      <trackRevisions>false</trackRevisions>
    </reviewItem>
    <reviewItem>
      <errorID>342d0297-a6c0-4496-9ad0-6e86037b8bda</errorID>
      <errorWord>)</errorWord>
      <group>L1_Format</group>
      <groupName>格式问题</groupName>
      <ability>L2_HalfPunc_CN</ability>
      <abilityName>全半角问题</abilityName>
      <candidateList>
        <item>）</item>
      </candidateList>
      <explain>文本全半角错误。</explain>
      <paraID>1C74D3CD</paraID>
      <start>2</start>
      <end>3</end>
      <status>modified</status>
      <modifiedWord>）</modifiedWord>
      <trackRevisions>false</trackRevisions>
    </reviewItem>
    <reviewItem>
      <errorID>5727c54f-550a-4208-a6a7-c76d8487f6cd</errorID>
      <errorWord>（</errorWord>
      <group>L1_Punc</group>
      <groupName>标点问题</groupName>
      <ability>L2_Punc_CN</ability>
      <abilityName>标点符号问题</abilityName>
      <candidateList/>
      <explain>同一形式括号套用。</explain>
      <paraID>18344D5B</paraID>
      <start>119</start>
      <end>120</end>
      <status>ignored</status>
      <modifiedWord/>
      <trackRevisions>false</trackRevisions>
    </reviewItem>
    <reviewItem>
      <errorID>04aaafeb-1d62-4439-9fa4-6a605b1ad3a9</errorID>
      <errorWord>）</errorWord>
      <group>L1_Punc</group>
      <groupName>标点问题</groupName>
      <ability>L2_Punc_CN</ability>
      <abilityName>标点符号问题</abilityName>
      <candidateList/>
      <explain>同一形式括号套用。</explain>
      <paraID>18344D5B</paraID>
      <start>125</start>
      <end>126</end>
      <status>ignored</status>
      <modifiedWord/>
      <trackRevisions>false</trackRevisions>
    </reviewItem>
    <reviewItem>
      <errorID>014c56f5-c99b-49b5-8a63-c4bb8a66da8b</errorID>
      <errorWord>目</errorWord>
      <group>L1_Word</group>
      <groupName>字词问题</groupName>
      <ability>L2_Typo</ability>
      <abilityName>字词错误</abilityName>
      <candidateList>
        <item>目在</item>
      </candidateList>
      <explain/>
      <paraID>16E7397E</paraID>
      <start>2</start>
      <end>4</end>
      <status>modified</status>
      <modifiedWord>目在</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9A48AA-CF1D-422D-9918-FE5327940B28}">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77</Pages>
  <Words>83</Words>
  <Characters>86</Characters>
  <Lines>1469</Lines>
  <Paragraphs>1401</Paragraphs>
  <TotalTime>3</TotalTime>
  <ScaleCrop>false</ScaleCrop>
  <LinksUpToDate>false</LinksUpToDate>
  <CharactersWithSpaces>99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2021-12-07T12:21:00Z</dcterms:created>
  <dc:creator>lhj</dc:creator>
  <cp:lastModifiedBy>阳光下，泡沫</cp:lastModifiedBy>
  <cp:lastPrinted>2021-09-13T01:18:00Z</cp:lastPrinted>
  <dcterms:modified xsi:type="dcterms:W3CDTF">2026-10-21T08:06:38Z</dcterms:modified>
  <dc:title>附件2</dc:title>
  <cp:revision>376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13E97D809AA74FAB967889A561F120D2_13</vt:lpwstr>
  </property>
  <property fmtid="{D5CDD505-2E9C-101B-9397-08002B2CF9AE}" pid="4" name="KSOTemplateDocerSaveRecord">
    <vt:lpwstr>eyJoZGlkIjoiNWI3MjVkMmUzZWFkMGE4NjQzM2IwY2QxYjM0N2Q2NGYiLCJ1c2VySWQiOiI0MzIxNDY5OTMifQ==</vt:lpwstr>
  </property>
</Properties>
</file>