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C052E2">
      <w:pPr>
        <w:rPr>
          <w:rFonts w:ascii="仿宋_GB2312" w:hAnsi="仿宋_GB2312" w:eastAsia="仿宋_GB2312" w:cs="仿宋_GB2312"/>
          <w:color w:val="000000" w:themeColor="text1"/>
          <w:sz w:val="36"/>
          <w:szCs w:val="36"/>
          <w:highlight w:val="none"/>
          <w14:textFill>
            <w14:solidFill>
              <w14:schemeClr w14:val="tx1"/>
            </w14:solidFill>
          </w14:textFill>
        </w:rPr>
      </w:pPr>
    </w:p>
    <w:p w14:paraId="36F0FB96">
      <w:pPr>
        <w:rPr>
          <w:rFonts w:ascii="仿宋_GB2312" w:hAnsi="仿宋_GB2312" w:eastAsia="仿宋_GB2312" w:cs="仿宋_GB2312"/>
          <w:color w:val="000000" w:themeColor="text1"/>
          <w:sz w:val="36"/>
          <w:szCs w:val="36"/>
          <w:highlight w:val="none"/>
          <w14:textFill>
            <w14:solidFill>
              <w14:schemeClr w14:val="tx1"/>
            </w14:solidFill>
          </w14:textFill>
        </w:rPr>
      </w:pPr>
    </w:p>
    <w:p w14:paraId="0CC621F8">
      <w:pPr>
        <w:rPr>
          <w:rFonts w:ascii="仿宋_GB2312" w:hAnsi="仿宋_GB2312" w:eastAsia="仿宋_GB2312" w:cs="仿宋_GB2312"/>
          <w:color w:val="000000" w:themeColor="text1"/>
          <w:sz w:val="36"/>
          <w:szCs w:val="36"/>
          <w:highlight w:val="none"/>
          <w14:textFill>
            <w14:solidFill>
              <w14:schemeClr w14:val="tx1"/>
            </w14:solidFill>
          </w14:textFill>
        </w:rPr>
      </w:pPr>
    </w:p>
    <w:p w14:paraId="12BD997B">
      <w:pPr>
        <w:adjustRightInd w:val="0"/>
        <w:snapToGrid w:val="0"/>
        <w:ind w:left="-199" w:leftChars="-95" w:firstLine="194" w:firstLineChars="27"/>
        <w:jc w:val="center"/>
        <w:outlineLvl w:val="0"/>
        <w:rPr>
          <w:rFonts w:hint="eastAsia" w:ascii="方正小标宋_GBK" w:eastAsia="方正小标宋_GBK"/>
          <w:bCs/>
          <w:color w:val="000000" w:themeColor="text1"/>
          <w:sz w:val="72"/>
          <w:szCs w:val="72"/>
          <w:highlight w:val="none"/>
          <w14:textFill>
            <w14:solidFill>
              <w14:schemeClr w14:val="tx1"/>
            </w14:solidFill>
          </w14:textFill>
        </w:rPr>
      </w:pPr>
      <w:bookmarkStart w:id="0" w:name="_Toc7400"/>
      <w:bookmarkStart w:id="1" w:name="_Toc14156"/>
      <w:bookmarkStart w:id="2" w:name="_Toc25516"/>
      <w:bookmarkStart w:id="3" w:name="_Toc16802"/>
      <w:bookmarkStart w:id="4" w:name="_Toc15928"/>
      <w:bookmarkStart w:id="5" w:name="_Toc21130"/>
      <w:bookmarkStart w:id="6" w:name="_Toc27700"/>
      <w:bookmarkStart w:id="7" w:name="_Toc20620"/>
      <w:bookmarkStart w:id="8" w:name="_Toc20014"/>
      <w:bookmarkStart w:id="9" w:name="_Toc909"/>
      <w:bookmarkStart w:id="10" w:name="_Toc9321"/>
      <w:bookmarkStart w:id="11" w:name="_Toc23229"/>
      <w:bookmarkStart w:id="12" w:name="_Toc12864"/>
      <w:bookmarkStart w:id="13" w:name="_Toc15575"/>
      <w:bookmarkStart w:id="14" w:name="_Toc24594"/>
      <w:r>
        <w:rPr>
          <w:rFonts w:hint="eastAsia" w:ascii="方正小标宋_GBK" w:eastAsia="方正小标宋_GBK"/>
          <w:bCs/>
          <w:color w:val="000000" w:themeColor="text1"/>
          <w:sz w:val="72"/>
          <w:szCs w:val="72"/>
          <w:highlight w:val="none"/>
          <w14:textFill>
            <w14:solidFill>
              <w14:schemeClr w14:val="tx1"/>
            </w14:solidFill>
          </w14:textFill>
        </w:rPr>
        <w:t>建设项目</w:t>
      </w:r>
      <w:r>
        <w:rPr>
          <w:rFonts w:hint="default" w:ascii="方正小标宋_GBK" w:hAnsi="Times New Roman" w:eastAsia="方正小标宋_GBK" w:cs="Times New Roman"/>
          <w:bCs/>
          <w:color w:val="000000" w:themeColor="text1"/>
          <w:sz w:val="72"/>
          <w:szCs w:val="72"/>
          <w:highlight w:val="none"/>
          <w:lang w:val="en-US" w:eastAsia="zh-CN"/>
          <w14:textFill>
            <w14:solidFill>
              <w14:schemeClr w14:val="tx1"/>
            </w14:solidFill>
          </w14:textFill>
        </w:rPr>
        <w:t>生态</w:t>
      </w:r>
      <w:r>
        <w:rPr>
          <w:rFonts w:hint="eastAsia" w:ascii="方正小标宋_GBK" w:eastAsia="方正小标宋_GBK"/>
          <w:bCs/>
          <w:color w:val="000000" w:themeColor="text1"/>
          <w:sz w:val="72"/>
          <w:szCs w:val="72"/>
          <w:highlight w:val="none"/>
          <w14:textFill>
            <w14:solidFill>
              <w14:schemeClr w14:val="tx1"/>
            </w14:solidFill>
          </w14:textFill>
        </w:rPr>
        <w:t>环境影响</w:t>
      </w:r>
    </w:p>
    <w:p w14:paraId="7E9593BF">
      <w:pPr>
        <w:adjustRightInd w:val="0"/>
        <w:snapToGrid w:val="0"/>
        <w:ind w:left="-199" w:leftChars="-95" w:firstLine="194" w:firstLineChars="27"/>
        <w:jc w:val="center"/>
        <w:outlineLvl w:val="0"/>
        <w:rPr>
          <w:rFonts w:hint="eastAsia" w:ascii="方正小标宋_GBK" w:hAnsi="Times New Roman" w:eastAsia="方正小标宋_GBK" w:cs="Times New Roman"/>
          <w:bCs/>
          <w:color w:val="000000" w:themeColor="text1"/>
          <w:sz w:val="72"/>
          <w:szCs w:val="72"/>
          <w:highlight w:val="none"/>
          <w14:textFill>
            <w14:solidFill>
              <w14:schemeClr w14:val="tx1"/>
            </w14:solidFill>
          </w14:textFill>
        </w:rPr>
      </w:pPr>
      <w:r>
        <w:rPr>
          <w:rFonts w:hint="eastAsia" w:ascii="方正小标宋_GBK" w:hAnsi="Times New Roman" w:eastAsia="方正小标宋_GBK" w:cs="Times New Roman"/>
          <w:bCs/>
          <w:color w:val="000000" w:themeColor="text1"/>
          <w:sz w:val="72"/>
          <w:szCs w:val="72"/>
          <w:highlight w:val="none"/>
          <w14:textFill>
            <w14:solidFill>
              <w14:schemeClr w14:val="tx1"/>
            </w14:solidFill>
          </w14:textFill>
        </w:rPr>
        <w:t>报告表</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14:paraId="4D17C96A">
      <w:pPr>
        <w:adjustRightInd w:val="0"/>
        <w:snapToGrid w:val="0"/>
        <w:spacing w:before="192" w:beforeLines="80"/>
        <w:jc w:val="center"/>
        <w:rPr>
          <w:rFonts w:hint="eastAsia" w:ascii="楷体_GB2312" w:eastAsia="楷体_GB2312"/>
          <w:bCs/>
          <w:color w:val="000000" w:themeColor="text1"/>
          <w:sz w:val="48"/>
          <w:szCs w:val="48"/>
          <w:highlight w:val="none"/>
          <w14:textFill>
            <w14:solidFill>
              <w14:schemeClr w14:val="tx1"/>
            </w14:solidFill>
          </w14:textFill>
        </w:rPr>
      </w:pPr>
      <w:r>
        <w:rPr>
          <w:rFonts w:hint="eastAsia" w:ascii="楷体_GB2312" w:eastAsia="楷体_GB2312"/>
          <w:bCs/>
          <w:color w:val="000000" w:themeColor="text1"/>
          <w:sz w:val="48"/>
          <w:szCs w:val="48"/>
          <w:highlight w:val="none"/>
          <w14:textFill>
            <w14:solidFill>
              <w14:schemeClr w14:val="tx1"/>
            </w14:solidFill>
          </w14:textFill>
        </w:rPr>
        <w:t>（污染影响类）</w:t>
      </w:r>
    </w:p>
    <w:p w14:paraId="30186FE6">
      <w:pPr>
        <w:adjustRightInd w:val="0"/>
        <w:snapToGrid w:val="0"/>
        <w:spacing w:line="288" w:lineRule="auto"/>
        <w:jc w:val="center"/>
        <w:outlineLvl w:val="9"/>
        <w:rPr>
          <w:rFonts w:ascii="华文仿宋" w:hAnsi="华文仿宋" w:eastAsia="华文仿宋" w:cs="华文仿宋"/>
          <w:color w:val="000000" w:themeColor="text1"/>
          <w:kern w:val="44"/>
          <w:sz w:val="44"/>
          <w:szCs w:val="44"/>
          <w:highlight w:val="none"/>
          <w14:textFill>
            <w14:solidFill>
              <w14:schemeClr w14:val="tx1"/>
            </w14:solidFill>
          </w14:textFill>
        </w:rPr>
      </w:pPr>
    </w:p>
    <w:p w14:paraId="09CEB032">
      <w:pPr>
        <w:jc w:val="center"/>
        <w:rPr>
          <w:rFonts w:eastAsia="仿宋"/>
          <w:color w:val="000000" w:themeColor="text1"/>
          <w:sz w:val="52"/>
          <w:szCs w:val="52"/>
          <w:highlight w:val="none"/>
          <w14:textFill>
            <w14:solidFill>
              <w14:schemeClr w14:val="tx1"/>
            </w14:solidFill>
          </w14:textFill>
        </w:rPr>
      </w:pPr>
    </w:p>
    <w:p w14:paraId="0B2B056C">
      <w:pPr>
        <w:ind w:firstLine="1040"/>
        <w:rPr>
          <w:rFonts w:eastAsia="仿宋"/>
          <w:color w:val="000000" w:themeColor="text1"/>
          <w:sz w:val="44"/>
          <w:szCs w:val="44"/>
          <w:highlight w:val="none"/>
          <w14:textFill>
            <w14:solidFill>
              <w14:schemeClr w14:val="tx1"/>
            </w14:solidFill>
          </w14:textFill>
        </w:rPr>
      </w:pPr>
    </w:p>
    <w:p w14:paraId="5C4B3EA0">
      <w:pPr>
        <w:ind w:firstLine="1040"/>
        <w:rPr>
          <w:rFonts w:eastAsia="仿宋"/>
          <w:color w:val="000000" w:themeColor="text1"/>
          <w:sz w:val="44"/>
          <w:szCs w:val="44"/>
          <w:highlight w:val="none"/>
          <w14:textFill>
            <w14:solidFill>
              <w14:schemeClr w14:val="tx1"/>
            </w14:solidFill>
          </w14:textFill>
        </w:rPr>
      </w:pPr>
    </w:p>
    <w:p w14:paraId="4C1E1F81">
      <w:pPr>
        <w:ind w:firstLine="1040"/>
        <w:rPr>
          <w:rFonts w:eastAsia="仿宋"/>
          <w:color w:val="000000" w:themeColor="text1"/>
          <w:sz w:val="44"/>
          <w:szCs w:val="44"/>
          <w:highlight w:val="none"/>
          <w14:textFill>
            <w14:solidFill>
              <w14:schemeClr w14:val="tx1"/>
            </w14:solidFill>
          </w14:textFill>
        </w:rPr>
      </w:pPr>
    </w:p>
    <w:p w14:paraId="778769F5">
      <w:pPr>
        <w:adjustRightInd w:val="0"/>
        <w:snapToGrid w:val="0"/>
        <w:spacing w:line="288" w:lineRule="auto"/>
        <w:ind w:left="2677" w:leftChars="513" w:hanging="1600" w:hangingChars="500"/>
        <w:rPr>
          <w:rFonts w:hint="default" w:ascii="Times New Roman" w:hAnsi="Times New Roman" w:cs="Times New Roman" w:eastAsiaTheme="majorEastAsia"/>
          <w:color w:val="000000" w:themeColor="text1"/>
          <w:sz w:val="32"/>
          <w:szCs w:val="32"/>
          <w:highlight w:val="none"/>
          <w:u w:val="single"/>
          <w:lang w:val="en-US" w:eastAsia="zh-CN"/>
          <w14:textFill>
            <w14:solidFill>
              <w14:schemeClr w14:val="tx1"/>
            </w14:solidFill>
          </w14:textFill>
        </w:rPr>
      </w:pPr>
      <w:r>
        <w:rPr>
          <w:rFonts w:hint="default" w:ascii="Times New Roman" w:hAnsi="Times New Roman" w:cs="Times New Roman" w:eastAsiaTheme="majorEastAsia"/>
          <w:color w:val="000000" w:themeColor="text1"/>
          <w:sz w:val="32"/>
          <w:szCs w:val="32"/>
          <w:highlight w:val="none"/>
          <w14:textFill>
            <w14:solidFill>
              <w14:schemeClr w14:val="tx1"/>
            </w14:solidFill>
          </w14:textFill>
        </w:rPr>
        <w:t>项目名称：</w:t>
      </w:r>
      <w:r>
        <w:rPr>
          <w:rFonts w:hint="default" w:ascii="Times New Roman" w:hAnsi="Times New Roman" w:cs="Times New Roman" w:eastAsiaTheme="majorEastAsia"/>
          <w:color w:val="000000" w:themeColor="text1"/>
          <w:sz w:val="32"/>
          <w:szCs w:val="32"/>
          <w:highlight w:val="none"/>
          <w:u w:val="single"/>
          <w:lang w:eastAsia="zh-CN"/>
          <w14:textFill>
            <w14:solidFill>
              <w14:schemeClr w14:val="tx1"/>
            </w14:solidFill>
          </w14:textFill>
        </w:rPr>
        <w:t>伊春市绿擎未来环保科技有限公司建设项目</w:t>
      </w:r>
    </w:p>
    <w:p w14:paraId="6E2302C7">
      <w:pPr>
        <w:adjustRightInd w:val="0"/>
        <w:snapToGrid w:val="0"/>
        <w:spacing w:line="288" w:lineRule="auto"/>
        <w:ind w:left="2677" w:leftChars="513" w:hanging="1600" w:hangingChars="500"/>
        <w:rPr>
          <w:rFonts w:hint="default" w:ascii="Times New Roman" w:hAnsi="Times New Roman" w:cs="Times New Roman" w:eastAsiaTheme="majorEastAsia"/>
          <w:color w:val="000000" w:themeColor="text1"/>
          <w:sz w:val="32"/>
          <w:szCs w:val="32"/>
          <w:highlight w:val="none"/>
          <w:u w:val="single"/>
          <w:lang w:val="en-US" w:eastAsia="zh-CN"/>
          <w14:textFill>
            <w14:solidFill>
              <w14:schemeClr w14:val="tx1"/>
            </w14:solidFill>
          </w14:textFill>
        </w:rPr>
      </w:pPr>
      <w:r>
        <w:rPr>
          <w:rFonts w:hint="default" w:ascii="Times New Roman" w:hAnsi="Times New Roman" w:cs="Times New Roman" w:eastAsiaTheme="majorEastAsia"/>
          <w:color w:val="000000" w:themeColor="text1"/>
          <w:sz w:val="32"/>
          <w:szCs w:val="32"/>
          <w:highlight w:val="none"/>
          <w14:textFill>
            <w14:solidFill>
              <w14:schemeClr w14:val="tx1"/>
            </w14:solidFill>
          </w14:textFill>
        </w:rPr>
        <w:t>建设单位：</w:t>
      </w:r>
      <w:r>
        <w:rPr>
          <w:rFonts w:hint="default" w:ascii="Times New Roman" w:hAnsi="Times New Roman" w:cs="Times New Roman" w:eastAsiaTheme="majorEastAsia"/>
          <w:color w:val="000000" w:themeColor="text1"/>
          <w:sz w:val="32"/>
          <w:szCs w:val="32"/>
          <w:highlight w:val="none"/>
          <w:u w:val="single"/>
          <w:lang w:val="en-US" w:eastAsia="zh-CN"/>
          <w14:textFill>
            <w14:solidFill>
              <w14:schemeClr w14:val="tx1"/>
            </w14:solidFill>
          </w14:textFill>
        </w:rPr>
        <w:t>伊春市绿擎未来环保科技有限公司</w:t>
      </w:r>
    </w:p>
    <w:p w14:paraId="69D2D5C4">
      <w:pPr>
        <w:adjustRightInd w:val="0"/>
        <w:snapToGrid w:val="0"/>
        <w:spacing w:line="288" w:lineRule="auto"/>
        <w:ind w:firstLine="1040"/>
        <w:rPr>
          <w:rFonts w:hint="default" w:ascii="Times New Roman" w:hAnsi="Times New Roman" w:cs="Times New Roman" w:eastAsiaTheme="majorEastAsia"/>
          <w:color w:val="000000" w:themeColor="text1"/>
          <w:sz w:val="32"/>
          <w:szCs w:val="32"/>
          <w:highlight w:val="none"/>
          <w:u w:val="single"/>
          <w14:textFill>
            <w14:solidFill>
              <w14:schemeClr w14:val="tx1"/>
            </w14:solidFill>
          </w14:textFill>
        </w:rPr>
      </w:pPr>
      <w:r>
        <w:rPr>
          <w:rFonts w:hint="default" w:ascii="Times New Roman" w:hAnsi="Times New Roman" w:cs="Times New Roman" w:eastAsiaTheme="majorEastAsia"/>
          <w:color w:val="000000" w:themeColor="text1"/>
          <w:sz w:val="32"/>
          <w:szCs w:val="32"/>
          <w:highlight w:val="none"/>
          <w14:textFill>
            <w14:solidFill>
              <w14:schemeClr w14:val="tx1"/>
            </w14:solidFill>
          </w14:textFill>
        </w:rPr>
        <w:t>编制日期：</w:t>
      </w:r>
      <w:r>
        <w:rPr>
          <w:rFonts w:hint="default" w:ascii="Times New Roman" w:hAnsi="Times New Roman" w:cs="Times New Roman" w:eastAsiaTheme="majorEastAsia"/>
          <w:color w:val="000000" w:themeColor="text1"/>
          <w:sz w:val="32"/>
          <w:szCs w:val="32"/>
          <w:highlight w:val="none"/>
          <w:u w:val="single"/>
          <w14:textFill>
            <w14:solidFill>
              <w14:schemeClr w14:val="tx1"/>
            </w14:solidFill>
          </w14:textFill>
        </w:rPr>
        <w:t xml:space="preserve">  </w:t>
      </w:r>
      <w:r>
        <w:rPr>
          <w:rFonts w:hint="default" w:ascii="Times New Roman" w:hAnsi="Times New Roman" w:cs="Times New Roman" w:eastAsiaTheme="majorEastAsia"/>
          <w:color w:val="000000" w:themeColor="text1"/>
          <w:sz w:val="32"/>
          <w:szCs w:val="32"/>
          <w:highlight w:val="none"/>
          <w:u w:val="single"/>
          <w:lang w:val="en-US" w:eastAsia="zh-CN"/>
          <w14:textFill>
            <w14:solidFill>
              <w14:schemeClr w14:val="tx1"/>
            </w14:solidFill>
          </w14:textFill>
        </w:rPr>
        <w:t xml:space="preserve">       2026年</w:t>
      </w:r>
      <w:r>
        <w:rPr>
          <w:rFonts w:hint="eastAsia" w:cs="Times New Roman" w:eastAsiaTheme="majorEastAsia"/>
          <w:color w:val="000000" w:themeColor="text1"/>
          <w:sz w:val="32"/>
          <w:szCs w:val="32"/>
          <w:highlight w:val="none"/>
          <w:u w:val="single"/>
          <w:lang w:val="en-US" w:eastAsia="zh-CN"/>
          <w14:textFill>
            <w14:solidFill>
              <w14:schemeClr w14:val="tx1"/>
            </w14:solidFill>
          </w14:textFill>
        </w:rPr>
        <w:t>10</w:t>
      </w:r>
      <w:r>
        <w:rPr>
          <w:rFonts w:hint="default" w:ascii="Times New Roman" w:hAnsi="Times New Roman" w:cs="Times New Roman" w:eastAsiaTheme="majorEastAsia"/>
          <w:color w:val="000000" w:themeColor="text1"/>
          <w:sz w:val="32"/>
          <w:szCs w:val="32"/>
          <w:highlight w:val="none"/>
          <w:u w:val="single"/>
          <w:lang w:val="en-US" w:eastAsia="zh-CN"/>
          <w14:textFill>
            <w14:solidFill>
              <w14:schemeClr w14:val="tx1"/>
            </w14:solidFill>
          </w14:textFill>
        </w:rPr>
        <w:t>月</w:t>
      </w:r>
      <w:r>
        <w:rPr>
          <w:rFonts w:hint="default" w:ascii="Times New Roman" w:hAnsi="Times New Roman" w:cs="Times New Roman" w:eastAsiaTheme="majorEastAsia"/>
          <w:color w:val="000000" w:themeColor="text1"/>
          <w:sz w:val="32"/>
          <w:szCs w:val="32"/>
          <w:highlight w:val="none"/>
          <w:u w:val="single"/>
          <w14:textFill>
            <w14:solidFill>
              <w14:schemeClr w14:val="tx1"/>
            </w14:solidFill>
          </w14:textFill>
        </w:rPr>
        <w:t xml:space="preserve">             </w:t>
      </w:r>
      <w:r>
        <w:rPr>
          <w:rFonts w:hint="default" w:ascii="Times New Roman" w:hAnsi="Times New Roman" w:cs="Times New Roman" w:eastAsiaTheme="majorEastAsia"/>
          <w:color w:val="000000" w:themeColor="text1"/>
          <w:sz w:val="32"/>
          <w:szCs w:val="32"/>
          <w:highlight w:val="none"/>
          <w:u w:val="single"/>
          <w:lang w:val="en-US" w:eastAsia="zh-CN"/>
          <w14:textFill>
            <w14:solidFill>
              <w14:schemeClr w14:val="tx1"/>
            </w14:solidFill>
          </w14:textFill>
        </w:rPr>
        <w:t xml:space="preserve">  </w:t>
      </w:r>
      <w:r>
        <w:rPr>
          <w:rFonts w:hint="default" w:ascii="Times New Roman" w:hAnsi="Times New Roman" w:cs="Times New Roman" w:eastAsiaTheme="majorEastAsia"/>
          <w:color w:val="000000" w:themeColor="text1"/>
          <w:sz w:val="32"/>
          <w:szCs w:val="32"/>
          <w:highlight w:val="none"/>
          <w:u w:val="single"/>
          <w14:textFill>
            <w14:solidFill>
              <w14:schemeClr w14:val="tx1"/>
            </w14:solidFill>
          </w14:textFill>
        </w:rPr>
        <w:t xml:space="preserve"> </w:t>
      </w:r>
    </w:p>
    <w:p w14:paraId="77C27020">
      <w:pPr>
        <w:adjustRightInd w:val="0"/>
        <w:snapToGrid w:val="0"/>
        <w:spacing w:line="288" w:lineRule="auto"/>
        <w:ind w:firstLine="1040"/>
        <w:rPr>
          <w:rFonts w:ascii="仿宋_GB2312" w:eastAsia="仿宋_GB2312"/>
          <w:color w:val="000000" w:themeColor="text1"/>
          <w:sz w:val="36"/>
          <w:szCs w:val="36"/>
          <w:highlight w:val="none"/>
          <w:u w:val="single"/>
          <w14:textFill>
            <w14:solidFill>
              <w14:schemeClr w14:val="tx1"/>
            </w14:solidFill>
          </w14:textFill>
        </w:rPr>
      </w:pPr>
      <w:bookmarkStart w:id="15" w:name="_Hlk57884087"/>
    </w:p>
    <w:p w14:paraId="23F3B7AF">
      <w:pPr>
        <w:adjustRightInd w:val="0"/>
        <w:snapToGrid w:val="0"/>
        <w:spacing w:line="288" w:lineRule="auto"/>
        <w:ind w:firstLine="1040"/>
        <w:rPr>
          <w:rFonts w:ascii="仿宋_GB2312" w:eastAsia="仿宋_GB2312"/>
          <w:color w:val="000000" w:themeColor="text1"/>
          <w:sz w:val="36"/>
          <w:szCs w:val="36"/>
          <w:highlight w:val="none"/>
          <w14:textFill>
            <w14:solidFill>
              <w14:schemeClr w14:val="tx1"/>
            </w14:solidFill>
          </w14:textFill>
        </w:rPr>
      </w:pPr>
    </w:p>
    <w:p w14:paraId="6F0D32DC">
      <w:pPr>
        <w:adjustRightInd w:val="0"/>
        <w:snapToGrid w:val="0"/>
        <w:spacing w:line="288" w:lineRule="auto"/>
        <w:ind w:firstLine="1040"/>
        <w:rPr>
          <w:rFonts w:ascii="仿宋_GB2312" w:eastAsia="仿宋_GB2312"/>
          <w:color w:val="000000" w:themeColor="text1"/>
          <w:sz w:val="36"/>
          <w:szCs w:val="36"/>
          <w:highlight w:val="none"/>
          <w14:textFill>
            <w14:solidFill>
              <w14:schemeClr w14:val="tx1"/>
            </w14:solidFill>
          </w14:textFill>
        </w:rPr>
      </w:pPr>
    </w:p>
    <w:p w14:paraId="671B058D">
      <w:pPr>
        <w:adjustRightInd w:val="0"/>
        <w:snapToGrid w:val="0"/>
        <w:spacing w:line="288" w:lineRule="auto"/>
        <w:ind w:firstLine="1040"/>
        <w:rPr>
          <w:rFonts w:hint="eastAsia" w:ascii="仿宋_GB2312" w:eastAsia="仿宋_GB2312"/>
          <w:color w:val="000000" w:themeColor="text1"/>
          <w:sz w:val="36"/>
          <w:szCs w:val="36"/>
          <w:highlight w:val="none"/>
          <w14:textFill>
            <w14:solidFill>
              <w14:schemeClr w14:val="tx1"/>
            </w14:solidFill>
          </w14:textFill>
        </w:rPr>
      </w:pPr>
    </w:p>
    <w:p w14:paraId="5752F7FE">
      <w:pPr>
        <w:adjustRightInd w:val="0"/>
        <w:snapToGrid w:val="0"/>
        <w:spacing w:line="288" w:lineRule="auto"/>
        <w:ind w:firstLine="1040"/>
        <w:rPr>
          <w:rFonts w:hint="eastAsia" w:ascii="仿宋_GB2312" w:eastAsia="仿宋_GB2312"/>
          <w:color w:val="000000" w:themeColor="text1"/>
          <w:sz w:val="36"/>
          <w:szCs w:val="36"/>
          <w:highlight w:val="none"/>
          <w14:textFill>
            <w14:solidFill>
              <w14:schemeClr w14:val="tx1"/>
            </w14:solidFill>
          </w14:textFill>
        </w:rPr>
      </w:pPr>
    </w:p>
    <w:bookmarkEnd w:id="15"/>
    <w:p w14:paraId="3A717362">
      <w:pPr>
        <w:adjustRightInd w:val="0"/>
        <w:snapToGrid w:val="0"/>
        <w:spacing w:line="288" w:lineRule="auto"/>
        <w:jc w:val="center"/>
        <w:rPr>
          <w:rFonts w:hint="default" w:ascii="Times New Roman" w:hAnsi="Times New Roman" w:cs="Times New Roman" w:eastAsiaTheme="majorEastAsia"/>
          <w:color w:val="000000" w:themeColor="text1"/>
          <w:sz w:val="36"/>
          <w:szCs w:val="36"/>
          <w:highlight w:val="none"/>
          <w14:textFill>
            <w14:solidFill>
              <w14:schemeClr w14:val="tx1"/>
            </w14:solidFill>
          </w14:textFill>
        </w:rPr>
        <w:sectPr>
          <w:footerReference r:id="rId3" w:type="default"/>
          <w:footerReference r:id="rId4" w:type="even"/>
          <w:pgSz w:w="11906" w:h="16838"/>
          <w:pgMar w:top="1701" w:right="1135" w:bottom="1701" w:left="1331" w:header="851" w:footer="1077" w:gutter="0"/>
          <w:pgBorders>
            <w:top w:val="none" w:sz="0" w:space="0"/>
            <w:left w:val="none" w:sz="0" w:space="0"/>
            <w:bottom w:val="none" w:sz="0" w:space="0"/>
            <w:right w:val="none" w:sz="0" w:space="0"/>
          </w:pgBorders>
          <w:pgNumType w:fmt="decimal" w:start="3"/>
          <w:cols w:space="720" w:num="1"/>
          <w:docGrid w:linePitch="312" w:charSpace="0"/>
        </w:sectPr>
      </w:pPr>
      <w:r>
        <w:rPr>
          <w:rFonts w:hint="default" w:ascii="Times New Roman" w:hAnsi="Times New Roman" w:cs="Times New Roman" w:eastAsiaTheme="majorEastAsia"/>
          <w:color w:val="000000" w:themeColor="text1"/>
          <w:sz w:val="36"/>
          <w:szCs w:val="36"/>
          <w:highlight w:val="none"/>
          <w14:textFill>
            <w14:solidFill>
              <w14:schemeClr w14:val="tx1"/>
            </w14:solidFill>
          </w14:textFill>
        </w:rPr>
        <w:t>中华人民共和国生态环境部制</w:t>
      </w:r>
    </w:p>
    <w:p w14:paraId="079F041F">
      <w:pPr>
        <w:pStyle w:val="2"/>
        <w:rPr>
          <w:rFonts w:hint="eastAsia" w:eastAsia="宋体"/>
          <w:color w:val="000000" w:themeColor="text1"/>
          <w:highlight w:val="none"/>
          <w:lang w:eastAsia="zh-CN"/>
          <w14:textFill>
            <w14:solidFill>
              <w14:schemeClr w14:val="tx1"/>
            </w14:solidFill>
          </w14:textFill>
        </w:rPr>
        <w:sectPr>
          <w:pgSz w:w="11906" w:h="16838"/>
          <w:pgMar w:top="1701" w:right="1531" w:bottom="1701" w:left="1531" w:header="851" w:footer="1077" w:gutter="0"/>
          <w:pgBorders>
            <w:top w:val="none" w:sz="0" w:space="0"/>
            <w:left w:val="none" w:sz="0" w:space="0"/>
            <w:bottom w:val="none" w:sz="0" w:space="0"/>
            <w:right w:val="none" w:sz="0" w:space="0"/>
          </w:pgBorders>
          <w:pgNumType w:fmt="decimal" w:start="3"/>
          <w:cols w:space="720" w:num="1"/>
          <w:docGrid w:linePitch="312" w:charSpace="0"/>
        </w:sectPr>
      </w:pPr>
      <w:r>
        <w:drawing>
          <wp:inline distT="0" distB="0" distL="114300" distR="114300">
            <wp:extent cx="5580380" cy="5893435"/>
            <wp:effectExtent l="0" t="0" r="1270" b="12065"/>
            <wp:docPr id="2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pic:cNvPicPr>
                      <a:picLocks noChangeAspect="1"/>
                    </pic:cNvPicPr>
                  </pic:nvPicPr>
                  <pic:blipFill>
                    <a:blip r:embed="rId13"/>
                    <a:stretch>
                      <a:fillRect/>
                    </a:stretch>
                  </pic:blipFill>
                  <pic:spPr>
                    <a:xfrm>
                      <a:off x="0" y="0"/>
                      <a:ext cx="5580380" cy="5893435"/>
                    </a:xfrm>
                    <a:prstGeom prst="rect">
                      <a:avLst/>
                    </a:prstGeom>
                    <a:noFill/>
                    <a:ln>
                      <a:noFill/>
                    </a:ln>
                  </pic:spPr>
                </pic:pic>
              </a:graphicData>
            </a:graphic>
          </wp:inline>
        </w:drawing>
      </w:r>
    </w:p>
    <w:p w14:paraId="19918DB3">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val="0"/>
          <w:bCs w:val="0"/>
          <w:snapToGrid w:val="0"/>
          <w:color w:val="000000" w:themeColor="text1"/>
          <w:sz w:val="32"/>
          <w:szCs w:val="32"/>
          <w:highlight w:val="none"/>
          <w:lang w:val="en-US" w:eastAsia="zh-CN"/>
          <w14:textFill>
            <w14:solidFill>
              <w14:schemeClr w14:val="tx1"/>
            </w14:solidFill>
          </w14:textFill>
        </w:rPr>
      </w:pPr>
      <w:r>
        <w:rPr>
          <w:rFonts w:hint="eastAsia" w:cs="Times New Roman"/>
          <w:b w:val="0"/>
          <w:bCs w:val="0"/>
          <w:snapToGrid w:val="0"/>
          <w:color w:val="000000" w:themeColor="text1"/>
          <w:sz w:val="32"/>
          <w:szCs w:val="32"/>
          <w:highlight w:val="none"/>
          <w:lang w:val="en-US" w:eastAsia="zh-CN"/>
          <w14:textFill>
            <w14:solidFill>
              <w14:schemeClr w14:val="tx1"/>
            </w14:solidFill>
          </w14:textFill>
        </w:rPr>
        <w:t>目录</w:t>
      </w:r>
    </w:p>
    <w:p w14:paraId="3BF13139">
      <w:pPr>
        <w:pStyle w:val="15"/>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snapToGrid w:val="0"/>
          <w:color w:val="000000" w:themeColor="text1"/>
          <w:sz w:val="21"/>
          <w:szCs w:val="21"/>
          <w:highlight w:val="none"/>
          <w14:textFill>
            <w14:solidFill>
              <w14:schemeClr w14:val="tx1"/>
            </w14:solidFill>
          </w14:textFill>
        </w:rPr>
        <w:fldChar w:fldCharType="begin"/>
      </w:r>
      <w:r>
        <w:rPr>
          <w:rFonts w:hint="default" w:ascii="Times New Roman" w:hAnsi="Times New Roman" w:eastAsia="宋体" w:cs="Times New Roman"/>
          <w:b w:val="0"/>
          <w:bCs w:val="0"/>
          <w:snapToGrid w:val="0"/>
          <w:color w:val="000000" w:themeColor="text1"/>
          <w:sz w:val="21"/>
          <w:szCs w:val="21"/>
          <w:highlight w:val="none"/>
          <w14:textFill>
            <w14:solidFill>
              <w14:schemeClr w14:val="tx1"/>
            </w14:solidFill>
          </w14:textFill>
        </w:rPr>
        <w:instrText xml:space="preserve">TOC \o "1-1" \h \u </w:instrText>
      </w:r>
      <w:r>
        <w:rPr>
          <w:rFonts w:hint="default" w:ascii="Times New Roman" w:hAnsi="Times New Roman" w:eastAsia="宋体" w:cs="Times New Roman"/>
          <w:b w:val="0"/>
          <w:bCs w:val="0"/>
          <w:snapToGrid w:val="0"/>
          <w:color w:val="000000" w:themeColor="text1"/>
          <w:sz w:val="21"/>
          <w:szCs w:val="21"/>
          <w:highlight w:val="none"/>
          <w14:textFill>
            <w14:solidFill>
              <w14:schemeClr w14:val="tx1"/>
            </w14:solidFill>
          </w14:textFill>
        </w:rPr>
        <w:fldChar w:fldCharType="separate"/>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begin"/>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instrText xml:space="preserve"> HYPERLINK \l _Toc28036 </w:instrText>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separate"/>
      </w:r>
      <w:r>
        <w:rPr>
          <w:rFonts w:hint="default" w:ascii="Times New Roman" w:hAnsi="Times New Roman" w:eastAsia="宋体" w:cs="Times New Roman"/>
          <w:snapToGrid w:val="0"/>
          <w:color w:val="000000" w:themeColor="text1"/>
          <w:sz w:val="24"/>
          <w:szCs w:val="24"/>
          <w:highlight w:val="none"/>
          <w14:textFill>
            <w14:solidFill>
              <w14:schemeClr w14:val="tx1"/>
            </w14:solidFill>
          </w14:textFill>
        </w:rPr>
        <w:t>一、建设项目基本情况</w:t>
      </w:r>
      <w:r>
        <w:rPr>
          <w:rFonts w:hint="default" w:ascii="Times New Roman" w:hAnsi="Times New Roman" w:eastAsia="宋体" w:cs="Times New Roman"/>
          <w:color w:val="000000" w:themeColor="text1"/>
          <w:sz w:val="24"/>
          <w:szCs w:val="24"/>
          <w:highlight w:val="none"/>
          <w14:textFill>
            <w14:solidFill>
              <w14:schemeClr w14:val="tx1"/>
            </w14:solidFill>
          </w14:textFill>
        </w:rPr>
        <w:tab/>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4"/>
          <w:szCs w:val="24"/>
          <w:highlight w:val="none"/>
          <w14:textFill>
            <w14:solidFill>
              <w14:schemeClr w14:val="tx1"/>
            </w14:solidFill>
          </w14:textFill>
        </w:rPr>
        <w:instrText xml:space="preserve"> PAGEREF _Toc28036 \h </w:instrText>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highlight w:val="none"/>
          <w14:textFill>
            <w14:solidFill>
              <w14:schemeClr w14:val="tx1"/>
            </w14:solidFill>
          </w14:textFill>
        </w:rPr>
        <w:t>1</w:t>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end"/>
      </w:r>
    </w:p>
    <w:p w14:paraId="7EDB0D1B">
      <w:pPr>
        <w:pStyle w:val="15"/>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begin"/>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instrText xml:space="preserve"> HYPERLINK \l _Toc2782 </w:instrText>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separate"/>
      </w:r>
      <w:r>
        <w:rPr>
          <w:rFonts w:hint="default" w:ascii="Times New Roman" w:hAnsi="Times New Roman" w:eastAsia="宋体" w:cs="Times New Roman"/>
          <w:snapToGrid w:val="0"/>
          <w:color w:val="000000" w:themeColor="text1"/>
          <w:sz w:val="24"/>
          <w:szCs w:val="24"/>
          <w:highlight w:val="none"/>
          <w14:textFill>
            <w14:solidFill>
              <w14:schemeClr w14:val="tx1"/>
            </w14:solidFill>
          </w14:textFill>
        </w:rPr>
        <w:t>二、建设项目工程分析</w:t>
      </w:r>
      <w:r>
        <w:rPr>
          <w:rFonts w:hint="default" w:ascii="Times New Roman" w:hAnsi="Times New Roman" w:eastAsia="宋体" w:cs="Times New Roman"/>
          <w:color w:val="000000" w:themeColor="text1"/>
          <w:sz w:val="24"/>
          <w:szCs w:val="24"/>
          <w:highlight w:val="none"/>
          <w14:textFill>
            <w14:solidFill>
              <w14:schemeClr w14:val="tx1"/>
            </w14:solidFill>
          </w14:textFill>
        </w:rPr>
        <w:tab/>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4"/>
          <w:szCs w:val="24"/>
          <w:highlight w:val="none"/>
          <w14:textFill>
            <w14:solidFill>
              <w14:schemeClr w14:val="tx1"/>
            </w14:solidFill>
          </w14:textFill>
        </w:rPr>
        <w:instrText xml:space="preserve"> PAGEREF _Toc2782 \h </w:instrText>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highlight w:val="none"/>
          <w14:textFill>
            <w14:solidFill>
              <w14:schemeClr w14:val="tx1"/>
            </w14:solidFill>
          </w14:textFill>
        </w:rPr>
        <w:t>18</w:t>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end"/>
      </w:r>
    </w:p>
    <w:p w14:paraId="2880877F">
      <w:pPr>
        <w:pStyle w:val="15"/>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begin"/>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instrText xml:space="preserve"> HYPERLINK \l _Toc26566 </w:instrText>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separate"/>
      </w:r>
      <w:r>
        <w:rPr>
          <w:rFonts w:hint="default" w:ascii="Times New Roman" w:hAnsi="Times New Roman" w:eastAsia="宋体" w:cs="Times New Roman"/>
          <w:snapToGrid w:val="0"/>
          <w:color w:val="000000" w:themeColor="text1"/>
          <w:sz w:val="24"/>
          <w:szCs w:val="24"/>
          <w:highlight w:val="none"/>
          <w14:textFill>
            <w14:solidFill>
              <w14:schemeClr w14:val="tx1"/>
            </w14:solidFill>
          </w14:textFill>
        </w:rPr>
        <w:t>三、区域环境质量现状、环境保护目标及评价标准</w:t>
      </w:r>
      <w:r>
        <w:rPr>
          <w:rFonts w:hint="default" w:ascii="Times New Roman" w:hAnsi="Times New Roman" w:eastAsia="宋体" w:cs="Times New Roman"/>
          <w:color w:val="000000" w:themeColor="text1"/>
          <w:sz w:val="24"/>
          <w:szCs w:val="24"/>
          <w:highlight w:val="none"/>
          <w14:textFill>
            <w14:solidFill>
              <w14:schemeClr w14:val="tx1"/>
            </w14:solidFill>
          </w14:textFill>
        </w:rPr>
        <w:tab/>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4"/>
          <w:szCs w:val="24"/>
          <w:highlight w:val="none"/>
          <w14:textFill>
            <w14:solidFill>
              <w14:schemeClr w14:val="tx1"/>
            </w14:solidFill>
          </w14:textFill>
        </w:rPr>
        <w:instrText xml:space="preserve"> PAGEREF _Toc26566 \h </w:instrText>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highlight w:val="none"/>
          <w14:textFill>
            <w14:solidFill>
              <w14:schemeClr w14:val="tx1"/>
            </w14:solidFill>
          </w14:textFill>
        </w:rPr>
        <w:t>28</w:t>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end"/>
      </w:r>
    </w:p>
    <w:p w14:paraId="539E0A9B">
      <w:pPr>
        <w:pStyle w:val="15"/>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begin"/>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instrText xml:space="preserve"> HYPERLINK \l _Toc19994 </w:instrText>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separate"/>
      </w:r>
      <w:r>
        <w:rPr>
          <w:rFonts w:hint="default" w:ascii="Times New Roman" w:hAnsi="Times New Roman" w:eastAsia="宋体" w:cs="Times New Roman"/>
          <w:snapToGrid w:val="0"/>
          <w:color w:val="000000" w:themeColor="text1"/>
          <w:sz w:val="24"/>
          <w:szCs w:val="24"/>
          <w:highlight w:val="none"/>
          <w14:textFill>
            <w14:solidFill>
              <w14:schemeClr w14:val="tx1"/>
            </w14:solidFill>
          </w14:textFill>
        </w:rPr>
        <w:t>四、主要环境影响和保护措施</w:t>
      </w:r>
      <w:r>
        <w:rPr>
          <w:rFonts w:hint="default" w:ascii="Times New Roman" w:hAnsi="Times New Roman" w:eastAsia="宋体" w:cs="Times New Roman"/>
          <w:color w:val="000000" w:themeColor="text1"/>
          <w:sz w:val="24"/>
          <w:szCs w:val="24"/>
          <w:highlight w:val="none"/>
          <w14:textFill>
            <w14:solidFill>
              <w14:schemeClr w14:val="tx1"/>
            </w14:solidFill>
          </w14:textFill>
        </w:rPr>
        <w:tab/>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4"/>
          <w:szCs w:val="24"/>
          <w:highlight w:val="none"/>
          <w14:textFill>
            <w14:solidFill>
              <w14:schemeClr w14:val="tx1"/>
            </w14:solidFill>
          </w14:textFill>
        </w:rPr>
        <w:instrText xml:space="preserve"> PAGEREF _Toc19994 \h </w:instrText>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highlight w:val="none"/>
          <w14:textFill>
            <w14:solidFill>
              <w14:schemeClr w14:val="tx1"/>
            </w14:solidFill>
          </w14:textFill>
        </w:rPr>
        <w:t>42</w:t>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end"/>
      </w:r>
    </w:p>
    <w:p w14:paraId="5F7E33E7">
      <w:pPr>
        <w:pStyle w:val="15"/>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begin"/>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instrText xml:space="preserve"> HYPERLINK \l _Toc4134 </w:instrText>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separate"/>
      </w:r>
      <w:r>
        <w:rPr>
          <w:rFonts w:hint="default" w:ascii="Times New Roman" w:hAnsi="Times New Roman" w:eastAsia="宋体" w:cs="Times New Roman"/>
          <w:snapToGrid w:val="0"/>
          <w:color w:val="000000" w:themeColor="text1"/>
          <w:sz w:val="24"/>
          <w:szCs w:val="24"/>
          <w:highlight w:val="none"/>
          <w14:textFill>
            <w14:solidFill>
              <w14:schemeClr w14:val="tx1"/>
            </w14:solidFill>
          </w14:textFill>
        </w:rPr>
        <w:t>五、环境保护措施监督检查清单</w:t>
      </w:r>
      <w:r>
        <w:rPr>
          <w:rFonts w:hint="default" w:ascii="Times New Roman" w:hAnsi="Times New Roman" w:eastAsia="宋体" w:cs="Times New Roman"/>
          <w:color w:val="000000" w:themeColor="text1"/>
          <w:sz w:val="24"/>
          <w:szCs w:val="24"/>
          <w:highlight w:val="none"/>
          <w14:textFill>
            <w14:solidFill>
              <w14:schemeClr w14:val="tx1"/>
            </w14:solidFill>
          </w14:textFill>
        </w:rPr>
        <w:tab/>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4"/>
          <w:szCs w:val="24"/>
          <w:highlight w:val="none"/>
          <w14:textFill>
            <w14:solidFill>
              <w14:schemeClr w14:val="tx1"/>
            </w14:solidFill>
          </w14:textFill>
        </w:rPr>
        <w:instrText xml:space="preserve"> PAGEREF _Toc4134 \h </w:instrText>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highlight w:val="none"/>
          <w14:textFill>
            <w14:solidFill>
              <w14:schemeClr w14:val="tx1"/>
            </w14:solidFill>
          </w14:textFill>
        </w:rPr>
        <w:t>62</w:t>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end"/>
      </w:r>
    </w:p>
    <w:p w14:paraId="6029875D">
      <w:pPr>
        <w:pStyle w:val="15"/>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begin"/>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instrText xml:space="preserve"> HYPERLINK \l _Toc26202 </w:instrText>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separate"/>
      </w:r>
      <w:r>
        <w:rPr>
          <w:rFonts w:hint="default" w:ascii="Times New Roman" w:hAnsi="Times New Roman" w:eastAsia="宋体" w:cs="Times New Roman"/>
          <w:snapToGrid w:val="0"/>
          <w:color w:val="000000" w:themeColor="text1"/>
          <w:sz w:val="24"/>
          <w:szCs w:val="24"/>
          <w:highlight w:val="none"/>
          <w14:textFill>
            <w14:solidFill>
              <w14:schemeClr w14:val="tx1"/>
            </w14:solidFill>
          </w14:textFill>
        </w:rPr>
        <w:t>六、结论</w:t>
      </w:r>
      <w:r>
        <w:rPr>
          <w:rFonts w:hint="default" w:ascii="Times New Roman" w:hAnsi="Times New Roman" w:eastAsia="宋体" w:cs="Times New Roman"/>
          <w:color w:val="000000" w:themeColor="text1"/>
          <w:sz w:val="24"/>
          <w:szCs w:val="24"/>
          <w:highlight w:val="none"/>
          <w14:textFill>
            <w14:solidFill>
              <w14:schemeClr w14:val="tx1"/>
            </w14:solidFill>
          </w14:textFill>
        </w:rPr>
        <w:tab/>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4"/>
          <w:szCs w:val="24"/>
          <w:highlight w:val="none"/>
          <w14:textFill>
            <w14:solidFill>
              <w14:schemeClr w14:val="tx1"/>
            </w14:solidFill>
          </w14:textFill>
        </w:rPr>
        <w:instrText xml:space="preserve"> PAGEREF _Toc26202 \h </w:instrText>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highlight w:val="none"/>
          <w14:textFill>
            <w14:solidFill>
              <w14:schemeClr w14:val="tx1"/>
            </w14:solidFill>
          </w14:textFill>
        </w:rPr>
        <w:t>65</w:t>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end"/>
      </w:r>
    </w:p>
    <w:p w14:paraId="4ED3B930">
      <w:pPr>
        <w:pStyle w:val="15"/>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begin"/>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instrText xml:space="preserve"> HYPERLINK \l _Toc26419 </w:instrText>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separate"/>
      </w:r>
      <w:r>
        <w:rPr>
          <w:rFonts w:hint="default" w:ascii="Times New Roman" w:hAnsi="Times New Roman" w:eastAsia="宋体" w:cs="Times New Roman"/>
          <w:snapToGrid w:val="0"/>
          <w:color w:val="000000" w:themeColor="text1"/>
          <w:sz w:val="24"/>
          <w:szCs w:val="24"/>
          <w:highlight w:val="none"/>
          <w14:textFill>
            <w14:solidFill>
              <w14:schemeClr w14:val="tx1"/>
            </w14:solidFill>
          </w14:textFill>
        </w:rPr>
        <w:t>建设项目污染物排放量汇总表</w:t>
      </w:r>
      <w:r>
        <w:rPr>
          <w:rFonts w:hint="default" w:ascii="Times New Roman" w:hAnsi="Times New Roman" w:eastAsia="宋体" w:cs="Times New Roman"/>
          <w:color w:val="000000" w:themeColor="text1"/>
          <w:sz w:val="24"/>
          <w:szCs w:val="24"/>
          <w:highlight w:val="none"/>
          <w14:textFill>
            <w14:solidFill>
              <w14:schemeClr w14:val="tx1"/>
            </w14:solidFill>
          </w14:textFill>
        </w:rPr>
        <w:tab/>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4"/>
          <w:szCs w:val="24"/>
          <w:highlight w:val="none"/>
          <w14:textFill>
            <w14:solidFill>
              <w14:schemeClr w14:val="tx1"/>
            </w14:solidFill>
          </w14:textFill>
        </w:rPr>
        <w:instrText xml:space="preserve"> PAGEREF _Toc26419 \h </w:instrText>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highlight w:val="none"/>
          <w14:textFill>
            <w14:solidFill>
              <w14:schemeClr w14:val="tx1"/>
            </w14:solidFill>
          </w14:textFill>
        </w:rPr>
        <w:t>66</w:t>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end"/>
      </w:r>
    </w:p>
    <w:p w14:paraId="2AAD962D">
      <w:pPr>
        <w:pStyle w:val="15"/>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Cs w:val="0"/>
          <w:snapToGrid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Cs w:val="0"/>
          <w:snapToGrid w:val="0"/>
          <w:color w:val="000000" w:themeColor="text1"/>
          <w:sz w:val="24"/>
          <w:szCs w:val="24"/>
          <w:highlight w:val="none"/>
          <w:lang w:val="en-US" w:eastAsia="zh-CN"/>
          <w14:textFill>
            <w14:solidFill>
              <w14:schemeClr w14:val="tx1"/>
            </w14:solidFill>
          </w14:textFill>
        </w:rPr>
        <w:t>附件</w:t>
      </w:r>
    </w:p>
    <w:p w14:paraId="5A86EDFE">
      <w:pPr>
        <w:pStyle w:val="15"/>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begin"/>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instrText xml:space="preserve"> HYPERLINK \l _Toc15137 </w:instrText>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separate"/>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附件1 营业执照</w:t>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end"/>
      </w:r>
    </w:p>
    <w:p w14:paraId="30593338">
      <w:pPr>
        <w:pStyle w:val="15"/>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rFonts w:hint="eastAsia" w:cs="Times New Roman"/>
          <w:bCs w:val="0"/>
          <w:snapToGrid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begin"/>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instrText xml:space="preserve"> HYPERLINK \l _Toc13292 </w:instrText>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separate"/>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附件</w:t>
      </w:r>
      <w:r>
        <w:rPr>
          <w:rFonts w:hint="eastAsia" w:cs="Times New Roman"/>
          <w:bCs/>
          <w:color w:val="000000" w:themeColor="text1"/>
          <w:sz w:val="24"/>
          <w:szCs w:val="24"/>
          <w:highlight w:val="none"/>
          <w:lang w:val="en-US" w:eastAsia="zh-CN"/>
          <w14:textFill>
            <w14:solidFill>
              <w14:schemeClr w14:val="tx1"/>
            </w14:solidFill>
          </w14:textFill>
        </w:rPr>
        <w:t>2土地</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使用证</w:t>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end"/>
      </w:r>
      <w:r>
        <w:rPr>
          <w:rFonts w:hint="eastAsia" w:cs="Times New Roman"/>
          <w:bCs w:val="0"/>
          <w:snapToGrid w:val="0"/>
          <w:color w:val="000000" w:themeColor="text1"/>
          <w:sz w:val="24"/>
          <w:szCs w:val="24"/>
          <w:highlight w:val="none"/>
          <w:lang w:val="en-US" w:eastAsia="zh-CN"/>
          <w14:textFill>
            <w14:solidFill>
              <w14:schemeClr w14:val="tx1"/>
            </w14:solidFill>
          </w14:textFill>
        </w:rPr>
        <w:t>及租赁协议</w:t>
      </w:r>
    </w:p>
    <w:p w14:paraId="69FD8936">
      <w:pPr>
        <w:pStyle w:val="15"/>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Cs w:val="0"/>
          <w:snapToGrid w:val="0"/>
          <w:color w:val="000000" w:themeColor="text1"/>
          <w:sz w:val="24"/>
          <w:szCs w:val="24"/>
          <w:highlight w:val="none"/>
          <w:lang w:val="en-US" w:eastAsia="zh-CN"/>
          <w14:textFill>
            <w14:solidFill>
              <w14:schemeClr w14:val="tx1"/>
            </w14:solidFill>
          </w14:textFill>
        </w:rPr>
      </w:pPr>
      <w:r>
        <w:rPr>
          <w:rFonts w:hint="eastAsia" w:cs="Times New Roman"/>
          <w:bCs w:val="0"/>
          <w:snapToGrid w:val="0"/>
          <w:color w:val="000000" w:themeColor="text1"/>
          <w:sz w:val="24"/>
          <w:szCs w:val="24"/>
          <w:highlight w:val="none"/>
          <w:lang w:val="en-US" w:eastAsia="zh-CN"/>
          <w14:textFill>
            <w14:solidFill>
              <w14:schemeClr w14:val="tx1"/>
            </w14:solidFill>
          </w14:textFill>
        </w:rPr>
        <w:t>附</w:t>
      </w:r>
      <w:r>
        <w:rPr>
          <w:rFonts w:hint="eastAsia" w:ascii="Times New Roman" w:hAnsi="Times New Roman" w:eastAsia="宋体" w:cs="Times New Roman"/>
          <w:bCs w:val="0"/>
          <w:snapToGrid w:val="0"/>
          <w:color w:val="000000" w:themeColor="text1"/>
          <w:sz w:val="24"/>
          <w:szCs w:val="24"/>
          <w:highlight w:val="none"/>
          <w:lang w:val="en-US" w:eastAsia="zh-CN"/>
          <w14:textFill>
            <w14:solidFill>
              <w14:schemeClr w14:val="tx1"/>
            </w14:solidFill>
          </w14:textFill>
        </w:rPr>
        <w:t>件3引用现状检测报告（节选）</w:t>
      </w:r>
    </w:p>
    <w:p w14:paraId="58DFA9E9">
      <w:pPr>
        <w:pStyle w:val="15"/>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pP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begin"/>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instrText xml:space="preserve"> HYPERLINK \l _Toc27838 </w:instrText>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separate"/>
      </w:r>
      <w:r>
        <w:rPr>
          <w:rFonts w:hint="default" w:ascii="Times New Roman" w:hAnsi="Times New Roman" w:eastAsia="宋体" w:cs="Times New Roman"/>
          <w:bCs w:val="0"/>
          <w:snapToGrid w:val="0"/>
          <w:color w:val="000000" w:themeColor="text1"/>
          <w:sz w:val="24"/>
          <w:szCs w:val="24"/>
          <w:highlight w:val="none"/>
          <w:lang w:val="en-US" w:eastAsia="zh-CN"/>
          <w14:textFill>
            <w14:solidFill>
              <w14:schemeClr w14:val="tx1"/>
            </w14:solidFill>
          </w14:textFill>
        </w:rPr>
        <w:t>附件</w:t>
      </w:r>
      <w:r>
        <w:rPr>
          <w:rFonts w:hint="eastAsia" w:ascii="Times New Roman" w:hAnsi="Times New Roman" w:eastAsia="宋体" w:cs="Times New Roman"/>
          <w:bCs w:val="0"/>
          <w:snapToGrid w:val="0"/>
          <w:color w:val="000000" w:themeColor="text1"/>
          <w:sz w:val="24"/>
          <w:szCs w:val="24"/>
          <w:highlight w:val="none"/>
          <w:lang w:val="en-US" w:eastAsia="zh-CN"/>
          <w14:textFill>
            <w14:solidFill>
              <w14:schemeClr w14:val="tx1"/>
            </w14:solidFill>
          </w14:textFill>
        </w:rPr>
        <w:t>4现状</w:t>
      </w:r>
      <w:r>
        <w:rPr>
          <w:rFonts w:hint="default" w:ascii="Times New Roman" w:hAnsi="Times New Roman" w:eastAsia="宋体" w:cs="Times New Roman"/>
          <w:bCs w:val="0"/>
          <w:snapToGrid w:val="0"/>
          <w:color w:val="000000" w:themeColor="text1"/>
          <w:sz w:val="24"/>
          <w:szCs w:val="24"/>
          <w:highlight w:val="none"/>
          <w:lang w:val="en-US" w:eastAsia="zh-CN"/>
          <w14:textFill>
            <w14:solidFill>
              <w14:schemeClr w14:val="tx1"/>
            </w14:solidFill>
          </w14:textFill>
        </w:rPr>
        <w:t>检测报告</w:t>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end"/>
      </w:r>
    </w:p>
    <w:p w14:paraId="4D25D95B">
      <w:pPr>
        <w:pStyle w:val="15"/>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pPr>
      <w:r>
        <w:rPr>
          <w:rFonts w:hint="eastAsia" w:ascii="Times New Roman" w:hAnsi="Times New Roman" w:eastAsia="宋体" w:cs="Times New Roman"/>
          <w:bCs w:val="0"/>
          <w:snapToGrid w:val="0"/>
          <w:color w:val="000000" w:themeColor="text1"/>
          <w:sz w:val="24"/>
          <w:szCs w:val="24"/>
          <w:highlight w:val="none"/>
          <w:lang w:val="en-US" w:eastAsia="zh-CN"/>
          <w14:textFill>
            <w14:solidFill>
              <w14:schemeClr w14:val="tx1"/>
            </w14:solidFill>
          </w14:textFill>
        </w:rPr>
        <w:t>附件5</w:t>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t>生态环境分区管控分析报告</w:t>
      </w:r>
    </w:p>
    <w:p w14:paraId="3F52C4D1">
      <w:pPr>
        <w:pStyle w:val="15"/>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bCs w:val="0"/>
          <w:snapToGrid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Cs w:val="0"/>
          <w:snapToGrid w:val="0"/>
          <w:color w:val="000000" w:themeColor="text1"/>
          <w:sz w:val="24"/>
          <w:szCs w:val="24"/>
          <w:highlight w:val="none"/>
          <w:lang w:val="en-US" w:eastAsia="zh-CN"/>
          <w14:textFill>
            <w14:solidFill>
              <w14:schemeClr w14:val="tx1"/>
            </w14:solidFill>
          </w14:textFill>
        </w:rPr>
        <w:t>附件6核定总量计算说明</w:t>
      </w:r>
    </w:p>
    <w:p w14:paraId="7899C15F">
      <w:pPr>
        <w:pStyle w:val="15"/>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Cs w:val="0"/>
          <w:snapToGrid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Cs w:val="0"/>
          <w:snapToGrid w:val="0"/>
          <w:color w:val="000000" w:themeColor="text1"/>
          <w:sz w:val="24"/>
          <w:szCs w:val="24"/>
          <w:highlight w:val="none"/>
          <w:lang w:val="en-US" w:eastAsia="zh-CN"/>
          <w14:textFill>
            <w14:solidFill>
              <w14:schemeClr w14:val="tx1"/>
            </w14:solidFill>
          </w14:textFill>
        </w:rPr>
        <w:t>附图</w:t>
      </w:r>
    </w:p>
    <w:p w14:paraId="11D78369">
      <w:pPr>
        <w:pStyle w:val="15"/>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begin"/>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instrText xml:space="preserve"> HYPERLINK \l _Toc30514 </w:instrText>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附图1 建设项目地理位置图</w:t>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end"/>
      </w:r>
    </w:p>
    <w:p w14:paraId="65D7D58B">
      <w:pPr>
        <w:pStyle w:val="15"/>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begin"/>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instrText xml:space="preserve"> HYPERLINK \l _Toc446 </w:instrText>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附图2 项目平面布置图</w:t>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end"/>
      </w:r>
    </w:p>
    <w:p w14:paraId="2A0714CC">
      <w:pPr>
        <w:pStyle w:val="15"/>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begin"/>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instrText xml:space="preserve"> HYPERLINK \l _Toc3152 </w:instrText>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附图3 项目分区防渗图</w:t>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end"/>
      </w:r>
    </w:p>
    <w:p w14:paraId="42328723">
      <w:pPr>
        <w:pStyle w:val="15"/>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pP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begin"/>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instrText xml:space="preserve"> HYPERLINK \l _Toc13870 </w:instrText>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附图4 环境保护目标分布图</w:t>
      </w:r>
      <w:r>
        <w:rPr>
          <w:rFonts w:hint="default" w:ascii="Times New Roman" w:hAnsi="Times New Roman" w:eastAsia="宋体" w:cs="Times New Roman"/>
          <w:bCs w:val="0"/>
          <w:snapToGrid w:val="0"/>
          <w:color w:val="000000" w:themeColor="text1"/>
          <w:sz w:val="24"/>
          <w:szCs w:val="24"/>
          <w:highlight w:val="none"/>
          <w14:textFill>
            <w14:solidFill>
              <w14:schemeClr w14:val="tx1"/>
            </w14:solidFill>
          </w14:textFill>
        </w:rPr>
        <w:fldChar w:fldCharType="end"/>
      </w:r>
    </w:p>
    <w:p w14:paraId="4FA1D055">
      <w:pPr>
        <w:rPr>
          <w:rFonts w:hint="default" w:eastAsia="宋体"/>
          <w:color w:val="000000" w:themeColor="text1"/>
          <w:highlight w:val="none"/>
          <w:lang w:val="en-US" w:eastAsia="zh-CN"/>
          <w14:textFill>
            <w14:solidFill>
              <w14:schemeClr w14:val="tx1"/>
            </w14:solidFill>
          </w14:textFill>
        </w:rPr>
      </w:pPr>
      <w:r>
        <w:rPr>
          <w:rFonts w:hint="eastAsia" w:cs="Times New Roman"/>
          <w:bCs w:val="0"/>
          <w:snapToGrid w:val="0"/>
          <w:color w:val="000000" w:themeColor="text1"/>
          <w:sz w:val="24"/>
          <w:szCs w:val="24"/>
          <w:highlight w:val="none"/>
          <w:lang w:val="en-US" w:eastAsia="zh-CN"/>
          <w14:textFill>
            <w14:solidFill>
              <w14:schemeClr w14:val="tx1"/>
            </w14:solidFill>
          </w14:textFill>
        </w:rPr>
        <w:t>附图5周边及现场照片</w:t>
      </w:r>
    </w:p>
    <w:p w14:paraId="365221A9">
      <w:pPr>
        <w:pStyle w:val="15"/>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p w14:paraId="593A998E">
      <w:pPr>
        <w:pStyle w:val="24"/>
        <w:keepNext w:val="0"/>
        <w:keepLines w:val="0"/>
        <w:pageBreakBefore w:val="0"/>
        <w:kinsoku/>
        <w:wordWrap/>
        <w:overflowPunct/>
        <w:topLinePunct w:val="0"/>
        <w:autoSpaceDE/>
        <w:autoSpaceDN/>
        <w:bidi w:val="0"/>
        <w:adjustRightInd/>
        <w:snapToGrid/>
        <w:spacing w:before="0" w:beforeAutospacing="0" w:after="0" w:afterAutospacing="0" w:line="360" w:lineRule="auto"/>
        <w:jc w:val="center"/>
        <w:textAlignment w:val="auto"/>
        <w:outlineLvl w:val="9"/>
        <w:rPr>
          <w:rFonts w:hint="default" w:ascii="Times New Roman" w:hAnsi="Times New Roman" w:eastAsia="宋体" w:cs="Times New Roman"/>
          <w:snapToGrid w:val="0"/>
          <w:color w:val="000000" w:themeColor="text1"/>
          <w:sz w:val="28"/>
          <w:szCs w:val="28"/>
          <w:highlight w:val="none"/>
          <w14:textFill>
            <w14:solidFill>
              <w14:schemeClr w14:val="tx1"/>
            </w14:solidFill>
          </w14:textFill>
        </w:rPr>
        <w:sectPr>
          <w:footerReference r:id="rId5" w:type="default"/>
          <w:pgSz w:w="11906" w:h="16838"/>
          <w:pgMar w:top="1701" w:right="1531" w:bottom="1619"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r>
        <w:rPr>
          <w:rFonts w:hint="default" w:ascii="Times New Roman" w:hAnsi="Times New Roman" w:eastAsia="宋体" w:cs="Times New Roman"/>
          <w:bCs w:val="0"/>
          <w:snapToGrid w:val="0"/>
          <w:color w:val="000000" w:themeColor="text1"/>
          <w:sz w:val="21"/>
          <w:szCs w:val="21"/>
          <w:highlight w:val="none"/>
          <w14:textFill>
            <w14:solidFill>
              <w14:schemeClr w14:val="tx1"/>
            </w14:solidFill>
          </w14:textFill>
        </w:rPr>
        <w:fldChar w:fldCharType="end"/>
      </w:r>
      <w:bookmarkStart w:id="16" w:name="_Toc597"/>
      <w:bookmarkStart w:id="17" w:name="_Toc9594"/>
      <w:bookmarkStart w:id="18" w:name="_Toc30962"/>
      <w:bookmarkStart w:id="19" w:name="_Toc22876"/>
    </w:p>
    <w:p w14:paraId="4BF22DC8">
      <w:pPr>
        <w:pStyle w:val="2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auto"/>
        <w:outlineLvl w:val="0"/>
        <w:rPr>
          <w:rFonts w:hint="eastAsia" w:ascii="黑体" w:hAnsi="黑体" w:eastAsia="黑体"/>
          <w:snapToGrid w:val="0"/>
          <w:color w:val="000000" w:themeColor="text1"/>
          <w:sz w:val="30"/>
          <w:szCs w:val="30"/>
          <w:highlight w:val="none"/>
          <w14:textFill>
            <w14:solidFill>
              <w14:schemeClr w14:val="tx1"/>
            </w14:solidFill>
          </w14:textFill>
        </w:rPr>
      </w:pPr>
      <w:bookmarkStart w:id="20" w:name="_Toc28036"/>
      <w:r>
        <w:rPr>
          <w:rFonts w:hint="eastAsia" w:ascii="黑体" w:hAnsi="黑体" w:eastAsia="黑体"/>
          <w:snapToGrid w:val="0"/>
          <w:color w:val="000000" w:themeColor="text1"/>
          <w:sz w:val="30"/>
          <w:szCs w:val="30"/>
          <w:highlight w:val="none"/>
          <w14:textFill>
            <w14:solidFill>
              <w14:schemeClr w14:val="tx1"/>
            </w14:solidFill>
          </w14:textFill>
        </w:rPr>
        <w:t>一、建设项目基本情况</w:t>
      </w:r>
      <w:bookmarkEnd w:id="16"/>
      <w:bookmarkEnd w:id="17"/>
      <w:bookmarkEnd w:id="18"/>
      <w:bookmarkEnd w:id="19"/>
      <w:bookmarkEnd w:id="20"/>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946"/>
        <w:gridCol w:w="3073"/>
        <w:gridCol w:w="2212"/>
        <w:gridCol w:w="2639"/>
      </w:tblGrid>
      <w:tr w14:paraId="58EE31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497" w:hRule="atLeast"/>
          <w:jc w:val="center"/>
        </w:trPr>
        <w:tc>
          <w:tcPr>
            <w:tcW w:w="946" w:type="dxa"/>
            <w:noWrap w:val="0"/>
            <w:tcMar>
              <w:top w:w="16" w:type="dxa"/>
              <w:left w:w="16" w:type="dxa"/>
              <w:right w:w="16" w:type="dxa"/>
            </w:tcMar>
            <w:vAlign w:val="center"/>
          </w:tcPr>
          <w:p w14:paraId="53146427">
            <w:pPr>
              <w:adjustRightInd w:val="0"/>
              <w:snapToGrid w:val="0"/>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建设项目名称</w:t>
            </w:r>
          </w:p>
        </w:tc>
        <w:tc>
          <w:tcPr>
            <w:tcW w:w="7924" w:type="dxa"/>
            <w:gridSpan w:val="3"/>
            <w:noWrap w:val="0"/>
            <w:vAlign w:val="center"/>
          </w:tcPr>
          <w:p w14:paraId="14C6A3EE">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bookmarkStart w:id="21" w:name="OLE_LINK15"/>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伊春市绿擎未来环保科技有限公司建设项目</w:t>
            </w:r>
            <w:bookmarkEnd w:id="21"/>
          </w:p>
        </w:tc>
      </w:tr>
      <w:tr w14:paraId="5867B9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946" w:type="dxa"/>
            <w:noWrap w:val="0"/>
            <w:tcMar>
              <w:top w:w="16" w:type="dxa"/>
              <w:left w:w="16" w:type="dxa"/>
              <w:right w:w="16" w:type="dxa"/>
            </w:tcMar>
            <w:vAlign w:val="center"/>
          </w:tcPr>
          <w:p w14:paraId="0A2D1658">
            <w:pPr>
              <w:adjustRightInd w:val="0"/>
              <w:snapToGrid w:val="0"/>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项目代码</w:t>
            </w:r>
          </w:p>
        </w:tc>
        <w:tc>
          <w:tcPr>
            <w:tcW w:w="7924" w:type="dxa"/>
            <w:gridSpan w:val="3"/>
            <w:noWrap w:val="0"/>
            <w:vAlign w:val="center"/>
          </w:tcPr>
          <w:p w14:paraId="67F76FDA">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无</w:t>
            </w:r>
          </w:p>
        </w:tc>
      </w:tr>
      <w:tr w14:paraId="64BD9D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00" w:hRule="atLeast"/>
          <w:jc w:val="center"/>
        </w:trPr>
        <w:tc>
          <w:tcPr>
            <w:tcW w:w="946" w:type="dxa"/>
            <w:noWrap w:val="0"/>
            <w:tcMar>
              <w:top w:w="16" w:type="dxa"/>
              <w:left w:w="16" w:type="dxa"/>
              <w:right w:w="16" w:type="dxa"/>
            </w:tcMar>
            <w:vAlign w:val="center"/>
          </w:tcPr>
          <w:p w14:paraId="50A19590">
            <w:pPr>
              <w:adjustRightInd w:val="0"/>
              <w:snapToGrid w:val="0"/>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建设单位联系人</w:t>
            </w:r>
          </w:p>
        </w:tc>
        <w:tc>
          <w:tcPr>
            <w:tcW w:w="3073" w:type="dxa"/>
            <w:noWrap w:val="0"/>
            <w:vAlign w:val="center"/>
          </w:tcPr>
          <w:p w14:paraId="7F047AC4">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张义</w:t>
            </w:r>
          </w:p>
        </w:tc>
        <w:tc>
          <w:tcPr>
            <w:tcW w:w="2212" w:type="dxa"/>
            <w:noWrap w:val="0"/>
            <w:vAlign w:val="center"/>
          </w:tcPr>
          <w:p w14:paraId="4F3F4ADD">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联系方式</w:t>
            </w:r>
          </w:p>
        </w:tc>
        <w:tc>
          <w:tcPr>
            <w:tcW w:w="2639" w:type="dxa"/>
            <w:noWrap w:val="0"/>
            <w:vAlign w:val="center"/>
          </w:tcPr>
          <w:p w14:paraId="5A5CD186">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p>
        </w:tc>
      </w:tr>
      <w:tr w14:paraId="7F8978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946" w:type="dxa"/>
            <w:noWrap w:val="0"/>
            <w:tcMar>
              <w:top w:w="16" w:type="dxa"/>
              <w:left w:w="16" w:type="dxa"/>
              <w:right w:w="16" w:type="dxa"/>
            </w:tcMar>
            <w:vAlign w:val="center"/>
          </w:tcPr>
          <w:p w14:paraId="3C0E8307">
            <w:pPr>
              <w:adjustRightInd w:val="0"/>
              <w:snapToGrid w:val="0"/>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建设地点</w:t>
            </w:r>
          </w:p>
        </w:tc>
        <w:tc>
          <w:tcPr>
            <w:tcW w:w="7924" w:type="dxa"/>
            <w:gridSpan w:val="3"/>
            <w:noWrap w:val="0"/>
            <w:vAlign w:val="center"/>
          </w:tcPr>
          <w:p w14:paraId="58D1D30F">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黑龙江省伊春市伊美区旭日街道一道口伊美区循环经济园区内（林源家具厂）</w:t>
            </w:r>
          </w:p>
        </w:tc>
      </w:tr>
      <w:tr w14:paraId="6EBAF8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946" w:type="dxa"/>
            <w:noWrap w:val="0"/>
            <w:tcMar>
              <w:top w:w="16" w:type="dxa"/>
              <w:left w:w="16" w:type="dxa"/>
              <w:right w:w="16" w:type="dxa"/>
            </w:tcMar>
            <w:vAlign w:val="center"/>
          </w:tcPr>
          <w:p w14:paraId="6D65A15F">
            <w:pPr>
              <w:adjustRightInd w:val="0"/>
              <w:snapToGrid w:val="0"/>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地理坐标</w:t>
            </w:r>
          </w:p>
        </w:tc>
        <w:tc>
          <w:tcPr>
            <w:tcW w:w="7924" w:type="dxa"/>
            <w:gridSpan w:val="3"/>
            <w:noWrap w:val="0"/>
            <w:vAlign w:val="center"/>
          </w:tcPr>
          <w:p w14:paraId="57F237CF">
            <w:pPr>
              <w:autoSpaceDE w:val="0"/>
              <w:autoSpaceDN w:val="0"/>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128</w:t>
            </w:r>
            <w:r>
              <w:rPr>
                <w:rFonts w:hint="default" w:ascii="Times New Roman" w:hAnsi="Times New Roman" w:eastAsia="宋体" w:cs="Times New Roman"/>
                <w:color w:val="000000" w:themeColor="text1"/>
                <w:sz w:val="24"/>
                <w:szCs w:val="24"/>
                <w:highlight w:val="none"/>
                <w14:textFill>
                  <w14:solidFill>
                    <w14:schemeClr w14:val="tx1"/>
                  </w14:solidFill>
                </w14:textFill>
              </w:rPr>
              <w:t>度</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55</w:t>
            </w:r>
            <w:r>
              <w:rPr>
                <w:rFonts w:hint="default" w:ascii="Times New Roman" w:hAnsi="Times New Roman" w:eastAsia="宋体" w:cs="Times New Roman"/>
                <w:color w:val="000000" w:themeColor="text1"/>
                <w:sz w:val="24"/>
                <w:szCs w:val="24"/>
                <w:highlight w:val="none"/>
                <w14:textFill>
                  <w14:solidFill>
                    <w14:schemeClr w14:val="tx1"/>
                  </w14:solidFill>
                </w14:textFill>
              </w:rPr>
              <w:t>分</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10.833</w:t>
            </w:r>
            <w:r>
              <w:rPr>
                <w:rFonts w:hint="default" w:ascii="Times New Roman" w:hAnsi="Times New Roman" w:eastAsia="宋体" w:cs="Times New Roman"/>
                <w:color w:val="000000" w:themeColor="text1"/>
                <w:sz w:val="24"/>
                <w:szCs w:val="24"/>
                <w:highlight w:val="none"/>
                <w14:textFill>
                  <w14:solidFill>
                    <w14:schemeClr w14:val="tx1"/>
                  </w14:solidFill>
                </w14:textFill>
              </w:rPr>
              <w:t>秒，</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4</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24"/>
                <w:highlight w:val="none"/>
                <w14:textFill>
                  <w14:solidFill>
                    <w14:schemeClr w14:val="tx1"/>
                  </w14:solidFill>
                </w14:textFill>
              </w:rPr>
              <w:t>度</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44</w:t>
            </w:r>
            <w:r>
              <w:rPr>
                <w:rFonts w:hint="default" w:ascii="Times New Roman" w:hAnsi="Times New Roman" w:eastAsia="宋体" w:cs="Times New Roman"/>
                <w:color w:val="000000" w:themeColor="text1"/>
                <w:sz w:val="24"/>
                <w:szCs w:val="24"/>
                <w:highlight w:val="none"/>
                <w14:textFill>
                  <w14:solidFill>
                    <w14:schemeClr w14:val="tx1"/>
                  </w14:solidFill>
                </w14:textFill>
              </w:rPr>
              <w:t>分</w:t>
            </w:r>
            <w:r>
              <w:rPr>
                <w:rFonts w:hint="default" w:ascii="Times New Roman" w:hAnsi="Times New Roman" w:eastAsia="宋体" w:cs="Times New Roman"/>
                <w:color w:val="000000" w:themeColor="text1"/>
                <w:sz w:val="24"/>
                <w:szCs w:val="24"/>
                <w:highlight w:val="none"/>
                <w:u w:val="single"/>
                <w:lang w:val="en-US" w:eastAsia="zh-CN"/>
                <w14:textFill>
                  <w14:solidFill>
                    <w14:schemeClr w14:val="tx1"/>
                  </w14:solidFill>
                </w14:textFill>
              </w:rPr>
              <w:t>9.341</w:t>
            </w:r>
            <w:r>
              <w:rPr>
                <w:rFonts w:hint="default" w:ascii="Times New Roman" w:hAnsi="Times New Roman" w:eastAsia="宋体" w:cs="Times New Roman"/>
                <w:color w:val="000000" w:themeColor="text1"/>
                <w:sz w:val="24"/>
                <w:szCs w:val="24"/>
                <w:highlight w:val="none"/>
                <w14:textFill>
                  <w14:solidFill>
                    <w14:schemeClr w14:val="tx1"/>
                  </w14:solidFill>
                </w14:textFill>
              </w:rPr>
              <w:t>秒）</w:t>
            </w:r>
          </w:p>
        </w:tc>
      </w:tr>
      <w:tr w14:paraId="584F5B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46" w:type="dxa"/>
            <w:noWrap w:val="0"/>
            <w:tcMar>
              <w:top w:w="16" w:type="dxa"/>
              <w:left w:w="16" w:type="dxa"/>
              <w:right w:w="16" w:type="dxa"/>
            </w:tcMar>
            <w:vAlign w:val="center"/>
          </w:tcPr>
          <w:p w14:paraId="1CDB8A33">
            <w:pPr>
              <w:adjustRightInd w:val="0"/>
              <w:snapToGrid w:val="0"/>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国民经济</w:t>
            </w:r>
          </w:p>
          <w:p w14:paraId="551C51B5">
            <w:pPr>
              <w:adjustRightInd w:val="0"/>
              <w:snapToGrid w:val="0"/>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行业类别</w:t>
            </w:r>
          </w:p>
        </w:tc>
        <w:tc>
          <w:tcPr>
            <w:tcW w:w="3073" w:type="dxa"/>
            <w:noWrap w:val="0"/>
            <w:vAlign w:val="center"/>
          </w:tcPr>
          <w:p w14:paraId="1489190D">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N7724 危险废物治理</w:t>
            </w:r>
          </w:p>
        </w:tc>
        <w:tc>
          <w:tcPr>
            <w:tcW w:w="2212" w:type="dxa"/>
            <w:noWrap w:val="0"/>
            <w:vAlign w:val="center"/>
          </w:tcPr>
          <w:p w14:paraId="09D401F5">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bookmarkStart w:id="22" w:name="_Hlk49843745"/>
            <w:r>
              <w:rPr>
                <w:rFonts w:hint="default" w:ascii="Times New Roman" w:hAnsi="Times New Roman" w:eastAsia="宋体" w:cs="Times New Roman"/>
                <w:color w:val="000000" w:themeColor="text1"/>
                <w:sz w:val="24"/>
                <w:szCs w:val="24"/>
                <w:highlight w:val="none"/>
                <w14:textFill>
                  <w14:solidFill>
                    <w14:schemeClr w14:val="tx1"/>
                  </w14:solidFill>
                </w14:textFill>
              </w:rPr>
              <w:t>建设项目</w:t>
            </w:r>
          </w:p>
          <w:p w14:paraId="632791EF">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行业类别</w:t>
            </w:r>
            <w:bookmarkEnd w:id="22"/>
          </w:p>
        </w:tc>
        <w:tc>
          <w:tcPr>
            <w:tcW w:w="2639" w:type="dxa"/>
            <w:noWrap w:val="0"/>
            <w:vAlign w:val="center"/>
          </w:tcPr>
          <w:p w14:paraId="451D623E">
            <w:pPr>
              <w:adjustRightInd w:val="0"/>
              <w:snapToGrid w:val="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四十七、生态保护和环境治理业—101危险废物（不含医疗废物）利用及处置—其他</w:t>
            </w:r>
          </w:p>
        </w:tc>
      </w:tr>
      <w:tr w14:paraId="1492C6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946" w:type="dxa"/>
            <w:noWrap w:val="0"/>
            <w:tcMar>
              <w:top w:w="16" w:type="dxa"/>
              <w:left w:w="16" w:type="dxa"/>
              <w:right w:w="16" w:type="dxa"/>
            </w:tcMar>
            <w:vAlign w:val="center"/>
          </w:tcPr>
          <w:p w14:paraId="3581C9E8">
            <w:pPr>
              <w:adjustRightInd w:val="0"/>
              <w:snapToGrid w:val="0"/>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建设性质</w:t>
            </w:r>
          </w:p>
        </w:tc>
        <w:tc>
          <w:tcPr>
            <w:tcW w:w="3073" w:type="dxa"/>
            <w:noWrap w:val="0"/>
            <w:vAlign w:val="center"/>
          </w:tcPr>
          <w:p w14:paraId="013D205C">
            <w:pPr>
              <w:jc w:val="left"/>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新建（迁建）</w:t>
            </w:r>
          </w:p>
          <w:p w14:paraId="4D7D9487">
            <w:pPr>
              <w:jc w:val="left"/>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改建</w:t>
            </w:r>
          </w:p>
          <w:p w14:paraId="625CC0BA">
            <w:pPr>
              <w:jc w:val="left"/>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扩建</w:t>
            </w:r>
          </w:p>
          <w:p w14:paraId="39163C4D">
            <w:pPr>
              <w:jc w:val="left"/>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□技术改造</w:t>
            </w:r>
          </w:p>
        </w:tc>
        <w:tc>
          <w:tcPr>
            <w:tcW w:w="2212" w:type="dxa"/>
            <w:noWrap w:val="0"/>
            <w:vAlign w:val="center"/>
          </w:tcPr>
          <w:p w14:paraId="40A100BB">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建设项目</w:t>
            </w:r>
          </w:p>
          <w:p w14:paraId="5129B004">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申报情形</w:t>
            </w:r>
          </w:p>
        </w:tc>
        <w:tc>
          <w:tcPr>
            <w:tcW w:w="2639" w:type="dxa"/>
            <w:noWrap w:val="0"/>
            <w:vAlign w:val="center"/>
          </w:tcPr>
          <w:p w14:paraId="2E99E0C5">
            <w:pPr>
              <w:jc w:val="left"/>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首次申报项目</w:t>
            </w:r>
          </w:p>
          <w:p w14:paraId="4240458D">
            <w:pPr>
              <w:jc w:val="left"/>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不予批准后再次申报项目</w:t>
            </w:r>
          </w:p>
          <w:p w14:paraId="47FE7D63">
            <w:pPr>
              <w:jc w:val="left"/>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□超五年重新审核项目</w:t>
            </w:r>
          </w:p>
          <w:p w14:paraId="323B7EDF">
            <w:pPr>
              <w:jc w:val="left"/>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□重大变动重新报批项目</w:t>
            </w:r>
          </w:p>
        </w:tc>
      </w:tr>
      <w:tr w14:paraId="147542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946" w:type="dxa"/>
            <w:noWrap w:val="0"/>
            <w:tcMar>
              <w:top w:w="16" w:type="dxa"/>
              <w:left w:w="16" w:type="dxa"/>
              <w:right w:w="16" w:type="dxa"/>
            </w:tcMar>
            <w:vAlign w:val="center"/>
          </w:tcPr>
          <w:p w14:paraId="3F30F504">
            <w:pPr>
              <w:adjustRightInd w:val="0"/>
              <w:snapToGrid w:val="0"/>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项目审批（核准/</w:t>
            </w:r>
          </w:p>
          <w:p w14:paraId="12398F5B">
            <w:pPr>
              <w:adjustRightInd w:val="0"/>
              <w:snapToGrid w:val="0"/>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备案）部门（选填）</w:t>
            </w:r>
          </w:p>
        </w:tc>
        <w:tc>
          <w:tcPr>
            <w:tcW w:w="3073" w:type="dxa"/>
            <w:noWrap w:val="0"/>
            <w:vAlign w:val="center"/>
          </w:tcPr>
          <w:p w14:paraId="13EC89DD">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无</w:t>
            </w:r>
          </w:p>
        </w:tc>
        <w:tc>
          <w:tcPr>
            <w:tcW w:w="2212" w:type="dxa"/>
            <w:noWrap w:val="0"/>
            <w:vAlign w:val="center"/>
          </w:tcPr>
          <w:p w14:paraId="6E31CC7F">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项目审批（核准/</w:t>
            </w:r>
          </w:p>
          <w:p w14:paraId="4F35FA50">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备案）文号（选填）</w:t>
            </w:r>
          </w:p>
        </w:tc>
        <w:tc>
          <w:tcPr>
            <w:tcW w:w="2639" w:type="dxa"/>
            <w:noWrap w:val="0"/>
            <w:vAlign w:val="center"/>
          </w:tcPr>
          <w:p w14:paraId="08B15F0F">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无</w:t>
            </w:r>
          </w:p>
        </w:tc>
      </w:tr>
      <w:tr w14:paraId="68403D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946" w:type="dxa"/>
            <w:noWrap w:val="0"/>
            <w:tcMar>
              <w:top w:w="16" w:type="dxa"/>
              <w:left w:w="16" w:type="dxa"/>
              <w:right w:w="16" w:type="dxa"/>
            </w:tcMar>
            <w:vAlign w:val="center"/>
          </w:tcPr>
          <w:p w14:paraId="58EAEBE7">
            <w:pPr>
              <w:adjustRightInd w:val="0"/>
              <w:snapToGrid w:val="0"/>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总投资（万元）</w:t>
            </w:r>
          </w:p>
        </w:tc>
        <w:tc>
          <w:tcPr>
            <w:tcW w:w="3073" w:type="dxa"/>
            <w:noWrap w:val="0"/>
            <w:vAlign w:val="center"/>
          </w:tcPr>
          <w:p w14:paraId="63367090">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900</w:t>
            </w:r>
          </w:p>
        </w:tc>
        <w:tc>
          <w:tcPr>
            <w:tcW w:w="2212" w:type="dxa"/>
            <w:noWrap w:val="0"/>
            <w:tcMar>
              <w:top w:w="16" w:type="dxa"/>
              <w:left w:w="16" w:type="dxa"/>
              <w:right w:w="16" w:type="dxa"/>
            </w:tcMar>
            <w:vAlign w:val="center"/>
          </w:tcPr>
          <w:p w14:paraId="41A424FD">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环保投资（万元）</w:t>
            </w:r>
          </w:p>
        </w:tc>
        <w:tc>
          <w:tcPr>
            <w:tcW w:w="2639" w:type="dxa"/>
            <w:noWrap w:val="0"/>
            <w:vAlign w:val="center"/>
          </w:tcPr>
          <w:p w14:paraId="3A5D9FA1">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200.0</w:t>
            </w:r>
          </w:p>
        </w:tc>
      </w:tr>
      <w:tr w14:paraId="23D16E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946" w:type="dxa"/>
            <w:noWrap w:val="0"/>
            <w:tcMar>
              <w:top w:w="16" w:type="dxa"/>
              <w:left w:w="16" w:type="dxa"/>
              <w:right w:w="16" w:type="dxa"/>
            </w:tcMar>
            <w:vAlign w:val="center"/>
          </w:tcPr>
          <w:p w14:paraId="66E30932">
            <w:pPr>
              <w:adjustRightInd w:val="0"/>
              <w:snapToGrid w:val="0"/>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环保投资占比（%）</w:t>
            </w:r>
          </w:p>
        </w:tc>
        <w:tc>
          <w:tcPr>
            <w:tcW w:w="3073" w:type="dxa"/>
            <w:noWrap w:val="0"/>
            <w:vAlign w:val="center"/>
          </w:tcPr>
          <w:p w14:paraId="02BFF542">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22.22</w:t>
            </w:r>
          </w:p>
        </w:tc>
        <w:tc>
          <w:tcPr>
            <w:tcW w:w="2212" w:type="dxa"/>
            <w:noWrap w:val="0"/>
            <w:tcMar>
              <w:top w:w="16" w:type="dxa"/>
              <w:left w:w="16" w:type="dxa"/>
              <w:right w:w="16" w:type="dxa"/>
            </w:tcMar>
            <w:vAlign w:val="center"/>
          </w:tcPr>
          <w:p w14:paraId="6D1B40A4">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施工工期</w:t>
            </w:r>
          </w:p>
        </w:tc>
        <w:tc>
          <w:tcPr>
            <w:tcW w:w="2639" w:type="dxa"/>
            <w:noWrap w:val="0"/>
            <w:vAlign w:val="center"/>
          </w:tcPr>
          <w:p w14:paraId="21CE6FE1">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2026.10-2026.12</w:t>
            </w:r>
          </w:p>
        </w:tc>
      </w:tr>
      <w:tr w14:paraId="7FC00E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946" w:type="dxa"/>
            <w:noWrap w:val="0"/>
            <w:tcMar>
              <w:top w:w="16" w:type="dxa"/>
              <w:left w:w="16" w:type="dxa"/>
              <w:right w:w="16" w:type="dxa"/>
            </w:tcMar>
            <w:vAlign w:val="center"/>
          </w:tcPr>
          <w:p w14:paraId="62BD5246">
            <w:pPr>
              <w:adjustRightInd w:val="0"/>
              <w:snapToGrid w:val="0"/>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是否开工建设</w:t>
            </w:r>
          </w:p>
        </w:tc>
        <w:tc>
          <w:tcPr>
            <w:tcW w:w="3073" w:type="dxa"/>
            <w:noWrap w:val="0"/>
            <w:vAlign w:val="center"/>
          </w:tcPr>
          <w:p w14:paraId="2301AE1C">
            <w:pPr>
              <w:adjustRightInd w:val="0"/>
              <w:snapToGrid w:val="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否</w:t>
            </w:r>
          </w:p>
          <w:p w14:paraId="59C62B4B">
            <w:pPr>
              <w:adjustRightInd w:val="0"/>
              <w:snapToGrid w:val="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是：</w:t>
            </w:r>
          </w:p>
        </w:tc>
        <w:tc>
          <w:tcPr>
            <w:tcW w:w="2212" w:type="dxa"/>
            <w:noWrap w:val="0"/>
            <w:tcMar>
              <w:top w:w="16" w:type="dxa"/>
              <w:left w:w="16" w:type="dxa"/>
              <w:right w:w="16" w:type="dxa"/>
            </w:tcMar>
            <w:vAlign w:val="center"/>
          </w:tcPr>
          <w:p w14:paraId="1DA32CEE">
            <w:pPr>
              <w:adjustRightInd w:val="0"/>
              <w:snapToGrid w:val="0"/>
              <w:jc w:val="center"/>
              <w:rPr>
                <w:rFonts w:hint="default" w:ascii="Times New Roman" w:hAnsi="Times New Roman" w:eastAsia="宋体" w:cs="Times New Roman"/>
                <w:color w:val="000000" w:themeColor="text1"/>
                <w:spacing w:val="-6"/>
                <w:sz w:val="24"/>
                <w:szCs w:val="24"/>
                <w:highlight w:val="none"/>
                <w14:textFill>
                  <w14:solidFill>
                    <w14:schemeClr w14:val="tx1"/>
                  </w14:solidFill>
                </w14:textFill>
              </w:rPr>
            </w:pPr>
            <w:r>
              <w:rPr>
                <w:rFonts w:hint="default" w:ascii="Times New Roman" w:hAnsi="Times New Roman" w:eastAsia="宋体" w:cs="Times New Roman"/>
                <w:color w:val="000000" w:themeColor="text1"/>
                <w:spacing w:val="-6"/>
                <w:sz w:val="24"/>
                <w:szCs w:val="24"/>
                <w:highlight w:val="none"/>
                <w14:textFill>
                  <w14:solidFill>
                    <w14:schemeClr w14:val="tx1"/>
                  </w14:solidFill>
                </w14:textFill>
              </w:rPr>
              <w:t>用地（用海）</w:t>
            </w:r>
          </w:p>
          <w:p w14:paraId="2A7AB7A0">
            <w:pPr>
              <w:adjustRightInd w:val="0"/>
              <w:snapToGrid w:val="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pacing w:val="-6"/>
                <w:sz w:val="24"/>
                <w:szCs w:val="24"/>
                <w:highlight w:val="none"/>
                <w14:textFill>
                  <w14:solidFill>
                    <w14:schemeClr w14:val="tx1"/>
                  </w14:solidFill>
                </w14:textFill>
              </w:rPr>
              <w:t>面积（m</w:t>
            </w:r>
            <w:r>
              <w:rPr>
                <w:rFonts w:hint="default" w:ascii="Times New Roman" w:hAnsi="Times New Roman" w:eastAsia="宋体" w:cs="Times New Roman"/>
                <w:color w:val="000000" w:themeColor="text1"/>
                <w:spacing w:val="-6"/>
                <w:sz w:val="24"/>
                <w:szCs w:val="24"/>
                <w:highlight w:val="none"/>
                <w:vertAlign w:val="superscript"/>
                <w14:textFill>
                  <w14:solidFill>
                    <w14:schemeClr w14:val="tx1"/>
                  </w14:solidFill>
                </w14:textFill>
              </w:rPr>
              <w:t>2</w:t>
            </w:r>
            <w:r>
              <w:rPr>
                <w:rFonts w:hint="default" w:ascii="Times New Roman" w:hAnsi="Times New Roman" w:eastAsia="宋体" w:cs="Times New Roman"/>
                <w:color w:val="000000" w:themeColor="text1"/>
                <w:spacing w:val="-6"/>
                <w:sz w:val="24"/>
                <w:szCs w:val="24"/>
                <w:highlight w:val="none"/>
                <w14:textFill>
                  <w14:solidFill>
                    <w14:schemeClr w14:val="tx1"/>
                  </w14:solidFill>
                </w14:textFill>
              </w:rPr>
              <w:t>）</w:t>
            </w:r>
          </w:p>
        </w:tc>
        <w:tc>
          <w:tcPr>
            <w:tcW w:w="2639" w:type="dxa"/>
            <w:noWrap w:val="0"/>
            <w:vAlign w:val="center"/>
          </w:tcPr>
          <w:p w14:paraId="2D26FDD9">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2000</w:t>
            </w:r>
          </w:p>
        </w:tc>
      </w:tr>
      <w:tr w14:paraId="260684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46" w:type="dxa"/>
            <w:noWrap w:val="0"/>
            <w:vAlign w:val="center"/>
          </w:tcPr>
          <w:p w14:paraId="5B397EE8">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专项评价设置情况</w:t>
            </w:r>
          </w:p>
        </w:tc>
        <w:tc>
          <w:tcPr>
            <w:tcW w:w="7924" w:type="dxa"/>
            <w:gridSpan w:val="3"/>
            <w:noWrap w:val="0"/>
            <w:vAlign w:val="center"/>
          </w:tcPr>
          <w:p w14:paraId="51663D82">
            <w:pPr>
              <w:spacing w:line="360" w:lineRule="auto"/>
              <w:ind w:firstLine="480" w:firstLineChars="200"/>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根据《建设项目环境影响报告表编制技术指南（污染影响类）》（试行）可知，土壤、声环境不开展专项评价，地下水原则上不开展专项评价，本项目大气、地表水、环境风险、生态和海洋专项评价设置情况详见</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下</w:t>
            </w:r>
            <w:r>
              <w:rPr>
                <w:rFonts w:hint="default" w:ascii="Times New Roman" w:hAnsi="Times New Roman" w:eastAsia="宋体" w:cs="Times New Roman"/>
                <w:color w:val="000000" w:themeColor="text1"/>
                <w:sz w:val="24"/>
                <w:highlight w:val="none"/>
                <w14:textFill>
                  <w14:solidFill>
                    <w14:schemeClr w14:val="tx1"/>
                  </w14:solidFill>
                </w14:textFill>
              </w:rPr>
              <w:t>表。</w:t>
            </w:r>
          </w:p>
          <w:p w14:paraId="78841564">
            <w:pPr>
              <w:pStyle w:val="90"/>
              <w:bidi w:val="0"/>
              <w:ind w:left="0" w:leftChars="0" w:firstLine="0" w:firstLineChars="0"/>
              <w:jc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专项评价设置原则表</w:t>
            </w:r>
          </w:p>
          <w:tbl>
            <w:tblPr>
              <w:tblStyle w:val="28"/>
              <w:tblW w:w="767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54"/>
              <w:gridCol w:w="2814"/>
              <w:gridCol w:w="3258"/>
              <w:gridCol w:w="752"/>
            </w:tblGrid>
            <w:tr w14:paraId="531F2D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854" w:type="dxa"/>
                  <w:tcBorders>
                    <w:tl2br w:val="nil"/>
                    <w:tr2bl w:val="nil"/>
                  </w:tcBorders>
                  <w:noWrap w:val="0"/>
                  <w:vAlign w:val="center"/>
                </w:tcPr>
                <w:p w14:paraId="4E3979EC">
                  <w:pPr>
                    <w:pStyle w:val="22"/>
                    <w:keepNext w:val="0"/>
                    <w:keepLines w:val="0"/>
                    <w:pageBreakBefore w:val="0"/>
                    <w:kinsoku/>
                    <w:wordWrap/>
                    <w:overflowPunct/>
                    <w:topLinePunct w:val="0"/>
                    <w:bidi w:val="0"/>
                    <w:spacing w:after="0" w:line="240" w:lineRule="auto"/>
                    <w:ind w:left="0" w:left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专项评价的类别</w:t>
                  </w:r>
                </w:p>
              </w:tc>
              <w:tc>
                <w:tcPr>
                  <w:tcW w:w="2814" w:type="dxa"/>
                  <w:tcBorders>
                    <w:tl2br w:val="nil"/>
                    <w:tr2bl w:val="nil"/>
                  </w:tcBorders>
                  <w:noWrap w:val="0"/>
                  <w:vAlign w:val="center"/>
                </w:tcPr>
                <w:p w14:paraId="183337E1">
                  <w:pPr>
                    <w:pStyle w:val="22"/>
                    <w:keepNext w:val="0"/>
                    <w:keepLines w:val="0"/>
                    <w:pageBreakBefore w:val="0"/>
                    <w:kinsoku/>
                    <w:wordWrap/>
                    <w:overflowPunct/>
                    <w:topLinePunct w:val="0"/>
                    <w:bidi w:val="0"/>
                    <w:spacing w:after="0" w:line="240" w:lineRule="auto"/>
                    <w:ind w:left="0" w:left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设置原则</w:t>
                  </w:r>
                </w:p>
              </w:tc>
              <w:tc>
                <w:tcPr>
                  <w:tcW w:w="3258" w:type="dxa"/>
                  <w:tcBorders>
                    <w:tl2br w:val="nil"/>
                    <w:tr2bl w:val="nil"/>
                  </w:tcBorders>
                  <w:noWrap w:val="0"/>
                  <w:vAlign w:val="center"/>
                </w:tcPr>
                <w:p w14:paraId="481F702A">
                  <w:pPr>
                    <w:pStyle w:val="22"/>
                    <w:keepNext w:val="0"/>
                    <w:keepLines w:val="0"/>
                    <w:pageBreakBefore w:val="0"/>
                    <w:kinsoku/>
                    <w:wordWrap/>
                    <w:overflowPunct/>
                    <w:topLinePunct w:val="0"/>
                    <w:bidi w:val="0"/>
                    <w:spacing w:after="0" w:line="240" w:lineRule="auto"/>
                    <w:ind w:left="0" w:left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本项目设置情况</w:t>
                  </w:r>
                </w:p>
              </w:tc>
              <w:tc>
                <w:tcPr>
                  <w:tcW w:w="752" w:type="dxa"/>
                  <w:tcBorders>
                    <w:tl2br w:val="nil"/>
                    <w:tr2bl w:val="nil"/>
                  </w:tcBorders>
                  <w:noWrap w:val="0"/>
                  <w:vAlign w:val="center"/>
                </w:tcPr>
                <w:p w14:paraId="2A551B6F">
                  <w:pPr>
                    <w:pStyle w:val="22"/>
                    <w:keepNext w:val="0"/>
                    <w:keepLines w:val="0"/>
                    <w:pageBreakBefore w:val="0"/>
                    <w:kinsoku/>
                    <w:wordWrap/>
                    <w:overflowPunct/>
                    <w:topLinePunct w:val="0"/>
                    <w:bidi w:val="0"/>
                    <w:spacing w:after="0" w:line="240" w:lineRule="auto"/>
                    <w:ind w:left="0" w:lef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是否设置</w:t>
                  </w:r>
                  <w:r>
                    <w:rPr>
                      <w:rFonts w:hint="default" w:ascii="Times New Roman" w:hAnsi="Times New Roman" w:eastAsia="宋体" w:cs="Times New Roman"/>
                      <w:color w:val="000000" w:themeColor="text1"/>
                      <w:sz w:val="21"/>
                      <w:szCs w:val="21"/>
                      <w:highlight w:val="none"/>
                      <w14:textFill>
                        <w14:solidFill>
                          <w14:schemeClr w14:val="tx1"/>
                        </w14:solidFill>
                      </w14:textFill>
                    </w:rPr>
                    <w:t>专项评价</w:t>
                  </w:r>
                </w:p>
              </w:tc>
            </w:tr>
            <w:tr w14:paraId="5ED5BB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854" w:type="dxa"/>
                  <w:tcBorders>
                    <w:tl2br w:val="nil"/>
                    <w:tr2bl w:val="nil"/>
                  </w:tcBorders>
                  <w:noWrap w:val="0"/>
                  <w:vAlign w:val="center"/>
                </w:tcPr>
                <w:p w14:paraId="31964225">
                  <w:pPr>
                    <w:pStyle w:val="22"/>
                    <w:keepNext w:val="0"/>
                    <w:keepLines w:val="0"/>
                    <w:pageBreakBefore w:val="0"/>
                    <w:kinsoku/>
                    <w:wordWrap/>
                    <w:overflowPunct/>
                    <w:topLinePunct w:val="0"/>
                    <w:bidi w:val="0"/>
                    <w:spacing w:after="0" w:line="240" w:lineRule="auto"/>
                    <w:ind w:left="0" w:left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大气</w:t>
                  </w:r>
                </w:p>
              </w:tc>
              <w:tc>
                <w:tcPr>
                  <w:tcW w:w="2814" w:type="dxa"/>
                  <w:tcBorders>
                    <w:tl2br w:val="nil"/>
                    <w:tr2bl w:val="nil"/>
                  </w:tcBorders>
                  <w:noWrap w:val="0"/>
                  <w:vAlign w:val="center"/>
                </w:tcPr>
                <w:p w14:paraId="6C22591C">
                  <w:pPr>
                    <w:pStyle w:val="22"/>
                    <w:keepNext w:val="0"/>
                    <w:keepLines w:val="0"/>
                    <w:pageBreakBefore w:val="0"/>
                    <w:kinsoku/>
                    <w:wordWrap/>
                    <w:overflowPunct/>
                    <w:topLinePunct w:val="0"/>
                    <w:bidi w:val="0"/>
                    <w:spacing w:after="0" w:line="240" w:lineRule="auto"/>
                    <w:ind w:left="0" w:left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排放废气含有毒有害污染物、二噁英、苯并[</w:t>
                  </w:r>
                  <w:r>
                    <w:rPr>
                      <w:rFonts w:hint="default" w:ascii="Times New Roman" w:hAnsi="Times New Roman" w:eastAsia="宋体" w:cs="Times New Roman"/>
                      <w:i/>
                      <w:color w:val="000000" w:themeColor="text1"/>
                      <w:sz w:val="21"/>
                      <w:szCs w:val="21"/>
                      <w:highlight w:val="none"/>
                      <w14:textFill>
                        <w14:solidFill>
                          <w14:schemeClr w14:val="tx1"/>
                        </w14:solidFill>
                      </w14:textFill>
                    </w:rPr>
                    <w:t>a</w:t>
                  </w:r>
                  <w:r>
                    <w:rPr>
                      <w:rFonts w:hint="default" w:ascii="Times New Roman" w:hAnsi="Times New Roman" w:eastAsia="宋体" w:cs="Times New Roman"/>
                      <w:color w:val="000000" w:themeColor="text1"/>
                      <w:sz w:val="21"/>
                      <w:szCs w:val="21"/>
                      <w:highlight w:val="none"/>
                      <w14:textFill>
                        <w14:solidFill>
                          <w14:schemeClr w14:val="tx1"/>
                        </w14:solidFill>
                      </w14:textFill>
                    </w:rPr>
                    <w:t>]芘、氰化物、氯气且厂界外50</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w:t>
                  </w:r>
                  <w:r>
                    <w:rPr>
                      <w:rFonts w:hint="default" w:ascii="Times New Roman" w:hAnsi="Times New Roman" w:eastAsia="宋体" w:cs="Times New Roman"/>
                      <w:color w:val="000000" w:themeColor="text1"/>
                      <w:sz w:val="21"/>
                      <w:szCs w:val="21"/>
                      <w:highlight w:val="none"/>
                      <w14:textFill>
                        <w14:solidFill>
                          <w14:schemeClr w14:val="tx1"/>
                        </w14:solidFill>
                      </w14:textFill>
                    </w:rPr>
                    <w:cr/>
                  </w:r>
                  <w:r>
                    <w:rPr>
                      <w:rFonts w:hint="default" w:ascii="Times New Roman" w:hAnsi="Times New Roman" w:eastAsia="宋体" w:cs="Times New Roman"/>
                      <w:color w:val="000000" w:themeColor="text1"/>
                      <w:sz w:val="21"/>
                      <w:szCs w:val="21"/>
                      <w:highlight w:val="none"/>
                      <w14:textFill>
                        <w14:solidFill>
                          <w14:schemeClr w14:val="tx1"/>
                        </w14:solidFill>
                      </w14:textFill>
                    </w:rPr>
                    <w:t>米范围内有</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环</w:t>
                  </w:r>
                  <w:r>
                    <w:rPr>
                      <w:rFonts w:hint="default" w:ascii="Times New Roman" w:hAnsi="Times New Roman" w:eastAsia="宋体" w:cs="Times New Roman"/>
                      <w:color w:val="000000" w:themeColor="text1"/>
                      <w:sz w:val="21"/>
                      <w:szCs w:val="21"/>
                      <w:highlight w:val="none"/>
                      <w14:textFill>
                        <w14:solidFill>
                          <w14:schemeClr w14:val="tx1"/>
                        </w14:solidFill>
                      </w14:textFill>
                    </w:rPr>
                    <w:cr/>
                  </w:r>
                  <w:r>
                    <w:rPr>
                      <w:rFonts w:hint="default" w:ascii="Times New Roman" w:hAnsi="Times New Roman" w:eastAsia="宋体" w:cs="Times New Roman"/>
                      <w:color w:val="000000" w:themeColor="text1"/>
                      <w:sz w:val="21"/>
                      <w:szCs w:val="21"/>
                      <w:highlight w:val="none"/>
                      <w14:textFill>
                        <w14:solidFill>
                          <w14:schemeClr w14:val="tx1"/>
                        </w14:solidFill>
                      </w14:textFill>
                    </w:rPr>
                    <w:t>境空气保护目标的建设项目</w:t>
                  </w:r>
                </w:p>
              </w:tc>
              <w:tc>
                <w:tcPr>
                  <w:tcW w:w="3258" w:type="dxa"/>
                  <w:tcBorders>
                    <w:tl2br w:val="nil"/>
                    <w:tr2bl w:val="nil"/>
                  </w:tcBorders>
                  <w:noWrap w:val="0"/>
                  <w:vAlign w:val="center"/>
                </w:tcPr>
                <w:p w14:paraId="2EADA81A">
                  <w:pPr>
                    <w:keepNext w:val="0"/>
                    <w:keepLines w:val="0"/>
                    <w:pageBreakBefore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本项目属于危险废物临时贮存周转项目，排放废气涉及《建设项目环境影响报告表编制技术指南（污染影响类）（试行）》表1专项评价设置原则表中提及的污染物，且厂界外500米范围内有环境空气保护目标），满足专项评价设置原则。</w:t>
                  </w:r>
                </w:p>
              </w:tc>
              <w:tc>
                <w:tcPr>
                  <w:tcW w:w="752" w:type="dxa"/>
                  <w:tcBorders>
                    <w:tl2br w:val="nil"/>
                    <w:tr2bl w:val="nil"/>
                  </w:tcBorders>
                  <w:noWrap w:val="0"/>
                  <w:vAlign w:val="center"/>
                </w:tcPr>
                <w:p w14:paraId="76C52D7B">
                  <w:pPr>
                    <w:keepNext w:val="0"/>
                    <w:keepLines w:val="0"/>
                    <w:pageBreakBefore w:val="0"/>
                    <w:kinsoku/>
                    <w:wordWrap/>
                    <w:overflowPunct/>
                    <w:topLinePunct w:val="0"/>
                    <w:bidi w:val="0"/>
                    <w:spacing w:line="240" w:lineRule="auto"/>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是</w:t>
                  </w:r>
                </w:p>
              </w:tc>
            </w:tr>
            <w:tr w14:paraId="09359E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854" w:type="dxa"/>
                  <w:tcBorders>
                    <w:tl2br w:val="nil"/>
                    <w:tr2bl w:val="nil"/>
                  </w:tcBorders>
                  <w:noWrap w:val="0"/>
                  <w:vAlign w:val="center"/>
                </w:tcPr>
                <w:p w14:paraId="40788E1B">
                  <w:pPr>
                    <w:pStyle w:val="22"/>
                    <w:keepNext w:val="0"/>
                    <w:keepLines w:val="0"/>
                    <w:pageBreakBefore w:val="0"/>
                    <w:kinsoku/>
                    <w:wordWrap/>
                    <w:overflowPunct/>
                    <w:topLinePunct w:val="0"/>
                    <w:bidi w:val="0"/>
                    <w:spacing w:after="0" w:line="240" w:lineRule="auto"/>
                    <w:ind w:left="0" w:left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地表水</w:t>
                  </w:r>
                </w:p>
              </w:tc>
              <w:tc>
                <w:tcPr>
                  <w:tcW w:w="2814" w:type="dxa"/>
                  <w:tcBorders>
                    <w:tl2br w:val="nil"/>
                    <w:tr2bl w:val="nil"/>
                  </w:tcBorders>
                  <w:noWrap w:val="0"/>
                  <w:vAlign w:val="center"/>
                </w:tcPr>
                <w:p w14:paraId="49CBC26A">
                  <w:pPr>
                    <w:pStyle w:val="22"/>
                    <w:keepNext w:val="0"/>
                    <w:keepLines w:val="0"/>
                    <w:pageBreakBefore w:val="0"/>
                    <w:kinsoku/>
                    <w:wordWrap/>
                    <w:overflowPunct/>
                    <w:topLinePunct w:val="0"/>
                    <w:bidi w:val="0"/>
                    <w:spacing w:after="0" w:line="240" w:lineRule="auto"/>
                    <w:ind w:left="0" w:left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新增工业废水直排建设项目（槽罐车外送污水处理厂的除外）；新增废水直排的污水集中处理厂</w:t>
                  </w:r>
                </w:p>
              </w:tc>
              <w:tc>
                <w:tcPr>
                  <w:tcW w:w="3258" w:type="dxa"/>
                  <w:tcBorders>
                    <w:tl2br w:val="nil"/>
                    <w:tr2bl w:val="nil"/>
                  </w:tcBorders>
                  <w:noWrap w:val="0"/>
                  <w:vAlign w:val="center"/>
                </w:tcPr>
                <w:p w14:paraId="7FABE37B">
                  <w:pPr>
                    <w:pStyle w:val="22"/>
                    <w:keepNext w:val="0"/>
                    <w:keepLines w:val="0"/>
                    <w:pageBreakBefore w:val="0"/>
                    <w:kinsoku/>
                    <w:wordWrap/>
                    <w:overflowPunct/>
                    <w:topLinePunct w:val="0"/>
                    <w:bidi w:val="0"/>
                    <w:spacing w:after="0" w:line="240" w:lineRule="auto"/>
                    <w:ind w:left="0" w:left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本项目不属于工业废水直排建设项目以及废水直排的污水集中处理厂</w:t>
                  </w:r>
                </w:p>
              </w:tc>
              <w:tc>
                <w:tcPr>
                  <w:tcW w:w="752" w:type="dxa"/>
                  <w:tcBorders>
                    <w:tl2br w:val="nil"/>
                    <w:tr2bl w:val="nil"/>
                  </w:tcBorders>
                  <w:noWrap w:val="0"/>
                  <w:vAlign w:val="center"/>
                </w:tcPr>
                <w:p w14:paraId="05DB6A10">
                  <w:pPr>
                    <w:keepNext w:val="0"/>
                    <w:keepLines w:val="0"/>
                    <w:pageBreakBefore w:val="0"/>
                    <w:kinsoku/>
                    <w:wordWrap/>
                    <w:overflowPunct/>
                    <w:topLinePunct w:val="0"/>
                    <w:bidi w:val="0"/>
                    <w:spacing w:line="240" w:lineRule="auto"/>
                    <w:jc w:val="center"/>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否</w:t>
                  </w:r>
                </w:p>
              </w:tc>
            </w:tr>
            <w:tr w14:paraId="607D33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4" w:type="dxa"/>
                  <w:tcBorders>
                    <w:tl2br w:val="nil"/>
                    <w:tr2bl w:val="nil"/>
                  </w:tcBorders>
                  <w:noWrap w:val="0"/>
                  <w:vAlign w:val="center"/>
                </w:tcPr>
                <w:p w14:paraId="0844F5B8">
                  <w:pPr>
                    <w:pStyle w:val="22"/>
                    <w:keepNext w:val="0"/>
                    <w:keepLines w:val="0"/>
                    <w:pageBreakBefore w:val="0"/>
                    <w:kinsoku/>
                    <w:wordWrap/>
                    <w:overflowPunct/>
                    <w:topLinePunct w:val="0"/>
                    <w:bidi w:val="0"/>
                    <w:spacing w:after="0" w:line="240" w:lineRule="auto"/>
                    <w:ind w:left="0" w:left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环境风险</w:t>
                  </w:r>
                </w:p>
              </w:tc>
              <w:tc>
                <w:tcPr>
                  <w:tcW w:w="2814" w:type="dxa"/>
                  <w:tcBorders>
                    <w:tl2br w:val="nil"/>
                    <w:tr2bl w:val="nil"/>
                  </w:tcBorders>
                  <w:noWrap w:val="0"/>
                  <w:vAlign w:val="center"/>
                </w:tcPr>
                <w:p w14:paraId="7C0212B2">
                  <w:pPr>
                    <w:pStyle w:val="22"/>
                    <w:keepNext w:val="0"/>
                    <w:keepLines w:val="0"/>
                    <w:pageBreakBefore w:val="0"/>
                    <w:kinsoku/>
                    <w:wordWrap/>
                    <w:overflowPunct/>
                    <w:topLinePunct w:val="0"/>
                    <w:bidi w:val="0"/>
                    <w:spacing w:after="0" w:line="240" w:lineRule="auto"/>
                    <w:ind w:left="0" w:left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有毒有害和易燃易爆危险物质存储量超过临界量的建设项目</w:t>
                  </w:r>
                </w:p>
              </w:tc>
              <w:tc>
                <w:tcPr>
                  <w:tcW w:w="3258" w:type="dxa"/>
                  <w:tcBorders>
                    <w:tl2br w:val="nil"/>
                    <w:tr2bl w:val="nil"/>
                  </w:tcBorders>
                  <w:noWrap w:val="0"/>
                  <w:vAlign w:val="center"/>
                </w:tcPr>
                <w:p w14:paraId="37B85637">
                  <w:pPr>
                    <w:pStyle w:val="22"/>
                    <w:keepNext w:val="0"/>
                    <w:keepLines w:val="0"/>
                    <w:pageBreakBefore w:val="0"/>
                    <w:kinsoku/>
                    <w:wordWrap/>
                    <w:overflowPunct/>
                    <w:topLinePunct w:val="0"/>
                    <w:bidi w:val="0"/>
                    <w:spacing w:after="0" w:line="240" w:lineRule="auto"/>
                    <w:ind w:left="0" w:leftChars="0"/>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本项目</w:t>
                  </w:r>
                  <w:r>
                    <w:rPr>
                      <w:rFonts w:hint="default" w:ascii="Times New Roman" w:hAnsi="Times New Roman" w:eastAsia="宋体" w:cs="Times New Roman"/>
                      <w:color w:val="000000" w:themeColor="text1"/>
                      <w:sz w:val="21"/>
                      <w:szCs w:val="21"/>
                      <w:highlight w:val="none"/>
                      <w14:textFill>
                        <w14:solidFill>
                          <w14:schemeClr w14:val="tx1"/>
                        </w14:solidFill>
                      </w14:textFill>
                    </w:rPr>
                    <w:t>有毒有害和易燃易爆危险物质存储量超过临界量</w:t>
                  </w:r>
                </w:p>
              </w:tc>
              <w:tc>
                <w:tcPr>
                  <w:tcW w:w="752" w:type="dxa"/>
                  <w:tcBorders>
                    <w:tl2br w:val="nil"/>
                    <w:tr2bl w:val="nil"/>
                  </w:tcBorders>
                  <w:noWrap w:val="0"/>
                  <w:vAlign w:val="center"/>
                </w:tcPr>
                <w:p w14:paraId="0CDBB283">
                  <w:pPr>
                    <w:keepNext w:val="0"/>
                    <w:keepLines w:val="0"/>
                    <w:pageBreakBefore w:val="0"/>
                    <w:kinsoku/>
                    <w:wordWrap/>
                    <w:overflowPunct/>
                    <w:topLinePunct w:val="0"/>
                    <w:bidi w:val="0"/>
                    <w:spacing w:line="240" w:lineRule="auto"/>
                    <w:jc w:val="center"/>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是</w:t>
                  </w:r>
                </w:p>
              </w:tc>
            </w:tr>
            <w:tr w14:paraId="7EC01F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22" w:hRule="atLeast"/>
              </w:trPr>
              <w:tc>
                <w:tcPr>
                  <w:tcW w:w="854" w:type="dxa"/>
                  <w:tcBorders>
                    <w:tl2br w:val="nil"/>
                    <w:tr2bl w:val="nil"/>
                  </w:tcBorders>
                  <w:noWrap w:val="0"/>
                  <w:vAlign w:val="center"/>
                </w:tcPr>
                <w:p w14:paraId="2D1FCC48">
                  <w:pPr>
                    <w:pStyle w:val="22"/>
                    <w:keepNext w:val="0"/>
                    <w:keepLines w:val="0"/>
                    <w:pageBreakBefore w:val="0"/>
                    <w:kinsoku/>
                    <w:wordWrap/>
                    <w:overflowPunct/>
                    <w:topLinePunct w:val="0"/>
                    <w:bidi w:val="0"/>
                    <w:spacing w:after="0" w:line="240" w:lineRule="auto"/>
                    <w:ind w:left="0" w:left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生态</w:t>
                  </w:r>
                </w:p>
              </w:tc>
              <w:tc>
                <w:tcPr>
                  <w:tcW w:w="2814" w:type="dxa"/>
                  <w:tcBorders>
                    <w:tl2br w:val="nil"/>
                    <w:tr2bl w:val="nil"/>
                  </w:tcBorders>
                  <w:noWrap w:val="0"/>
                  <w:vAlign w:val="center"/>
                </w:tcPr>
                <w:p w14:paraId="010505E9">
                  <w:pPr>
                    <w:pStyle w:val="22"/>
                    <w:keepNext w:val="0"/>
                    <w:keepLines w:val="0"/>
                    <w:pageBreakBefore w:val="0"/>
                    <w:kinsoku/>
                    <w:wordWrap/>
                    <w:overflowPunct/>
                    <w:topLinePunct w:val="0"/>
                    <w:bidi w:val="0"/>
                    <w:spacing w:after="0" w:line="240" w:lineRule="auto"/>
                    <w:ind w:left="0" w:left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取水口下游500米范围内有重要水生生物的自然产卵场、索饵场、越冬场和洄游通道的新增河道取水的污染类建设项目</w:t>
                  </w:r>
                </w:p>
              </w:tc>
              <w:tc>
                <w:tcPr>
                  <w:tcW w:w="3258" w:type="dxa"/>
                  <w:tcBorders>
                    <w:tl2br w:val="nil"/>
                    <w:tr2bl w:val="nil"/>
                  </w:tcBorders>
                  <w:noWrap w:val="0"/>
                  <w:vAlign w:val="center"/>
                </w:tcPr>
                <w:p w14:paraId="10E25F9C">
                  <w:pPr>
                    <w:pStyle w:val="22"/>
                    <w:keepNext w:val="0"/>
                    <w:keepLines w:val="0"/>
                    <w:pageBreakBefore w:val="0"/>
                    <w:kinsoku/>
                    <w:wordWrap/>
                    <w:overflowPunct/>
                    <w:topLinePunct w:val="0"/>
                    <w:bidi w:val="0"/>
                    <w:spacing w:after="0" w:line="240" w:lineRule="auto"/>
                    <w:ind w:left="0" w:left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本项目不涉及取水口</w:t>
                  </w:r>
                </w:p>
              </w:tc>
              <w:tc>
                <w:tcPr>
                  <w:tcW w:w="752" w:type="dxa"/>
                  <w:tcBorders>
                    <w:tl2br w:val="nil"/>
                    <w:tr2bl w:val="nil"/>
                  </w:tcBorders>
                  <w:noWrap w:val="0"/>
                  <w:vAlign w:val="center"/>
                </w:tcPr>
                <w:p w14:paraId="58E9D482">
                  <w:pPr>
                    <w:pStyle w:val="22"/>
                    <w:keepNext w:val="0"/>
                    <w:keepLines w:val="0"/>
                    <w:pageBreakBefore w:val="0"/>
                    <w:kinsoku/>
                    <w:wordWrap/>
                    <w:overflowPunct/>
                    <w:topLinePunct w:val="0"/>
                    <w:bidi w:val="0"/>
                    <w:spacing w:after="0" w:line="240" w:lineRule="auto"/>
                    <w:ind w:left="0" w:leftChars="0"/>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否</w:t>
                  </w:r>
                </w:p>
              </w:tc>
            </w:tr>
            <w:tr w14:paraId="0C45BB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854" w:type="dxa"/>
                  <w:tcBorders>
                    <w:tl2br w:val="nil"/>
                    <w:tr2bl w:val="nil"/>
                  </w:tcBorders>
                  <w:noWrap w:val="0"/>
                  <w:vAlign w:val="center"/>
                </w:tcPr>
                <w:p w14:paraId="3D93F979">
                  <w:pPr>
                    <w:pStyle w:val="22"/>
                    <w:keepNext w:val="0"/>
                    <w:keepLines w:val="0"/>
                    <w:pageBreakBefore w:val="0"/>
                    <w:kinsoku/>
                    <w:wordWrap/>
                    <w:overflowPunct/>
                    <w:topLinePunct w:val="0"/>
                    <w:bidi w:val="0"/>
                    <w:spacing w:after="0" w:line="240" w:lineRule="auto"/>
                    <w:ind w:left="0" w:left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海洋</w:t>
                  </w:r>
                </w:p>
              </w:tc>
              <w:tc>
                <w:tcPr>
                  <w:tcW w:w="2814" w:type="dxa"/>
                  <w:tcBorders>
                    <w:tl2br w:val="nil"/>
                    <w:tr2bl w:val="nil"/>
                  </w:tcBorders>
                  <w:noWrap w:val="0"/>
                  <w:vAlign w:val="center"/>
                </w:tcPr>
                <w:p w14:paraId="0E8C9851">
                  <w:pPr>
                    <w:pStyle w:val="22"/>
                    <w:keepNext w:val="0"/>
                    <w:keepLines w:val="0"/>
                    <w:pageBreakBefore w:val="0"/>
                    <w:kinsoku/>
                    <w:wordWrap/>
                    <w:overflowPunct/>
                    <w:topLinePunct w:val="0"/>
                    <w:bidi w:val="0"/>
                    <w:spacing w:after="0" w:line="240" w:lineRule="auto"/>
                    <w:ind w:left="0" w:left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直接向海排放污染物的海洋工程建设项目</w:t>
                  </w:r>
                </w:p>
              </w:tc>
              <w:tc>
                <w:tcPr>
                  <w:tcW w:w="3258" w:type="dxa"/>
                  <w:tcBorders>
                    <w:tl2br w:val="nil"/>
                    <w:tr2bl w:val="nil"/>
                  </w:tcBorders>
                  <w:noWrap w:val="0"/>
                  <w:vAlign w:val="center"/>
                </w:tcPr>
                <w:p w14:paraId="16D3BD00">
                  <w:pPr>
                    <w:pStyle w:val="22"/>
                    <w:keepNext w:val="0"/>
                    <w:keepLines w:val="0"/>
                    <w:pageBreakBefore w:val="0"/>
                    <w:kinsoku/>
                    <w:wordWrap/>
                    <w:overflowPunct/>
                    <w:topLinePunct w:val="0"/>
                    <w:bidi w:val="0"/>
                    <w:spacing w:after="0" w:line="240" w:lineRule="auto"/>
                    <w:ind w:left="0" w:left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本项目不属于向海洋排放污染物的海洋工程建设项目</w:t>
                  </w:r>
                </w:p>
              </w:tc>
              <w:tc>
                <w:tcPr>
                  <w:tcW w:w="752" w:type="dxa"/>
                  <w:tcBorders>
                    <w:tl2br w:val="nil"/>
                    <w:tr2bl w:val="nil"/>
                  </w:tcBorders>
                  <w:noWrap w:val="0"/>
                  <w:vAlign w:val="center"/>
                </w:tcPr>
                <w:p w14:paraId="73F0A002">
                  <w:pPr>
                    <w:pStyle w:val="22"/>
                    <w:keepNext w:val="0"/>
                    <w:keepLines w:val="0"/>
                    <w:pageBreakBefore w:val="0"/>
                    <w:kinsoku/>
                    <w:wordWrap/>
                    <w:overflowPunct/>
                    <w:topLinePunct w:val="0"/>
                    <w:bidi w:val="0"/>
                    <w:spacing w:after="0" w:line="240" w:lineRule="auto"/>
                    <w:ind w:left="0" w:leftChars="0"/>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否</w:t>
                  </w:r>
                </w:p>
              </w:tc>
            </w:tr>
          </w:tbl>
          <w:p w14:paraId="0DAC826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根据上表分析可知，本项目需开展</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大气、环境风险</w:t>
            </w:r>
            <w:r>
              <w:rPr>
                <w:rFonts w:hint="default" w:ascii="Times New Roman" w:hAnsi="Times New Roman" w:eastAsia="宋体" w:cs="Times New Roman"/>
                <w:color w:val="000000" w:themeColor="text1"/>
                <w:sz w:val="24"/>
                <w:szCs w:val="24"/>
                <w:highlight w:val="none"/>
                <w14:textFill>
                  <w14:solidFill>
                    <w14:schemeClr w14:val="tx1"/>
                  </w14:solidFill>
                </w14:textFill>
              </w:rPr>
              <w:t>专项评价工作。</w:t>
            </w:r>
          </w:p>
        </w:tc>
      </w:tr>
      <w:tr w14:paraId="77F4CD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46" w:type="dxa"/>
            <w:noWrap w:val="0"/>
            <w:vAlign w:val="center"/>
          </w:tcPr>
          <w:p w14:paraId="68FAD5CE">
            <w:pPr>
              <w:keepNext w:val="0"/>
              <w:keepLines w:val="0"/>
              <w:pageBreakBefore w:val="0"/>
              <w:kinsoku/>
              <w:wordWrap/>
              <w:overflowPunct/>
              <w:topLinePunct w:val="0"/>
              <w:autoSpaceDE w:val="0"/>
              <w:autoSpaceDN w:val="0"/>
              <w:bidi w:val="0"/>
              <w:adjustRightInd w:val="0"/>
              <w:snapToGrid w:val="0"/>
              <w:spacing w:line="240" w:lineRule="auto"/>
              <w:ind w:right="0"/>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规划情况</w:t>
            </w:r>
          </w:p>
        </w:tc>
        <w:tc>
          <w:tcPr>
            <w:tcW w:w="7924" w:type="dxa"/>
            <w:gridSpan w:val="3"/>
            <w:noWrap w:val="0"/>
            <w:vAlign w:val="center"/>
          </w:tcPr>
          <w:p w14:paraId="6B096E3D">
            <w:pPr>
              <w:pStyle w:val="93"/>
              <w:keepNext w:val="0"/>
              <w:keepLines w:val="0"/>
              <w:pageBreakBefore w:val="0"/>
              <w:kinsoku/>
              <w:wordWrap/>
              <w:overflowPunct/>
              <w:topLinePunct w:val="0"/>
              <w:bidi w:val="0"/>
              <w:spacing w:line="360" w:lineRule="auto"/>
              <w:ind w:right="0"/>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无</w:t>
            </w:r>
          </w:p>
        </w:tc>
      </w:tr>
      <w:tr w14:paraId="055EEF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946" w:type="dxa"/>
            <w:noWrap w:val="0"/>
            <w:vAlign w:val="center"/>
          </w:tcPr>
          <w:p w14:paraId="624ACA96">
            <w:pPr>
              <w:keepNext w:val="0"/>
              <w:keepLines w:val="0"/>
              <w:pageBreakBefore w:val="0"/>
              <w:kinsoku/>
              <w:wordWrap/>
              <w:overflowPunct/>
              <w:topLinePunct w:val="0"/>
              <w:bidi w:val="0"/>
              <w:adjustRightInd w:val="0"/>
              <w:snapToGrid w:val="0"/>
              <w:spacing w:line="240" w:lineRule="auto"/>
              <w:ind w:right="0"/>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规划环境影响评价情况</w:t>
            </w:r>
          </w:p>
        </w:tc>
        <w:tc>
          <w:tcPr>
            <w:tcW w:w="7924" w:type="dxa"/>
            <w:gridSpan w:val="3"/>
            <w:noWrap w:val="0"/>
            <w:vAlign w:val="center"/>
          </w:tcPr>
          <w:p w14:paraId="28098263">
            <w:pPr>
              <w:pStyle w:val="93"/>
              <w:keepNext w:val="0"/>
              <w:keepLines w:val="0"/>
              <w:pageBreakBefore w:val="0"/>
              <w:kinsoku/>
              <w:wordWrap/>
              <w:overflowPunct/>
              <w:topLinePunct w:val="0"/>
              <w:bidi w:val="0"/>
              <w:spacing w:line="360" w:lineRule="auto"/>
              <w:ind w:right="0"/>
              <w:jc w:val="center"/>
              <w:textAlignment w:val="auto"/>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无</w:t>
            </w:r>
          </w:p>
        </w:tc>
      </w:tr>
      <w:tr w14:paraId="5B55EC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46" w:type="dxa"/>
            <w:noWrap w:val="0"/>
            <w:vAlign w:val="center"/>
          </w:tcPr>
          <w:p w14:paraId="2A26A90B">
            <w:pPr>
              <w:keepNext w:val="0"/>
              <w:keepLines w:val="0"/>
              <w:pageBreakBefore w:val="0"/>
              <w:kinsoku/>
              <w:wordWrap/>
              <w:overflowPunct/>
              <w:topLinePunct w:val="0"/>
              <w:autoSpaceDE w:val="0"/>
              <w:autoSpaceDN w:val="0"/>
              <w:bidi w:val="0"/>
              <w:adjustRightInd w:val="0"/>
              <w:snapToGrid w:val="0"/>
              <w:spacing w:line="240" w:lineRule="auto"/>
              <w:ind w:right="0"/>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规划及规划环境影响评价符合性分析</w:t>
            </w:r>
          </w:p>
        </w:tc>
        <w:tc>
          <w:tcPr>
            <w:tcW w:w="7924" w:type="dxa"/>
            <w:gridSpan w:val="3"/>
            <w:noWrap w:val="0"/>
            <w:vAlign w:val="center"/>
          </w:tcPr>
          <w:p w14:paraId="0D1AEA72">
            <w:pPr>
              <w:pStyle w:val="24"/>
              <w:keepNext w:val="0"/>
              <w:keepLines w:val="0"/>
              <w:pageBreakBefore w:val="0"/>
              <w:widowControl/>
              <w:suppressLineNumbers w:val="0"/>
              <w:kinsoku/>
              <w:wordWrap/>
              <w:overflowPunct/>
              <w:topLinePunct w:val="0"/>
              <w:autoSpaceDE/>
              <w:autoSpaceDN/>
              <w:bidi w:val="0"/>
              <w:adjustRightInd/>
              <w:snapToGrid/>
              <w:spacing w:before="0" w:line="360" w:lineRule="auto"/>
              <w:ind w:left="0" w:right="0"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本项目选址位于伊美区伊春市循环经济园区范围内，该园区为依托城市现有环卫固废基础设施逐步发展形成的循环化改造片区，不属于省级核准设立的开发区，未编制对外公开发布的总体规划及规划环境影响评价文件，无法定书面划定的功能分区，园区现状空间上形成固废无害化处置、焚烧能源利用、固废资源化综合利用、公用配套示范等现状功能组团，片区主要承载城市生活垃圾处置、危险废物及医疗废物处置、再生资源综合利用类项目。本项目为危险废物收集、暂存项目，属于固废无害化处置及资源循环利用类别，从片区产业发展方向角度，本项目与循环经济园区固废处置、循环利用的发展定位相契合。</w:t>
            </w:r>
          </w:p>
        </w:tc>
      </w:tr>
      <w:tr w14:paraId="4D81BA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730" w:hRule="atLeast"/>
          <w:jc w:val="center"/>
        </w:trPr>
        <w:tc>
          <w:tcPr>
            <w:tcW w:w="946" w:type="dxa"/>
            <w:noWrap w:val="0"/>
            <w:vAlign w:val="center"/>
          </w:tcPr>
          <w:p w14:paraId="4D071E84">
            <w:pPr>
              <w:autoSpaceDE w:val="0"/>
              <w:autoSpaceDN w:val="0"/>
              <w:adjustRightInd w:val="0"/>
              <w:snapToGrid w:val="0"/>
              <w:jc w:val="center"/>
              <w:rPr>
                <w:rFonts w:hint="default" w:ascii="Times New Roman" w:hAnsi="Times New Roman" w:eastAsia="宋体" w:cs="Times New Roman"/>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其他符合性分析</w:t>
            </w:r>
          </w:p>
        </w:tc>
        <w:tc>
          <w:tcPr>
            <w:tcW w:w="7924" w:type="dxa"/>
            <w:gridSpan w:val="3"/>
            <w:noWrap w:val="0"/>
            <w:vAlign w:val="top"/>
          </w:tcPr>
          <w:p w14:paraId="4F71C894">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157" w:beforeLines="50" w:line="360" w:lineRule="auto"/>
              <w:ind w:firstLine="482"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（1）产业政策符合性分析</w:t>
            </w:r>
          </w:p>
          <w:p w14:paraId="19212EB0">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157" w:beforeLines="50"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本项目为危险废物临时贮存周转项目，</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产业结构调整指导目录（2024年本）》，鼓励类、限制类和淘汰类之外的，且符合国家有关法律、法规和政策规定的属于允许类。本项目不属于目录中“鼓励类、限制类和淘汰类”项目，且本项目的建设符合国家有关法律、法规和政策规定的。因此本项目属允许类建设项目，符合《产业结构调整指导目录（2024年本）》要求。</w:t>
            </w:r>
          </w:p>
          <w:p w14:paraId="793A7CCB">
            <w:pPr>
              <w:keepNext w:val="0"/>
              <w:keepLines w:val="0"/>
              <w:pageBreakBefore w:val="0"/>
              <w:widowControl w:val="0"/>
              <w:numPr>
                <w:ilvl w:val="0"/>
                <w:numId w:val="3"/>
              </w:numPr>
              <w:kinsoku/>
              <w:wordWrap/>
              <w:overflowPunct/>
              <w:topLinePunct w:val="0"/>
              <w:autoSpaceDE w:val="0"/>
              <w:autoSpaceDN w:val="0"/>
              <w:bidi w:val="0"/>
              <w:adjustRightInd w:val="0"/>
              <w:snapToGrid w:val="0"/>
              <w:spacing w:line="360" w:lineRule="auto"/>
              <w:ind w:left="0" w:leftChars="0" w:firstLine="482"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选址合理性分析</w:t>
            </w:r>
          </w:p>
          <w:p w14:paraId="1248E583">
            <w:pPr>
              <w:autoSpaceDE w:val="0"/>
              <w:autoSpaceDN w:val="0"/>
              <w:adjustRightInd w:val="0"/>
              <w:snapToGrid w:val="0"/>
              <w:spacing w:line="360" w:lineRule="auto"/>
              <w:ind w:firstLine="480" w:firstLineChars="200"/>
              <w:jc w:val="left"/>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①</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选址符合性分析</w:t>
            </w:r>
          </w:p>
          <w:p w14:paraId="22C3BCC0">
            <w:pPr>
              <w:autoSpaceDE w:val="0"/>
              <w:autoSpaceDN w:val="0"/>
              <w:adjustRightInd w:val="0"/>
              <w:snapToGrid w:val="0"/>
              <w:spacing w:line="360" w:lineRule="auto"/>
              <w:ind w:firstLine="480" w:firstLineChars="200"/>
              <w:jc w:val="left"/>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本项目</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厂址</w:t>
            </w:r>
            <w:r>
              <w:rPr>
                <w:rFonts w:hint="default" w:ascii="Times New Roman" w:hAnsi="Times New Roman" w:eastAsia="宋体" w:cs="Times New Roman"/>
                <w:color w:val="000000" w:themeColor="text1"/>
                <w:sz w:val="24"/>
                <w:szCs w:val="24"/>
                <w:highlight w:val="none"/>
                <w14:textFill>
                  <w14:solidFill>
                    <w14:schemeClr w14:val="tx1"/>
                  </w14:solidFill>
                </w14:textFill>
              </w:rPr>
              <w:t>位于</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黑龙江省伊春市伊美区旭日街道一道口伊美区循环经济园区内（林源家具厂），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租赁</w:t>
            </w:r>
            <w:r>
              <w:rPr>
                <w:rFonts w:hint="default" w:ascii="Times New Roman" w:hAnsi="Times New Roman" w:eastAsia="宋体" w:cs="Times New Roman"/>
                <w:color w:val="000000" w:themeColor="text1"/>
                <w:sz w:val="24"/>
                <w:szCs w:val="24"/>
                <w:highlight w:val="none"/>
                <w14:textFill>
                  <w14:solidFill>
                    <w14:schemeClr w14:val="tx1"/>
                  </w14:solidFill>
                </w14:textFill>
              </w:rPr>
              <w:t>既有闲置厂房，</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不新增用地，厂</w:t>
            </w:r>
            <w:r>
              <w:rPr>
                <w:rFonts w:hint="default" w:ascii="Times New Roman" w:hAnsi="Times New Roman" w:eastAsia="宋体" w:cs="Times New Roman"/>
                <w:color w:val="000000" w:themeColor="text1"/>
                <w:sz w:val="24"/>
                <w:szCs w:val="24"/>
                <w:highlight w:val="none"/>
                <w14:textFill>
                  <w14:solidFill>
                    <w14:schemeClr w14:val="tx1"/>
                  </w14:solidFill>
                </w14:textFill>
              </w:rPr>
              <w:t>址不涉及自然保护区、生活饮用水水源保护区、风景名胜区、温泉疗养区、水产养殖区、基本农田保护区等需要特殊保护区域。</w:t>
            </w:r>
          </w:p>
          <w:p w14:paraId="569F44FB">
            <w:pPr>
              <w:autoSpaceDE w:val="0"/>
              <w:autoSpaceDN w:val="0"/>
              <w:adjustRightInd w:val="0"/>
              <w:snapToGrid w:val="0"/>
              <w:spacing w:line="360" w:lineRule="auto"/>
              <w:ind w:firstLine="480" w:firstLineChars="200"/>
              <w:jc w:val="left"/>
              <w:rPr>
                <w:rFonts w:hint="default"/>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本项目</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北侧550m和南侧1300m为黑龙江伊春兴安国家森林公园，本项目废气污染物主要为危险废物贮存产生的废气，各类危险废物入库和转运出库的包装方式不变，不倒罐不分装，入场前本项目工作人员进行检查，确保盛装容器密闭，危险废物储存产生的废气经负压收集+碱液喷淋吸附装置+二级活性炭吸附装置+15m高排气筒（DA001）高空排放，对黑龙江伊春兴安国家森林公园影响很小。</w:t>
            </w:r>
          </w:p>
          <w:p w14:paraId="6D56448F">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②</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环境功能一致性分析</w:t>
            </w:r>
          </w:p>
          <w:p w14:paraId="572A89C3">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Chars="0"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根据工程分析确定的污染物源强，通过大气环境、水环境、声环境影响分析，说明项目建成后污染物达标排放对区域环境空气、水环境、声环境影响较小。项目建设不会使地环境功能发生改变。</w:t>
            </w:r>
          </w:p>
          <w:p w14:paraId="3E26CF0A">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Chars="0"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在严格落实本报告表提出的污染防治措施，保证各项污染物稳定达标排放前提下，项目选址可行。</w:t>
            </w:r>
          </w:p>
          <w:p w14:paraId="6D1F838D">
            <w:pPr>
              <w:keepNext w:val="0"/>
              <w:keepLines w:val="0"/>
              <w:pageBreakBefore w:val="0"/>
              <w:widowControl/>
              <w:kinsoku/>
              <w:wordWrap/>
              <w:overflowPunct/>
              <w:topLinePunct w:val="0"/>
              <w:autoSpaceDE w:val="0"/>
              <w:bidi w:val="0"/>
              <w:adjustRightInd/>
              <w:snapToGrid/>
              <w:spacing w:line="360" w:lineRule="auto"/>
              <w:ind w:firstLine="482" w:firstLineChars="200"/>
              <w:jc w:val="left"/>
              <w:textAlignment w:val="auto"/>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eastAsia="zh-CN" w:bidi="ar"/>
                <w14:textFill>
                  <w14:solidFill>
                    <w14:schemeClr w14:val="tx1"/>
                  </w14:solidFill>
                </w14:textFill>
              </w:rPr>
              <w:t>（</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3</w:t>
            </w:r>
            <w:r>
              <w:rPr>
                <w:rFonts w:hint="default" w:ascii="Times New Roman" w:hAnsi="Times New Roman" w:eastAsia="宋体" w:cs="Times New Roman"/>
                <w:b/>
                <w:bCs/>
                <w:color w:val="000000" w:themeColor="text1"/>
                <w:kern w:val="0"/>
                <w:sz w:val="24"/>
                <w:szCs w:val="24"/>
                <w:highlight w:val="none"/>
                <w:lang w:eastAsia="zh-CN" w:bidi="ar"/>
                <w14:textFill>
                  <w14:solidFill>
                    <w14:schemeClr w14:val="tx1"/>
                  </w14:solidFill>
                </w14:textFill>
              </w:rPr>
              <w:t>）</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与《黑龙江省强化危险废物监管和利用处置能力改革工作方案》（黑政办规〔2021〕）符合性分析</w:t>
            </w:r>
          </w:p>
          <w:p w14:paraId="0DC11765">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Chars="0"/>
              <w:jc w:val="center"/>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表1.2 项目与《黑龙江省强化危险废物监管和利用处置能力改革工作方案》（黑政办规〔2021〕符合性分析一览表</w:t>
            </w:r>
          </w:p>
          <w:tbl>
            <w:tblPr>
              <w:tblStyle w:val="2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62"/>
              <w:gridCol w:w="3314"/>
              <w:gridCol w:w="2842"/>
              <w:gridCol w:w="887"/>
            </w:tblGrid>
            <w:tr w14:paraId="455FA0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29" w:type="pct"/>
                  <w:tcBorders>
                    <w:tl2br w:val="nil"/>
                    <w:tr2bl w:val="nil"/>
                  </w:tcBorders>
                  <w:vAlign w:val="center"/>
                </w:tcPr>
                <w:p w14:paraId="0AC294FA">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序号</w:t>
                  </w:r>
                </w:p>
              </w:tc>
              <w:tc>
                <w:tcPr>
                  <w:tcW w:w="2150" w:type="pct"/>
                  <w:tcBorders>
                    <w:tl2br w:val="nil"/>
                    <w:tr2bl w:val="nil"/>
                  </w:tcBorders>
                  <w:vAlign w:val="center"/>
                </w:tcPr>
                <w:p w14:paraId="397C1A3B">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工作方案要求</w:t>
                  </w:r>
                </w:p>
              </w:tc>
              <w:tc>
                <w:tcPr>
                  <w:tcW w:w="1844" w:type="pct"/>
                  <w:tcBorders>
                    <w:tl2br w:val="nil"/>
                    <w:tr2bl w:val="nil"/>
                  </w:tcBorders>
                  <w:vAlign w:val="center"/>
                </w:tcPr>
                <w:p w14:paraId="63549A05">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本项目实际情况分析</w:t>
                  </w:r>
                </w:p>
              </w:tc>
              <w:tc>
                <w:tcPr>
                  <w:tcW w:w="575" w:type="pct"/>
                  <w:tcBorders>
                    <w:tl2br w:val="nil"/>
                    <w:tr2bl w:val="nil"/>
                  </w:tcBorders>
                  <w:vAlign w:val="center"/>
                </w:tcPr>
                <w:p w14:paraId="7A7DBDA9">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符合性结论</w:t>
                  </w:r>
                </w:p>
              </w:tc>
            </w:tr>
            <w:tr w14:paraId="58BB3F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9" w:type="pct"/>
                  <w:tcBorders>
                    <w:tl2br w:val="nil"/>
                    <w:tr2bl w:val="nil"/>
                  </w:tcBorders>
                  <w:vAlign w:val="center"/>
                </w:tcPr>
                <w:p w14:paraId="00612547">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1</w:t>
                  </w:r>
                </w:p>
              </w:tc>
              <w:tc>
                <w:tcPr>
                  <w:tcW w:w="2150" w:type="pct"/>
                  <w:tcBorders>
                    <w:tl2br w:val="nil"/>
                    <w:tr2bl w:val="nil"/>
                  </w:tcBorders>
                  <w:vAlign w:val="center"/>
                </w:tcPr>
                <w:p w14:paraId="73714865">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十）推动收集转运贮存专业化。深入推进生活垃圾分类，建立有害垃圾收集转运体系。(省住建厅牵头，相关部门参与》落实生产者责任延伸制，推进铅蓄电池生产企业集中收集和跨区域转运制度试点，支持危险废物专业收集转运和利用处置单位建设区域性收集网点和贮存设施，完善集中收集和转运制度体系。鼓励化工等工业园区配套建设危险废物集中败存预处理和处置设施。开展小微企业、科研机构、学校等产生的危险废物有偿收集转运服务。鼓励在有条件的高校集中区域开展实验室危险废物分类收集和预处理。(省生态环境厅、省交通运输厅、省教育厅等按职责分工负责)</w:t>
                  </w:r>
                </w:p>
              </w:tc>
              <w:tc>
                <w:tcPr>
                  <w:tcW w:w="1844" w:type="pct"/>
                  <w:tcBorders>
                    <w:tl2br w:val="nil"/>
                    <w:tr2bl w:val="nil"/>
                  </w:tcBorders>
                  <w:vAlign w:val="center"/>
                </w:tcPr>
                <w:p w14:paraId="014126B3">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本项目为危险废物临时贮存周转项目，属于危险废物贮存经营活动的项目，仅对危险废物进行收集贮存，运输及处置均委托有资质单位进行，本项目不涉及运输、处置环节。</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企业按照危险废物的特性分类收集和贮存，未混合收集、贮存、运输和处置，采取符合国家环境保护标准的防护措施。</w:t>
                  </w:r>
                </w:p>
              </w:tc>
              <w:tc>
                <w:tcPr>
                  <w:tcW w:w="575" w:type="pct"/>
                  <w:tcBorders>
                    <w:tl2br w:val="nil"/>
                    <w:tr2bl w:val="nil"/>
                  </w:tcBorders>
                  <w:vAlign w:val="center"/>
                </w:tcPr>
                <w:p w14:paraId="35FF2606">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符合</w:t>
                  </w:r>
                </w:p>
              </w:tc>
            </w:tr>
            <w:tr w14:paraId="2AEB12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29" w:type="pct"/>
                  <w:tcBorders>
                    <w:tl2br w:val="nil"/>
                    <w:tr2bl w:val="nil"/>
                  </w:tcBorders>
                  <w:vAlign w:val="center"/>
                </w:tcPr>
                <w:p w14:paraId="0E59FA29">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2</w:t>
                  </w:r>
                </w:p>
              </w:tc>
              <w:tc>
                <w:tcPr>
                  <w:tcW w:w="2150" w:type="pct"/>
                  <w:tcBorders>
                    <w:tl2br w:val="nil"/>
                    <w:tr2bl w:val="nil"/>
                  </w:tcBorders>
                  <w:vAlign w:val="center"/>
                </w:tcPr>
                <w:p w14:paraId="349D77E0">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十二）严厉打击涉危险废物违法犯罪行为。强化危险废物环境执法，将危险废物的日常监管作为生态环境保护综合执法重要内容纳入“双随机、一公开”，对跨区域案件依法实行提级查办。严厉打击非法排放、倾倒、收集、贮存、转移、利用处置危险废物等环境违法犯罪行为，依法严禁省外危险废物转入我省处置。 (省生态环境厅、省公安厅、省交通运输厅)建立行政执法与刑事司法、检察公益诉讼衔接机制，制定衔接实施细则，规范办案程序，统一证据标准。持续开展”国门利创"专项行动，禁止洋垃圾入境。实施生态环境损害赔偿制度，依法追究损害生态环境责任者的赔偿责任。 (省司法厅、省法院、省检察院、省公安厅、省生态环境厅、哈尔滨海关等按职责分工负责)对自查自纠并及时妥善处置历史遗留危险废物的企业，依法从轻处罚。 (省法院、省检察院奉头，省生态环境厅等参与)</w:t>
                  </w:r>
                </w:p>
              </w:tc>
              <w:tc>
                <w:tcPr>
                  <w:tcW w:w="1844" w:type="pct"/>
                  <w:tcBorders>
                    <w:tl2br w:val="nil"/>
                    <w:tr2bl w:val="nil"/>
                  </w:tcBorders>
                  <w:vAlign w:val="center"/>
                </w:tcPr>
                <w:p w14:paraId="59BA87B4">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运营期间，企业需制定危险废物管理计划、建立危险废物管理台账，并通过国家危险废物信息管理系统向所在地生态环境主管部门申报危险废物的种类、流向、贮存等有关资料。在贮存过程中严格按照法律要求进行贮存，分类收集，不混装，不倒灌，选择符合环境保护标准的环保措施。</w:t>
                  </w:r>
                </w:p>
              </w:tc>
              <w:tc>
                <w:tcPr>
                  <w:tcW w:w="575" w:type="pct"/>
                  <w:tcBorders>
                    <w:tl2br w:val="nil"/>
                    <w:tr2bl w:val="nil"/>
                  </w:tcBorders>
                  <w:vAlign w:val="center"/>
                </w:tcPr>
                <w:p w14:paraId="7BE53907">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符合</w:t>
                  </w:r>
                </w:p>
              </w:tc>
            </w:tr>
          </w:tbl>
          <w:p w14:paraId="23FE0AEC">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Chars="0" w:firstLine="482"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（4）与</w:t>
            </w:r>
            <w:r>
              <w:rPr>
                <w:rFonts w:hint="default" w:ascii="Times New Roman" w:hAnsi="Times New Roman" w:eastAsia="宋体" w:cs="Times New Roman"/>
                <w:b/>
                <w:bCs/>
                <w:color w:val="000000" w:themeColor="text1"/>
                <w:kern w:val="0"/>
                <w:sz w:val="24"/>
                <w:szCs w:val="24"/>
                <w:highlight w:val="none"/>
                <w:lang w:val="en-US" w:eastAsia="zh-CN" w:bidi="ar"/>
                <w14:textFill>
                  <w14:solidFill>
                    <w14:schemeClr w14:val="tx1"/>
                  </w14:solidFill>
                </w14:textFill>
              </w:rPr>
              <w:t>《黑龙江省城乡固体废物分类治理布局规划(2019-2035年)》(黑建函(2019)111号)</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符合性分析</w:t>
            </w:r>
          </w:p>
          <w:p w14:paraId="07F77866">
            <w:pPr>
              <w:keepNext w:val="0"/>
              <w:keepLines w:val="0"/>
              <w:pageBreakBefore w:val="0"/>
              <w:widowControl/>
              <w:kinsoku/>
              <w:wordWrap/>
              <w:overflowPunct/>
              <w:topLinePunct w:val="0"/>
              <w:autoSpaceDE w:val="0"/>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根据《黑龙江省城乡固体废物分类治理布局规划(2019-2035年)》(黑建函(2019)111号)，</w:t>
            </w:r>
            <w:r>
              <w:rPr>
                <w:rFonts w:hint="default" w:ascii="Times New Roman" w:hAnsi="Times New Roman" w:eastAsia="宋体" w:cs="Times New Roman"/>
                <w:color w:val="000000" w:themeColor="text1"/>
                <w:sz w:val="24"/>
                <w:szCs w:val="24"/>
                <w:highlight w:val="none"/>
                <w14:textFill>
                  <w14:solidFill>
                    <w14:schemeClr w14:val="tx1"/>
                  </w14:solidFill>
                </w14:textFill>
              </w:rPr>
              <w:t>根据《黑龙江省城乡固体废物分类治理布局规划(2019-2035年)》（黑建函〔2019〕111号），规划近期目标：补齐危险废物集中处置设施短板，健全危险废物收运体系，提升危险废物规范化环境管理水平，危险废物得到安全利用处置。规划中期目标：完善危险废物利用处置设施布局，提升危险废物资源化利用水平，持续提升危险废物规范化管理能力。规划远期目标：建成完善的危险废物收集、贮存、利用、处置体系，实现危险废物减量化、资源化、无害化，危险废物全部安全利用处置。</w:t>
            </w:r>
          </w:p>
          <w:p w14:paraId="1E6739CF">
            <w:pPr>
              <w:keepNext w:val="0"/>
              <w:keepLines w:val="0"/>
              <w:pageBreakBefore w:val="0"/>
              <w:widowControl/>
              <w:kinsoku/>
              <w:wordWrap/>
              <w:overflowPunct/>
              <w:topLinePunct w:val="0"/>
              <w:autoSpaceDE w:val="0"/>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本项目为危险废物临时贮存周转项目，不涉及危险废物的运输及处置。因此，本项目的实施，对黑龙江省、伊春市范围内危险废物安全贮存将产生积极作用，符合城乡固体废物分类治理布局规划要求。</w:t>
            </w:r>
          </w:p>
          <w:p w14:paraId="1487DCD1">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157" w:beforeLines="50" w:line="360" w:lineRule="auto"/>
              <w:ind w:firstLine="482"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（5）与《危险废物收集贮存运输技术规范》（HJ2025-2012）符合性分析</w:t>
            </w:r>
          </w:p>
          <w:p w14:paraId="3D2C954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snapToGrid w:val="0"/>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4"/>
                <w:szCs w:val="24"/>
                <w:highlight w:val="none"/>
                <w:lang w:val="en-US" w:eastAsia="zh-CN"/>
                <w14:textFill>
                  <w14:solidFill>
                    <w14:schemeClr w14:val="tx1"/>
                  </w14:solidFill>
                </w14:textFill>
              </w:rPr>
              <w:t>本项目运营仅涉及危险废物的临时贮存，不涉及运输、利用和处置，运输由有相应危险废物处理资质的单位进行运输，本项目与《危险废物收集贮存运输技术规范》符合性分析如</w:t>
            </w:r>
            <w:r>
              <w:rPr>
                <w:rFonts w:hint="eastAsia" w:cs="Times New Roman"/>
                <w:snapToGrid w:val="0"/>
                <w:color w:val="000000" w:themeColor="text1"/>
                <w:kern w:val="0"/>
                <w:sz w:val="24"/>
                <w:szCs w:val="24"/>
                <w:highlight w:val="none"/>
                <w:lang w:val="en-US" w:eastAsia="zh-CN"/>
                <w14:textFill>
                  <w14:solidFill>
                    <w14:schemeClr w14:val="tx1"/>
                  </w14:solidFill>
                </w14:textFill>
              </w:rPr>
              <w:t>下</w:t>
            </w:r>
            <w:r>
              <w:rPr>
                <w:rFonts w:hint="default" w:ascii="Times New Roman" w:hAnsi="Times New Roman" w:eastAsia="宋体" w:cs="Times New Roman"/>
                <w:snapToGrid w:val="0"/>
                <w:color w:val="000000" w:themeColor="text1"/>
                <w:kern w:val="0"/>
                <w:sz w:val="24"/>
                <w:szCs w:val="24"/>
                <w:highlight w:val="none"/>
                <w:lang w:val="en-US" w:eastAsia="zh-CN"/>
                <w14:textFill>
                  <w14:solidFill>
                    <w14:schemeClr w14:val="tx1"/>
                  </w14:solidFill>
                </w14:textFill>
              </w:rPr>
              <w:t>表。</w:t>
            </w:r>
          </w:p>
          <w:p w14:paraId="68BEA0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t>表1.</w:t>
            </w:r>
            <w:r>
              <w:rPr>
                <w:rFonts w:hint="eastAsia" w:cs="Times New Roman"/>
                <w:b/>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t xml:space="preserve"> 项目与《危险废物收集贮存运输技术规范</w:t>
            </w:r>
            <w:r>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》（HJ2025-2012）符</w:t>
            </w:r>
            <w:r>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t>合性分析</w:t>
            </w:r>
          </w:p>
          <w:tbl>
            <w:tblPr>
              <w:tblStyle w:val="29"/>
              <w:tblW w:w="7537"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30"/>
              <w:gridCol w:w="2967"/>
              <w:gridCol w:w="2617"/>
              <w:gridCol w:w="1023"/>
            </w:tblGrid>
            <w:tr w14:paraId="0F430B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930" w:type="dxa"/>
                  <w:tcBorders>
                    <w:tl2br w:val="nil"/>
                    <w:tr2bl w:val="nil"/>
                  </w:tcBorders>
                  <w:vAlign w:val="center"/>
                </w:tcPr>
                <w:p w14:paraId="2D4DCBA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项目</w:t>
                  </w:r>
                </w:p>
              </w:tc>
              <w:tc>
                <w:tcPr>
                  <w:tcW w:w="2967" w:type="dxa"/>
                  <w:tcBorders>
                    <w:tl2br w:val="nil"/>
                    <w:tr2bl w:val="nil"/>
                  </w:tcBorders>
                  <w:vAlign w:val="center"/>
                </w:tcPr>
                <w:p w14:paraId="7B3D771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相关要求</w:t>
                  </w:r>
                </w:p>
              </w:tc>
              <w:tc>
                <w:tcPr>
                  <w:tcW w:w="2617" w:type="dxa"/>
                  <w:tcBorders>
                    <w:tl2br w:val="nil"/>
                    <w:tr2bl w:val="nil"/>
                  </w:tcBorders>
                  <w:vAlign w:val="center"/>
                </w:tcPr>
                <w:p w14:paraId="3C7BE1C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本项目情况</w:t>
                  </w:r>
                </w:p>
              </w:tc>
              <w:tc>
                <w:tcPr>
                  <w:tcW w:w="1023" w:type="dxa"/>
                  <w:tcBorders>
                    <w:tl2br w:val="nil"/>
                    <w:tr2bl w:val="nil"/>
                  </w:tcBorders>
                  <w:vAlign w:val="center"/>
                </w:tcPr>
                <w:p w14:paraId="7F56DD3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符合性</w:t>
                  </w:r>
                </w:p>
              </w:tc>
            </w:tr>
            <w:tr w14:paraId="33073A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930" w:type="dxa"/>
                  <w:vMerge w:val="restart"/>
                  <w:tcBorders>
                    <w:tl2br w:val="nil"/>
                    <w:tr2bl w:val="nil"/>
                  </w:tcBorders>
                  <w:vAlign w:val="center"/>
                </w:tcPr>
                <w:p w14:paraId="43480B1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一般</w:t>
                  </w:r>
                </w:p>
                <w:p w14:paraId="53DB245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要求</w:t>
                  </w:r>
                </w:p>
              </w:tc>
              <w:tc>
                <w:tcPr>
                  <w:tcW w:w="2967" w:type="dxa"/>
                  <w:tcBorders>
                    <w:tl2br w:val="nil"/>
                    <w:tr2bl w:val="nil"/>
                  </w:tcBorders>
                  <w:vAlign w:val="center"/>
                </w:tcPr>
                <w:p w14:paraId="48864B9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从事危险废物收集、贮存、运输经营活动的单位应具备危险废物经营许可证。在收集、贮存、运输危险废物时，应根据危险废物收集、贮存、处置经营许可证核发的有关规定建立相应的规章制度和污染防治措施，包括危险废物分析管理制度、安全管理制度、污染防治措施等；危险废物产生单位内部自行从事的危险废物收集、贮存、运输活动应遵照国家相关管理规定，建立健全规章制度及操作流程，确保该过程的安全、可靠。</w:t>
                  </w:r>
                </w:p>
              </w:tc>
              <w:tc>
                <w:tcPr>
                  <w:tcW w:w="2617" w:type="dxa"/>
                  <w:tcBorders>
                    <w:tl2br w:val="nil"/>
                    <w:tr2bl w:val="nil"/>
                  </w:tcBorders>
                  <w:vAlign w:val="center"/>
                </w:tcPr>
                <w:p w14:paraId="33CE6A2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本项目为危险废物临时贮存周转项目，属于危险废物贮存经营活动的项目；项目遵照国家相关管理规定，建立了健全规章制度及操作流程，确保过程的安全、可靠。</w:t>
                  </w:r>
                </w:p>
              </w:tc>
              <w:tc>
                <w:tcPr>
                  <w:tcW w:w="1023" w:type="dxa"/>
                  <w:tcBorders>
                    <w:tl2br w:val="nil"/>
                    <w:tr2bl w:val="nil"/>
                  </w:tcBorders>
                  <w:vAlign w:val="center"/>
                </w:tcPr>
                <w:p w14:paraId="74B2480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符合</w:t>
                  </w:r>
                </w:p>
              </w:tc>
            </w:tr>
            <w:tr w14:paraId="4A1E2C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930" w:type="dxa"/>
                  <w:vMerge w:val="continue"/>
                  <w:tcBorders>
                    <w:tl2br w:val="nil"/>
                    <w:tr2bl w:val="nil"/>
                  </w:tcBorders>
                  <w:vAlign w:val="center"/>
                </w:tcPr>
                <w:p w14:paraId="116BF59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p>
              </w:tc>
              <w:tc>
                <w:tcPr>
                  <w:tcW w:w="2967" w:type="dxa"/>
                  <w:tcBorders>
                    <w:tl2br w:val="nil"/>
                    <w:tr2bl w:val="nil"/>
                  </w:tcBorders>
                  <w:vAlign w:val="center"/>
                </w:tcPr>
                <w:p w14:paraId="09D7014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危险废物转移过程应按《危险废物转移联单管理办法》执行。</w:t>
                  </w:r>
                </w:p>
              </w:tc>
              <w:tc>
                <w:tcPr>
                  <w:tcW w:w="2617" w:type="dxa"/>
                  <w:tcBorders>
                    <w:tl2br w:val="nil"/>
                    <w:tr2bl w:val="nil"/>
                  </w:tcBorders>
                  <w:vAlign w:val="center"/>
                </w:tcPr>
                <w:p w14:paraId="2395DD1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项目危险废物转移过程严格按照《危险废物转移联单管理办法》执行。</w:t>
                  </w:r>
                </w:p>
              </w:tc>
              <w:tc>
                <w:tcPr>
                  <w:tcW w:w="1023" w:type="dxa"/>
                  <w:tcBorders>
                    <w:tl2br w:val="nil"/>
                    <w:tr2bl w:val="nil"/>
                  </w:tcBorders>
                  <w:vAlign w:val="center"/>
                </w:tcPr>
                <w:p w14:paraId="79C49D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符合</w:t>
                  </w:r>
                </w:p>
              </w:tc>
            </w:tr>
            <w:tr w14:paraId="468D27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930" w:type="dxa"/>
                  <w:vMerge w:val="continue"/>
                  <w:tcBorders>
                    <w:tl2br w:val="nil"/>
                    <w:tr2bl w:val="nil"/>
                  </w:tcBorders>
                  <w:vAlign w:val="center"/>
                </w:tcPr>
                <w:p w14:paraId="3B7DF6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p>
              </w:tc>
              <w:tc>
                <w:tcPr>
                  <w:tcW w:w="2967" w:type="dxa"/>
                  <w:tcBorders>
                    <w:tl2br w:val="nil"/>
                    <w:tr2bl w:val="nil"/>
                  </w:tcBorders>
                  <w:vAlign w:val="center"/>
                </w:tcPr>
                <w:p w14:paraId="297CAAD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危险废物收集、贮存、运输单位应建立规范的管理和技术人员培训制度，定期对管理和技术人员进行培训。培训内容至少应包括危险废物鉴别要求、危险废物经营许可证管理、危险废物转移联单管理、危险废物包装和标识、危险废物运输要求、危险废物事故应急办法等。</w:t>
                  </w:r>
                </w:p>
              </w:tc>
              <w:tc>
                <w:tcPr>
                  <w:tcW w:w="2617" w:type="dxa"/>
                  <w:tcBorders>
                    <w:tl2br w:val="nil"/>
                    <w:tr2bl w:val="nil"/>
                  </w:tcBorders>
                  <w:vAlign w:val="center"/>
                </w:tcPr>
                <w:p w14:paraId="46D64F0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本项目建成营运后，建设单位将建立规范的管理和技术人员培训制度，定期针对管理和技术人员开展培训。培训内容至少应包括危险废物转移联单管理、危险废物包装和标识、危险废物运输要求等。</w:t>
                  </w:r>
                </w:p>
              </w:tc>
              <w:tc>
                <w:tcPr>
                  <w:tcW w:w="1023" w:type="dxa"/>
                  <w:tcBorders>
                    <w:tl2br w:val="nil"/>
                    <w:tr2bl w:val="nil"/>
                  </w:tcBorders>
                  <w:vAlign w:val="center"/>
                </w:tcPr>
                <w:p w14:paraId="2B03CBF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符合</w:t>
                  </w:r>
                </w:p>
              </w:tc>
            </w:tr>
            <w:tr w14:paraId="1666DD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930" w:type="dxa"/>
                  <w:vMerge w:val="restart"/>
                  <w:tcBorders>
                    <w:tl2br w:val="nil"/>
                    <w:tr2bl w:val="nil"/>
                  </w:tcBorders>
                  <w:vAlign w:val="center"/>
                </w:tcPr>
                <w:p w14:paraId="3CA11BB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一般</w:t>
                  </w:r>
                </w:p>
                <w:p w14:paraId="4C9908E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要求</w:t>
                  </w:r>
                </w:p>
              </w:tc>
              <w:tc>
                <w:tcPr>
                  <w:tcW w:w="2967" w:type="dxa"/>
                  <w:tcBorders>
                    <w:tl2br w:val="nil"/>
                    <w:tr2bl w:val="nil"/>
                  </w:tcBorders>
                  <w:vAlign w:val="center"/>
                </w:tcPr>
                <w:p w14:paraId="0A879DE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 xml:space="preserve">危险废物收集、贮存、运输单 </w:t>
                  </w:r>
                </w:p>
                <w:p w14:paraId="4CBE0A9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 xml:space="preserve">位应编制应急预案。应急预案编制可参照《危险废物经营单位编制应急预案指南》，涉及运输的相关内容还应符合交通行政主管部门的有关规定。针对危险废物收集、贮存、运输过程中的事故易发环节定期组 </w:t>
                  </w:r>
                </w:p>
                <w:p w14:paraId="2B92C31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织应急演练。</w:t>
                  </w:r>
                </w:p>
              </w:tc>
              <w:tc>
                <w:tcPr>
                  <w:tcW w:w="2617" w:type="dxa"/>
                  <w:tcBorders>
                    <w:tl2br w:val="nil"/>
                    <w:tr2bl w:val="nil"/>
                  </w:tcBorders>
                  <w:vAlign w:val="center"/>
                </w:tcPr>
                <w:p w14:paraId="334FC85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本项目后续要求编制应急预案。本项目一旦发生意外，严格按照《危险废物收集贮存运输技术规范》（HJ2025-2012）执行。</w:t>
                  </w:r>
                </w:p>
              </w:tc>
              <w:tc>
                <w:tcPr>
                  <w:tcW w:w="1023" w:type="dxa"/>
                  <w:tcBorders>
                    <w:tl2br w:val="nil"/>
                    <w:tr2bl w:val="nil"/>
                  </w:tcBorders>
                  <w:vAlign w:val="center"/>
                </w:tcPr>
                <w:p w14:paraId="41D34D6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符合</w:t>
                  </w:r>
                </w:p>
              </w:tc>
            </w:tr>
            <w:tr w14:paraId="57DB7A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930" w:type="dxa"/>
                  <w:vMerge w:val="continue"/>
                  <w:tcBorders>
                    <w:tl2br w:val="nil"/>
                    <w:tr2bl w:val="nil"/>
                  </w:tcBorders>
                  <w:vAlign w:val="center"/>
                </w:tcPr>
                <w:p w14:paraId="5D36280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p>
              </w:tc>
              <w:tc>
                <w:tcPr>
                  <w:tcW w:w="2967" w:type="dxa"/>
                  <w:tcBorders>
                    <w:tl2br w:val="nil"/>
                    <w:tr2bl w:val="nil"/>
                  </w:tcBorders>
                  <w:vAlign w:val="center"/>
                </w:tcPr>
                <w:p w14:paraId="3E5A860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 xml:space="preserve">危险废物收集、贮存、运输过程中一旦发生意外事故，收集、贮存、运输单位及相关部门应根据风险程度采取如下措施： </w:t>
                  </w:r>
                </w:p>
                <w:p w14:paraId="1324F2C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①设立事故警戒线，启动应急预案，并按《环境保护行政主管部门突发环境事件信息报告办法(试行)》（环发[2006]50 号）要求进行报告。</w:t>
                  </w:r>
                </w:p>
                <w:p w14:paraId="293A212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 xml:space="preserve">②若造成事故的危险废物具有剧毒性、易燃性、爆炸性或高传染性，应立即疏散人群，并请求环境保护、消防、医疗、公安等相关部门支援。 </w:t>
                  </w:r>
                </w:p>
                <w:p w14:paraId="4BD1B35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 xml:space="preserve">③对事故现场受到污染的土壤和水体等环境介质应进行相应的清理和修复。 </w:t>
                  </w:r>
                </w:p>
                <w:p w14:paraId="68200CC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 xml:space="preserve">④清理过程中产生的所有废物均应按危险废物进行管理和处置。 </w:t>
                  </w:r>
                </w:p>
                <w:p w14:paraId="0311C22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⑤进入现场清理和包装危险废物的人员应受过专业培训，穿着防护服，并佩戴相应的防护用具。</w:t>
                  </w:r>
                </w:p>
              </w:tc>
              <w:tc>
                <w:tcPr>
                  <w:tcW w:w="2617" w:type="dxa"/>
                  <w:tcBorders>
                    <w:tl2br w:val="nil"/>
                    <w:tr2bl w:val="nil"/>
                  </w:tcBorders>
                  <w:vAlign w:val="center"/>
                </w:tcPr>
                <w:p w14:paraId="7350448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 xml:space="preserve">固废收集、贮存、运输过程中一旦发生意外事故，业主单位及相关部门根据风险程度采取如下措施： </w:t>
                  </w:r>
                </w:p>
                <w:p w14:paraId="6258737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①设立事故警戒线，启动应急预案，并按《突发环境事件信息报告办法》（环境保护部令第17号）要求进行报告。</w:t>
                  </w:r>
                </w:p>
                <w:p w14:paraId="5EC75F0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 xml:space="preserve">②根据危险废物特性，决定是否疏散人群，以及请求环境保护、消防、医疗、公安等相关部门支援。 </w:t>
                  </w:r>
                </w:p>
                <w:p w14:paraId="58CAEEF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 xml:space="preserve">③对事故现场受到污染的土壤和水体等环境介质应进行相应的清理和修复。 </w:t>
                  </w:r>
                </w:p>
                <w:p w14:paraId="1DF318F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④清理过程中产生的所有废物均应按危险废物进行管理和处置。</w:t>
                  </w:r>
                </w:p>
                <w:p w14:paraId="5585D32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⑤进入现场清理和包装危险废物的人员应受过专业培训，穿着防护服，并佩戴相应的防护用具。</w:t>
                  </w:r>
                </w:p>
              </w:tc>
              <w:tc>
                <w:tcPr>
                  <w:tcW w:w="1023" w:type="dxa"/>
                  <w:tcBorders>
                    <w:tl2br w:val="nil"/>
                    <w:tr2bl w:val="nil"/>
                  </w:tcBorders>
                  <w:vAlign w:val="center"/>
                </w:tcPr>
                <w:p w14:paraId="2CD0FD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符合</w:t>
                  </w:r>
                </w:p>
              </w:tc>
            </w:tr>
            <w:tr w14:paraId="53BE2D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930" w:type="dxa"/>
                  <w:vMerge w:val="continue"/>
                  <w:tcBorders>
                    <w:tl2br w:val="nil"/>
                    <w:tr2bl w:val="nil"/>
                  </w:tcBorders>
                  <w:vAlign w:val="center"/>
                </w:tcPr>
                <w:p w14:paraId="73A5F52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p>
              </w:tc>
              <w:tc>
                <w:tcPr>
                  <w:tcW w:w="2967" w:type="dxa"/>
                  <w:tcBorders>
                    <w:tl2br w:val="nil"/>
                    <w:tr2bl w:val="nil"/>
                  </w:tcBorders>
                  <w:vAlign w:val="center"/>
                </w:tcPr>
                <w:p w14:paraId="65F740B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危险废物收集、贮存、运输时应按腐蚀性、毒性、易燃性、反应性和感染性等危险废物特性对危险废物进行分类、包装并设置相应的标志及标签。危险废物特性应根据其产生源特性及 GB5085.1-7、HJ/T298进行鉴别。</w:t>
                  </w:r>
                </w:p>
              </w:tc>
              <w:tc>
                <w:tcPr>
                  <w:tcW w:w="2617" w:type="dxa"/>
                  <w:tcBorders>
                    <w:tl2br w:val="nil"/>
                    <w:tr2bl w:val="nil"/>
                  </w:tcBorders>
                  <w:vAlign w:val="center"/>
                </w:tcPr>
                <w:p w14:paraId="7A4AB5F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严格按照要求对危险废物进行分类、包装并设置相应的标志及标签，不混装。</w:t>
                  </w:r>
                </w:p>
              </w:tc>
              <w:tc>
                <w:tcPr>
                  <w:tcW w:w="1023" w:type="dxa"/>
                  <w:tcBorders>
                    <w:tl2br w:val="nil"/>
                    <w:tr2bl w:val="nil"/>
                  </w:tcBorders>
                  <w:vAlign w:val="center"/>
                </w:tcPr>
                <w:p w14:paraId="09F111B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符合</w:t>
                  </w:r>
                </w:p>
              </w:tc>
            </w:tr>
            <w:tr w14:paraId="096D74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930" w:type="dxa"/>
                  <w:tcBorders>
                    <w:tl2br w:val="nil"/>
                    <w:tr2bl w:val="nil"/>
                  </w:tcBorders>
                  <w:vAlign w:val="center"/>
                </w:tcPr>
                <w:p w14:paraId="02DFC7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收集</w:t>
                  </w:r>
                </w:p>
              </w:tc>
              <w:tc>
                <w:tcPr>
                  <w:tcW w:w="2967" w:type="dxa"/>
                  <w:tcBorders>
                    <w:tl2br w:val="nil"/>
                    <w:tr2bl w:val="nil"/>
                  </w:tcBorders>
                  <w:vAlign w:val="center"/>
                </w:tcPr>
                <w:p w14:paraId="598A99E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危险废物的收集应制定详细的操作规程，内容至少应包括适用范围、操作程序和方法、专用设备和工具、转移和交接、安全保障和应急防护等。</w:t>
                  </w:r>
                </w:p>
              </w:tc>
              <w:tc>
                <w:tcPr>
                  <w:tcW w:w="2617" w:type="dxa"/>
                  <w:tcBorders>
                    <w:tl2br w:val="nil"/>
                    <w:tr2bl w:val="nil"/>
                  </w:tcBorders>
                  <w:vAlign w:val="center"/>
                </w:tcPr>
                <w:p w14:paraId="3DFD3F7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本项目建成运营后，建设单位将制定详细的操作规程，包括适用范围、操作程序和方法、专用设备和工具、转移和交接、安全保障和应急措施等。</w:t>
                  </w:r>
                </w:p>
              </w:tc>
              <w:tc>
                <w:tcPr>
                  <w:tcW w:w="1023" w:type="dxa"/>
                  <w:tcBorders>
                    <w:tl2br w:val="nil"/>
                    <w:tr2bl w:val="nil"/>
                  </w:tcBorders>
                  <w:vAlign w:val="center"/>
                </w:tcPr>
                <w:p w14:paraId="36A3C05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符合</w:t>
                  </w:r>
                </w:p>
              </w:tc>
            </w:tr>
            <w:tr w14:paraId="266516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930" w:type="dxa"/>
                  <w:vMerge w:val="restart"/>
                  <w:tcBorders>
                    <w:tl2br w:val="nil"/>
                    <w:tr2bl w:val="nil"/>
                  </w:tcBorders>
                  <w:vAlign w:val="center"/>
                </w:tcPr>
                <w:p w14:paraId="2FAE512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收集</w:t>
                  </w:r>
                </w:p>
              </w:tc>
              <w:tc>
                <w:tcPr>
                  <w:tcW w:w="2967" w:type="dxa"/>
                  <w:tcBorders>
                    <w:tl2br w:val="nil"/>
                    <w:tr2bl w:val="nil"/>
                  </w:tcBorders>
                  <w:vAlign w:val="center"/>
                </w:tcPr>
                <w:p w14:paraId="4F246B3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在危险废物收集和转运过程中，应采取相应的安全防护和污染防治措施，包括防爆、防火、防中毒、防感染、防泄露防飞扬、防雨或其他防止污染环境的措施。</w:t>
                  </w:r>
                </w:p>
              </w:tc>
              <w:tc>
                <w:tcPr>
                  <w:tcW w:w="2617" w:type="dxa"/>
                  <w:tcBorders>
                    <w:tl2br w:val="nil"/>
                    <w:tr2bl w:val="nil"/>
                  </w:tcBorders>
                  <w:vAlign w:val="center"/>
                </w:tcPr>
                <w:p w14:paraId="7375F79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本项目建成运营后，将在危险废物的贮存过程中，采取相应的安全防护和污染防治措施，包括防爆、防火、防中毒、防感染、防泄露防飞扬、防雨或其他防止污染环境的措施。</w:t>
                  </w:r>
                </w:p>
              </w:tc>
              <w:tc>
                <w:tcPr>
                  <w:tcW w:w="1023" w:type="dxa"/>
                  <w:tcBorders>
                    <w:tl2br w:val="nil"/>
                    <w:tr2bl w:val="nil"/>
                  </w:tcBorders>
                  <w:vAlign w:val="center"/>
                </w:tcPr>
                <w:p w14:paraId="0F815F9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符合</w:t>
                  </w:r>
                </w:p>
              </w:tc>
            </w:tr>
            <w:tr w14:paraId="0F6859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930" w:type="dxa"/>
                  <w:vMerge w:val="continue"/>
                  <w:tcBorders>
                    <w:tl2br w:val="nil"/>
                    <w:tr2bl w:val="nil"/>
                  </w:tcBorders>
                  <w:vAlign w:val="center"/>
                </w:tcPr>
                <w:p w14:paraId="4B43F0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p>
              </w:tc>
              <w:tc>
                <w:tcPr>
                  <w:tcW w:w="2967" w:type="dxa"/>
                  <w:tcBorders>
                    <w:tl2br w:val="nil"/>
                    <w:tr2bl w:val="nil"/>
                  </w:tcBorders>
                  <w:vAlign w:val="center"/>
                </w:tcPr>
                <w:p w14:paraId="2D6102D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危险废物收集时应根据危险废物的种类、数量、危险废物特性、物理形态运输要求等因素确定包装形式并符合相应规范要求。</w:t>
                  </w:r>
                </w:p>
              </w:tc>
              <w:tc>
                <w:tcPr>
                  <w:tcW w:w="2617" w:type="dxa"/>
                  <w:tcBorders>
                    <w:tl2br w:val="nil"/>
                    <w:tr2bl w:val="nil"/>
                  </w:tcBorders>
                  <w:vAlign w:val="center"/>
                </w:tcPr>
                <w:p w14:paraId="42339D7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严格按照要求对危险废物进行分类、包装并设置相应的标志及标签，不混装。</w:t>
                  </w:r>
                </w:p>
              </w:tc>
              <w:tc>
                <w:tcPr>
                  <w:tcW w:w="1023" w:type="dxa"/>
                  <w:tcBorders>
                    <w:tl2br w:val="nil"/>
                    <w:tr2bl w:val="nil"/>
                  </w:tcBorders>
                  <w:vAlign w:val="center"/>
                </w:tcPr>
                <w:p w14:paraId="233B2B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符合</w:t>
                  </w:r>
                </w:p>
              </w:tc>
            </w:tr>
            <w:tr w14:paraId="68488B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930" w:type="dxa"/>
                  <w:vMerge w:val="restart"/>
                  <w:tcBorders>
                    <w:tl2br w:val="nil"/>
                    <w:tr2bl w:val="nil"/>
                  </w:tcBorders>
                  <w:vAlign w:val="center"/>
                </w:tcPr>
                <w:p w14:paraId="2924ED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贮存</w:t>
                  </w:r>
                </w:p>
              </w:tc>
              <w:tc>
                <w:tcPr>
                  <w:tcW w:w="2967" w:type="dxa"/>
                  <w:tcBorders>
                    <w:tl2br w:val="nil"/>
                    <w:tr2bl w:val="nil"/>
                  </w:tcBorders>
                  <w:vAlign w:val="center"/>
                </w:tcPr>
                <w:p w14:paraId="350B534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危险废物贮存设施的选址、设计、建设、运行管理应满足 GB18597、GBZ1和GBZ2的有关要求。</w:t>
                  </w:r>
                </w:p>
              </w:tc>
              <w:tc>
                <w:tcPr>
                  <w:tcW w:w="2617" w:type="dxa"/>
                  <w:tcBorders>
                    <w:tl2br w:val="nil"/>
                    <w:tr2bl w:val="nil"/>
                  </w:tcBorders>
                  <w:vAlign w:val="center"/>
                </w:tcPr>
                <w:p w14:paraId="51B90DE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本项目选址设计、建设和运行管理满足 GB18597、GBZ1、GBZ2的有关要求。</w:t>
                  </w:r>
                </w:p>
              </w:tc>
              <w:tc>
                <w:tcPr>
                  <w:tcW w:w="1023" w:type="dxa"/>
                  <w:tcBorders>
                    <w:tl2br w:val="nil"/>
                    <w:tr2bl w:val="nil"/>
                  </w:tcBorders>
                  <w:vAlign w:val="center"/>
                </w:tcPr>
                <w:p w14:paraId="275E7C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符合</w:t>
                  </w:r>
                </w:p>
              </w:tc>
            </w:tr>
            <w:tr w14:paraId="615EBC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930" w:type="dxa"/>
                  <w:vMerge w:val="continue"/>
                  <w:tcBorders>
                    <w:tl2br w:val="nil"/>
                    <w:tr2bl w:val="nil"/>
                  </w:tcBorders>
                  <w:vAlign w:val="center"/>
                </w:tcPr>
                <w:p w14:paraId="06BC6DF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p>
              </w:tc>
              <w:tc>
                <w:tcPr>
                  <w:tcW w:w="2967" w:type="dxa"/>
                  <w:tcBorders>
                    <w:tl2br w:val="nil"/>
                    <w:tr2bl w:val="nil"/>
                  </w:tcBorders>
                  <w:vAlign w:val="center"/>
                </w:tcPr>
                <w:p w14:paraId="6104358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危险废物贮存设施应配备通讯设备、照明设施和消防设施。</w:t>
                  </w:r>
                </w:p>
              </w:tc>
              <w:tc>
                <w:tcPr>
                  <w:tcW w:w="2617" w:type="dxa"/>
                  <w:tcBorders>
                    <w:tl2br w:val="nil"/>
                    <w:tr2bl w:val="nil"/>
                  </w:tcBorders>
                  <w:vAlign w:val="center"/>
                </w:tcPr>
                <w:p w14:paraId="097E459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本项目营运期配备有通讯设备、照明设施和消防设施。</w:t>
                  </w:r>
                </w:p>
              </w:tc>
              <w:tc>
                <w:tcPr>
                  <w:tcW w:w="1023" w:type="dxa"/>
                  <w:tcBorders>
                    <w:tl2br w:val="nil"/>
                    <w:tr2bl w:val="nil"/>
                  </w:tcBorders>
                  <w:vAlign w:val="center"/>
                </w:tcPr>
                <w:p w14:paraId="39A2A8D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符合</w:t>
                  </w:r>
                </w:p>
              </w:tc>
            </w:tr>
            <w:tr w14:paraId="1E9557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930" w:type="dxa"/>
                  <w:vMerge w:val="continue"/>
                  <w:tcBorders>
                    <w:tl2br w:val="nil"/>
                    <w:tr2bl w:val="nil"/>
                  </w:tcBorders>
                  <w:vAlign w:val="center"/>
                </w:tcPr>
                <w:p w14:paraId="041A3F8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p>
              </w:tc>
              <w:tc>
                <w:tcPr>
                  <w:tcW w:w="2967" w:type="dxa"/>
                  <w:tcBorders>
                    <w:tl2br w:val="nil"/>
                    <w:tr2bl w:val="nil"/>
                  </w:tcBorders>
                  <w:vAlign w:val="center"/>
                </w:tcPr>
                <w:p w14:paraId="0375B78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贮存危险废物时应按危险废物的种类和特性进行分区贮存，每个贮存区域之间宜设置挡墙间隔，并应设置防雨、防火、防雷、防扬尘装置。</w:t>
                  </w:r>
                </w:p>
              </w:tc>
              <w:tc>
                <w:tcPr>
                  <w:tcW w:w="2617" w:type="dxa"/>
                  <w:tcBorders>
                    <w:tl2br w:val="nil"/>
                    <w:tr2bl w:val="nil"/>
                  </w:tcBorders>
                  <w:vAlign w:val="center"/>
                </w:tcPr>
                <w:p w14:paraId="18C917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本项目贮存库按危险废物的种类和特性进行分区贮存，每个贮存区域之间设置间隔，并设置了防雨、防火、防雷、防扬尘装置。</w:t>
                  </w:r>
                </w:p>
              </w:tc>
              <w:tc>
                <w:tcPr>
                  <w:tcW w:w="1023" w:type="dxa"/>
                  <w:tcBorders>
                    <w:tl2br w:val="nil"/>
                    <w:tr2bl w:val="nil"/>
                  </w:tcBorders>
                  <w:vAlign w:val="center"/>
                </w:tcPr>
                <w:p w14:paraId="23EB613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符合</w:t>
                  </w:r>
                </w:p>
              </w:tc>
            </w:tr>
            <w:tr w14:paraId="600480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930" w:type="dxa"/>
                  <w:vMerge w:val="continue"/>
                  <w:tcBorders>
                    <w:tl2br w:val="nil"/>
                    <w:tr2bl w:val="nil"/>
                  </w:tcBorders>
                  <w:vAlign w:val="center"/>
                </w:tcPr>
                <w:p w14:paraId="0C0F767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p>
              </w:tc>
              <w:tc>
                <w:tcPr>
                  <w:tcW w:w="2967" w:type="dxa"/>
                  <w:tcBorders>
                    <w:tl2br w:val="nil"/>
                    <w:tr2bl w:val="nil"/>
                  </w:tcBorders>
                  <w:vAlign w:val="center"/>
                </w:tcPr>
                <w:p w14:paraId="148F569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危险废物贮存单位应建立危险废物贮存的台账制度，危险废物出入库交接记录内容应参照本标准附录C执行。</w:t>
                  </w:r>
                </w:p>
              </w:tc>
              <w:tc>
                <w:tcPr>
                  <w:tcW w:w="2617" w:type="dxa"/>
                  <w:tcBorders>
                    <w:tl2br w:val="nil"/>
                    <w:tr2bl w:val="nil"/>
                  </w:tcBorders>
                  <w:vAlign w:val="center"/>
                </w:tcPr>
                <w:p w14:paraId="2730197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项目将建立危险废物贮存的台账制度，危险废物出入库交接记录内容参照标准附录C执行。</w:t>
                  </w:r>
                </w:p>
              </w:tc>
              <w:tc>
                <w:tcPr>
                  <w:tcW w:w="1023" w:type="dxa"/>
                  <w:tcBorders>
                    <w:tl2br w:val="nil"/>
                    <w:tr2bl w:val="nil"/>
                  </w:tcBorders>
                  <w:vAlign w:val="center"/>
                </w:tcPr>
                <w:p w14:paraId="4F20D3A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符合</w:t>
                  </w:r>
                </w:p>
              </w:tc>
            </w:tr>
            <w:tr w14:paraId="50E2C0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930" w:type="dxa"/>
                  <w:vMerge w:val="continue"/>
                  <w:tcBorders>
                    <w:tl2br w:val="nil"/>
                    <w:tr2bl w:val="nil"/>
                  </w:tcBorders>
                  <w:vAlign w:val="center"/>
                </w:tcPr>
                <w:p w14:paraId="0CD6C8E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p>
              </w:tc>
              <w:tc>
                <w:tcPr>
                  <w:tcW w:w="2967" w:type="dxa"/>
                  <w:tcBorders>
                    <w:tl2br w:val="nil"/>
                    <w:tr2bl w:val="nil"/>
                  </w:tcBorders>
                  <w:vAlign w:val="center"/>
                </w:tcPr>
                <w:p w14:paraId="57ED511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危险废物贮存设施应根据贮存的废物种类和特性按GB18597 附录A设置标志。</w:t>
                  </w:r>
                </w:p>
              </w:tc>
              <w:tc>
                <w:tcPr>
                  <w:tcW w:w="2617" w:type="dxa"/>
                  <w:tcBorders>
                    <w:tl2br w:val="nil"/>
                    <w:tr2bl w:val="nil"/>
                  </w:tcBorders>
                  <w:vAlign w:val="center"/>
                </w:tcPr>
                <w:p w14:paraId="1E77F91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本项目按照按设置了贮存废物种类和特性设置相应标志。</w:t>
                  </w:r>
                </w:p>
              </w:tc>
              <w:tc>
                <w:tcPr>
                  <w:tcW w:w="1023" w:type="dxa"/>
                  <w:tcBorders>
                    <w:tl2br w:val="nil"/>
                    <w:tr2bl w:val="nil"/>
                  </w:tcBorders>
                  <w:vAlign w:val="center"/>
                </w:tcPr>
                <w:p w14:paraId="1EE7237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符合</w:t>
                  </w:r>
                </w:p>
              </w:tc>
            </w:tr>
            <w:tr w14:paraId="2FAB72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930" w:type="dxa"/>
                  <w:vMerge w:val="continue"/>
                  <w:tcBorders>
                    <w:tl2br w:val="nil"/>
                    <w:tr2bl w:val="nil"/>
                  </w:tcBorders>
                  <w:vAlign w:val="center"/>
                </w:tcPr>
                <w:p w14:paraId="55C964E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p>
              </w:tc>
              <w:tc>
                <w:tcPr>
                  <w:tcW w:w="2967" w:type="dxa"/>
                  <w:tcBorders>
                    <w:tl2br w:val="nil"/>
                    <w:tr2bl w:val="nil"/>
                  </w:tcBorders>
                  <w:vAlign w:val="center"/>
                </w:tcPr>
                <w:p w14:paraId="2121EB6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危险废物贮存设施的关闭应按照GB18597 和《危险废物经营许可证管理办法》的有关规定执行。</w:t>
                  </w:r>
                </w:p>
              </w:tc>
              <w:tc>
                <w:tcPr>
                  <w:tcW w:w="2617" w:type="dxa"/>
                  <w:tcBorders>
                    <w:tl2br w:val="nil"/>
                    <w:tr2bl w:val="nil"/>
                  </w:tcBorders>
                  <w:vAlign w:val="center"/>
                </w:tcPr>
                <w:p w14:paraId="3404B46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项目危险废物贮存设施的关闭将按照 GB18597和《危险废物经营许可证管理办法》的有关规定执行。</w:t>
                  </w:r>
                </w:p>
              </w:tc>
              <w:tc>
                <w:tcPr>
                  <w:tcW w:w="1023" w:type="dxa"/>
                  <w:tcBorders>
                    <w:tl2br w:val="nil"/>
                    <w:tr2bl w:val="nil"/>
                  </w:tcBorders>
                  <w:vAlign w:val="center"/>
                </w:tcPr>
                <w:p w14:paraId="5EE2A60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符合</w:t>
                  </w:r>
                </w:p>
              </w:tc>
            </w:tr>
          </w:tbl>
          <w:p w14:paraId="1987EC5E">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jc w:val="left"/>
              <w:textAlignment w:val="auto"/>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本项目危险废物运输均委托第三方有资质的单位运输，符合《危险废物收集贮存运输技术规范》（HJ2025-2012）运输要求。</w:t>
            </w:r>
          </w:p>
          <w:p w14:paraId="4A68913E">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Chars="0" w:firstLine="482"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（6）与</w:t>
            </w:r>
            <w:bookmarkStart w:id="23" w:name="OLE_LINK9"/>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《危险废物转移管理办法》（部令第39号）</w:t>
            </w:r>
            <w:bookmarkEnd w:id="23"/>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符合性分析</w:t>
            </w:r>
          </w:p>
          <w:p w14:paraId="3678363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本项目运营仅涉及危险废物的临时贮存</w:t>
            </w:r>
            <w:r>
              <w:rPr>
                <w:rFonts w:hint="default" w:ascii="Times New Roman" w:hAnsi="Times New Roman" w:eastAsia="宋体" w:cs="Times New Roman"/>
                <w:snapToGrid w:val="0"/>
                <w:color w:val="000000" w:themeColor="text1"/>
                <w:kern w:val="0"/>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不涉及运输、利用和处置，运输由有相应危险废物处理资质的单位进行运输，本项目与《危险废物转移管理办法》（部令第39号）的符合性分析如下表。</w:t>
            </w:r>
          </w:p>
          <w:p w14:paraId="45989D6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center"/>
              <w:textAlignment w:val="auto"/>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t>表1.</w:t>
            </w:r>
            <w:r>
              <w:rPr>
                <w:rFonts w:hint="eastAsia" w:cs="Times New Roman"/>
                <w:b/>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t xml:space="preserve"> 项目与《危险废物转移管理办法》符合性分析</w:t>
            </w:r>
          </w:p>
          <w:tbl>
            <w:tblPr>
              <w:tblStyle w:val="28"/>
              <w:tblW w:w="4996" w:type="pct"/>
              <w:jc w:val="center"/>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0" w:type="dxa"/>
                <w:left w:w="113" w:type="dxa"/>
                <w:bottom w:w="0" w:type="dxa"/>
                <w:right w:w="113" w:type="dxa"/>
              </w:tblCellMar>
            </w:tblPr>
            <w:tblGrid>
              <w:gridCol w:w="1094"/>
              <w:gridCol w:w="3393"/>
              <w:gridCol w:w="2513"/>
              <w:gridCol w:w="701"/>
            </w:tblGrid>
            <w:tr w14:paraId="010895B9">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13" w:type="dxa"/>
                  <w:bottom w:w="0" w:type="dxa"/>
                  <w:right w:w="113" w:type="dxa"/>
                </w:tblCellMar>
              </w:tblPrEx>
              <w:trPr>
                <w:trHeight w:val="425" w:hRule="atLeast"/>
                <w:jc w:val="center"/>
              </w:trPr>
              <w:tc>
                <w:tcPr>
                  <w:tcW w:w="710" w:type="pct"/>
                  <w:tcBorders>
                    <w:tl2br w:val="nil"/>
                    <w:tr2bl w:val="nil"/>
                  </w:tcBorders>
                  <w:noWrap w:val="0"/>
                  <w:vAlign w:val="center"/>
                </w:tcPr>
                <w:p w14:paraId="4AE12B8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kern w:val="0"/>
                      <w:sz w:val="21"/>
                      <w:szCs w:val="21"/>
                      <w:highlight w:val="none"/>
                      <w:fitText w:val="420" w:id="1721516048"/>
                      <w14:textFill>
                        <w14:solidFill>
                          <w14:schemeClr w14:val="tx1"/>
                        </w14:solidFill>
                      </w14:textFill>
                    </w:rPr>
                    <w:t>项目</w:t>
                  </w:r>
                </w:p>
              </w:tc>
              <w:tc>
                <w:tcPr>
                  <w:tcW w:w="2203" w:type="pct"/>
                  <w:tcBorders>
                    <w:tl2br w:val="nil"/>
                    <w:tr2bl w:val="nil"/>
                  </w:tcBorders>
                  <w:noWrap w:val="0"/>
                  <w:vAlign w:val="center"/>
                </w:tcPr>
                <w:p w14:paraId="221FC9C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要求</w:t>
                  </w:r>
                </w:p>
              </w:tc>
              <w:tc>
                <w:tcPr>
                  <w:tcW w:w="1631" w:type="pct"/>
                  <w:tcBorders>
                    <w:tl2br w:val="nil"/>
                    <w:tr2bl w:val="nil"/>
                  </w:tcBorders>
                  <w:noWrap w:val="0"/>
                  <w:vAlign w:val="center"/>
                </w:tcPr>
                <w:p w14:paraId="5DF881D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本项目情况</w:t>
                  </w:r>
                </w:p>
              </w:tc>
              <w:tc>
                <w:tcPr>
                  <w:tcW w:w="454" w:type="pct"/>
                  <w:tcBorders>
                    <w:tl2br w:val="nil"/>
                    <w:tr2bl w:val="nil"/>
                  </w:tcBorders>
                  <w:noWrap w:val="0"/>
                  <w:vAlign w:val="center"/>
                </w:tcPr>
                <w:p w14:paraId="2C578B1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相符性</w:t>
                  </w:r>
                </w:p>
              </w:tc>
            </w:tr>
            <w:tr w14:paraId="7602AC27">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13" w:type="dxa"/>
                  <w:bottom w:w="0" w:type="dxa"/>
                  <w:right w:w="113" w:type="dxa"/>
                </w:tblCellMar>
              </w:tblPrEx>
              <w:trPr>
                <w:trHeight w:val="425" w:hRule="atLeast"/>
                <w:jc w:val="center"/>
              </w:trPr>
              <w:tc>
                <w:tcPr>
                  <w:tcW w:w="710" w:type="pct"/>
                  <w:tcBorders>
                    <w:tl2br w:val="nil"/>
                    <w:tr2bl w:val="nil"/>
                  </w:tcBorders>
                  <w:noWrap w:val="0"/>
                  <w:vAlign w:val="center"/>
                </w:tcPr>
                <w:p w14:paraId="6F92CEB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《危险废物转移管理办法》</w:t>
                  </w:r>
                </w:p>
              </w:tc>
              <w:tc>
                <w:tcPr>
                  <w:tcW w:w="2203" w:type="pct"/>
                  <w:tcBorders>
                    <w:tl2br w:val="nil"/>
                    <w:tr2bl w:val="nil"/>
                  </w:tcBorders>
                  <w:noWrap w:val="0"/>
                  <w:vAlign w:val="center"/>
                </w:tcPr>
                <w:p w14:paraId="198C621B">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危险废物托运人(以下简称托运人)应当按照国家危险货物相关标准确定危险废物对应危险货物的类别、项别、编号等，并委托具备相应危险货物运输资质的单位承运危险废物，依法签订运输合同。采用包装方式运输危险废物的，应当妥善包装，并按照国家有关标准在外包</w:t>
                  </w:r>
                </w:p>
                <w:p w14:paraId="1B6F35F0">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装上设置相应的识别标志。</w:t>
                  </w:r>
                </w:p>
                <w:p w14:paraId="7D8109B8">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装载危险废物时，托运人应当核实承运人、运输工具及收运人员是否具有相应经营范围的有效危险货物运输许可证件，以及待转移的危险废物识别标志中的相关信息与危险废物转移联单是否相符;不相符的，应当不予装载。装载采用包装方式运输的危险废物的，应当确保将包装完好的危险废物交付承运人。</w:t>
                  </w:r>
                </w:p>
              </w:tc>
              <w:tc>
                <w:tcPr>
                  <w:tcW w:w="1631" w:type="pct"/>
                  <w:tcBorders>
                    <w:tl2br w:val="nil"/>
                    <w:tr2bl w:val="nil"/>
                  </w:tcBorders>
                  <w:noWrap w:val="0"/>
                  <w:vAlign w:val="center"/>
                </w:tcPr>
                <w:p w14:paraId="7D04E608">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本项目仅涉及危险废物的临时贮存，不涉及运输、利用和处置，运输由有相应危险废物处理资质的单位进行运输，并核实其资质，办理危险废物转移联单。危险废物需登记入库，并在各暂存区分区存放。在容器外设置标识，表明容器盛装的相关说明，包括危险废物装料日期、危废名称、重量、成分、特性以及发生泄漏、扩散事故时的应急措施和补救方法。</w:t>
                  </w:r>
                </w:p>
              </w:tc>
              <w:tc>
                <w:tcPr>
                  <w:tcW w:w="454" w:type="pct"/>
                  <w:tcBorders>
                    <w:tl2br w:val="nil"/>
                    <w:tr2bl w:val="nil"/>
                  </w:tcBorders>
                  <w:noWrap w:val="0"/>
                  <w:vAlign w:val="center"/>
                </w:tcPr>
                <w:p w14:paraId="60E29B0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符合</w:t>
                  </w:r>
                </w:p>
              </w:tc>
            </w:tr>
          </w:tbl>
          <w:p w14:paraId="24787AF3">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157" w:beforeLines="50" w:line="360" w:lineRule="auto"/>
              <w:ind w:firstLine="482"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（7）与《危险废物污染防治技术政策》（环发[2001]199号）符合性分析</w:t>
            </w:r>
          </w:p>
          <w:p w14:paraId="61324A0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本项目运营仅涉及危险废物的临时贮存，不涉及运输、利用和处置，运输由有相应危险废物处理资质的单位进行运输，本项目与《危险废物污染防治技术政策》（环发[2001]199号）的符合性分析如下表。</w:t>
            </w:r>
          </w:p>
          <w:p w14:paraId="3F71B5E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t>表1.</w:t>
            </w:r>
            <w:r>
              <w:rPr>
                <w:rFonts w:hint="eastAsia" w:cs="Times New Roman"/>
                <w:b/>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t xml:space="preserve"> 项目与《危险废物污染防治技术政策》符合性分析</w:t>
            </w:r>
          </w:p>
          <w:tbl>
            <w:tblPr>
              <w:tblStyle w:val="2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57" w:type="dxa"/>
                <w:left w:w="57" w:type="dxa"/>
                <w:bottom w:w="57" w:type="dxa"/>
                <w:right w:w="57" w:type="dxa"/>
              </w:tblCellMar>
            </w:tblPr>
            <w:tblGrid>
              <w:gridCol w:w="1277"/>
              <w:gridCol w:w="3180"/>
              <w:gridCol w:w="2321"/>
              <w:gridCol w:w="927"/>
            </w:tblGrid>
            <w:tr w14:paraId="248672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829" w:type="pct"/>
                  <w:tcBorders>
                    <w:tl2br w:val="nil"/>
                    <w:tr2bl w:val="nil"/>
                  </w:tcBorders>
                  <w:noWrap w:val="0"/>
                  <w:vAlign w:val="center"/>
                </w:tcPr>
                <w:p w14:paraId="1FF47524">
                  <w:pPr>
                    <w:pStyle w:val="73"/>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jc w:val="center"/>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项目</w:t>
                  </w:r>
                </w:p>
              </w:tc>
              <w:tc>
                <w:tcPr>
                  <w:tcW w:w="2063" w:type="pct"/>
                  <w:tcBorders>
                    <w:tl2br w:val="nil"/>
                    <w:tr2bl w:val="nil"/>
                  </w:tcBorders>
                  <w:noWrap w:val="0"/>
                  <w:vAlign w:val="center"/>
                </w:tcPr>
                <w:p w14:paraId="7EE73AF8">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center"/>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标准要求</w:t>
                  </w:r>
                </w:p>
              </w:tc>
              <w:tc>
                <w:tcPr>
                  <w:tcW w:w="1505" w:type="pct"/>
                  <w:tcBorders>
                    <w:tl2br w:val="nil"/>
                    <w:tr2bl w:val="nil"/>
                  </w:tcBorders>
                  <w:noWrap w:val="0"/>
                  <w:vAlign w:val="center"/>
                </w:tcPr>
                <w:p w14:paraId="118DE4D1">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jc w:val="center"/>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本项目情况</w:t>
                  </w:r>
                </w:p>
              </w:tc>
              <w:tc>
                <w:tcPr>
                  <w:tcW w:w="601" w:type="pct"/>
                  <w:tcBorders>
                    <w:tl2br w:val="nil"/>
                    <w:tr2bl w:val="nil"/>
                  </w:tcBorders>
                  <w:noWrap w:val="0"/>
                  <w:vAlign w:val="center"/>
                </w:tcPr>
                <w:p w14:paraId="2FA427D0">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center"/>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相符性</w:t>
                  </w:r>
                </w:p>
              </w:tc>
            </w:tr>
            <w:tr w14:paraId="064E45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829" w:type="pct"/>
                  <w:vMerge w:val="restart"/>
                  <w:tcBorders>
                    <w:tl2br w:val="nil"/>
                    <w:tr2bl w:val="nil"/>
                  </w:tcBorders>
                  <w:noWrap w:val="0"/>
                  <w:vAlign w:val="center"/>
                </w:tcPr>
                <w:p w14:paraId="318F24E6">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center"/>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危险废物的收集和运输</w:t>
                  </w:r>
                </w:p>
              </w:tc>
              <w:tc>
                <w:tcPr>
                  <w:tcW w:w="2063" w:type="pct"/>
                  <w:tcBorders>
                    <w:tl2br w:val="nil"/>
                    <w:tr2bl w:val="nil"/>
                  </w:tcBorders>
                  <w:noWrap w:val="0"/>
                  <w:vAlign w:val="center"/>
                </w:tcPr>
                <w:p w14:paraId="4694108B">
                  <w:pPr>
                    <w:pStyle w:val="73"/>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left"/>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危险废物要根据其成分，用符合国家标准的专门容器分类收集。</w:t>
                  </w:r>
                </w:p>
              </w:tc>
              <w:tc>
                <w:tcPr>
                  <w:tcW w:w="1505" w:type="pct"/>
                  <w:tcBorders>
                    <w:tl2br w:val="nil"/>
                    <w:tr2bl w:val="nil"/>
                  </w:tcBorders>
                  <w:noWrap w:val="0"/>
                  <w:vAlign w:val="center"/>
                </w:tcPr>
                <w:p w14:paraId="3D1F5472">
                  <w:pPr>
                    <w:pStyle w:val="73"/>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left"/>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本项目</w:t>
                  </w:r>
                  <w:r>
                    <w:rPr>
                      <w:rFonts w:hint="default" w:ascii="Times New Roman" w:hAnsi="Times New Roman" w:eastAsia="宋体" w:cs="Times New Roman"/>
                      <w:color w:val="000000" w:themeColor="text1"/>
                      <w:spacing w:val="0"/>
                      <w:w w:val="100"/>
                      <w:kern w:val="21"/>
                      <w:sz w:val="21"/>
                      <w:szCs w:val="21"/>
                      <w:highlight w:val="none"/>
                      <w:lang w:val="en-US" w:eastAsia="zh-CN"/>
                      <w14:textFill>
                        <w14:solidFill>
                          <w14:schemeClr w14:val="tx1"/>
                        </w14:solidFill>
                      </w14:textFill>
                    </w:rPr>
                    <w:t>暂存的危险废物均设置专门容器分类收集。</w:t>
                  </w:r>
                </w:p>
              </w:tc>
              <w:tc>
                <w:tcPr>
                  <w:tcW w:w="601" w:type="pct"/>
                  <w:tcBorders>
                    <w:tl2br w:val="nil"/>
                    <w:tr2bl w:val="nil"/>
                  </w:tcBorders>
                  <w:noWrap w:val="0"/>
                  <w:vAlign w:val="center"/>
                </w:tcPr>
                <w:p w14:paraId="1A07D0E2">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center"/>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符合</w:t>
                  </w:r>
                </w:p>
              </w:tc>
            </w:tr>
            <w:tr w14:paraId="5263E0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829" w:type="pct"/>
                  <w:vMerge w:val="continue"/>
                  <w:tcBorders>
                    <w:tl2br w:val="nil"/>
                    <w:tr2bl w:val="nil"/>
                  </w:tcBorders>
                  <w:noWrap w:val="0"/>
                  <w:vAlign w:val="center"/>
                </w:tcPr>
                <w:p w14:paraId="4AC16249">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p>
              </w:tc>
              <w:tc>
                <w:tcPr>
                  <w:tcW w:w="2063" w:type="pct"/>
                  <w:tcBorders>
                    <w:tl2br w:val="nil"/>
                    <w:tr2bl w:val="nil"/>
                  </w:tcBorders>
                  <w:noWrap w:val="0"/>
                  <w:vAlign w:val="center"/>
                </w:tcPr>
                <w:p w14:paraId="49E42914">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装运危险废物的容器应根据危险废物的不同特性而设计，不易破损、变形、老化，能有效地防止渗漏、扩散。装有危险废物的容器必须贴有标签，在标签上详细标明危险废物的名称、重量、成分、特性以及发生泄漏、扩散污染事故时的应急措施和补救方法。</w:t>
                  </w:r>
                </w:p>
              </w:tc>
              <w:tc>
                <w:tcPr>
                  <w:tcW w:w="1505" w:type="pct"/>
                  <w:tcBorders>
                    <w:tl2br w:val="nil"/>
                    <w:tr2bl w:val="nil"/>
                  </w:tcBorders>
                  <w:noWrap w:val="0"/>
                  <w:vAlign w:val="center"/>
                </w:tcPr>
                <w:p w14:paraId="7BA6E9CF">
                  <w:pPr>
                    <w:pStyle w:val="73"/>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left"/>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本项目地面硬化防渗处理，</w:t>
                  </w:r>
                  <w:r>
                    <w:rPr>
                      <w:rFonts w:hint="default" w:ascii="Times New Roman" w:hAnsi="Times New Roman" w:eastAsia="宋体" w:cs="Times New Roman"/>
                      <w:color w:val="000000" w:themeColor="text1"/>
                      <w:spacing w:val="0"/>
                      <w:w w:val="100"/>
                      <w:kern w:val="21"/>
                      <w:sz w:val="21"/>
                      <w:szCs w:val="21"/>
                      <w:highlight w:val="none"/>
                      <w:lang w:val="en-US" w:eastAsia="zh-CN"/>
                      <w14:textFill>
                        <w14:solidFill>
                          <w14:schemeClr w14:val="tx1"/>
                        </w14:solidFill>
                      </w14:textFill>
                    </w:rPr>
                    <w:t>危险废物</w:t>
                  </w: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均采用密闭容器盛装，可防扬散、防流失、防渗漏</w:t>
                  </w:r>
                  <w:r>
                    <w:rPr>
                      <w:rFonts w:hint="default" w:ascii="Times New Roman" w:hAnsi="Times New Roman" w:eastAsia="宋体" w:cs="Times New Roman"/>
                      <w:color w:val="000000" w:themeColor="text1"/>
                      <w:spacing w:val="0"/>
                      <w:w w:val="100"/>
                      <w:kern w:val="2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0"/>
                      <w:w w:val="100"/>
                      <w:kern w:val="21"/>
                      <w:sz w:val="21"/>
                      <w:szCs w:val="21"/>
                      <w:highlight w:val="none"/>
                      <w:lang w:val="en-US" w:eastAsia="zh-CN"/>
                      <w14:textFill>
                        <w14:solidFill>
                          <w14:schemeClr w14:val="tx1"/>
                        </w14:solidFill>
                      </w14:textFill>
                    </w:rPr>
                    <w:t>容器均贴有标签，并在标签上标注明细。</w:t>
                  </w:r>
                </w:p>
              </w:tc>
              <w:tc>
                <w:tcPr>
                  <w:tcW w:w="601" w:type="pct"/>
                  <w:tcBorders>
                    <w:tl2br w:val="nil"/>
                    <w:tr2bl w:val="nil"/>
                  </w:tcBorders>
                  <w:noWrap w:val="0"/>
                  <w:vAlign w:val="center"/>
                </w:tcPr>
                <w:p w14:paraId="71890199">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center"/>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符合</w:t>
                  </w:r>
                </w:p>
              </w:tc>
            </w:tr>
            <w:tr w14:paraId="70CC75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829" w:type="pct"/>
                  <w:vMerge w:val="continue"/>
                  <w:tcBorders>
                    <w:tl2br w:val="nil"/>
                    <w:tr2bl w:val="nil"/>
                  </w:tcBorders>
                  <w:noWrap w:val="0"/>
                  <w:vAlign w:val="center"/>
                </w:tcPr>
                <w:p w14:paraId="3DA12C7A">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p>
              </w:tc>
              <w:tc>
                <w:tcPr>
                  <w:tcW w:w="2063" w:type="pct"/>
                  <w:tcBorders>
                    <w:tl2br w:val="nil"/>
                    <w:tr2bl w:val="nil"/>
                  </w:tcBorders>
                  <w:noWrap w:val="0"/>
                  <w:vAlign w:val="center"/>
                </w:tcPr>
                <w:p w14:paraId="3BB01AF4">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居民生活、办公和第三产业产生的危险废物（如废电池、废日光灯管等）应与生活垃圾分类收集，通过分类收集提高其回收利用和无害化处理处置，逐步建立和完善社会源危险废物的回收网络。</w:t>
                  </w:r>
                </w:p>
              </w:tc>
              <w:tc>
                <w:tcPr>
                  <w:tcW w:w="1505" w:type="pct"/>
                  <w:tcBorders>
                    <w:tl2br w:val="nil"/>
                    <w:tr2bl w:val="nil"/>
                  </w:tcBorders>
                  <w:noWrap w:val="0"/>
                  <w:vAlign w:val="center"/>
                </w:tcPr>
                <w:p w14:paraId="0D7AE3BD">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本项目对</w:t>
                  </w:r>
                  <w:r>
                    <w:rPr>
                      <w:rFonts w:hint="default" w:ascii="Times New Roman" w:hAnsi="Times New Roman" w:eastAsia="宋体" w:cs="Times New Roman"/>
                      <w:color w:val="000000" w:themeColor="text1"/>
                      <w:spacing w:val="0"/>
                      <w:w w:val="100"/>
                      <w:kern w:val="21"/>
                      <w:sz w:val="21"/>
                      <w:szCs w:val="21"/>
                      <w:highlight w:val="none"/>
                      <w:lang w:val="en-US" w:eastAsia="zh-CN"/>
                      <w14:textFill>
                        <w14:solidFill>
                          <w14:schemeClr w14:val="tx1"/>
                        </w14:solidFill>
                      </w14:textFill>
                    </w:rPr>
                    <w:t>危险废物</w:t>
                  </w: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进行分类收集和</w:t>
                  </w:r>
                  <w:r>
                    <w:rPr>
                      <w:rFonts w:hint="default" w:ascii="Times New Roman" w:hAnsi="Times New Roman" w:eastAsia="宋体" w:cs="Times New Roman"/>
                      <w:color w:val="000000" w:themeColor="text1"/>
                      <w:spacing w:val="0"/>
                      <w:w w:val="100"/>
                      <w:kern w:val="21"/>
                      <w:sz w:val="21"/>
                      <w:szCs w:val="21"/>
                      <w:highlight w:val="none"/>
                      <w:lang w:val="en-US" w:eastAsia="zh-CN"/>
                      <w14:textFill>
                        <w14:solidFill>
                          <w14:schemeClr w14:val="tx1"/>
                        </w14:solidFill>
                      </w14:textFill>
                    </w:rPr>
                    <w:t>暂存。</w:t>
                  </w:r>
                </w:p>
              </w:tc>
              <w:tc>
                <w:tcPr>
                  <w:tcW w:w="601" w:type="pct"/>
                  <w:tcBorders>
                    <w:tl2br w:val="nil"/>
                    <w:tr2bl w:val="nil"/>
                  </w:tcBorders>
                  <w:noWrap w:val="0"/>
                  <w:vAlign w:val="center"/>
                </w:tcPr>
                <w:p w14:paraId="4E711ACD">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center"/>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符合</w:t>
                  </w:r>
                </w:p>
              </w:tc>
            </w:tr>
            <w:tr w14:paraId="7232C0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829" w:type="pct"/>
                  <w:tcBorders>
                    <w:tl2br w:val="nil"/>
                    <w:tr2bl w:val="nil"/>
                  </w:tcBorders>
                  <w:noWrap w:val="0"/>
                  <w:vAlign w:val="center"/>
                </w:tcPr>
                <w:p w14:paraId="6CC58740">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center"/>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危险废物的收集和运输</w:t>
                  </w:r>
                </w:p>
              </w:tc>
              <w:tc>
                <w:tcPr>
                  <w:tcW w:w="2063" w:type="pct"/>
                  <w:tcBorders>
                    <w:tl2br w:val="nil"/>
                    <w:tr2bl w:val="nil"/>
                  </w:tcBorders>
                  <w:noWrap w:val="0"/>
                  <w:vAlign w:val="center"/>
                </w:tcPr>
                <w:p w14:paraId="2652B436">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鼓励发展安全高效的危险废物运输系统，鼓励发展各种形式的专用车辆，对危险废物的运输要求安全可靠，要严格按照危险废物运输的管理规定进行危险废物的运输，减少运输过程中的二次污染和可能造成的环境风险。</w:t>
                  </w:r>
                </w:p>
              </w:tc>
              <w:tc>
                <w:tcPr>
                  <w:tcW w:w="1505" w:type="pct"/>
                  <w:tcBorders>
                    <w:tl2br w:val="nil"/>
                    <w:tr2bl w:val="nil"/>
                  </w:tcBorders>
                  <w:noWrap w:val="0"/>
                  <w:vAlign w:val="center"/>
                </w:tcPr>
                <w:p w14:paraId="24321873">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lang w:val="en-US" w:eastAsia="zh-CN"/>
                      <w14:textFill>
                        <w14:solidFill>
                          <w14:schemeClr w14:val="tx1"/>
                        </w14:solidFill>
                      </w14:textFill>
                    </w:rPr>
                    <w:t>本项目暂存的危险废物均委托有相应危险废物处置资质单位进行运输、回收处理。</w:t>
                  </w:r>
                </w:p>
              </w:tc>
              <w:tc>
                <w:tcPr>
                  <w:tcW w:w="601" w:type="pct"/>
                  <w:tcBorders>
                    <w:tl2br w:val="nil"/>
                    <w:tr2bl w:val="nil"/>
                  </w:tcBorders>
                  <w:noWrap w:val="0"/>
                  <w:vAlign w:val="center"/>
                </w:tcPr>
                <w:p w14:paraId="2F66F4B0">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center"/>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符合</w:t>
                  </w:r>
                </w:p>
              </w:tc>
            </w:tr>
            <w:tr w14:paraId="28F68A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829" w:type="pct"/>
                  <w:vMerge w:val="restart"/>
                  <w:tcBorders>
                    <w:tl2br w:val="nil"/>
                    <w:tr2bl w:val="nil"/>
                  </w:tcBorders>
                  <w:noWrap w:val="0"/>
                  <w:vAlign w:val="center"/>
                </w:tcPr>
                <w:p w14:paraId="6A2A6426">
                  <w:pPr>
                    <w:pStyle w:val="73"/>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jc w:val="center"/>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危险废物的贮存</w:t>
                  </w:r>
                </w:p>
              </w:tc>
              <w:tc>
                <w:tcPr>
                  <w:tcW w:w="2063" w:type="pct"/>
                  <w:tcBorders>
                    <w:tl2br w:val="nil"/>
                    <w:tr2bl w:val="nil"/>
                  </w:tcBorders>
                  <w:noWrap w:val="0"/>
                  <w:vAlign w:val="center"/>
                </w:tcPr>
                <w:p w14:paraId="17D5ED1C">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对已产生的危险废物，若暂时不能回收利用或进行处理处置的，其产生单位须建设专门的危险废物贮存设施进行贮存，并设立危险废物标志，或委托具有专门危险废物贮存设施的单位进行贮存，贮存期限不得超过国家规定。贮存危险废物的单位</w:t>
                  </w:r>
                  <w:r>
                    <w:rPr>
                      <w:rFonts w:hint="default" w:ascii="Times New Roman" w:hAnsi="Times New Roman" w:eastAsia="宋体" w:cs="Times New Roman"/>
                      <w:color w:val="000000" w:themeColor="text1"/>
                      <w:spacing w:val="0"/>
                      <w:w w:val="100"/>
                      <w:kern w:val="21"/>
                      <w:sz w:val="21"/>
                      <w:szCs w:val="21"/>
                      <w:highlight w:val="none"/>
                      <w:lang w:eastAsia="zh-CN"/>
                      <w14:textFill>
                        <w14:solidFill>
                          <w14:schemeClr w14:val="tx1"/>
                        </w14:solidFill>
                      </w14:textFill>
                    </w:rPr>
                    <w:t>须</w:t>
                  </w: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拥有相应的许可证。禁止将危险废物以任何形式转移给无许可证的单位，或转移到非危险废物贮存设施中。危险废物贮存设施应有相应的配套设施并按有关规定进行管理。</w:t>
                  </w:r>
                </w:p>
              </w:tc>
              <w:tc>
                <w:tcPr>
                  <w:tcW w:w="1505" w:type="pct"/>
                  <w:tcBorders>
                    <w:tl2br w:val="nil"/>
                    <w:tr2bl w:val="nil"/>
                  </w:tcBorders>
                  <w:noWrap w:val="0"/>
                  <w:vAlign w:val="center"/>
                </w:tcPr>
                <w:p w14:paraId="30BB1491">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lang w:eastAsia="zh-CN"/>
                      <w14:textFill>
                        <w14:solidFill>
                          <w14:schemeClr w14:val="tx1"/>
                        </w14:solidFill>
                      </w14:textFill>
                    </w:rPr>
                    <w:t>本项目运营</w:t>
                  </w:r>
                  <w:r>
                    <w:rPr>
                      <w:rFonts w:hint="default" w:ascii="Times New Roman" w:hAnsi="Times New Roman" w:eastAsia="宋体" w:cs="Times New Roman"/>
                      <w:color w:val="000000" w:themeColor="text1"/>
                      <w:spacing w:val="0"/>
                      <w:w w:val="100"/>
                      <w:kern w:val="21"/>
                      <w:sz w:val="21"/>
                      <w:szCs w:val="21"/>
                      <w:highlight w:val="none"/>
                      <w:lang w:val="en-US" w:eastAsia="zh-CN"/>
                      <w14:textFill>
                        <w14:solidFill>
                          <w14:schemeClr w14:val="tx1"/>
                        </w14:solidFill>
                      </w14:textFill>
                    </w:rPr>
                    <w:t>期间产生的危险废物为活性炭吸附装置</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产生的危险废物（废活性炭）暂存于危险废物</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贮存库</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内，定期交由有资质单位处理处置。</w:t>
                  </w:r>
                </w:p>
              </w:tc>
              <w:tc>
                <w:tcPr>
                  <w:tcW w:w="601" w:type="pct"/>
                  <w:tcBorders>
                    <w:tl2br w:val="nil"/>
                    <w:tr2bl w:val="nil"/>
                  </w:tcBorders>
                  <w:noWrap w:val="0"/>
                  <w:vAlign w:val="center"/>
                </w:tcPr>
                <w:p w14:paraId="0EC53944">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center"/>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符合</w:t>
                  </w:r>
                </w:p>
              </w:tc>
            </w:tr>
            <w:tr w14:paraId="4C5631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829" w:type="pct"/>
                  <w:vMerge w:val="continue"/>
                  <w:tcBorders>
                    <w:tl2br w:val="nil"/>
                    <w:tr2bl w:val="nil"/>
                  </w:tcBorders>
                  <w:noWrap w:val="0"/>
                  <w:vAlign w:val="center"/>
                </w:tcPr>
                <w:p w14:paraId="76CA74A1">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jc w:val="center"/>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p>
              </w:tc>
              <w:tc>
                <w:tcPr>
                  <w:tcW w:w="2063" w:type="pct"/>
                  <w:tcBorders>
                    <w:tl2br w:val="nil"/>
                    <w:tr2bl w:val="nil"/>
                  </w:tcBorders>
                  <w:noWrap w:val="0"/>
                  <w:vAlign w:val="center"/>
                </w:tcPr>
                <w:p w14:paraId="040F7A24">
                  <w:pPr>
                    <w:pStyle w:val="73"/>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left"/>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应建有堵截泄漏的裙脚</w:t>
                  </w:r>
                  <w:r>
                    <w:rPr>
                      <w:rFonts w:hint="default" w:ascii="Times New Roman" w:hAnsi="Times New Roman" w:eastAsia="宋体" w:cs="Times New Roman"/>
                      <w:color w:val="000000" w:themeColor="text1"/>
                      <w:spacing w:val="0"/>
                      <w:w w:val="100"/>
                      <w:kern w:val="2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地面与裙脚要用坚固防渗的材料建造。应有隔离设施、报警装置和防风、防晒、防雨设施</w:t>
                  </w:r>
                  <w:r>
                    <w:rPr>
                      <w:rFonts w:hint="default" w:ascii="Times New Roman" w:hAnsi="Times New Roman" w:eastAsia="宋体" w:cs="Times New Roman"/>
                      <w:color w:val="000000" w:themeColor="text1"/>
                      <w:spacing w:val="0"/>
                      <w:w w:val="100"/>
                      <w:kern w:val="21"/>
                      <w:sz w:val="21"/>
                      <w:szCs w:val="21"/>
                      <w:highlight w:val="none"/>
                      <w:lang w:eastAsia="zh-CN"/>
                      <w14:textFill>
                        <w14:solidFill>
                          <w14:schemeClr w14:val="tx1"/>
                        </w14:solidFill>
                      </w14:textFill>
                    </w:rPr>
                    <w:t>。</w:t>
                  </w:r>
                </w:p>
              </w:tc>
              <w:tc>
                <w:tcPr>
                  <w:tcW w:w="1505" w:type="pct"/>
                  <w:tcBorders>
                    <w:tl2br w:val="nil"/>
                    <w:tr2bl w:val="nil"/>
                  </w:tcBorders>
                  <w:noWrap w:val="0"/>
                  <w:vAlign w:val="center"/>
                </w:tcPr>
                <w:p w14:paraId="7F328553">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lang w:val="en-US" w:eastAsia="zh-CN"/>
                      <w14:textFill>
                        <w14:solidFill>
                          <w14:schemeClr w14:val="tx1"/>
                        </w14:solidFill>
                      </w14:textFill>
                    </w:rPr>
                    <w:t>本项目危险废物</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贮存库</w:t>
                  </w: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建有堵截泄漏的裙脚</w:t>
                  </w:r>
                  <w:r>
                    <w:rPr>
                      <w:rFonts w:hint="default" w:ascii="Times New Roman" w:hAnsi="Times New Roman" w:eastAsia="宋体" w:cs="Times New Roman"/>
                      <w:color w:val="000000" w:themeColor="text1"/>
                      <w:spacing w:val="0"/>
                      <w:w w:val="100"/>
                      <w:kern w:val="2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地面与裙脚</w:t>
                  </w:r>
                  <w:r>
                    <w:rPr>
                      <w:rFonts w:hint="default" w:ascii="Times New Roman" w:hAnsi="Times New Roman" w:eastAsia="宋体" w:cs="Times New Roman"/>
                      <w:color w:val="000000" w:themeColor="text1"/>
                      <w:spacing w:val="0"/>
                      <w:w w:val="100"/>
                      <w:kern w:val="21"/>
                      <w:sz w:val="21"/>
                      <w:szCs w:val="21"/>
                      <w:highlight w:val="none"/>
                      <w:lang w:val="en-US" w:eastAsia="zh-CN"/>
                      <w14:textFill>
                        <w14:solidFill>
                          <w14:schemeClr w14:val="tx1"/>
                        </w14:solidFill>
                      </w14:textFill>
                    </w:rPr>
                    <w:t>采用</w:t>
                  </w: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防渗的材料建造。</w:t>
                  </w:r>
                  <w:r>
                    <w:rPr>
                      <w:rFonts w:hint="default" w:ascii="Times New Roman" w:hAnsi="Times New Roman" w:eastAsia="宋体" w:cs="Times New Roman"/>
                      <w:color w:val="000000" w:themeColor="text1"/>
                      <w:spacing w:val="0"/>
                      <w:w w:val="100"/>
                      <w:kern w:val="21"/>
                      <w:sz w:val="21"/>
                      <w:szCs w:val="21"/>
                      <w:highlight w:val="none"/>
                      <w:lang w:val="en-US" w:eastAsia="zh-CN"/>
                      <w14:textFill>
                        <w14:solidFill>
                          <w14:schemeClr w14:val="tx1"/>
                        </w14:solidFill>
                      </w14:textFill>
                    </w:rPr>
                    <w:t>设有应急设施</w:t>
                  </w: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和防风、防晒、防雨设施</w:t>
                  </w:r>
                  <w:r>
                    <w:rPr>
                      <w:rFonts w:hint="default" w:ascii="Times New Roman" w:hAnsi="Times New Roman" w:eastAsia="宋体" w:cs="Times New Roman"/>
                      <w:color w:val="000000" w:themeColor="text1"/>
                      <w:spacing w:val="0"/>
                      <w:w w:val="100"/>
                      <w:kern w:val="21"/>
                      <w:sz w:val="21"/>
                      <w:szCs w:val="21"/>
                      <w:highlight w:val="none"/>
                      <w:lang w:eastAsia="zh-CN"/>
                      <w14:textFill>
                        <w14:solidFill>
                          <w14:schemeClr w14:val="tx1"/>
                        </w14:solidFill>
                      </w14:textFill>
                    </w:rPr>
                    <w:t>。</w:t>
                  </w:r>
                </w:p>
              </w:tc>
              <w:tc>
                <w:tcPr>
                  <w:tcW w:w="601" w:type="pct"/>
                  <w:tcBorders>
                    <w:tl2br w:val="nil"/>
                    <w:tr2bl w:val="nil"/>
                  </w:tcBorders>
                  <w:noWrap w:val="0"/>
                  <w:vAlign w:val="center"/>
                </w:tcPr>
                <w:p w14:paraId="02174C47">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center"/>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符合</w:t>
                  </w:r>
                </w:p>
              </w:tc>
            </w:tr>
            <w:tr w14:paraId="449707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829" w:type="pct"/>
                  <w:vMerge w:val="continue"/>
                  <w:tcBorders>
                    <w:tl2br w:val="nil"/>
                    <w:tr2bl w:val="nil"/>
                  </w:tcBorders>
                  <w:noWrap w:val="0"/>
                  <w:vAlign w:val="center"/>
                </w:tcPr>
                <w:p w14:paraId="6636D30E">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p>
              </w:tc>
              <w:tc>
                <w:tcPr>
                  <w:tcW w:w="2063" w:type="pct"/>
                  <w:tcBorders>
                    <w:tl2br w:val="nil"/>
                    <w:tr2bl w:val="nil"/>
                  </w:tcBorders>
                  <w:noWrap w:val="0"/>
                  <w:vAlign w:val="center"/>
                </w:tcPr>
                <w:p w14:paraId="0B2EBC4E">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基础防渗层为</w:t>
                  </w:r>
                  <w:r>
                    <w:rPr>
                      <w:rFonts w:hint="default" w:ascii="Times New Roman" w:hAnsi="Times New Roman" w:eastAsia="宋体" w:cs="Times New Roman"/>
                      <w:color w:val="000000" w:themeColor="text1"/>
                      <w:spacing w:val="0"/>
                      <w:w w:val="100"/>
                      <w:kern w:val="21"/>
                      <w:sz w:val="21"/>
                      <w:szCs w:val="21"/>
                      <w:highlight w:val="none"/>
                      <w:lang w:eastAsia="zh-CN"/>
                      <w14:textFill>
                        <w14:solidFill>
                          <w14:schemeClr w14:val="tx1"/>
                        </w14:solidFill>
                      </w14:textFill>
                    </w:rPr>
                    <w:t>黏土层</w:t>
                  </w: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的</w:t>
                  </w:r>
                  <w:r>
                    <w:rPr>
                      <w:rFonts w:hint="default" w:ascii="Times New Roman" w:hAnsi="Times New Roman" w:eastAsia="宋体" w:cs="Times New Roman"/>
                      <w:color w:val="000000" w:themeColor="text1"/>
                      <w:spacing w:val="0"/>
                      <w:w w:val="100"/>
                      <w:kern w:val="2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其厚度应在1米以上，渗透系数应小于1.×10</w:t>
                  </w:r>
                  <w:r>
                    <w:rPr>
                      <w:rFonts w:hint="default" w:ascii="Times New Roman" w:hAnsi="Times New Roman" w:eastAsia="宋体" w:cs="Times New Roman"/>
                      <w:color w:val="000000" w:themeColor="text1"/>
                      <w:spacing w:val="0"/>
                      <w:w w:val="100"/>
                      <w:kern w:val="21"/>
                      <w:sz w:val="21"/>
                      <w:szCs w:val="21"/>
                      <w:highlight w:val="none"/>
                      <w:vertAlign w:val="superscript"/>
                      <w14:textFill>
                        <w14:solidFill>
                          <w14:schemeClr w14:val="tx1"/>
                        </w14:solidFill>
                      </w14:textFill>
                    </w:rPr>
                    <w:t>－7</w:t>
                  </w: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厘米/秒；基础防渗层也可用厚度在2毫米以上的高密度聚乙烯或其他人工防渗材料组成，渗透系数应小于1×10</w:t>
                  </w:r>
                  <w:r>
                    <w:rPr>
                      <w:rFonts w:hint="default" w:ascii="Times New Roman" w:hAnsi="Times New Roman" w:eastAsia="宋体" w:cs="Times New Roman"/>
                      <w:color w:val="000000" w:themeColor="text1"/>
                      <w:spacing w:val="0"/>
                      <w:w w:val="100"/>
                      <w:kern w:val="21"/>
                      <w:sz w:val="21"/>
                      <w:szCs w:val="21"/>
                      <w:highlight w:val="none"/>
                      <w:vertAlign w:val="superscript"/>
                      <w14:textFill>
                        <w14:solidFill>
                          <w14:schemeClr w14:val="tx1"/>
                        </w14:solidFill>
                      </w14:textFill>
                    </w:rPr>
                    <w:t>－10</w:t>
                  </w: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厘米/秒</w:t>
                  </w:r>
                  <w:r>
                    <w:rPr>
                      <w:rFonts w:hint="default" w:ascii="Times New Roman" w:hAnsi="Times New Roman" w:eastAsia="宋体" w:cs="Times New Roman"/>
                      <w:color w:val="000000" w:themeColor="text1"/>
                      <w:spacing w:val="0"/>
                      <w:w w:val="100"/>
                      <w:kern w:val="21"/>
                      <w:sz w:val="21"/>
                      <w:szCs w:val="21"/>
                      <w:highlight w:val="none"/>
                      <w:lang w:eastAsia="zh-CN"/>
                      <w14:textFill>
                        <w14:solidFill>
                          <w14:schemeClr w14:val="tx1"/>
                        </w14:solidFill>
                      </w14:textFill>
                    </w:rPr>
                    <w:t>。</w:t>
                  </w:r>
                </w:p>
              </w:tc>
              <w:tc>
                <w:tcPr>
                  <w:tcW w:w="1505" w:type="pct"/>
                  <w:tcBorders>
                    <w:tl2br w:val="nil"/>
                    <w:tr2bl w:val="nil"/>
                  </w:tcBorders>
                  <w:noWrap w:val="0"/>
                  <w:vAlign w:val="center"/>
                </w:tcPr>
                <w:p w14:paraId="36D3D3A2">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项目</w:t>
                  </w:r>
                  <w:r>
                    <w:rPr>
                      <w:rFonts w:hint="default" w:ascii="Times New Roman" w:hAnsi="Times New Roman" w:eastAsia="宋体" w:cs="Times New Roman"/>
                      <w:color w:val="000000" w:themeColor="text1"/>
                      <w:sz w:val="21"/>
                      <w:szCs w:val="21"/>
                      <w:highlight w:val="none"/>
                      <w14:textFill>
                        <w14:solidFill>
                          <w14:schemeClr w14:val="tx1"/>
                        </w14:solidFill>
                      </w14:textFill>
                    </w:rPr>
                    <w:t>防渗措施是防渗混凝土+2mm厚HDPE膜防渗措施，表面平整无裂痕，承重良好，最上面采用防静电、耐腐蚀</w:t>
                  </w:r>
                  <w:r>
                    <w:rPr>
                      <w:rFonts w:hint="eastAsia" w:eastAsia="宋体" w:cs="Times New Roman"/>
                      <w:color w:val="000000" w:themeColor="text1"/>
                      <w:sz w:val="21"/>
                      <w:szCs w:val="21"/>
                      <w:highlight w:val="none"/>
                      <w:lang w:eastAsia="zh-CN"/>
                      <w14:textFill>
                        <w14:solidFill>
                          <w14:schemeClr w14:val="tx1"/>
                        </w14:solidFill>
                      </w14:textFill>
                    </w:rPr>
                    <w:t>环氧防腐地坪漆</w:t>
                  </w:r>
                  <w:r>
                    <w:rPr>
                      <w:rFonts w:hint="default" w:ascii="Times New Roman" w:hAnsi="Times New Roman" w:eastAsia="宋体" w:cs="Times New Roman"/>
                      <w:color w:val="000000" w:themeColor="text1"/>
                      <w:sz w:val="21"/>
                      <w:szCs w:val="21"/>
                      <w:highlight w:val="none"/>
                      <w14:textFill>
                        <w14:solidFill>
                          <w14:schemeClr w14:val="tx1"/>
                        </w14:solidFill>
                      </w14:textFill>
                    </w:rPr>
                    <w:t>，材料渗透系数 K ≤10</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-10</w:t>
                  </w:r>
                  <w:r>
                    <w:rPr>
                      <w:rFonts w:hint="default" w:ascii="Times New Roman" w:hAnsi="Times New Roman" w:eastAsia="宋体" w:cs="Times New Roman"/>
                      <w:color w:val="000000" w:themeColor="text1"/>
                      <w:sz w:val="21"/>
                      <w:szCs w:val="21"/>
                      <w:highlight w:val="none"/>
                      <w14:textFill>
                        <w14:solidFill>
                          <w14:schemeClr w14:val="tx1"/>
                        </w14:solidFill>
                      </w14:textFill>
                    </w:rPr>
                    <w:t>cm/s。</w:t>
                  </w:r>
                </w:p>
              </w:tc>
              <w:tc>
                <w:tcPr>
                  <w:tcW w:w="601" w:type="pct"/>
                  <w:tcBorders>
                    <w:tl2br w:val="nil"/>
                    <w:tr2bl w:val="nil"/>
                  </w:tcBorders>
                  <w:noWrap w:val="0"/>
                  <w:vAlign w:val="center"/>
                </w:tcPr>
                <w:p w14:paraId="31854188">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center"/>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符合</w:t>
                  </w:r>
                </w:p>
              </w:tc>
            </w:tr>
            <w:tr w14:paraId="75F294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829" w:type="pct"/>
                  <w:vMerge w:val="continue"/>
                  <w:tcBorders>
                    <w:tl2br w:val="nil"/>
                    <w:tr2bl w:val="nil"/>
                  </w:tcBorders>
                  <w:noWrap w:val="0"/>
                  <w:vAlign w:val="center"/>
                </w:tcPr>
                <w:p w14:paraId="785D2451">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p>
              </w:tc>
              <w:tc>
                <w:tcPr>
                  <w:tcW w:w="2063" w:type="pct"/>
                  <w:tcBorders>
                    <w:tl2br w:val="nil"/>
                    <w:tr2bl w:val="nil"/>
                  </w:tcBorders>
                  <w:noWrap w:val="0"/>
                  <w:vAlign w:val="center"/>
                </w:tcPr>
                <w:p w14:paraId="7C3F9631">
                  <w:pPr>
                    <w:pStyle w:val="73"/>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left"/>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须有泄漏液体收集装置及气体导出口和气体净化装置</w:t>
                  </w:r>
                </w:p>
              </w:tc>
              <w:tc>
                <w:tcPr>
                  <w:tcW w:w="1505" w:type="pct"/>
                  <w:tcBorders>
                    <w:tl2br w:val="nil"/>
                    <w:tr2bl w:val="nil"/>
                  </w:tcBorders>
                  <w:noWrap w:val="0"/>
                  <w:vAlign w:val="center"/>
                </w:tcPr>
                <w:p w14:paraId="7256A9A2">
                  <w:pPr>
                    <w:pStyle w:val="73"/>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left"/>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设置</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14:textFill>
                        <w14:solidFill>
                          <w14:schemeClr w14:val="tx1"/>
                        </w14:solidFill>
                      </w14:textFill>
                    </w:rPr>
                    <w:t>座</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有效容积</w:t>
                  </w:r>
                  <w:r>
                    <w:rPr>
                      <w:rFonts w:hint="eastAsia" w:eastAsia="宋体"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w:t>
                  </w:r>
                  <w:r>
                    <w:rPr>
                      <w:rFonts w:hint="default" w:ascii="Times New Roman" w:hAnsi="Times New Roman" w:eastAsia="宋体" w:cs="Times New Roman"/>
                      <w:color w:val="000000" w:themeColor="text1"/>
                      <w:sz w:val="21"/>
                      <w:szCs w:val="21"/>
                      <w:highlight w:val="none"/>
                      <w14:textFill>
                        <w14:solidFill>
                          <w14:schemeClr w14:val="tx1"/>
                        </w14:solidFill>
                      </w14:textFill>
                    </w:rPr>
                    <w:t>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事故池用于收集泄漏液体</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危险废物储存产生的废气经负压收集+碱液喷淋吸附装置+二级活性炭吸附装置+15m高排气筒（DA001）高空排放</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601" w:type="pct"/>
                  <w:tcBorders>
                    <w:tl2br w:val="nil"/>
                    <w:tr2bl w:val="nil"/>
                  </w:tcBorders>
                  <w:noWrap w:val="0"/>
                  <w:vAlign w:val="center"/>
                </w:tcPr>
                <w:p w14:paraId="6E5F194D">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center"/>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符合</w:t>
                  </w:r>
                </w:p>
              </w:tc>
            </w:tr>
            <w:tr w14:paraId="3992CB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829" w:type="pct"/>
                  <w:vMerge w:val="continue"/>
                  <w:tcBorders>
                    <w:tl2br w:val="nil"/>
                    <w:tr2bl w:val="nil"/>
                  </w:tcBorders>
                  <w:noWrap w:val="0"/>
                  <w:vAlign w:val="center"/>
                </w:tcPr>
                <w:p w14:paraId="24245813">
                  <w:pPr>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p>
              </w:tc>
              <w:tc>
                <w:tcPr>
                  <w:tcW w:w="2063" w:type="pct"/>
                  <w:tcBorders>
                    <w:tl2br w:val="nil"/>
                    <w:tr2bl w:val="nil"/>
                  </w:tcBorders>
                  <w:noWrap w:val="0"/>
                  <w:vAlign w:val="center"/>
                </w:tcPr>
                <w:p w14:paraId="7E7867C9">
                  <w:pPr>
                    <w:pStyle w:val="73"/>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left"/>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用于存放液体、半固体危险废物的地方，还须有耐腐蚀的硬化地面，地面无裂隙</w:t>
                  </w:r>
                </w:p>
              </w:tc>
              <w:tc>
                <w:tcPr>
                  <w:tcW w:w="1505" w:type="pct"/>
                  <w:tcBorders>
                    <w:tl2br w:val="nil"/>
                    <w:tr2bl w:val="nil"/>
                  </w:tcBorders>
                  <w:noWrap w:val="0"/>
                  <w:vAlign w:val="center"/>
                </w:tcPr>
                <w:p w14:paraId="4CEA442C">
                  <w:pPr>
                    <w:pStyle w:val="73"/>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left"/>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本项目</w:t>
                  </w:r>
                  <w:r>
                    <w:rPr>
                      <w:rFonts w:hint="default" w:ascii="Times New Roman" w:hAnsi="Times New Roman" w:eastAsia="宋体" w:cs="Times New Roman"/>
                      <w:color w:val="000000" w:themeColor="text1"/>
                      <w:spacing w:val="0"/>
                      <w:w w:val="100"/>
                      <w:kern w:val="21"/>
                      <w:sz w:val="21"/>
                      <w:szCs w:val="21"/>
                      <w:highlight w:val="none"/>
                      <w:lang w:val="en-US" w:eastAsia="zh-CN"/>
                      <w14:textFill>
                        <w14:solidFill>
                          <w14:schemeClr w14:val="tx1"/>
                        </w14:solidFill>
                      </w14:textFill>
                    </w:rPr>
                    <w:t>危险</w:t>
                  </w:r>
                  <w:r>
                    <w:rPr>
                      <w:rFonts w:hint="default" w:ascii="Times New Roman" w:hAnsi="Times New Roman" w:eastAsia="宋体" w:cs="Times New Roman"/>
                      <w:color w:val="000000" w:themeColor="text1"/>
                      <w:kern w:val="24"/>
                      <w:sz w:val="21"/>
                      <w:szCs w:val="21"/>
                      <w:highlight w:val="none"/>
                      <w:lang w:val="en-US" w:eastAsia="zh-CN"/>
                      <w14:textFill>
                        <w14:solidFill>
                          <w14:schemeClr w14:val="tx1"/>
                        </w14:solidFill>
                      </w14:textFill>
                    </w:rPr>
                    <w:t>贮存库</w:t>
                  </w: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地面</w:t>
                  </w:r>
                  <w:r>
                    <w:rPr>
                      <w:rFonts w:hint="default" w:ascii="Times New Roman" w:hAnsi="Times New Roman" w:eastAsia="宋体" w:cs="Times New Roman"/>
                      <w:color w:val="000000" w:themeColor="text1"/>
                      <w:spacing w:val="0"/>
                      <w:w w:val="100"/>
                      <w:kern w:val="21"/>
                      <w:sz w:val="21"/>
                      <w:szCs w:val="21"/>
                      <w:highlight w:val="none"/>
                      <w:lang w:val="en-US" w:eastAsia="zh-CN"/>
                      <w14:textFill>
                        <w14:solidFill>
                          <w14:schemeClr w14:val="tx1"/>
                        </w14:solidFill>
                      </w14:textFill>
                    </w:rPr>
                    <w:t>防渗、</w:t>
                  </w: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耐腐蚀硬化处理，设置收集和导流系统</w:t>
                  </w:r>
                </w:p>
              </w:tc>
              <w:tc>
                <w:tcPr>
                  <w:tcW w:w="601" w:type="pct"/>
                  <w:tcBorders>
                    <w:tl2br w:val="nil"/>
                    <w:tr2bl w:val="nil"/>
                  </w:tcBorders>
                  <w:noWrap w:val="0"/>
                  <w:vAlign w:val="center"/>
                </w:tcPr>
                <w:p w14:paraId="4082527D">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center"/>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符合</w:t>
                  </w:r>
                </w:p>
              </w:tc>
            </w:tr>
            <w:tr w14:paraId="766F5D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829" w:type="pct"/>
                  <w:vMerge w:val="restart"/>
                  <w:tcBorders>
                    <w:tl2br w:val="nil"/>
                    <w:tr2bl w:val="nil"/>
                  </w:tcBorders>
                  <w:noWrap w:val="0"/>
                  <w:vAlign w:val="center"/>
                </w:tcPr>
                <w:p w14:paraId="457EF97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危险废物的贮存</w:t>
                  </w:r>
                </w:p>
              </w:tc>
              <w:tc>
                <w:tcPr>
                  <w:tcW w:w="2063" w:type="pct"/>
                  <w:tcBorders>
                    <w:tl2br w:val="nil"/>
                    <w:tr2bl w:val="nil"/>
                  </w:tcBorders>
                  <w:noWrap w:val="0"/>
                  <w:vAlign w:val="center"/>
                </w:tcPr>
                <w:p w14:paraId="7B327ED2">
                  <w:pPr>
                    <w:pStyle w:val="73"/>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left"/>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不相容的危险废物堆放区必须有隔离间隔断</w:t>
                  </w:r>
                  <w:r>
                    <w:rPr>
                      <w:rFonts w:hint="default" w:ascii="Times New Roman" w:hAnsi="Times New Roman" w:eastAsia="宋体" w:cs="Times New Roman"/>
                      <w:color w:val="000000" w:themeColor="text1"/>
                      <w:spacing w:val="0"/>
                      <w:w w:val="100"/>
                      <w:kern w:val="21"/>
                      <w:sz w:val="21"/>
                      <w:szCs w:val="21"/>
                      <w:highlight w:val="none"/>
                      <w:lang w:eastAsia="zh-CN"/>
                      <w14:textFill>
                        <w14:solidFill>
                          <w14:schemeClr w14:val="tx1"/>
                        </w14:solidFill>
                      </w14:textFill>
                    </w:rPr>
                    <w:t>。</w:t>
                  </w:r>
                </w:p>
              </w:tc>
              <w:tc>
                <w:tcPr>
                  <w:tcW w:w="1505" w:type="pct"/>
                  <w:tcBorders>
                    <w:tl2br w:val="nil"/>
                    <w:tr2bl w:val="nil"/>
                  </w:tcBorders>
                  <w:noWrap w:val="0"/>
                  <w:vAlign w:val="center"/>
                </w:tcPr>
                <w:p w14:paraId="768BB508">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lang w:eastAsia="zh-CN"/>
                      <w14:textFill>
                        <w14:solidFill>
                          <w14:schemeClr w14:val="tx1"/>
                        </w14:solidFill>
                      </w14:textFill>
                    </w:rPr>
                    <w:t>本项目运营</w:t>
                  </w:r>
                  <w:r>
                    <w:rPr>
                      <w:rFonts w:hint="default" w:ascii="Times New Roman" w:hAnsi="Times New Roman" w:eastAsia="宋体" w:cs="Times New Roman"/>
                      <w:color w:val="000000" w:themeColor="text1"/>
                      <w:spacing w:val="0"/>
                      <w:w w:val="100"/>
                      <w:kern w:val="21"/>
                      <w:sz w:val="21"/>
                      <w:szCs w:val="21"/>
                      <w:highlight w:val="none"/>
                      <w:lang w:val="en-US" w:eastAsia="zh-CN"/>
                      <w14:textFill>
                        <w14:solidFill>
                          <w14:schemeClr w14:val="tx1"/>
                        </w14:solidFill>
                      </w14:textFill>
                    </w:rPr>
                    <w:t>不相容的危险废物堆放区设有隔离间隔断</w:t>
                  </w:r>
                  <w:r>
                    <w:rPr>
                      <w:rFonts w:hint="default" w:ascii="Times New Roman" w:hAnsi="Times New Roman" w:eastAsia="宋体" w:cs="Times New Roman"/>
                      <w:color w:val="000000" w:themeColor="text1"/>
                      <w:spacing w:val="0"/>
                      <w:w w:val="100"/>
                      <w:kern w:val="21"/>
                      <w:sz w:val="21"/>
                      <w:szCs w:val="21"/>
                      <w:highlight w:val="none"/>
                      <w:lang w:eastAsia="zh-CN"/>
                      <w14:textFill>
                        <w14:solidFill>
                          <w14:schemeClr w14:val="tx1"/>
                        </w14:solidFill>
                      </w14:textFill>
                    </w:rPr>
                    <w:t>。</w:t>
                  </w:r>
                </w:p>
              </w:tc>
              <w:tc>
                <w:tcPr>
                  <w:tcW w:w="601" w:type="pct"/>
                  <w:tcBorders>
                    <w:tl2br w:val="nil"/>
                    <w:tr2bl w:val="nil"/>
                  </w:tcBorders>
                  <w:noWrap w:val="0"/>
                  <w:vAlign w:val="center"/>
                </w:tcPr>
                <w:p w14:paraId="02871BF6">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center"/>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符合</w:t>
                  </w:r>
                </w:p>
              </w:tc>
            </w:tr>
            <w:tr w14:paraId="061F8D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829" w:type="pct"/>
                  <w:vMerge w:val="continue"/>
                  <w:tcBorders>
                    <w:tl2br w:val="nil"/>
                    <w:tr2bl w:val="nil"/>
                  </w:tcBorders>
                  <w:noWrap w:val="0"/>
                  <w:vAlign w:val="center"/>
                </w:tcPr>
                <w:p w14:paraId="48327E2B">
                  <w:pPr>
                    <w:pStyle w:val="73"/>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p>
              </w:tc>
              <w:tc>
                <w:tcPr>
                  <w:tcW w:w="2063" w:type="pct"/>
                  <w:tcBorders>
                    <w:tl2br w:val="nil"/>
                    <w:tr2bl w:val="nil"/>
                  </w:tcBorders>
                  <w:noWrap w:val="0"/>
                  <w:vAlign w:val="center"/>
                </w:tcPr>
                <w:p w14:paraId="1F38F9C6">
                  <w:pPr>
                    <w:pStyle w:val="73"/>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left"/>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衬层上需建有渗滤液收集清除系统、径流疏导系统、雨水</w:t>
                  </w:r>
                  <w:r>
                    <w:rPr>
                      <w:rFonts w:hint="default" w:ascii="Times New Roman" w:hAnsi="Times New Roman" w:eastAsia="宋体" w:cs="Times New Roman"/>
                      <w:color w:val="000000" w:themeColor="text1"/>
                      <w:spacing w:val="0"/>
                      <w:w w:val="100"/>
                      <w:kern w:val="21"/>
                      <w:sz w:val="21"/>
                      <w:szCs w:val="21"/>
                      <w:highlight w:val="none"/>
                      <w:lang w:eastAsia="zh-CN"/>
                      <w14:textFill>
                        <w14:solidFill>
                          <w14:schemeClr w14:val="tx1"/>
                        </w14:solidFill>
                      </w14:textFill>
                    </w:rPr>
                    <w:t>初期雨水收集池。</w:t>
                  </w:r>
                </w:p>
              </w:tc>
              <w:tc>
                <w:tcPr>
                  <w:tcW w:w="1505" w:type="pct"/>
                  <w:tcBorders>
                    <w:tl2br w:val="nil"/>
                    <w:tr2bl w:val="nil"/>
                  </w:tcBorders>
                  <w:noWrap w:val="0"/>
                  <w:vAlign w:val="center"/>
                </w:tcPr>
                <w:p w14:paraId="60CBBB4E">
                  <w:pPr>
                    <w:pStyle w:val="73"/>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left"/>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lang w:val="en-US" w:eastAsia="zh-CN"/>
                      <w14:textFill>
                        <w14:solidFill>
                          <w14:schemeClr w14:val="tx1"/>
                        </w14:solidFill>
                      </w14:textFill>
                    </w:rPr>
                    <w:t>本项目危险废物贮存库为一栋独立的密闭厂房，无污染的初期雨水产生，</w:t>
                  </w: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本项目</w:t>
                  </w:r>
                  <w:r>
                    <w:rPr>
                      <w:rFonts w:hint="default" w:ascii="Times New Roman" w:hAnsi="Times New Roman" w:eastAsia="宋体" w:cs="Times New Roman"/>
                      <w:color w:val="000000" w:themeColor="text1"/>
                      <w:spacing w:val="0"/>
                      <w:w w:val="100"/>
                      <w:kern w:val="21"/>
                      <w:sz w:val="21"/>
                      <w:szCs w:val="21"/>
                      <w:highlight w:val="none"/>
                      <w:lang w:val="en-US" w:eastAsia="zh-CN"/>
                      <w14:textFill>
                        <w14:solidFill>
                          <w14:schemeClr w14:val="tx1"/>
                        </w14:solidFill>
                      </w14:textFill>
                    </w:rPr>
                    <w:t>危险</w:t>
                  </w:r>
                  <w:r>
                    <w:rPr>
                      <w:rFonts w:hint="default" w:ascii="Times New Roman" w:hAnsi="Times New Roman" w:eastAsia="宋体" w:cs="Times New Roman"/>
                      <w:color w:val="000000" w:themeColor="text1"/>
                      <w:kern w:val="24"/>
                      <w:sz w:val="21"/>
                      <w:szCs w:val="21"/>
                      <w:highlight w:val="none"/>
                      <w:lang w:val="en-US" w:eastAsia="zh-CN"/>
                      <w14:textFill>
                        <w14:solidFill>
                          <w14:schemeClr w14:val="tx1"/>
                        </w14:solidFill>
                      </w14:textFill>
                    </w:rPr>
                    <w:t>贮存库</w:t>
                  </w: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地面</w:t>
                  </w:r>
                  <w:r>
                    <w:rPr>
                      <w:rFonts w:hint="default" w:ascii="Times New Roman" w:hAnsi="Times New Roman" w:eastAsia="宋体" w:cs="Times New Roman"/>
                      <w:color w:val="000000" w:themeColor="text1"/>
                      <w:spacing w:val="0"/>
                      <w:w w:val="100"/>
                      <w:kern w:val="21"/>
                      <w:sz w:val="21"/>
                      <w:szCs w:val="21"/>
                      <w:highlight w:val="none"/>
                      <w:lang w:val="en-US" w:eastAsia="zh-CN"/>
                      <w14:textFill>
                        <w14:solidFill>
                          <w14:schemeClr w14:val="tx1"/>
                        </w14:solidFill>
                      </w14:textFill>
                    </w:rPr>
                    <w:t>防渗</w:t>
                  </w: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硬化处理，设置收集和导流系统</w:t>
                  </w:r>
                  <w:r>
                    <w:rPr>
                      <w:rFonts w:hint="default" w:ascii="Times New Roman" w:hAnsi="Times New Roman" w:eastAsia="宋体" w:cs="Times New Roman"/>
                      <w:color w:val="000000" w:themeColor="text1"/>
                      <w:spacing w:val="0"/>
                      <w:w w:val="100"/>
                      <w:kern w:val="21"/>
                      <w:sz w:val="21"/>
                      <w:szCs w:val="21"/>
                      <w:highlight w:val="none"/>
                      <w:lang w:eastAsia="zh-CN"/>
                      <w14:textFill>
                        <w14:solidFill>
                          <w14:schemeClr w14:val="tx1"/>
                        </w14:solidFill>
                      </w14:textFill>
                    </w:rPr>
                    <w:t>。</w:t>
                  </w:r>
                </w:p>
              </w:tc>
              <w:tc>
                <w:tcPr>
                  <w:tcW w:w="601" w:type="pct"/>
                  <w:tcBorders>
                    <w:tl2br w:val="nil"/>
                    <w:tr2bl w:val="nil"/>
                  </w:tcBorders>
                  <w:noWrap w:val="0"/>
                  <w:vAlign w:val="center"/>
                </w:tcPr>
                <w:p w14:paraId="03E8D075">
                  <w:pPr>
                    <w:pStyle w:val="73"/>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符合</w:t>
                  </w:r>
                </w:p>
              </w:tc>
            </w:tr>
            <w:tr w14:paraId="170EAD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829" w:type="pct"/>
                  <w:vMerge w:val="continue"/>
                  <w:tcBorders>
                    <w:tl2br w:val="nil"/>
                    <w:tr2bl w:val="nil"/>
                  </w:tcBorders>
                  <w:noWrap w:val="0"/>
                  <w:vAlign w:val="center"/>
                </w:tcPr>
                <w:p w14:paraId="0C19439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bidi="ar-SA"/>
                      <w14:textFill>
                        <w14:solidFill>
                          <w14:schemeClr w14:val="tx1"/>
                        </w14:solidFill>
                      </w14:textFill>
                    </w:rPr>
                  </w:pPr>
                </w:p>
              </w:tc>
              <w:tc>
                <w:tcPr>
                  <w:tcW w:w="2063" w:type="pct"/>
                  <w:tcBorders>
                    <w:tl2br w:val="nil"/>
                    <w:tr2bl w:val="nil"/>
                  </w:tcBorders>
                  <w:noWrap w:val="0"/>
                  <w:vAlign w:val="center"/>
                </w:tcPr>
                <w:p w14:paraId="3B0FBC89">
                  <w:pPr>
                    <w:pStyle w:val="73"/>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left"/>
                    <w:textAlignment w:val="auto"/>
                    <w:rPr>
                      <w:rFonts w:hint="default" w:ascii="Times New Roman" w:hAnsi="Times New Roman" w:eastAsia="宋体" w:cs="Times New Roman"/>
                      <w:color w:val="000000" w:themeColor="text1"/>
                      <w:spacing w:val="0"/>
                      <w:w w:val="100"/>
                      <w:kern w:val="2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贮存易燃易爆的危险废物的场所应配备消防设备，贮存剧毒危险废物的场所必须有专人24小时看管</w:t>
                  </w:r>
                  <w:r>
                    <w:rPr>
                      <w:rFonts w:hint="default" w:ascii="Times New Roman" w:hAnsi="Times New Roman" w:eastAsia="宋体" w:cs="Times New Roman"/>
                      <w:color w:val="000000" w:themeColor="text1"/>
                      <w:spacing w:val="0"/>
                      <w:w w:val="100"/>
                      <w:kern w:val="21"/>
                      <w:sz w:val="21"/>
                      <w:szCs w:val="21"/>
                      <w:highlight w:val="none"/>
                      <w:lang w:eastAsia="zh-CN"/>
                      <w14:textFill>
                        <w14:solidFill>
                          <w14:schemeClr w14:val="tx1"/>
                        </w14:solidFill>
                      </w14:textFill>
                    </w:rPr>
                    <w:t>。</w:t>
                  </w:r>
                </w:p>
              </w:tc>
              <w:tc>
                <w:tcPr>
                  <w:tcW w:w="1505" w:type="pct"/>
                  <w:tcBorders>
                    <w:tl2br w:val="nil"/>
                    <w:tr2bl w:val="nil"/>
                  </w:tcBorders>
                  <w:noWrap w:val="0"/>
                  <w:vAlign w:val="center"/>
                </w:tcPr>
                <w:p w14:paraId="45355DCB">
                  <w:pPr>
                    <w:pStyle w:val="73"/>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left"/>
                    <w:textAlignment w:val="auto"/>
                    <w:rPr>
                      <w:rFonts w:hint="default" w:ascii="Times New Roman" w:hAnsi="Times New Roman" w:eastAsia="宋体" w:cs="Times New Roman"/>
                      <w:color w:val="000000" w:themeColor="text1"/>
                      <w:spacing w:val="0"/>
                      <w:w w:val="100"/>
                      <w:kern w:val="2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lang w:val="en-US" w:eastAsia="zh-CN"/>
                      <w14:textFill>
                        <w14:solidFill>
                          <w14:schemeClr w14:val="tx1"/>
                        </w14:solidFill>
                      </w14:textFill>
                    </w:rPr>
                    <w:t>本项目</w:t>
                  </w: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配备消防设备，贮存剧毒危险废物的场所有专人24小时看管</w:t>
                  </w:r>
                  <w:r>
                    <w:rPr>
                      <w:rFonts w:hint="default" w:ascii="Times New Roman" w:hAnsi="Times New Roman" w:eastAsia="宋体" w:cs="Times New Roman"/>
                      <w:color w:val="000000" w:themeColor="text1"/>
                      <w:spacing w:val="0"/>
                      <w:w w:val="100"/>
                      <w:kern w:val="21"/>
                      <w:sz w:val="21"/>
                      <w:szCs w:val="21"/>
                      <w:highlight w:val="none"/>
                      <w:lang w:eastAsia="zh-CN"/>
                      <w14:textFill>
                        <w14:solidFill>
                          <w14:schemeClr w14:val="tx1"/>
                        </w14:solidFill>
                      </w14:textFill>
                    </w:rPr>
                    <w:t>。</w:t>
                  </w:r>
                </w:p>
              </w:tc>
              <w:tc>
                <w:tcPr>
                  <w:tcW w:w="601" w:type="pct"/>
                  <w:tcBorders>
                    <w:tl2br w:val="nil"/>
                    <w:tr2bl w:val="nil"/>
                  </w:tcBorders>
                  <w:noWrap w:val="0"/>
                  <w:vAlign w:val="center"/>
                </w:tcPr>
                <w:p w14:paraId="52D59EE5">
                  <w:pPr>
                    <w:pStyle w:val="73"/>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符合</w:t>
                  </w:r>
                </w:p>
              </w:tc>
            </w:tr>
            <w:tr w14:paraId="0138AA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829" w:type="pct"/>
                  <w:vMerge w:val="continue"/>
                  <w:tcBorders>
                    <w:tl2br w:val="nil"/>
                    <w:tr2bl w:val="nil"/>
                  </w:tcBorders>
                  <w:noWrap w:val="0"/>
                  <w:vAlign w:val="center"/>
                </w:tcPr>
                <w:p w14:paraId="4D421D31">
                  <w:pPr>
                    <w:pStyle w:val="73"/>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sz w:val="21"/>
                      <w:szCs w:val="21"/>
                      <w:highlight w:val="none"/>
                      <w:vertAlign w:val="baseline"/>
                      <w:lang w:val="en-US" w:eastAsia="zh-CN"/>
                      <w14:textFill>
                        <w14:solidFill>
                          <w14:schemeClr w14:val="tx1"/>
                        </w14:solidFill>
                      </w14:textFill>
                    </w:rPr>
                  </w:pPr>
                </w:p>
              </w:tc>
              <w:tc>
                <w:tcPr>
                  <w:tcW w:w="2063" w:type="pct"/>
                  <w:tcBorders>
                    <w:tl2br w:val="nil"/>
                    <w:tr2bl w:val="nil"/>
                  </w:tcBorders>
                  <w:noWrap w:val="0"/>
                  <w:vAlign w:val="center"/>
                </w:tcPr>
                <w:p w14:paraId="38215D03">
                  <w:pPr>
                    <w:pStyle w:val="73"/>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left"/>
                    <w:textAlignment w:val="auto"/>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危险废物的贮存设施的选址与设计、运行与管理、安全防护、环境监测及应急措施、以及关闭等须遵循《危险废物贮存污染控制标准》的规定</w:t>
                  </w:r>
                </w:p>
              </w:tc>
              <w:tc>
                <w:tcPr>
                  <w:tcW w:w="1505" w:type="pct"/>
                  <w:tcBorders>
                    <w:tl2br w:val="nil"/>
                    <w:tr2bl w:val="nil"/>
                  </w:tcBorders>
                  <w:noWrap w:val="0"/>
                  <w:vAlign w:val="center"/>
                </w:tcPr>
                <w:p w14:paraId="08A1671E">
                  <w:pPr>
                    <w:pStyle w:val="73"/>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left"/>
                    <w:textAlignment w:val="auto"/>
                    <w:rPr>
                      <w:rFonts w:hint="default" w:ascii="Times New Roman" w:hAnsi="Times New Roman" w:eastAsia="宋体" w:cs="Times New Roman"/>
                      <w:color w:val="000000" w:themeColor="text1"/>
                      <w:spacing w:val="0"/>
                      <w:w w:val="100"/>
                      <w:kern w:val="2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lang w:val="en-US" w:eastAsia="zh-CN"/>
                      <w14:textFill>
                        <w14:solidFill>
                          <w14:schemeClr w14:val="tx1"/>
                        </w14:solidFill>
                      </w14:textFill>
                    </w:rPr>
                    <w:t>本项目危险废物</w:t>
                  </w:r>
                  <w:r>
                    <w:rPr>
                      <w:rFonts w:hint="default" w:ascii="Times New Roman" w:hAnsi="Times New Roman" w:eastAsia="宋体" w:cs="Times New Roman"/>
                      <w:color w:val="000000" w:themeColor="text1"/>
                      <w:kern w:val="24"/>
                      <w:sz w:val="21"/>
                      <w:szCs w:val="21"/>
                      <w:highlight w:val="none"/>
                      <w:lang w:val="en-US" w:eastAsia="zh-CN"/>
                      <w14:textFill>
                        <w14:solidFill>
                          <w14:schemeClr w14:val="tx1"/>
                        </w14:solidFill>
                      </w14:textFill>
                    </w:rPr>
                    <w:t>贮存库</w:t>
                  </w:r>
                  <w:r>
                    <w:rPr>
                      <w:rFonts w:hint="default" w:ascii="Times New Roman" w:hAnsi="Times New Roman" w:eastAsia="宋体" w:cs="Times New Roman"/>
                      <w:color w:val="000000" w:themeColor="text1"/>
                      <w:spacing w:val="0"/>
                      <w:w w:val="100"/>
                      <w:kern w:val="21"/>
                      <w:sz w:val="21"/>
                      <w:szCs w:val="21"/>
                      <w:highlight w:val="none"/>
                      <w:lang w:val="en-US" w:eastAsia="zh-CN"/>
                      <w14:textFill>
                        <w14:solidFill>
                          <w14:schemeClr w14:val="tx1"/>
                        </w14:solidFill>
                      </w14:textFill>
                    </w:rPr>
                    <w:t>相关设计运行等均严格按照</w:t>
                  </w: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《危险废物贮存污染控制标准》（GB 18597-2023）</w:t>
                  </w:r>
                  <w:r>
                    <w:rPr>
                      <w:rFonts w:hint="default" w:ascii="Times New Roman" w:hAnsi="Times New Roman" w:eastAsia="宋体" w:cs="Times New Roman"/>
                      <w:color w:val="000000" w:themeColor="text1"/>
                      <w:spacing w:val="0"/>
                      <w:w w:val="100"/>
                      <w:kern w:val="21"/>
                      <w:sz w:val="21"/>
                      <w:szCs w:val="21"/>
                      <w:highlight w:val="none"/>
                      <w:lang w:val="en-US" w:eastAsia="zh-CN"/>
                      <w14:textFill>
                        <w14:solidFill>
                          <w14:schemeClr w14:val="tx1"/>
                        </w14:solidFill>
                      </w14:textFill>
                    </w:rPr>
                    <w:t>进行。</w:t>
                  </w:r>
                </w:p>
              </w:tc>
              <w:tc>
                <w:tcPr>
                  <w:tcW w:w="601" w:type="pct"/>
                  <w:tcBorders>
                    <w:tl2br w:val="nil"/>
                    <w:tr2bl w:val="nil"/>
                  </w:tcBorders>
                  <w:noWrap w:val="0"/>
                  <w:vAlign w:val="center"/>
                </w:tcPr>
                <w:p w14:paraId="6F7C0FD9">
                  <w:pPr>
                    <w:pStyle w:val="73"/>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kern w:val="21"/>
                      <w:sz w:val="21"/>
                      <w:szCs w:val="21"/>
                      <w:highlight w:val="none"/>
                      <w14:textFill>
                        <w14:solidFill>
                          <w14:schemeClr w14:val="tx1"/>
                        </w14:solidFill>
                      </w14:textFill>
                    </w:rPr>
                    <w:t>符合</w:t>
                  </w:r>
                </w:p>
              </w:tc>
            </w:tr>
          </w:tbl>
          <w:p w14:paraId="72062B03">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157" w:beforeLines="50" w:line="360" w:lineRule="auto"/>
              <w:ind w:firstLine="482"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（8）与《危险废物贮存污染控制标准》（GB 18597-2023）符合性分析</w:t>
            </w:r>
          </w:p>
          <w:p w14:paraId="2AA48BF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t>表1.</w:t>
            </w:r>
            <w:r>
              <w:rPr>
                <w:rFonts w:hint="eastAsia" w:cs="Times New Roman"/>
                <w:b/>
                <w:color w:val="000000" w:themeColor="text1"/>
                <w:sz w:val="24"/>
                <w:szCs w:val="24"/>
                <w:highlight w:val="none"/>
                <w:lang w:val="en-US" w:eastAsia="zh-CN"/>
                <w14:textFill>
                  <w14:solidFill>
                    <w14:schemeClr w14:val="tx1"/>
                  </w14:solidFill>
                </w14:textFill>
              </w:rPr>
              <w:t>6</w:t>
            </w:r>
            <w:r>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t xml:space="preserve"> 项目</w:t>
            </w:r>
            <w:r>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与《危险废物贮存污染控制标准》（GB 18597-2023）符合</w:t>
            </w:r>
            <w:r>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t>性分析</w:t>
            </w:r>
          </w:p>
          <w:tbl>
            <w:tblPr>
              <w:tblStyle w:val="2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57" w:type="dxa"/>
                <w:left w:w="57" w:type="dxa"/>
                <w:bottom w:w="57" w:type="dxa"/>
                <w:right w:w="57" w:type="dxa"/>
              </w:tblCellMar>
            </w:tblPr>
            <w:tblGrid>
              <w:gridCol w:w="939"/>
              <w:gridCol w:w="3231"/>
              <w:gridCol w:w="2662"/>
              <w:gridCol w:w="872"/>
            </w:tblGrid>
            <w:tr w14:paraId="3044BE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609" w:type="pct"/>
                  <w:tcBorders>
                    <w:tl2br w:val="nil"/>
                    <w:tr2bl w:val="nil"/>
                  </w:tcBorders>
                  <w:noWrap w:val="0"/>
                  <w:vAlign w:val="center"/>
                </w:tcPr>
                <w:p w14:paraId="79A5D3A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t>项目</w:t>
                  </w:r>
                </w:p>
              </w:tc>
              <w:tc>
                <w:tcPr>
                  <w:tcW w:w="2096" w:type="pct"/>
                  <w:tcBorders>
                    <w:tl2br w:val="nil"/>
                    <w:tr2bl w:val="nil"/>
                  </w:tcBorders>
                  <w:noWrap w:val="0"/>
                  <w:vAlign w:val="center"/>
                </w:tcPr>
                <w:p w14:paraId="5153061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t>标准要求</w:t>
                  </w:r>
                </w:p>
              </w:tc>
              <w:tc>
                <w:tcPr>
                  <w:tcW w:w="1727" w:type="pct"/>
                  <w:tcBorders>
                    <w:tl2br w:val="nil"/>
                    <w:tr2bl w:val="nil"/>
                  </w:tcBorders>
                  <w:noWrap w:val="0"/>
                  <w:vAlign w:val="center"/>
                </w:tcPr>
                <w:p w14:paraId="4463C05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t>本项目情况</w:t>
                  </w:r>
                </w:p>
              </w:tc>
              <w:tc>
                <w:tcPr>
                  <w:tcW w:w="566" w:type="pct"/>
                  <w:tcBorders>
                    <w:tl2br w:val="nil"/>
                    <w:tr2bl w:val="nil"/>
                  </w:tcBorders>
                  <w:noWrap w:val="0"/>
                  <w:vAlign w:val="center"/>
                </w:tcPr>
                <w:p w14:paraId="5DEBFFB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t>相符性</w:t>
                  </w:r>
                </w:p>
              </w:tc>
            </w:tr>
            <w:tr w14:paraId="0EDCDC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609" w:type="pct"/>
                  <w:vMerge w:val="restart"/>
                  <w:tcBorders>
                    <w:tl2br w:val="nil"/>
                    <w:tr2bl w:val="nil"/>
                  </w:tcBorders>
                  <w:noWrap w:val="0"/>
                  <w:vAlign w:val="center"/>
                </w:tcPr>
                <w:p w14:paraId="223EDF8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t>总体</w:t>
                  </w:r>
                </w:p>
                <w:p w14:paraId="2C264B4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t>要求</w:t>
                  </w:r>
                </w:p>
              </w:tc>
              <w:tc>
                <w:tcPr>
                  <w:tcW w:w="2096" w:type="pct"/>
                  <w:tcBorders>
                    <w:tl2br w:val="nil"/>
                    <w:tr2bl w:val="nil"/>
                  </w:tcBorders>
                  <w:noWrap w:val="0"/>
                  <w:vAlign w:val="center"/>
                </w:tcPr>
                <w:p w14:paraId="647D3663">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4.1</w:t>
                  </w: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产生、收集、贮存、利用、处置危险废物的单位应建造危险废物贮存设施或设置贮存场所，并根据需要选择贮存设施类型。</w:t>
                  </w:r>
                </w:p>
              </w:tc>
              <w:tc>
                <w:tcPr>
                  <w:tcW w:w="1727" w:type="pct"/>
                  <w:tcBorders>
                    <w:tl2br w:val="nil"/>
                    <w:tr2bl w:val="nil"/>
                  </w:tcBorders>
                  <w:noWrap w:val="0"/>
                  <w:vAlign w:val="center"/>
                </w:tcPr>
                <w:p w14:paraId="2A3D99EE">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本项目</w:t>
                  </w: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利用租赁地原有建筑物改建而成危险废物</w:t>
                  </w:r>
                  <w:r>
                    <w:rPr>
                      <w:rFonts w:hint="default" w:ascii="Times New Roman" w:hAnsi="Times New Roman" w:eastAsia="宋体" w:cs="Times New Roman"/>
                      <w:color w:val="000000" w:themeColor="text1"/>
                      <w:kern w:val="24"/>
                      <w:sz w:val="21"/>
                      <w:szCs w:val="21"/>
                      <w:highlight w:val="none"/>
                      <w:lang w:val="en-US" w:eastAsia="zh-CN"/>
                      <w14:textFill>
                        <w14:solidFill>
                          <w14:schemeClr w14:val="tx1"/>
                        </w14:solidFill>
                      </w14:textFill>
                    </w:rPr>
                    <w:t>贮存库</w:t>
                  </w: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w:t>
                  </w:r>
                </w:p>
              </w:tc>
              <w:tc>
                <w:tcPr>
                  <w:tcW w:w="566" w:type="pct"/>
                  <w:tcBorders>
                    <w:tl2br w:val="nil"/>
                    <w:tr2bl w:val="nil"/>
                  </w:tcBorders>
                  <w:noWrap w:val="0"/>
                  <w:vAlign w:val="center"/>
                </w:tcPr>
                <w:p w14:paraId="5C2584E8">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符合</w:t>
                  </w:r>
                </w:p>
              </w:tc>
            </w:tr>
            <w:tr w14:paraId="093681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609" w:type="pct"/>
                  <w:vMerge w:val="continue"/>
                  <w:tcBorders>
                    <w:tl2br w:val="nil"/>
                    <w:tr2bl w:val="nil"/>
                  </w:tcBorders>
                  <w:noWrap w:val="0"/>
                  <w:vAlign w:val="center"/>
                </w:tcPr>
                <w:p w14:paraId="416C4CB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p>
              </w:tc>
              <w:tc>
                <w:tcPr>
                  <w:tcW w:w="2096" w:type="pct"/>
                  <w:tcBorders>
                    <w:tl2br w:val="nil"/>
                    <w:tr2bl w:val="nil"/>
                  </w:tcBorders>
                  <w:noWrap w:val="0"/>
                  <w:vAlign w:val="center"/>
                </w:tcPr>
                <w:p w14:paraId="17A08649">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4.2</w:t>
                  </w: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贮存危险废物应根据危险废物的类别、数量、形态、物理化学性质和环境风险等因素，确定贮存设施或场所类型和规模。</w:t>
                  </w:r>
                </w:p>
              </w:tc>
              <w:tc>
                <w:tcPr>
                  <w:tcW w:w="1727" w:type="pct"/>
                  <w:tcBorders>
                    <w:tl2br w:val="nil"/>
                    <w:tr2bl w:val="nil"/>
                  </w:tcBorders>
                  <w:noWrap w:val="0"/>
                  <w:vAlign w:val="center"/>
                </w:tcPr>
                <w:p w14:paraId="4960D6E7">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本项目根据</w:t>
                  </w: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危险废物的类别、数量、形态、物理化学性质和环境风险等因素</w:t>
                  </w: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确定</w:t>
                  </w: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贮存设施或场所类型和规模</w:t>
                  </w:r>
                  <w:r>
                    <w:rPr>
                      <w:rFonts w:hint="default" w:ascii="Times New Roman" w:hAnsi="Times New Roman" w:eastAsia="宋体" w:cs="Times New Roman"/>
                      <w:color w:val="000000" w:themeColor="text1"/>
                      <w:spacing w:val="0"/>
                      <w:w w:val="100"/>
                      <w:kern w:val="21"/>
                      <w:position w:val="0"/>
                      <w:sz w:val="21"/>
                      <w:szCs w:val="21"/>
                      <w:highlight w:val="none"/>
                      <w:lang w:eastAsia="zh-CN"/>
                      <w14:textFill>
                        <w14:solidFill>
                          <w14:schemeClr w14:val="tx1"/>
                        </w14:solidFill>
                      </w14:textFill>
                    </w:rPr>
                    <w:t>。</w:t>
                  </w:r>
                </w:p>
              </w:tc>
              <w:tc>
                <w:tcPr>
                  <w:tcW w:w="566" w:type="pct"/>
                  <w:tcBorders>
                    <w:tl2br w:val="nil"/>
                    <w:tr2bl w:val="nil"/>
                  </w:tcBorders>
                  <w:noWrap w:val="0"/>
                  <w:vAlign w:val="center"/>
                </w:tcPr>
                <w:p w14:paraId="62EC3329">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符合</w:t>
                  </w:r>
                </w:p>
              </w:tc>
            </w:tr>
            <w:tr w14:paraId="7ACEEC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609" w:type="pct"/>
                  <w:vMerge w:val="continue"/>
                  <w:tcBorders>
                    <w:tl2br w:val="nil"/>
                    <w:tr2bl w:val="nil"/>
                  </w:tcBorders>
                  <w:noWrap w:val="0"/>
                  <w:vAlign w:val="center"/>
                </w:tcPr>
                <w:p w14:paraId="6C805D3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p>
              </w:tc>
              <w:tc>
                <w:tcPr>
                  <w:tcW w:w="2096" w:type="pct"/>
                  <w:tcBorders>
                    <w:tl2br w:val="nil"/>
                    <w:tr2bl w:val="nil"/>
                  </w:tcBorders>
                  <w:noWrap w:val="0"/>
                  <w:vAlign w:val="center"/>
                </w:tcPr>
                <w:p w14:paraId="1A883F2E">
                  <w:pPr>
                    <w:keepNext w:val="0"/>
                    <w:keepLines w:val="0"/>
                    <w:widowControl/>
                    <w:suppressLineNumbers w:val="0"/>
                    <w:jc w:val="left"/>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 xml:space="preserve">4.3贮存危险废物应根据危险废物的类别、形态、物理化学性质和污染防治要求进行分类贮存，且应 </w:t>
                  </w:r>
                </w:p>
                <w:p w14:paraId="5BD78945">
                  <w:pPr>
                    <w:keepNext w:val="0"/>
                    <w:keepLines w:val="0"/>
                    <w:widowControl/>
                    <w:suppressLineNumbers w:val="0"/>
                    <w:jc w:val="left"/>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避免危险废物与不相容的物质或材料接触。</w:t>
                  </w:r>
                </w:p>
              </w:tc>
              <w:tc>
                <w:tcPr>
                  <w:tcW w:w="1727" w:type="pct"/>
                  <w:tcBorders>
                    <w:tl2br w:val="nil"/>
                    <w:tr2bl w:val="nil"/>
                  </w:tcBorders>
                  <w:noWrap w:val="0"/>
                  <w:vAlign w:val="center"/>
                </w:tcPr>
                <w:p w14:paraId="128600BC">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本项目</w:t>
                  </w: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危险废物分类别贮存在不同容器内，并分区贮存</w:t>
                  </w:r>
                </w:p>
              </w:tc>
              <w:tc>
                <w:tcPr>
                  <w:tcW w:w="566" w:type="pct"/>
                  <w:tcBorders>
                    <w:tl2br w:val="nil"/>
                    <w:tr2bl w:val="nil"/>
                  </w:tcBorders>
                  <w:noWrap w:val="0"/>
                  <w:vAlign w:val="center"/>
                </w:tcPr>
                <w:p w14:paraId="3764FB53">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符合</w:t>
                  </w:r>
                </w:p>
              </w:tc>
            </w:tr>
            <w:tr w14:paraId="19A86D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3904" w:hRule="atLeast"/>
                <w:jc w:val="center"/>
              </w:trPr>
              <w:tc>
                <w:tcPr>
                  <w:tcW w:w="609" w:type="pct"/>
                  <w:vMerge w:val="continue"/>
                  <w:tcBorders>
                    <w:tl2br w:val="nil"/>
                    <w:tr2bl w:val="nil"/>
                  </w:tcBorders>
                  <w:noWrap w:val="0"/>
                  <w:vAlign w:val="center"/>
                </w:tcPr>
                <w:p w14:paraId="2509411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p>
              </w:tc>
              <w:tc>
                <w:tcPr>
                  <w:tcW w:w="2096" w:type="pct"/>
                  <w:tcBorders>
                    <w:tl2br w:val="nil"/>
                    <w:tr2bl w:val="nil"/>
                  </w:tcBorders>
                  <w:noWrap w:val="0"/>
                  <w:vAlign w:val="center"/>
                </w:tcPr>
                <w:p w14:paraId="33A4D4F0">
                  <w:pPr>
                    <w:keepNext w:val="0"/>
                    <w:keepLines w:val="0"/>
                    <w:widowControl/>
                    <w:suppressLineNumbers w:val="0"/>
                    <w:jc w:val="left"/>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4.4贮存危险废物应根据危险废物的形态、物理化学性质、包装形式和污染物迁移途径，采取措施减少渗滤液及其衍生废物、渗漏的液态废物（简称渗漏液）、粉尘、VOCs、酸雾、有毒有害大气污染物和刺激性气味气体等污染物的产生，防止其污染环境。</w:t>
                  </w:r>
                </w:p>
              </w:tc>
              <w:tc>
                <w:tcPr>
                  <w:tcW w:w="1727" w:type="pct"/>
                  <w:tcBorders>
                    <w:tl2br w:val="nil"/>
                    <w:tr2bl w:val="nil"/>
                  </w:tcBorders>
                  <w:noWrap w:val="0"/>
                  <w:vAlign w:val="center"/>
                </w:tcPr>
                <w:p w14:paraId="621B02CE">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本项目危险废物均贮存于密闭容器中，各类危险废物入库和转运出库的包装方式不变，不倒罐不分装，入场前本项目工作人员进行检查，确保盛装容器密闭。在危险废物贮存库内安装负压收集碱喷淋塔+两级活性炭吸附装置+15m高排气筒高空排放，减少对外环境空气的污染。</w:t>
                  </w:r>
                </w:p>
              </w:tc>
              <w:tc>
                <w:tcPr>
                  <w:tcW w:w="566" w:type="pct"/>
                  <w:tcBorders>
                    <w:tl2br w:val="nil"/>
                    <w:tr2bl w:val="nil"/>
                  </w:tcBorders>
                  <w:noWrap w:val="0"/>
                  <w:vAlign w:val="center"/>
                </w:tcPr>
                <w:p w14:paraId="7F59E33B">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符合</w:t>
                  </w:r>
                </w:p>
              </w:tc>
            </w:tr>
            <w:tr w14:paraId="723B14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609" w:type="pct"/>
                  <w:vMerge w:val="restart"/>
                  <w:tcBorders>
                    <w:tl2br w:val="nil"/>
                    <w:tr2bl w:val="nil"/>
                  </w:tcBorders>
                  <w:noWrap w:val="0"/>
                  <w:vAlign w:val="center"/>
                </w:tcPr>
                <w:p w14:paraId="790EC87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t>总体</w:t>
                  </w:r>
                </w:p>
                <w:p w14:paraId="6E69374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t>要求</w:t>
                  </w:r>
                </w:p>
              </w:tc>
              <w:tc>
                <w:tcPr>
                  <w:tcW w:w="2096" w:type="pct"/>
                  <w:tcBorders>
                    <w:tl2br w:val="nil"/>
                    <w:tr2bl w:val="nil"/>
                  </w:tcBorders>
                  <w:noWrap w:val="0"/>
                  <w:vAlign w:val="center"/>
                </w:tcPr>
                <w:p w14:paraId="57388C5E">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4.5危险废物贮存过程产生的液态废物和固态废物应分类收集，按其环境管理要求妥善处理。</w:t>
                  </w:r>
                </w:p>
              </w:tc>
              <w:tc>
                <w:tcPr>
                  <w:tcW w:w="1727" w:type="pct"/>
                  <w:tcBorders>
                    <w:tl2br w:val="nil"/>
                    <w:tr2bl w:val="nil"/>
                  </w:tcBorders>
                  <w:noWrap w:val="0"/>
                  <w:vAlign w:val="center"/>
                </w:tcPr>
                <w:p w14:paraId="26C20234">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本项目运营期产生和泄漏的液态危险废物和固态危险废物分区分类收集贮存。</w:t>
                  </w:r>
                </w:p>
              </w:tc>
              <w:tc>
                <w:tcPr>
                  <w:tcW w:w="566" w:type="pct"/>
                  <w:tcBorders>
                    <w:tl2br w:val="nil"/>
                    <w:tr2bl w:val="nil"/>
                  </w:tcBorders>
                  <w:noWrap w:val="0"/>
                  <w:vAlign w:val="center"/>
                </w:tcPr>
                <w:p w14:paraId="19C6C6B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符合</w:t>
                  </w:r>
                </w:p>
              </w:tc>
            </w:tr>
            <w:tr w14:paraId="5FA3F4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609" w:type="pct"/>
                  <w:vMerge w:val="continue"/>
                  <w:tcBorders>
                    <w:tl2br w:val="nil"/>
                    <w:tr2bl w:val="nil"/>
                  </w:tcBorders>
                  <w:noWrap w:val="0"/>
                  <w:vAlign w:val="center"/>
                </w:tcPr>
                <w:p w14:paraId="0E4B9C3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p>
              </w:tc>
              <w:tc>
                <w:tcPr>
                  <w:tcW w:w="2096" w:type="pct"/>
                  <w:tcBorders>
                    <w:tl2br w:val="nil"/>
                    <w:tr2bl w:val="nil"/>
                  </w:tcBorders>
                  <w:noWrap w:val="0"/>
                  <w:vAlign w:val="center"/>
                </w:tcPr>
                <w:p w14:paraId="0528D94C">
                  <w:pPr>
                    <w:keepNext w:val="0"/>
                    <w:keepLines w:val="0"/>
                    <w:widowControl/>
                    <w:suppressLineNumbers w:val="0"/>
                    <w:jc w:val="left"/>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4.6</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贮存设施或场所、容器和包装物应按HJ 1276要求设置危险废物贮存设施或场所标志、危险废物贮存分区标志和危险废物标签等危险废物识别标志。</w:t>
                  </w:r>
                </w:p>
              </w:tc>
              <w:tc>
                <w:tcPr>
                  <w:tcW w:w="1727" w:type="pct"/>
                  <w:tcBorders>
                    <w:tl2br w:val="nil"/>
                    <w:tr2bl w:val="nil"/>
                  </w:tcBorders>
                  <w:noWrap w:val="0"/>
                  <w:vAlign w:val="center"/>
                </w:tcPr>
                <w:p w14:paraId="5B06973C">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本项目严格按标准要求设置危险废物暂存、分区、类别等规范化标识。</w:t>
                  </w:r>
                </w:p>
              </w:tc>
              <w:tc>
                <w:tcPr>
                  <w:tcW w:w="566" w:type="pct"/>
                  <w:tcBorders>
                    <w:tl2br w:val="nil"/>
                    <w:tr2bl w:val="nil"/>
                  </w:tcBorders>
                  <w:noWrap w:val="0"/>
                  <w:vAlign w:val="center"/>
                </w:tcPr>
                <w:p w14:paraId="140C488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符合</w:t>
                  </w:r>
                </w:p>
              </w:tc>
            </w:tr>
            <w:tr w14:paraId="2D557E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609" w:type="pct"/>
                  <w:vMerge w:val="continue"/>
                  <w:tcBorders>
                    <w:tl2br w:val="nil"/>
                    <w:tr2bl w:val="nil"/>
                  </w:tcBorders>
                  <w:noWrap w:val="0"/>
                  <w:vAlign w:val="center"/>
                </w:tcPr>
                <w:p w14:paraId="47AD1A7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p>
              </w:tc>
              <w:tc>
                <w:tcPr>
                  <w:tcW w:w="2096" w:type="pct"/>
                  <w:tcBorders>
                    <w:tl2br w:val="nil"/>
                    <w:tr2bl w:val="nil"/>
                  </w:tcBorders>
                  <w:noWrap w:val="0"/>
                  <w:vAlign w:val="center"/>
                </w:tcPr>
                <w:p w14:paraId="392F0358">
                  <w:pPr>
                    <w:keepNext w:val="0"/>
                    <w:keepLines w:val="0"/>
                    <w:widowControl/>
                    <w:suppressLineNumbers w:val="0"/>
                    <w:jc w:val="left"/>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4.7HJ1259规定的危险废物环境重点监管单位，应采用电子地磅、电子标签、电子管理台账等技术手段对危险废物贮存过程进行信息化管理，确保数据完整、真实、准确；采用视频监控的应确保监控画面清晰，视频记录保存时间至少为3个月。</w:t>
                  </w:r>
                </w:p>
              </w:tc>
              <w:tc>
                <w:tcPr>
                  <w:tcW w:w="1727" w:type="pct"/>
                  <w:tcBorders>
                    <w:tl2br w:val="nil"/>
                    <w:tr2bl w:val="nil"/>
                  </w:tcBorders>
                  <w:noWrap w:val="0"/>
                  <w:vAlign w:val="center"/>
                </w:tcPr>
                <w:p w14:paraId="456E806A">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本企业为重点监管单位，环评要求企业应采用电子地磅、电子标签、电子管理台账等技术手段对危险废物贮存过程进行信息化管理，确保数据完整、真实、准确；并设置视频监控，采用视频监控的应确保监控画面清晰，视频记录保存时间至少为3个月。</w:t>
                  </w:r>
                </w:p>
              </w:tc>
              <w:tc>
                <w:tcPr>
                  <w:tcW w:w="566" w:type="pct"/>
                  <w:tcBorders>
                    <w:tl2br w:val="nil"/>
                    <w:tr2bl w:val="nil"/>
                  </w:tcBorders>
                  <w:noWrap w:val="0"/>
                  <w:vAlign w:val="center"/>
                </w:tcPr>
                <w:p w14:paraId="77B5730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符合</w:t>
                  </w:r>
                </w:p>
              </w:tc>
            </w:tr>
            <w:tr w14:paraId="059CF6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609" w:type="pct"/>
                  <w:vMerge w:val="continue"/>
                  <w:tcBorders>
                    <w:tl2br w:val="nil"/>
                    <w:tr2bl w:val="nil"/>
                  </w:tcBorders>
                  <w:noWrap w:val="0"/>
                  <w:vAlign w:val="center"/>
                </w:tcPr>
                <w:p w14:paraId="3868F1A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p>
              </w:tc>
              <w:tc>
                <w:tcPr>
                  <w:tcW w:w="2096" w:type="pct"/>
                  <w:tcBorders>
                    <w:tl2br w:val="nil"/>
                    <w:tr2bl w:val="nil"/>
                  </w:tcBorders>
                  <w:noWrap w:val="0"/>
                  <w:vAlign w:val="center"/>
                </w:tcPr>
                <w:p w14:paraId="7D8FCE33">
                  <w:pPr>
                    <w:keepNext w:val="0"/>
                    <w:keepLines w:val="0"/>
                    <w:widowControl/>
                    <w:suppressLineNumbers w:val="0"/>
                    <w:jc w:val="left"/>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4.8</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贮存设施退役时，所有者或运营者应依法履行环境保护责任，退役前应妥善处理处置贮存设施内剩余的危险废物，并对贮存设施进行清理，消除污染；还应依据土壤污染防治相关法律法规履行场地环境风险防控责任。</w:t>
                  </w:r>
                </w:p>
              </w:tc>
              <w:tc>
                <w:tcPr>
                  <w:tcW w:w="1727" w:type="pct"/>
                  <w:tcBorders>
                    <w:tl2br w:val="nil"/>
                    <w:tr2bl w:val="nil"/>
                  </w:tcBorders>
                  <w:noWrap w:val="0"/>
                  <w:vAlign w:val="center"/>
                </w:tcPr>
                <w:p w14:paraId="0C2B8F0A">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贮存设施退役后，企业按要求对剩余危险废物及贮存场所进行处理处置。依据土壤污染防治相关法律法规履行场地环境风险防控责任。</w:t>
                  </w:r>
                </w:p>
              </w:tc>
              <w:tc>
                <w:tcPr>
                  <w:tcW w:w="566" w:type="pct"/>
                  <w:tcBorders>
                    <w:tl2br w:val="nil"/>
                    <w:tr2bl w:val="nil"/>
                  </w:tcBorders>
                  <w:noWrap w:val="0"/>
                  <w:vAlign w:val="center"/>
                </w:tcPr>
                <w:p w14:paraId="0D333BD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符合</w:t>
                  </w:r>
                </w:p>
              </w:tc>
            </w:tr>
            <w:tr w14:paraId="5FB961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609" w:type="pct"/>
                  <w:vMerge w:val="continue"/>
                  <w:tcBorders>
                    <w:tl2br w:val="nil"/>
                    <w:tr2bl w:val="nil"/>
                  </w:tcBorders>
                  <w:noWrap w:val="0"/>
                  <w:vAlign w:val="center"/>
                </w:tcPr>
                <w:p w14:paraId="2770C90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p>
              </w:tc>
              <w:tc>
                <w:tcPr>
                  <w:tcW w:w="2096" w:type="pct"/>
                  <w:tcBorders>
                    <w:tl2br w:val="nil"/>
                    <w:tr2bl w:val="nil"/>
                  </w:tcBorders>
                  <w:noWrap w:val="0"/>
                  <w:vAlign w:val="center"/>
                </w:tcPr>
                <w:p w14:paraId="7EDEA74D">
                  <w:pPr>
                    <w:keepNext w:val="0"/>
                    <w:keepLines w:val="0"/>
                    <w:widowControl/>
                    <w:suppressLineNumbers w:val="0"/>
                    <w:jc w:val="left"/>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4.9在常温常压下易爆、易燃及排出有毒气体的危险废物应进行预处理，使之稳定后贮存，否则应按易爆、易燃危险品贮存。</w:t>
                  </w:r>
                </w:p>
              </w:tc>
              <w:tc>
                <w:tcPr>
                  <w:tcW w:w="1727" w:type="pct"/>
                  <w:tcBorders>
                    <w:tl2br w:val="nil"/>
                    <w:tr2bl w:val="nil"/>
                  </w:tcBorders>
                  <w:noWrap w:val="0"/>
                  <w:vAlign w:val="center"/>
                </w:tcPr>
                <w:p w14:paraId="3AC32864">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本项目</w:t>
                  </w: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不收集常温常压下易爆、易燃及排出有毒气体的危险废物</w:t>
                  </w:r>
                  <w:r>
                    <w:rPr>
                      <w:rFonts w:hint="default" w:ascii="Times New Roman" w:hAnsi="Times New Roman" w:eastAsia="宋体" w:cs="Times New Roman"/>
                      <w:color w:val="000000" w:themeColor="text1"/>
                      <w:spacing w:val="0"/>
                      <w:w w:val="100"/>
                      <w:kern w:val="21"/>
                      <w:position w:val="0"/>
                      <w:sz w:val="21"/>
                      <w:szCs w:val="21"/>
                      <w:highlight w:val="none"/>
                      <w:lang w:eastAsia="zh-CN"/>
                      <w14:textFill>
                        <w14:solidFill>
                          <w14:schemeClr w14:val="tx1"/>
                        </w14:solidFill>
                      </w14:textFill>
                    </w:rPr>
                    <w:t>。</w:t>
                  </w:r>
                </w:p>
              </w:tc>
              <w:tc>
                <w:tcPr>
                  <w:tcW w:w="566" w:type="pct"/>
                  <w:tcBorders>
                    <w:tl2br w:val="nil"/>
                    <w:tr2bl w:val="nil"/>
                  </w:tcBorders>
                  <w:noWrap w:val="0"/>
                  <w:vAlign w:val="center"/>
                </w:tcPr>
                <w:p w14:paraId="30BBB10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符合</w:t>
                  </w:r>
                </w:p>
              </w:tc>
            </w:tr>
            <w:tr w14:paraId="7E596E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609" w:type="pct"/>
                  <w:vMerge w:val="continue"/>
                  <w:tcBorders>
                    <w:tl2br w:val="nil"/>
                    <w:tr2bl w:val="nil"/>
                  </w:tcBorders>
                  <w:noWrap w:val="0"/>
                  <w:vAlign w:val="center"/>
                </w:tcPr>
                <w:p w14:paraId="5BF6699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p>
              </w:tc>
              <w:tc>
                <w:tcPr>
                  <w:tcW w:w="2096" w:type="pct"/>
                  <w:tcBorders>
                    <w:tl2br w:val="nil"/>
                    <w:tr2bl w:val="nil"/>
                  </w:tcBorders>
                  <w:noWrap w:val="0"/>
                  <w:vAlign w:val="center"/>
                </w:tcPr>
                <w:p w14:paraId="055B589F">
                  <w:pPr>
                    <w:keepNext w:val="0"/>
                    <w:keepLines w:val="0"/>
                    <w:widowControl/>
                    <w:suppressLineNumbers w:val="0"/>
                    <w:jc w:val="left"/>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4.10</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危险废物贮存除应满足环境保护相关要求外，还应执行国家安全生产、职业健康、交通运输、消防等法律法规和标准的相关要求。</w:t>
                  </w:r>
                </w:p>
              </w:tc>
              <w:tc>
                <w:tcPr>
                  <w:tcW w:w="1727" w:type="pct"/>
                  <w:tcBorders>
                    <w:tl2br w:val="nil"/>
                    <w:tr2bl w:val="nil"/>
                  </w:tcBorders>
                  <w:noWrap w:val="0"/>
                  <w:vAlign w:val="center"/>
                </w:tcPr>
                <w:p w14:paraId="3D5CE3BE">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企业严格执行</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国家安全生产、职业健康、交通运输、消防等法律法规和标准的相关要求</w:t>
                  </w:r>
                </w:p>
              </w:tc>
              <w:tc>
                <w:tcPr>
                  <w:tcW w:w="566" w:type="pct"/>
                  <w:tcBorders>
                    <w:tl2br w:val="nil"/>
                    <w:tr2bl w:val="nil"/>
                  </w:tcBorders>
                  <w:noWrap w:val="0"/>
                  <w:vAlign w:val="center"/>
                </w:tcPr>
                <w:p w14:paraId="6F37139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符合</w:t>
                  </w:r>
                </w:p>
              </w:tc>
            </w:tr>
            <w:tr w14:paraId="775E54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609" w:type="pct"/>
                  <w:tcBorders>
                    <w:tl2br w:val="nil"/>
                    <w:tr2bl w:val="nil"/>
                  </w:tcBorders>
                  <w:noWrap w:val="0"/>
                  <w:vAlign w:val="center"/>
                </w:tcPr>
                <w:p w14:paraId="77A802D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t>贮存设施选址要求</w:t>
                  </w:r>
                </w:p>
              </w:tc>
              <w:tc>
                <w:tcPr>
                  <w:tcW w:w="2096" w:type="pct"/>
                  <w:tcBorders>
                    <w:tl2br w:val="nil"/>
                    <w:tr2bl w:val="nil"/>
                  </w:tcBorders>
                  <w:noWrap w:val="0"/>
                  <w:vAlign w:val="center"/>
                </w:tcPr>
                <w:p w14:paraId="1CA060B2">
                  <w:pPr>
                    <w:keepNext w:val="0"/>
                    <w:keepLines w:val="0"/>
                    <w:widowControl/>
                    <w:suppressLineNumbers w:val="0"/>
                    <w:jc w:val="left"/>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5.1贮存设施选址应满足生态环境保护法律法规、规划和“三线一单”生态环境分区管控的要求，建设项目应依法进行环境影响评价。</w:t>
                  </w:r>
                </w:p>
              </w:tc>
              <w:tc>
                <w:tcPr>
                  <w:tcW w:w="1727" w:type="pct"/>
                  <w:tcBorders>
                    <w:tl2br w:val="nil"/>
                    <w:tr2bl w:val="nil"/>
                  </w:tcBorders>
                  <w:noWrap w:val="0"/>
                  <w:vAlign w:val="center"/>
                </w:tcPr>
                <w:p w14:paraId="7871DC48">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本项目贮存设施选址满足生态环境保护法律法规、规划和“三线一单”生态环境分区管控的要求，现正依法进行环境影响评价编制工作。</w:t>
                  </w:r>
                </w:p>
              </w:tc>
              <w:tc>
                <w:tcPr>
                  <w:tcW w:w="566" w:type="pct"/>
                  <w:tcBorders>
                    <w:tl2br w:val="nil"/>
                    <w:tr2bl w:val="nil"/>
                  </w:tcBorders>
                  <w:noWrap w:val="0"/>
                  <w:vAlign w:val="center"/>
                </w:tcPr>
                <w:p w14:paraId="04C1A9A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符合</w:t>
                  </w:r>
                </w:p>
              </w:tc>
            </w:tr>
            <w:tr w14:paraId="6FB1D8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425" w:hRule="atLeast"/>
                <w:jc w:val="center"/>
              </w:trPr>
              <w:tc>
                <w:tcPr>
                  <w:tcW w:w="609" w:type="pct"/>
                  <w:vMerge w:val="restart"/>
                  <w:tcBorders>
                    <w:tl2br w:val="nil"/>
                    <w:tr2bl w:val="nil"/>
                  </w:tcBorders>
                  <w:noWrap w:val="0"/>
                  <w:vAlign w:val="center"/>
                </w:tcPr>
                <w:p w14:paraId="6A3F94B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t>贮存设施选址要求</w:t>
                  </w:r>
                </w:p>
              </w:tc>
              <w:tc>
                <w:tcPr>
                  <w:tcW w:w="2096" w:type="pct"/>
                  <w:tcBorders>
                    <w:tl2br w:val="nil"/>
                    <w:tr2bl w:val="nil"/>
                  </w:tcBorders>
                  <w:noWrap w:val="0"/>
                  <w:vAlign w:val="center"/>
                </w:tcPr>
                <w:p w14:paraId="1188F9B5">
                  <w:pPr>
                    <w:keepNext w:val="0"/>
                    <w:keepLines w:val="0"/>
                    <w:widowControl/>
                    <w:suppressLineNumbers w:val="0"/>
                    <w:jc w:val="left"/>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5.2集中贮存设施不应选在生态保护红线区域、永久基本农田和其他需要特别保护的区域内，不应建在溶洞区或易遭受洪水、滑坡、泥石流、潮汐等严重自然灾害影响的地区。</w:t>
                  </w:r>
                </w:p>
              </w:tc>
              <w:tc>
                <w:tcPr>
                  <w:tcW w:w="1727" w:type="pct"/>
                  <w:tcBorders>
                    <w:tl2br w:val="nil"/>
                    <w:tr2bl w:val="nil"/>
                  </w:tcBorders>
                  <w:noWrap w:val="0"/>
                  <w:vAlign w:val="center"/>
                </w:tcPr>
                <w:p w14:paraId="53C96EBA">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本项目集中贮存设施不在生态保护红线区域、永久基本农田和其他需要特别保护的区域内，不在溶洞区或易遭受洪水、滑坡、泥石流、潮汐等严重自然灾害影响的地区。</w:t>
                  </w:r>
                </w:p>
              </w:tc>
              <w:tc>
                <w:tcPr>
                  <w:tcW w:w="566" w:type="pct"/>
                  <w:tcBorders>
                    <w:tl2br w:val="nil"/>
                    <w:tr2bl w:val="nil"/>
                  </w:tcBorders>
                  <w:noWrap w:val="0"/>
                  <w:vAlign w:val="center"/>
                </w:tcPr>
                <w:p w14:paraId="73CB350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符合</w:t>
                  </w:r>
                </w:p>
              </w:tc>
            </w:tr>
            <w:tr w14:paraId="6020E1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609" w:type="pct"/>
                  <w:vMerge w:val="continue"/>
                  <w:tcBorders>
                    <w:tl2br w:val="nil"/>
                    <w:tr2bl w:val="nil"/>
                  </w:tcBorders>
                  <w:noWrap w:val="0"/>
                  <w:vAlign w:val="center"/>
                </w:tcPr>
                <w:p w14:paraId="2D90A83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p>
              </w:tc>
              <w:tc>
                <w:tcPr>
                  <w:tcW w:w="2096" w:type="pct"/>
                  <w:tcBorders>
                    <w:tl2br w:val="nil"/>
                    <w:tr2bl w:val="nil"/>
                  </w:tcBorders>
                  <w:noWrap w:val="0"/>
                  <w:vAlign w:val="center"/>
                </w:tcPr>
                <w:p w14:paraId="478C89A3">
                  <w:pPr>
                    <w:keepNext w:val="0"/>
                    <w:keepLines w:val="0"/>
                    <w:widowControl/>
                    <w:suppressLineNumbers w:val="0"/>
                    <w:jc w:val="left"/>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5.3贮存设施不应选在江河、湖泊、运河、渠道、水库及其最高水位线以下的滩地和岸坡，以及法律法规规定禁止贮存危险废物的其他地点。</w:t>
                  </w:r>
                </w:p>
              </w:tc>
              <w:tc>
                <w:tcPr>
                  <w:tcW w:w="1727" w:type="pct"/>
                  <w:tcBorders>
                    <w:tl2br w:val="nil"/>
                    <w:tr2bl w:val="nil"/>
                  </w:tcBorders>
                  <w:noWrap w:val="0"/>
                  <w:vAlign w:val="center"/>
                </w:tcPr>
                <w:p w14:paraId="5966E3DE">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本项目不在江河、湖泊、运河、渠道、水库及其最高水位线以下的滩地和岸坡，不在法律法规规定禁止贮存危险废物的其他地点。</w:t>
                  </w:r>
                </w:p>
              </w:tc>
              <w:tc>
                <w:tcPr>
                  <w:tcW w:w="566" w:type="pct"/>
                  <w:tcBorders>
                    <w:tl2br w:val="nil"/>
                    <w:tr2bl w:val="nil"/>
                  </w:tcBorders>
                  <w:noWrap w:val="0"/>
                  <w:vAlign w:val="center"/>
                </w:tcPr>
                <w:p w14:paraId="32E21D7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符合</w:t>
                  </w:r>
                </w:p>
              </w:tc>
            </w:tr>
            <w:tr w14:paraId="06ECB0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934" w:hRule="atLeast"/>
                <w:jc w:val="center"/>
              </w:trPr>
              <w:tc>
                <w:tcPr>
                  <w:tcW w:w="609" w:type="pct"/>
                  <w:vMerge w:val="continue"/>
                  <w:tcBorders>
                    <w:tl2br w:val="nil"/>
                    <w:tr2bl w:val="nil"/>
                  </w:tcBorders>
                  <w:noWrap w:val="0"/>
                  <w:vAlign w:val="center"/>
                </w:tcPr>
                <w:p w14:paraId="76621F1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p>
              </w:tc>
              <w:tc>
                <w:tcPr>
                  <w:tcW w:w="2096" w:type="pct"/>
                  <w:tcBorders>
                    <w:tl2br w:val="nil"/>
                    <w:tr2bl w:val="nil"/>
                  </w:tcBorders>
                  <w:noWrap w:val="0"/>
                  <w:vAlign w:val="center"/>
                </w:tcPr>
                <w:p w14:paraId="3ED4CC42">
                  <w:pPr>
                    <w:keepNext w:val="0"/>
                    <w:keepLines w:val="0"/>
                    <w:widowControl/>
                    <w:suppressLineNumbers w:val="0"/>
                    <w:jc w:val="left"/>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5.4贮存设施场址的位置以及其与周围环境敏感目标的距离应依据环境影响评价文件确定。</w:t>
                  </w:r>
                </w:p>
              </w:tc>
              <w:tc>
                <w:tcPr>
                  <w:tcW w:w="1727" w:type="pct"/>
                  <w:tcBorders>
                    <w:tl2br w:val="nil"/>
                    <w:tr2bl w:val="nil"/>
                  </w:tcBorders>
                  <w:noWrap w:val="0"/>
                  <w:vAlign w:val="center"/>
                </w:tcPr>
                <w:p w14:paraId="58DD4866">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本项目选址的位置以及其与周围环境敏感目标的距离将严格依据环境影响评价文件确定，本项目不设置大气防护距离。</w:t>
                  </w:r>
                </w:p>
              </w:tc>
              <w:tc>
                <w:tcPr>
                  <w:tcW w:w="566" w:type="pct"/>
                  <w:tcBorders>
                    <w:tl2br w:val="nil"/>
                    <w:tr2bl w:val="nil"/>
                  </w:tcBorders>
                  <w:noWrap w:val="0"/>
                  <w:vAlign w:val="center"/>
                </w:tcPr>
                <w:p w14:paraId="36B93B1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符合</w:t>
                  </w:r>
                </w:p>
              </w:tc>
            </w:tr>
            <w:tr w14:paraId="6A0AA6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2296" w:hRule="atLeast"/>
                <w:jc w:val="center"/>
              </w:trPr>
              <w:tc>
                <w:tcPr>
                  <w:tcW w:w="609" w:type="pct"/>
                  <w:vMerge w:val="restart"/>
                  <w:tcBorders>
                    <w:tl2br w:val="nil"/>
                    <w:tr2bl w:val="nil"/>
                  </w:tcBorders>
                  <w:noWrap w:val="0"/>
                  <w:vAlign w:val="center"/>
                </w:tcPr>
                <w:p w14:paraId="605D620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t>贮存设施污染控制要求一般规定</w:t>
                  </w:r>
                </w:p>
              </w:tc>
              <w:tc>
                <w:tcPr>
                  <w:tcW w:w="2096" w:type="pct"/>
                  <w:tcBorders>
                    <w:tl2br w:val="nil"/>
                    <w:tr2bl w:val="nil"/>
                  </w:tcBorders>
                  <w:noWrap w:val="0"/>
                  <w:vAlign w:val="center"/>
                </w:tcPr>
                <w:p w14:paraId="382D2430">
                  <w:pPr>
                    <w:keepNext w:val="0"/>
                    <w:keepLines w:val="0"/>
                    <w:widowControl/>
                    <w:suppressLineNumbers w:val="0"/>
                    <w:jc w:val="left"/>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6.1.1贮存设施应根据危险废物的形态、物理化学性质、包装形式和污染物迁移途径，采取必要的防风、防晒、防雨、防漏、防渗、防腐以及其他环境污染防治措施，不应露天堆放危险废物。</w:t>
                  </w:r>
                </w:p>
              </w:tc>
              <w:tc>
                <w:tcPr>
                  <w:tcW w:w="1727" w:type="pct"/>
                  <w:tcBorders>
                    <w:tl2br w:val="nil"/>
                    <w:tr2bl w:val="nil"/>
                  </w:tcBorders>
                  <w:noWrap w:val="0"/>
                  <w:vAlign w:val="center"/>
                </w:tcPr>
                <w:p w14:paraId="72245604">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本项目危险废物均放置于密闭厂房内，</w:t>
                  </w: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危险废物的类别、数量、形态、物理化学性质和环境风险等因素</w:t>
                  </w:r>
                  <w:r>
                    <w:rPr>
                      <w:rFonts w:hint="default" w:ascii="Times New Roman" w:hAnsi="Times New Roman" w:eastAsia="宋体" w:cs="Times New Roman"/>
                      <w:color w:val="000000" w:themeColor="text1"/>
                      <w:spacing w:val="0"/>
                      <w:w w:val="100"/>
                      <w:kern w:val="21"/>
                      <w:position w:val="0"/>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满足要求。采取必要的防风、防晒、防雨、防漏、防渗、防腐以及其他环境污染防治措施，不露天堆放危险废物</w:t>
                  </w:r>
                </w:p>
              </w:tc>
              <w:tc>
                <w:tcPr>
                  <w:tcW w:w="566" w:type="pct"/>
                  <w:tcBorders>
                    <w:tl2br w:val="nil"/>
                    <w:tr2bl w:val="nil"/>
                  </w:tcBorders>
                  <w:noWrap w:val="0"/>
                  <w:vAlign w:val="center"/>
                </w:tcPr>
                <w:p w14:paraId="3F8DCC0B">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符合</w:t>
                  </w:r>
                </w:p>
              </w:tc>
            </w:tr>
            <w:tr w14:paraId="77269B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609" w:type="pct"/>
                  <w:vMerge w:val="continue"/>
                  <w:tcBorders>
                    <w:tl2br w:val="nil"/>
                    <w:tr2bl w:val="nil"/>
                  </w:tcBorders>
                  <w:noWrap w:val="0"/>
                  <w:vAlign w:val="center"/>
                </w:tcPr>
                <w:p w14:paraId="6FF90CF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p>
              </w:tc>
              <w:tc>
                <w:tcPr>
                  <w:tcW w:w="2096" w:type="pct"/>
                  <w:tcBorders>
                    <w:tl2br w:val="nil"/>
                    <w:tr2bl w:val="nil"/>
                  </w:tcBorders>
                  <w:noWrap w:val="0"/>
                  <w:vAlign w:val="center"/>
                </w:tcPr>
                <w:p w14:paraId="33B554DF">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t>6.1.2贮存设施应根据危险废物的类别、数量、形态、物理化学性质和污染防治等要求设置必要的贮存分区，避免不相容的危险废物接触、混合。</w:t>
                  </w:r>
                </w:p>
              </w:tc>
              <w:tc>
                <w:tcPr>
                  <w:tcW w:w="1727" w:type="pct"/>
                  <w:tcBorders>
                    <w:tl2br w:val="nil"/>
                    <w:tr2bl w:val="nil"/>
                  </w:tcBorders>
                  <w:noWrap w:val="0"/>
                  <w:vAlign w:val="center"/>
                </w:tcPr>
                <w:p w14:paraId="6A26F4DE">
                  <w:pPr>
                    <w:pStyle w:val="73"/>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本项目</w:t>
                  </w: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危险废物分类别贮存在不同容器内，不相容的分区贮存</w:t>
                  </w:r>
                </w:p>
              </w:tc>
              <w:tc>
                <w:tcPr>
                  <w:tcW w:w="566" w:type="pct"/>
                  <w:tcBorders>
                    <w:tl2br w:val="nil"/>
                    <w:tr2bl w:val="nil"/>
                  </w:tcBorders>
                  <w:noWrap w:val="0"/>
                  <w:vAlign w:val="center"/>
                </w:tcPr>
                <w:p w14:paraId="6D589C08">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符合</w:t>
                  </w:r>
                </w:p>
              </w:tc>
            </w:tr>
            <w:tr w14:paraId="31DAFA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609" w:type="pct"/>
                  <w:vMerge w:val="continue"/>
                  <w:tcBorders>
                    <w:tl2br w:val="nil"/>
                    <w:tr2bl w:val="nil"/>
                  </w:tcBorders>
                  <w:noWrap w:val="0"/>
                  <w:vAlign w:val="center"/>
                </w:tcPr>
                <w:p w14:paraId="0C80434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p>
              </w:tc>
              <w:tc>
                <w:tcPr>
                  <w:tcW w:w="2096" w:type="pct"/>
                  <w:tcBorders>
                    <w:tl2br w:val="nil"/>
                    <w:tr2bl w:val="nil"/>
                  </w:tcBorders>
                  <w:noWrap w:val="0"/>
                  <w:vAlign w:val="center"/>
                </w:tcPr>
                <w:p w14:paraId="6EA5DE44">
                  <w:pPr>
                    <w:pStyle w:val="73"/>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t>6.1.3贮存设施或贮存分区内地面、墙面裙脚、堵截泄漏的围堰、接触危险废物的隔板和墙体等应采用坚固的材料建造，表面无裂缝。</w:t>
                  </w:r>
                </w:p>
              </w:tc>
              <w:tc>
                <w:tcPr>
                  <w:tcW w:w="1727" w:type="pct"/>
                  <w:tcBorders>
                    <w:tl2br w:val="nil"/>
                    <w:tr2bl w:val="nil"/>
                  </w:tcBorders>
                  <w:noWrap w:val="0"/>
                  <w:vAlign w:val="center"/>
                </w:tcPr>
                <w:p w14:paraId="5DAD0C01">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项目地面硬化无裂隙，防渗处理</w:t>
                  </w:r>
                  <w:r>
                    <w:rPr>
                      <w:rFonts w:hint="default" w:ascii="Times New Roman" w:hAnsi="Times New Roman" w:eastAsia="宋体" w:cs="Times New Roman"/>
                      <w:color w:val="000000" w:themeColor="text1"/>
                      <w:spacing w:val="0"/>
                      <w:w w:val="100"/>
                      <w:kern w:val="21"/>
                      <w:position w:val="0"/>
                      <w:sz w:val="21"/>
                      <w:szCs w:val="21"/>
                      <w:highlight w:val="none"/>
                      <w:lang w:eastAsia="zh-CN"/>
                      <w14:textFill>
                        <w14:solidFill>
                          <w14:schemeClr w14:val="tx1"/>
                        </w14:solidFill>
                      </w14:textFill>
                    </w:rPr>
                    <w:t>。贮存设施或贮存分区内地面、墙面裙脚、堵截泄漏的围堰、接触危险废物的隔板和墙体等应采用坚固的材料建造，表面无裂缝。</w:t>
                  </w:r>
                </w:p>
              </w:tc>
              <w:tc>
                <w:tcPr>
                  <w:tcW w:w="566" w:type="pct"/>
                  <w:tcBorders>
                    <w:tl2br w:val="nil"/>
                    <w:tr2bl w:val="nil"/>
                  </w:tcBorders>
                  <w:noWrap w:val="0"/>
                  <w:vAlign w:val="center"/>
                </w:tcPr>
                <w:p w14:paraId="572ACC94">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符合</w:t>
                  </w:r>
                </w:p>
              </w:tc>
            </w:tr>
            <w:tr w14:paraId="11650B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551" w:hRule="atLeast"/>
                <w:jc w:val="center"/>
              </w:trPr>
              <w:tc>
                <w:tcPr>
                  <w:tcW w:w="609" w:type="pct"/>
                  <w:vMerge w:val="continue"/>
                  <w:tcBorders>
                    <w:tl2br w:val="nil"/>
                    <w:tr2bl w:val="nil"/>
                  </w:tcBorders>
                  <w:noWrap w:val="0"/>
                  <w:vAlign w:val="center"/>
                </w:tcPr>
                <w:p w14:paraId="74EA743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p>
              </w:tc>
              <w:tc>
                <w:tcPr>
                  <w:tcW w:w="2096" w:type="pct"/>
                  <w:tcBorders>
                    <w:tl2br w:val="nil"/>
                    <w:tr2bl w:val="nil"/>
                  </w:tcBorders>
                  <w:noWrap w:val="0"/>
                  <w:vAlign w:val="center"/>
                </w:tcPr>
                <w:p w14:paraId="621EB6CB">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t>6.1.4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rFonts w:hint="default" w:ascii="Times New Roman" w:hAnsi="Times New Roman" w:eastAsia="宋体" w:cs="Times New Roman"/>
                      <w:color w:val="000000" w:themeColor="text1"/>
                      <w:spacing w:val="0"/>
                      <w:w w:val="100"/>
                      <w:kern w:val="21"/>
                      <w:position w:val="0"/>
                      <w:sz w:val="21"/>
                      <w:szCs w:val="21"/>
                      <w:highlight w:val="none"/>
                      <w:vertAlign w:val="superscript"/>
                      <w:lang w:val="en-US" w:eastAsia="zh-CN"/>
                      <w14:textFill>
                        <w14:solidFill>
                          <w14:schemeClr w14:val="tx1"/>
                        </w14:solidFill>
                      </w14:textFill>
                    </w:rPr>
                    <w:t>-7</w:t>
                  </w:r>
                  <w:r>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t>cm/s），或至少2mm厚高密度聚乙烯膜等人工防渗材料（渗透系数不大于10</w:t>
                  </w:r>
                  <w:r>
                    <w:rPr>
                      <w:rFonts w:hint="default" w:ascii="Times New Roman" w:hAnsi="Times New Roman" w:eastAsia="宋体" w:cs="Times New Roman"/>
                      <w:color w:val="000000" w:themeColor="text1"/>
                      <w:spacing w:val="0"/>
                      <w:w w:val="100"/>
                      <w:kern w:val="21"/>
                      <w:position w:val="0"/>
                      <w:sz w:val="21"/>
                      <w:szCs w:val="21"/>
                      <w:highlight w:val="none"/>
                      <w:vertAlign w:val="superscript"/>
                      <w:lang w:val="en-US" w:eastAsia="zh-CN"/>
                      <w14:textFill>
                        <w14:solidFill>
                          <w14:schemeClr w14:val="tx1"/>
                        </w14:solidFill>
                      </w14:textFill>
                    </w:rPr>
                    <w:t>-10</w:t>
                  </w:r>
                  <w:r>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t>cm/s），或其他防渗性能等效的材料。</w:t>
                  </w:r>
                </w:p>
              </w:tc>
              <w:tc>
                <w:tcPr>
                  <w:tcW w:w="1727" w:type="pct"/>
                  <w:tcBorders>
                    <w:tl2br w:val="nil"/>
                    <w:tr2bl w:val="nil"/>
                  </w:tcBorders>
                  <w:noWrap w:val="0"/>
                  <w:vAlign w:val="center"/>
                </w:tcPr>
                <w:p w14:paraId="3DC96986">
                  <w:pPr>
                    <w:pStyle w:val="73"/>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项目防渗措施均</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采取</w:t>
                  </w:r>
                  <w:r>
                    <w:rPr>
                      <w:rFonts w:hint="default" w:ascii="Times New Roman" w:hAnsi="Times New Roman" w:eastAsia="宋体" w:cs="Times New Roman"/>
                      <w:color w:val="000000" w:themeColor="text1"/>
                      <w:sz w:val="21"/>
                      <w:szCs w:val="21"/>
                      <w:highlight w:val="none"/>
                      <w14:textFill>
                        <w14:solidFill>
                          <w14:schemeClr w14:val="tx1"/>
                        </w14:solidFill>
                      </w14:textFill>
                    </w:rPr>
                    <w:t>防渗混凝土+2mm厚HDPE膜防渗措施，表面平整无裂痕，承重良好，最上面采用防静电、耐腐蚀</w:t>
                  </w:r>
                  <w:r>
                    <w:rPr>
                      <w:rFonts w:hint="eastAsia" w:eastAsia="宋体" w:cs="Times New Roman"/>
                      <w:color w:val="000000" w:themeColor="text1"/>
                      <w:sz w:val="21"/>
                      <w:szCs w:val="21"/>
                      <w:highlight w:val="none"/>
                      <w:lang w:eastAsia="zh-CN"/>
                      <w14:textFill>
                        <w14:solidFill>
                          <w14:schemeClr w14:val="tx1"/>
                        </w14:solidFill>
                      </w14:textFill>
                    </w:rPr>
                    <w:t>环氧防腐地坪漆</w:t>
                  </w:r>
                  <w:r>
                    <w:rPr>
                      <w:rFonts w:hint="default" w:ascii="Times New Roman" w:hAnsi="Times New Roman" w:eastAsia="宋体" w:cs="Times New Roman"/>
                      <w:color w:val="000000" w:themeColor="text1"/>
                      <w:sz w:val="21"/>
                      <w:szCs w:val="21"/>
                      <w:highlight w:val="none"/>
                      <w14:textFill>
                        <w14:solidFill>
                          <w14:schemeClr w14:val="tx1"/>
                        </w14:solidFill>
                      </w14:textFill>
                    </w:rPr>
                    <w:t>，材料渗透系数K≤10</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-10</w:t>
                  </w:r>
                  <w:r>
                    <w:rPr>
                      <w:rFonts w:hint="default" w:ascii="Times New Roman" w:hAnsi="Times New Roman" w:eastAsia="宋体" w:cs="Times New Roman"/>
                      <w:color w:val="000000" w:themeColor="text1"/>
                      <w:sz w:val="21"/>
                      <w:szCs w:val="21"/>
                      <w:highlight w:val="none"/>
                      <w14:textFill>
                        <w14:solidFill>
                          <w14:schemeClr w14:val="tx1"/>
                        </w14:solidFill>
                      </w14:textFill>
                    </w:rPr>
                    <w:t>cm/s</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c>
                <w:tcPr>
                  <w:tcW w:w="566" w:type="pct"/>
                  <w:tcBorders>
                    <w:tl2br w:val="nil"/>
                    <w:tr2bl w:val="nil"/>
                  </w:tcBorders>
                  <w:noWrap w:val="0"/>
                  <w:vAlign w:val="center"/>
                </w:tcPr>
                <w:p w14:paraId="5669DA7B">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符合</w:t>
                  </w:r>
                </w:p>
              </w:tc>
            </w:tr>
            <w:tr w14:paraId="04F869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3552" w:hRule="atLeast"/>
                <w:jc w:val="center"/>
              </w:trPr>
              <w:tc>
                <w:tcPr>
                  <w:tcW w:w="609" w:type="pct"/>
                  <w:vMerge w:val="restart"/>
                  <w:tcBorders>
                    <w:tl2br w:val="nil"/>
                    <w:tr2bl w:val="nil"/>
                  </w:tcBorders>
                  <w:noWrap w:val="0"/>
                  <w:vAlign w:val="center"/>
                </w:tcPr>
                <w:p w14:paraId="4554E92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t>贮存过程污染控制要求一般要求</w:t>
                  </w:r>
                </w:p>
              </w:tc>
              <w:tc>
                <w:tcPr>
                  <w:tcW w:w="2096" w:type="pct"/>
                  <w:tcBorders>
                    <w:tl2br w:val="nil"/>
                    <w:tr2bl w:val="nil"/>
                  </w:tcBorders>
                  <w:noWrap w:val="0"/>
                  <w:vAlign w:val="center"/>
                </w:tcPr>
                <w:p w14:paraId="5B3DE880">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t>6.1.5同一贮存设施宜采用相同的防渗、防腐工艺（包括防渗、防腐结构或材料），防渗、防腐材料应覆盖所有可能与废物及其渗滤液、渗漏液等接触的构筑物表面；采用不同防渗、防腐工艺应分别建设贮存分区。</w:t>
                  </w:r>
                </w:p>
              </w:tc>
              <w:tc>
                <w:tcPr>
                  <w:tcW w:w="1727" w:type="pct"/>
                  <w:tcBorders>
                    <w:tl2br w:val="nil"/>
                    <w:tr2bl w:val="nil"/>
                  </w:tcBorders>
                  <w:noWrap w:val="0"/>
                  <w:vAlign w:val="center"/>
                </w:tcPr>
                <w:p w14:paraId="7AE390AF">
                  <w:pPr>
                    <w:pStyle w:val="73"/>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本项目</w:t>
                  </w: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危险废物分类别贮存在不同容器内，并分区贮存。</w:t>
                  </w:r>
                </w:p>
                <w:p w14:paraId="066B42D1">
                  <w:pPr>
                    <w:pStyle w:val="73"/>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项目防渗措施</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采取</w:t>
                  </w:r>
                  <w:r>
                    <w:rPr>
                      <w:rFonts w:hint="default" w:ascii="Times New Roman" w:hAnsi="Times New Roman" w:eastAsia="宋体" w:cs="Times New Roman"/>
                      <w:color w:val="000000" w:themeColor="text1"/>
                      <w:sz w:val="21"/>
                      <w:szCs w:val="21"/>
                      <w:highlight w:val="none"/>
                      <w14:textFill>
                        <w14:solidFill>
                          <w14:schemeClr w14:val="tx1"/>
                        </w14:solidFill>
                      </w14:textFill>
                    </w:rPr>
                    <w:t>防渗混凝土+2mm厚HDPE膜防渗措施，表面平整无裂痕，承重良好，最上面采用防静电、耐腐蚀</w:t>
                  </w:r>
                  <w:r>
                    <w:rPr>
                      <w:rFonts w:hint="eastAsia" w:eastAsia="宋体" w:cs="Times New Roman"/>
                      <w:color w:val="000000" w:themeColor="text1"/>
                      <w:sz w:val="21"/>
                      <w:szCs w:val="21"/>
                      <w:highlight w:val="none"/>
                      <w:lang w:eastAsia="zh-CN"/>
                      <w14:textFill>
                        <w14:solidFill>
                          <w14:schemeClr w14:val="tx1"/>
                        </w14:solidFill>
                      </w14:textFill>
                    </w:rPr>
                    <w:t>环氧防腐地坪漆</w:t>
                  </w:r>
                  <w:r>
                    <w:rPr>
                      <w:rFonts w:hint="default" w:ascii="Times New Roman" w:hAnsi="Times New Roman" w:eastAsia="宋体" w:cs="Times New Roman"/>
                      <w:color w:val="000000" w:themeColor="text1"/>
                      <w:sz w:val="21"/>
                      <w:szCs w:val="21"/>
                      <w:highlight w:val="none"/>
                      <w14:textFill>
                        <w14:solidFill>
                          <w14:schemeClr w14:val="tx1"/>
                        </w14:solidFill>
                      </w14:textFill>
                    </w:rPr>
                    <w:t>，材料渗透系数K≤10</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-10</w:t>
                  </w:r>
                  <w:r>
                    <w:rPr>
                      <w:rFonts w:hint="default" w:ascii="Times New Roman" w:hAnsi="Times New Roman" w:eastAsia="宋体" w:cs="Times New Roman"/>
                      <w:color w:val="000000" w:themeColor="text1"/>
                      <w:sz w:val="21"/>
                      <w:szCs w:val="21"/>
                      <w:highlight w:val="none"/>
                      <w14:textFill>
                        <w14:solidFill>
                          <w14:schemeClr w14:val="tx1"/>
                        </w14:solidFill>
                      </w14:textFill>
                    </w:rPr>
                    <w:t>cm/s</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c>
                <w:tcPr>
                  <w:tcW w:w="566" w:type="pct"/>
                  <w:tcBorders>
                    <w:tl2br w:val="nil"/>
                    <w:tr2bl w:val="nil"/>
                  </w:tcBorders>
                  <w:noWrap w:val="0"/>
                  <w:vAlign w:val="center"/>
                </w:tcPr>
                <w:p w14:paraId="3CD06A70">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符合</w:t>
                  </w:r>
                </w:p>
              </w:tc>
            </w:tr>
            <w:tr w14:paraId="3F2D7E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609" w:type="pct"/>
                  <w:vMerge w:val="continue"/>
                  <w:tcBorders>
                    <w:tl2br w:val="nil"/>
                    <w:tr2bl w:val="nil"/>
                  </w:tcBorders>
                  <w:noWrap w:val="0"/>
                  <w:vAlign w:val="center"/>
                </w:tcPr>
                <w:p w14:paraId="70E058B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p>
              </w:tc>
              <w:tc>
                <w:tcPr>
                  <w:tcW w:w="2096" w:type="pct"/>
                  <w:tcBorders>
                    <w:tl2br w:val="nil"/>
                    <w:tr2bl w:val="nil"/>
                  </w:tcBorders>
                  <w:noWrap w:val="0"/>
                  <w:vAlign w:val="center"/>
                </w:tcPr>
                <w:p w14:paraId="14261555">
                  <w:pPr>
                    <w:pStyle w:val="73"/>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t>6.1.6贮存设施应采取技术和管理措施防止无关人员进入。</w:t>
                  </w:r>
                </w:p>
              </w:tc>
              <w:tc>
                <w:tcPr>
                  <w:tcW w:w="1727" w:type="pct"/>
                  <w:tcBorders>
                    <w:tl2br w:val="nil"/>
                    <w:tr2bl w:val="nil"/>
                  </w:tcBorders>
                  <w:noWrap w:val="0"/>
                  <w:vAlign w:val="center"/>
                </w:tcPr>
                <w:p w14:paraId="2BC15F46">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本项目</w:t>
                  </w: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严禁无关人员进入危险废物</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贮存库。</w:t>
                  </w:r>
                </w:p>
              </w:tc>
              <w:tc>
                <w:tcPr>
                  <w:tcW w:w="566" w:type="pct"/>
                  <w:tcBorders>
                    <w:tl2br w:val="nil"/>
                    <w:tr2bl w:val="nil"/>
                  </w:tcBorders>
                  <w:noWrap w:val="0"/>
                  <w:vAlign w:val="center"/>
                </w:tcPr>
                <w:p w14:paraId="60BA5435">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符合</w:t>
                  </w:r>
                </w:p>
              </w:tc>
            </w:tr>
            <w:tr w14:paraId="2A14B7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609" w:type="pct"/>
                  <w:vMerge w:val="continue"/>
                  <w:tcBorders>
                    <w:tl2br w:val="nil"/>
                    <w:tr2bl w:val="nil"/>
                  </w:tcBorders>
                  <w:noWrap w:val="0"/>
                  <w:vAlign w:val="center"/>
                </w:tcPr>
                <w:p w14:paraId="53B369D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p>
              </w:tc>
              <w:tc>
                <w:tcPr>
                  <w:tcW w:w="2096" w:type="pct"/>
                  <w:tcBorders>
                    <w:tl2br w:val="nil"/>
                    <w:tr2bl w:val="nil"/>
                  </w:tcBorders>
                  <w:noWrap w:val="0"/>
                  <w:vAlign w:val="center"/>
                </w:tcPr>
                <w:p w14:paraId="703AC3C3">
                  <w:pPr>
                    <w:pStyle w:val="73"/>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t>6.2.1贮存库内不同贮存分区之间应采取隔离措施。隔离措施可根据危险废物特性采用过道、隔板或隔墙等方式。</w:t>
                  </w:r>
                </w:p>
              </w:tc>
              <w:tc>
                <w:tcPr>
                  <w:tcW w:w="1727" w:type="pct"/>
                  <w:tcBorders>
                    <w:tl2br w:val="nil"/>
                    <w:tr2bl w:val="nil"/>
                  </w:tcBorders>
                  <w:noWrap w:val="0"/>
                  <w:vAlign w:val="center"/>
                </w:tcPr>
                <w:p w14:paraId="5CC80C1F">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本项目危废贮存库</w:t>
                  </w: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设20个分区，采用1.5m</w:t>
                  </w: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金属隔断方式分区。</w:t>
                  </w:r>
                </w:p>
              </w:tc>
              <w:tc>
                <w:tcPr>
                  <w:tcW w:w="566" w:type="pct"/>
                  <w:tcBorders>
                    <w:tl2br w:val="nil"/>
                    <w:tr2bl w:val="nil"/>
                  </w:tcBorders>
                  <w:noWrap w:val="0"/>
                  <w:vAlign w:val="center"/>
                </w:tcPr>
                <w:p w14:paraId="2E03314E">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符合</w:t>
                  </w:r>
                </w:p>
              </w:tc>
            </w:tr>
            <w:tr w14:paraId="7AC137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609" w:type="pct"/>
                  <w:vMerge w:val="continue"/>
                  <w:tcBorders>
                    <w:tl2br w:val="nil"/>
                    <w:tr2bl w:val="nil"/>
                  </w:tcBorders>
                  <w:noWrap w:val="0"/>
                  <w:vAlign w:val="center"/>
                </w:tcPr>
                <w:p w14:paraId="424FBBA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p>
              </w:tc>
              <w:tc>
                <w:tcPr>
                  <w:tcW w:w="2096" w:type="pct"/>
                  <w:tcBorders>
                    <w:tl2br w:val="nil"/>
                    <w:tr2bl w:val="nil"/>
                  </w:tcBorders>
                  <w:noWrap w:val="0"/>
                  <w:vAlign w:val="center"/>
                </w:tcPr>
                <w:p w14:paraId="364181BD">
                  <w:pPr>
                    <w:pStyle w:val="73"/>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t>6.2.2在贮存库内或通过贮存分区方式贮存液态危险废物的，应具有液体泄漏堵截设施，堵截设施最小容积不应低于对应贮存区域最大液态废物容器容积或液态废物总储量1/10（二者取较大者）；用于贮存可能产生渗滤液的危险废物的贮存库或贮存分区应设计渗滤液收集设施，收集设施容积应满足渗滤液的收集要求。</w:t>
                  </w:r>
                </w:p>
              </w:tc>
              <w:tc>
                <w:tcPr>
                  <w:tcW w:w="1727" w:type="pct"/>
                  <w:tcBorders>
                    <w:tl2br w:val="nil"/>
                    <w:tr2bl w:val="nil"/>
                  </w:tcBorders>
                  <w:noWrap w:val="0"/>
                  <w:vAlign w:val="center"/>
                </w:tcPr>
                <w:p w14:paraId="75FA7E41">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本项目设置有堵截泄漏的裙脚，危废贮存库为单独的封闭房间，能够满足防风、防雨、防晒要求。建有20cm高堵截泄漏的裙脚，危废贮存库地面、围堰、泄漏溢流槽，配置收集池全部建有重点防渗。堵截设施最小容积不低于对应贮存区域液态废物总储量1/10，收集设施容积应满足渗滤液的收集要求。</w:t>
                  </w:r>
                </w:p>
              </w:tc>
              <w:tc>
                <w:tcPr>
                  <w:tcW w:w="566" w:type="pct"/>
                  <w:tcBorders>
                    <w:tl2br w:val="nil"/>
                    <w:tr2bl w:val="nil"/>
                  </w:tcBorders>
                  <w:noWrap w:val="0"/>
                  <w:vAlign w:val="center"/>
                </w:tcPr>
                <w:p w14:paraId="4A2DC48E">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符合</w:t>
                  </w:r>
                </w:p>
              </w:tc>
            </w:tr>
            <w:tr w14:paraId="4D9F1A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609" w:type="pct"/>
                  <w:vMerge w:val="continue"/>
                  <w:tcBorders>
                    <w:tl2br w:val="nil"/>
                    <w:tr2bl w:val="nil"/>
                  </w:tcBorders>
                  <w:noWrap w:val="0"/>
                  <w:vAlign w:val="center"/>
                </w:tcPr>
                <w:p w14:paraId="231A72A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p>
              </w:tc>
              <w:tc>
                <w:tcPr>
                  <w:tcW w:w="2096" w:type="pct"/>
                  <w:tcBorders>
                    <w:tl2br w:val="nil"/>
                    <w:tr2bl w:val="nil"/>
                  </w:tcBorders>
                  <w:noWrap w:val="0"/>
                  <w:vAlign w:val="center"/>
                </w:tcPr>
                <w:p w14:paraId="71F15D4E">
                  <w:pPr>
                    <w:pStyle w:val="73"/>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t>6.2.3贮存易产生粉尘、VOCs、酸雾、有毒有害大气污染物和刺激性气味气体的危险废物贮存库，应设置气体收集装置和气体净化设施；气体净化设施的排气筒高度应符合GB16297 要求。</w:t>
                  </w:r>
                </w:p>
              </w:tc>
              <w:tc>
                <w:tcPr>
                  <w:tcW w:w="1727" w:type="pct"/>
                  <w:tcBorders>
                    <w:tl2br w:val="nil"/>
                    <w:tr2bl w:val="nil"/>
                  </w:tcBorders>
                  <w:noWrap w:val="0"/>
                  <w:vAlign w:val="center"/>
                </w:tcPr>
                <w:p w14:paraId="6B21F8ED">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本项目危废贮存库暂存过程中产生的</w:t>
                  </w: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废气</w:t>
                  </w: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经</w:t>
                  </w: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负压</w:t>
                  </w: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收集</w:t>
                  </w: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+碱喷淋塔+两级</w:t>
                  </w: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活性炭吸附系统处理</w:t>
                  </w: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+15m高</w:t>
                  </w: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排气筒达标排放。</w:t>
                  </w:r>
                </w:p>
              </w:tc>
              <w:tc>
                <w:tcPr>
                  <w:tcW w:w="566" w:type="pct"/>
                  <w:tcBorders>
                    <w:tl2br w:val="nil"/>
                    <w:tr2bl w:val="nil"/>
                  </w:tcBorders>
                  <w:noWrap w:val="0"/>
                  <w:vAlign w:val="center"/>
                </w:tcPr>
                <w:p w14:paraId="78E212FC">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符合</w:t>
                  </w:r>
                </w:p>
              </w:tc>
            </w:tr>
            <w:tr w14:paraId="331961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227" w:hRule="atLeast"/>
                <w:jc w:val="center"/>
              </w:trPr>
              <w:tc>
                <w:tcPr>
                  <w:tcW w:w="609" w:type="pct"/>
                  <w:vMerge w:val="restart"/>
                  <w:tcBorders>
                    <w:tl2br w:val="nil"/>
                    <w:tr2bl w:val="nil"/>
                  </w:tcBorders>
                  <w:noWrap w:val="0"/>
                  <w:vAlign w:val="center"/>
                </w:tcPr>
                <w:p w14:paraId="5466D58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t>贮存设施污染控制要求一般规定</w:t>
                  </w:r>
                </w:p>
              </w:tc>
              <w:tc>
                <w:tcPr>
                  <w:tcW w:w="2096" w:type="pct"/>
                  <w:tcBorders>
                    <w:tl2br w:val="nil"/>
                    <w:tr2bl w:val="nil"/>
                  </w:tcBorders>
                  <w:noWrap w:val="0"/>
                  <w:vAlign w:val="center"/>
                </w:tcPr>
                <w:p w14:paraId="7615A5BF">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t>8.1.1在常温常压下不易水解、不易挥发的固态危险废物可分类堆放贮存，其他固态危险废物应装入容器或包装物内贮存。</w:t>
                  </w:r>
                </w:p>
              </w:tc>
              <w:tc>
                <w:tcPr>
                  <w:tcW w:w="1727" w:type="pct"/>
                  <w:tcBorders>
                    <w:tl2br w:val="nil"/>
                    <w:tr2bl w:val="nil"/>
                  </w:tcBorders>
                  <w:noWrap w:val="0"/>
                  <w:vAlign w:val="center"/>
                </w:tcPr>
                <w:p w14:paraId="212608CF">
                  <w:pPr>
                    <w:pStyle w:val="73"/>
                    <w:keepNext w:val="0"/>
                    <w:keepLines w:val="0"/>
                    <w:pageBreakBefore w:val="0"/>
                    <w:widowControl w:val="0"/>
                    <w:kinsoku/>
                    <w:wordWrap/>
                    <w:overflowPunct/>
                    <w:topLinePunct w:val="0"/>
                    <w:autoSpaceDE/>
                    <w:autoSpaceDN/>
                    <w:bidi w:val="0"/>
                    <w:adjustRightInd w:val="0"/>
                    <w:snapToGrid w:val="0"/>
                    <w:spacing w:line="240" w:lineRule="auto"/>
                    <w:ind w:left="0" w:right="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本项目</w:t>
                  </w: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危险废物分类别贮存在不同容器内，并分区贮存。</w:t>
                  </w:r>
                </w:p>
              </w:tc>
              <w:tc>
                <w:tcPr>
                  <w:tcW w:w="566" w:type="pct"/>
                  <w:tcBorders>
                    <w:tl2br w:val="nil"/>
                    <w:tr2bl w:val="nil"/>
                  </w:tcBorders>
                  <w:noWrap w:val="0"/>
                  <w:vAlign w:val="center"/>
                </w:tcPr>
                <w:p w14:paraId="4ACC8F70">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符合</w:t>
                  </w:r>
                </w:p>
              </w:tc>
            </w:tr>
            <w:tr w14:paraId="280658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890" w:hRule="atLeast"/>
                <w:jc w:val="center"/>
              </w:trPr>
              <w:tc>
                <w:tcPr>
                  <w:tcW w:w="609" w:type="pct"/>
                  <w:vMerge w:val="continue"/>
                  <w:tcBorders>
                    <w:tl2br w:val="nil"/>
                    <w:tr2bl w:val="nil"/>
                  </w:tcBorders>
                  <w:noWrap w:val="0"/>
                  <w:vAlign w:val="center"/>
                </w:tcPr>
                <w:p w14:paraId="49BA212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p>
              </w:tc>
              <w:tc>
                <w:tcPr>
                  <w:tcW w:w="2096" w:type="pct"/>
                  <w:tcBorders>
                    <w:tl2br w:val="nil"/>
                    <w:tr2bl w:val="nil"/>
                  </w:tcBorders>
                  <w:noWrap w:val="0"/>
                  <w:vAlign w:val="center"/>
                </w:tcPr>
                <w:p w14:paraId="79A67C7A">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t>8.1.2液态危险废物应装入容器内贮存，或直接采用贮存池、贮存罐区贮存。</w:t>
                  </w:r>
                </w:p>
              </w:tc>
              <w:tc>
                <w:tcPr>
                  <w:tcW w:w="1727" w:type="pct"/>
                  <w:tcBorders>
                    <w:tl2br w:val="nil"/>
                    <w:tr2bl w:val="nil"/>
                  </w:tcBorders>
                  <w:noWrap w:val="0"/>
                  <w:vAlign w:val="center"/>
                </w:tcPr>
                <w:p w14:paraId="293C9102">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本项目液态危险废物装入容器内贮存。</w:t>
                  </w:r>
                </w:p>
              </w:tc>
              <w:tc>
                <w:tcPr>
                  <w:tcW w:w="566" w:type="pct"/>
                  <w:tcBorders>
                    <w:tl2br w:val="nil"/>
                    <w:tr2bl w:val="nil"/>
                  </w:tcBorders>
                  <w:noWrap w:val="0"/>
                  <w:vAlign w:val="center"/>
                </w:tcPr>
                <w:p w14:paraId="43587908">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符合</w:t>
                  </w:r>
                </w:p>
              </w:tc>
            </w:tr>
            <w:tr w14:paraId="3F77C0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890" w:hRule="atLeast"/>
                <w:jc w:val="center"/>
              </w:trPr>
              <w:tc>
                <w:tcPr>
                  <w:tcW w:w="609" w:type="pct"/>
                  <w:vMerge w:val="continue"/>
                  <w:tcBorders>
                    <w:tl2br w:val="nil"/>
                    <w:tr2bl w:val="nil"/>
                  </w:tcBorders>
                  <w:noWrap w:val="0"/>
                  <w:vAlign w:val="center"/>
                </w:tcPr>
                <w:p w14:paraId="285D954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p>
              </w:tc>
              <w:tc>
                <w:tcPr>
                  <w:tcW w:w="2096" w:type="pct"/>
                  <w:tcBorders>
                    <w:tl2br w:val="nil"/>
                    <w:tr2bl w:val="nil"/>
                  </w:tcBorders>
                  <w:noWrap w:val="0"/>
                  <w:vAlign w:val="center"/>
                </w:tcPr>
                <w:p w14:paraId="58818C11">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t>8.1.3半固态危险废物应装入容器或包装袋内贮存，或直接采用贮存池贮存。</w:t>
                  </w:r>
                </w:p>
              </w:tc>
              <w:tc>
                <w:tcPr>
                  <w:tcW w:w="1727" w:type="pct"/>
                  <w:tcBorders>
                    <w:tl2br w:val="nil"/>
                    <w:tr2bl w:val="nil"/>
                  </w:tcBorders>
                  <w:noWrap w:val="0"/>
                  <w:vAlign w:val="center"/>
                </w:tcPr>
                <w:p w14:paraId="5268BE6C">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本项目</w:t>
                  </w:r>
                  <w:r>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t>半固态危险废物</w:t>
                  </w: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装入容器内贮存。</w:t>
                  </w:r>
                </w:p>
              </w:tc>
              <w:tc>
                <w:tcPr>
                  <w:tcW w:w="566" w:type="pct"/>
                  <w:tcBorders>
                    <w:tl2br w:val="nil"/>
                    <w:tr2bl w:val="nil"/>
                  </w:tcBorders>
                  <w:noWrap w:val="0"/>
                  <w:vAlign w:val="center"/>
                </w:tcPr>
                <w:p w14:paraId="252EC4B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符合</w:t>
                  </w:r>
                </w:p>
              </w:tc>
            </w:tr>
            <w:tr w14:paraId="6856E4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890" w:hRule="atLeast"/>
                <w:jc w:val="center"/>
              </w:trPr>
              <w:tc>
                <w:tcPr>
                  <w:tcW w:w="609" w:type="pct"/>
                  <w:vMerge w:val="continue"/>
                  <w:tcBorders>
                    <w:tl2br w:val="nil"/>
                    <w:tr2bl w:val="nil"/>
                  </w:tcBorders>
                  <w:noWrap w:val="0"/>
                  <w:vAlign w:val="center"/>
                </w:tcPr>
                <w:p w14:paraId="4C183F0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p>
              </w:tc>
              <w:tc>
                <w:tcPr>
                  <w:tcW w:w="2096" w:type="pct"/>
                  <w:tcBorders>
                    <w:tl2br w:val="nil"/>
                    <w:tr2bl w:val="nil"/>
                  </w:tcBorders>
                  <w:noWrap w:val="0"/>
                  <w:vAlign w:val="center"/>
                </w:tcPr>
                <w:p w14:paraId="7E5C4855">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t>8.1.4具有热塑性的危险废物应装入容器或包装袋内进行贮存。</w:t>
                  </w:r>
                </w:p>
              </w:tc>
              <w:tc>
                <w:tcPr>
                  <w:tcW w:w="1727" w:type="pct"/>
                  <w:tcBorders>
                    <w:tl2br w:val="nil"/>
                    <w:tr2bl w:val="nil"/>
                  </w:tcBorders>
                  <w:noWrap w:val="0"/>
                  <w:vAlign w:val="center"/>
                </w:tcPr>
                <w:p w14:paraId="14457A55">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本项目</w:t>
                  </w:r>
                  <w:r>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t>具有热塑性的危险废物</w:t>
                  </w: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装入容器内贮存。</w:t>
                  </w:r>
                </w:p>
              </w:tc>
              <w:tc>
                <w:tcPr>
                  <w:tcW w:w="566" w:type="pct"/>
                  <w:tcBorders>
                    <w:tl2br w:val="nil"/>
                    <w:tr2bl w:val="nil"/>
                  </w:tcBorders>
                  <w:noWrap w:val="0"/>
                  <w:vAlign w:val="center"/>
                </w:tcPr>
                <w:p w14:paraId="1A4CE8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符合</w:t>
                  </w:r>
                </w:p>
              </w:tc>
            </w:tr>
            <w:tr w14:paraId="45F9CD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890" w:hRule="atLeast"/>
                <w:jc w:val="center"/>
              </w:trPr>
              <w:tc>
                <w:tcPr>
                  <w:tcW w:w="609" w:type="pct"/>
                  <w:vMerge w:val="continue"/>
                  <w:tcBorders>
                    <w:tl2br w:val="nil"/>
                    <w:tr2bl w:val="nil"/>
                  </w:tcBorders>
                  <w:noWrap w:val="0"/>
                  <w:vAlign w:val="center"/>
                </w:tcPr>
                <w:p w14:paraId="7A5E390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p>
              </w:tc>
              <w:tc>
                <w:tcPr>
                  <w:tcW w:w="2096" w:type="pct"/>
                  <w:tcBorders>
                    <w:tl2br w:val="nil"/>
                    <w:tr2bl w:val="nil"/>
                  </w:tcBorders>
                  <w:noWrap w:val="0"/>
                  <w:vAlign w:val="center"/>
                </w:tcPr>
                <w:p w14:paraId="7C49A6FB">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t>8.1.5易产生粉尘、VOCs、酸雾、有毒有害大气污染物和刺激性气味气体的危险废物应装入闭口容器或包装物内贮存。</w:t>
                  </w:r>
                </w:p>
              </w:tc>
              <w:tc>
                <w:tcPr>
                  <w:tcW w:w="1727" w:type="pct"/>
                  <w:tcBorders>
                    <w:tl2br w:val="nil"/>
                    <w:tr2bl w:val="nil"/>
                  </w:tcBorders>
                  <w:noWrap w:val="0"/>
                  <w:vAlign w:val="center"/>
                </w:tcPr>
                <w:p w14:paraId="1F7E2605">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本项目易产生</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有机废气、酸性废气及恶臭废气，因此危险废物</w:t>
                  </w: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均装入闭口容器内贮存。</w:t>
                  </w:r>
                </w:p>
              </w:tc>
              <w:tc>
                <w:tcPr>
                  <w:tcW w:w="566" w:type="pct"/>
                  <w:tcBorders>
                    <w:tl2br w:val="nil"/>
                    <w:tr2bl w:val="nil"/>
                  </w:tcBorders>
                  <w:noWrap w:val="0"/>
                  <w:vAlign w:val="center"/>
                </w:tcPr>
                <w:p w14:paraId="3CB36A5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符合</w:t>
                  </w:r>
                </w:p>
              </w:tc>
            </w:tr>
            <w:tr w14:paraId="431652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57" w:type="dxa"/>
                  <w:left w:w="57" w:type="dxa"/>
                  <w:bottom w:w="57" w:type="dxa"/>
                  <w:right w:w="57" w:type="dxa"/>
                </w:tblCellMar>
              </w:tblPrEx>
              <w:trPr>
                <w:trHeight w:val="890" w:hRule="atLeast"/>
                <w:jc w:val="center"/>
              </w:trPr>
              <w:tc>
                <w:tcPr>
                  <w:tcW w:w="609" w:type="pct"/>
                  <w:vMerge w:val="continue"/>
                  <w:tcBorders>
                    <w:tl2br w:val="nil"/>
                    <w:tr2bl w:val="nil"/>
                  </w:tcBorders>
                  <w:noWrap w:val="0"/>
                  <w:vAlign w:val="center"/>
                </w:tcPr>
                <w:p w14:paraId="7748185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p>
              </w:tc>
              <w:tc>
                <w:tcPr>
                  <w:tcW w:w="2096" w:type="pct"/>
                  <w:tcBorders>
                    <w:tl2br w:val="nil"/>
                    <w:tr2bl w:val="nil"/>
                  </w:tcBorders>
                  <w:noWrap w:val="0"/>
                  <w:vAlign w:val="center"/>
                </w:tcPr>
                <w:p w14:paraId="353A2A82">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vertAlign w:val="baseline"/>
                      <w:lang w:val="en-US" w:eastAsia="zh-CN"/>
                      <w14:textFill>
                        <w14:solidFill>
                          <w14:schemeClr w14:val="tx1"/>
                        </w14:solidFill>
                      </w14:textFill>
                    </w:rPr>
                    <w:t>8.1.6危险废物贮存过程中易产生粉尘等无组织排放的，应采取抑尘等有效措施。</w:t>
                  </w:r>
                </w:p>
              </w:tc>
              <w:tc>
                <w:tcPr>
                  <w:tcW w:w="1727" w:type="pct"/>
                  <w:tcBorders>
                    <w:tl2br w:val="nil"/>
                    <w:tr2bl w:val="nil"/>
                  </w:tcBorders>
                  <w:noWrap w:val="0"/>
                  <w:vAlign w:val="center"/>
                </w:tcPr>
                <w:p w14:paraId="67B2B95E">
                  <w:pPr>
                    <w:pStyle w:val="73"/>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jc w:val="left"/>
                    <w:textAlignment w:val="auto"/>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lang w:val="en-US" w:eastAsia="zh-CN"/>
                      <w14:textFill>
                        <w14:solidFill>
                          <w14:schemeClr w14:val="tx1"/>
                        </w14:solidFill>
                      </w14:textFill>
                    </w:rPr>
                    <w:t>本项目不涉及产生粉尘的贮存环节。</w:t>
                  </w:r>
                </w:p>
              </w:tc>
              <w:tc>
                <w:tcPr>
                  <w:tcW w:w="566" w:type="pct"/>
                  <w:tcBorders>
                    <w:tl2br w:val="nil"/>
                    <w:tr2bl w:val="nil"/>
                  </w:tcBorders>
                  <w:noWrap w:val="0"/>
                  <w:vAlign w:val="center"/>
                </w:tcPr>
                <w:p w14:paraId="10843A5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jc w:val="center"/>
                    <w:textAlignment w:val="auto"/>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kern w:val="21"/>
                      <w:position w:val="0"/>
                      <w:sz w:val="21"/>
                      <w:szCs w:val="21"/>
                      <w:highlight w:val="none"/>
                      <w14:textFill>
                        <w14:solidFill>
                          <w14:schemeClr w14:val="tx1"/>
                        </w14:solidFill>
                      </w14:textFill>
                    </w:rPr>
                    <w:t>符合</w:t>
                  </w:r>
                </w:p>
              </w:tc>
            </w:tr>
          </w:tbl>
          <w:p w14:paraId="43349C36">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157" w:beforeLines="50" w:line="360" w:lineRule="auto"/>
              <w:ind w:firstLine="482"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（9）与《挥发性有机物（VOCs）污染防治技术政策》（公告2013年第31号）符合性分析</w:t>
            </w:r>
          </w:p>
          <w:p w14:paraId="3E274141">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Chars="0"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技术政策末端治理与综合利用：</w:t>
            </w:r>
          </w:p>
          <w:p w14:paraId="21C06FB4">
            <w:pPr>
              <w:keepNext w:val="0"/>
              <w:keepLines w:val="0"/>
              <w:pageBreakBefore w:val="0"/>
              <w:widowControl w:val="0"/>
              <w:numPr>
                <w:ilvl w:val="0"/>
                <w:numId w:val="4"/>
              </w:numPr>
              <w:kinsoku/>
              <w:wordWrap/>
              <w:overflowPunct/>
              <w:topLinePunct w:val="0"/>
              <w:autoSpaceDE w:val="0"/>
              <w:autoSpaceDN w:val="0"/>
              <w:bidi w:val="0"/>
              <w:adjustRightInd w:val="0"/>
              <w:snapToGrid w:val="0"/>
              <w:spacing w:line="360" w:lineRule="auto"/>
              <w:ind w:leftChars="0"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对于含低浓度VOCs的废气，有回收价值时可采用吸附技术、吸收技术对有机溶剂回收后达标排放；</w:t>
            </w:r>
          </w:p>
          <w:p w14:paraId="3B0F17B7">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Chars="0"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贮存的危险废物中涉及会产生有机废气，企业对危险废物分区贮存，在分区内设置负压收集措施，经收集的有机废气经碱喷淋塔+两级活性炭吸附装置处理+15m高排气筒高空排放；项目暂存过程严格控制VOCs的挥发与排放，不违背上述相关技术防治政策。</w:t>
            </w:r>
          </w:p>
          <w:p w14:paraId="7AE624F3">
            <w:pPr>
              <w:spacing w:line="500" w:lineRule="exact"/>
              <w:ind w:firstLine="482" w:firstLineChars="200"/>
              <w:jc w:val="left"/>
              <w:rPr>
                <w:rFonts w:hint="default" w:ascii="Times New Roman" w:hAnsi="Times New Roman" w:eastAsia="宋体" w:cs="Times New Roman"/>
                <w:b/>
                <w:color w:val="000000" w:themeColor="text1"/>
                <w:kern w:val="0"/>
                <w:sz w:val="24"/>
                <w:highlight w:val="none"/>
                <w14:textFill>
                  <w14:solidFill>
                    <w14:schemeClr w14:val="tx1"/>
                  </w14:solidFill>
                </w14:textFill>
              </w:rPr>
            </w:pPr>
            <w:r>
              <w:rPr>
                <w:rFonts w:hint="default" w:ascii="Times New Roman" w:hAnsi="Times New Roman" w:eastAsia="宋体" w:cs="Times New Roman"/>
                <w:b/>
                <w:color w:val="000000" w:themeColor="text1"/>
                <w:kern w:val="0"/>
                <w:sz w:val="24"/>
                <w:highlight w:val="none"/>
                <w:lang w:eastAsia="zh-CN"/>
                <w14:textFill>
                  <w14:solidFill>
                    <w14:schemeClr w14:val="tx1"/>
                  </w14:solidFill>
                </w14:textFill>
              </w:rPr>
              <w:t>（</w:t>
            </w:r>
            <w:r>
              <w:rPr>
                <w:rFonts w:hint="default" w:ascii="Times New Roman" w:hAnsi="Times New Roman" w:eastAsia="宋体" w:cs="Times New Roman"/>
                <w:b/>
                <w:color w:val="000000" w:themeColor="text1"/>
                <w:kern w:val="0"/>
                <w:sz w:val="24"/>
                <w:highlight w:val="none"/>
                <w:lang w:val="en-US" w:eastAsia="zh-CN"/>
                <w14:textFill>
                  <w14:solidFill>
                    <w14:schemeClr w14:val="tx1"/>
                  </w14:solidFill>
                </w14:textFill>
              </w:rPr>
              <w:t>10</w:t>
            </w:r>
            <w:r>
              <w:rPr>
                <w:rFonts w:hint="default" w:ascii="Times New Roman" w:hAnsi="Times New Roman" w:eastAsia="宋体" w:cs="Times New Roman"/>
                <w:b/>
                <w:color w:val="000000" w:themeColor="text1"/>
                <w:kern w:val="0"/>
                <w:sz w:val="24"/>
                <w:highlight w:val="none"/>
                <w:lang w:eastAsia="zh-CN"/>
                <w14:textFill>
                  <w14:solidFill>
                    <w14:schemeClr w14:val="tx1"/>
                  </w14:solidFill>
                </w14:textFill>
              </w:rPr>
              <w:t>）</w:t>
            </w:r>
            <w:r>
              <w:rPr>
                <w:rFonts w:hint="default" w:ascii="Times New Roman" w:hAnsi="Times New Roman" w:eastAsia="宋体" w:cs="Times New Roman"/>
                <w:b/>
                <w:color w:val="000000" w:themeColor="text1"/>
                <w:kern w:val="0"/>
                <w:sz w:val="24"/>
                <w:highlight w:val="none"/>
                <w14:textFill>
                  <w14:solidFill>
                    <w14:schemeClr w14:val="tx1"/>
                  </w14:solidFill>
                </w14:textFill>
              </w:rPr>
              <w:t>与</w:t>
            </w:r>
            <w:r>
              <w:rPr>
                <w:rFonts w:hint="default" w:ascii="Times New Roman" w:hAnsi="Times New Roman" w:eastAsia="宋体" w:cs="Times New Roman"/>
                <w:b/>
                <w:bCs/>
                <w:color w:val="000000" w:themeColor="text1"/>
                <w:sz w:val="24"/>
                <w:highlight w:val="none"/>
                <w14:textFill>
                  <w14:solidFill>
                    <w14:schemeClr w14:val="tx1"/>
                  </w14:solidFill>
                </w14:textFill>
              </w:rPr>
              <w:t>生态环境分区管控分析报告</w:t>
            </w:r>
            <w:r>
              <w:rPr>
                <w:rFonts w:hint="default" w:ascii="Times New Roman" w:hAnsi="Times New Roman" w:eastAsia="宋体" w:cs="Times New Roman"/>
                <w:b/>
                <w:color w:val="000000" w:themeColor="text1"/>
                <w:kern w:val="0"/>
                <w:sz w:val="24"/>
                <w:highlight w:val="none"/>
                <w14:textFill>
                  <w14:solidFill>
                    <w14:schemeClr w14:val="tx1"/>
                  </w14:solidFill>
                </w14:textFill>
              </w:rPr>
              <w:t>符合性分析</w:t>
            </w:r>
          </w:p>
          <w:p w14:paraId="52DAE2D4">
            <w:pPr>
              <w:pStyle w:val="26"/>
              <w:spacing w:after="0" w:line="500" w:lineRule="exact"/>
              <w:ind w:firstLine="488" w:firstLineChars="200"/>
              <w:rPr>
                <w:rFonts w:hint="default" w:ascii="Times New Roman" w:hAnsi="Times New Roman" w:eastAsia="宋体" w:cs="Times New Roman"/>
                <w:color w:val="000000" w:themeColor="text1"/>
                <w:spacing w:val="1"/>
                <w:sz w:val="24"/>
                <w:highlight w:val="none"/>
                <w14:textFill>
                  <w14:solidFill>
                    <w14:schemeClr w14:val="tx1"/>
                  </w14:solidFill>
                </w14:textFill>
              </w:rPr>
            </w:pPr>
            <w:r>
              <w:rPr>
                <w:rFonts w:hint="default" w:ascii="Times New Roman" w:hAnsi="Times New Roman" w:eastAsia="宋体" w:cs="Times New Roman"/>
                <w:color w:val="000000" w:themeColor="text1"/>
                <w:spacing w:val="2"/>
                <w:sz w:val="24"/>
                <w:highlight w:val="none"/>
                <w14:textFill>
                  <w14:solidFill>
                    <w14:schemeClr w14:val="tx1"/>
                  </w14:solidFill>
                </w14:textFill>
              </w:rPr>
              <w:t>本项目位于</w:t>
            </w:r>
            <w:r>
              <w:rPr>
                <w:rFonts w:hint="eastAsia" w:ascii="Times New Roman" w:hAnsi="Times New Roman" w:cs="Times New Roman"/>
                <w:color w:val="000000" w:themeColor="text1"/>
                <w:sz w:val="24"/>
                <w:highlight w:val="none"/>
                <w:lang w:eastAsia="zh-CN"/>
                <w14:textFill>
                  <w14:solidFill>
                    <w14:schemeClr w14:val="tx1"/>
                  </w14:solidFill>
                </w14:textFill>
              </w:rPr>
              <w:t>黑龙江省伊春市伊美区旭日街道一道口伊美区循环经济园区内（林源家具厂）</w:t>
            </w:r>
            <w:r>
              <w:rPr>
                <w:rFonts w:hint="default" w:ascii="Times New Roman" w:hAnsi="Times New Roman" w:eastAsia="宋体" w:cs="Times New Roman"/>
                <w:color w:val="000000" w:themeColor="text1"/>
                <w:spacing w:val="2"/>
                <w:sz w:val="24"/>
                <w:highlight w:val="none"/>
                <w14:textFill>
                  <w14:solidFill>
                    <w14:schemeClr w14:val="tx1"/>
                  </w14:solidFill>
                </w14:textFill>
              </w:rPr>
              <w:t>。根</w:t>
            </w:r>
            <w:r>
              <w:rPr>
                <w:rFonts w:hint="default" w:ascii="Times New Roman" w:hAnsi="Times New Roman" w:eastAsia="宋体" w:cs="Times New Roman"/>
                <w:color w:val="000000" w:themeColor="text1"/>
                <w:spacing w:val="1"/>
                <w:sz w:val="24"/>
                <w:highlight w:val="none"/>
                <w14:textFill>
                  <w14:solidFill>
                    <w14:schemeClr w14:val="tx1"/>
                  </w14:solidFill>
                </w14:textFill>
              </w:rPr>
              <w:t>据黑龙江省生态分区管控数据应用平台出具的《</w:t>
            </w:r>
            <w:r>
              <w:rPr>
                <w:rFonts w:hint="eastAsia" w:ascii="Times New Roman" w:hAnsi="Times New Roman" w:cs="Times New Roman"/>
                <w:color w:val="000000" w:themeColor="text1"/>
                <w:spacing w:val="1"/>
                <w:sz w:val="24"/>
                <w:highlight w:val="none"/>
                <w:lang w:eastAsia="zh-CN"/>
                <w14:textFill>
                  <w14:solidFill>
                    <w14:schemeClr w14:val="tx1"/>
                  </w14:solidFill>
                </w14:textFill>
              </w:rPr>
              <w:t>伊春市绿擎未来环保科技有限公司建设项目</w:t>
            </w:r>
            <w:r>
              <w:rPr>
                <w:rFonts w:hint="default" w:ascii="Times New Roman" w:hAnsi="Times New Roman" w:eastAsia="宋体" w:cs="Times New Roman"/>
                <w:color w:val="000000" w:themeColor="text1"/>
                <w:spacing w:val="1"/>
                <w:sz w:val="24"/>
                <w:highlight w:val="none"/>
                <w14:textFill>
                  <w14:solidFill>
                    <w14:schemeClr w14:val="tx1"/>
                  </w14:solidFill>
                </w14:textFill>
              </w:rPr>
              <w:t>生态环境分区管控分析报告》可知，本项目厂址位于重点管控单元。本项目的生态环境分区管控符合性分析如下：</w:t>
            </w:r>
          </w:p>
          <w:p w14:paraId="7BD4BFD6">
            <w:pPr>
              <w:pStyle w:val="26"/>
              <w:spacing w:after="0" w:line="500" w:lineRule="exact"/>
              <w:ind w:firstLine="484" w:firstLineChars="200"/>
              <w:rPr>
                <w:rFonts w:hint="default" w:ascii="Times New Roman" w:hAnsi="Times New Roman" w:eastAsia="宋体" w:cs="Times New Roman"/>
                <w:color w:val="000000" w:themeColor="text1"/>
                <w:spacing w:val="1"/>
                <w:sz w:val="24"/>
                <w:highlight w:val="none"/>
                <w14:textFill>
                  <w14:solidFill>
                    <w14:schemeClr w14:val="tx1"/>
                  </w14:solidFill>
                </w14:textFill>
              </w:rPr>
            </w:pPr>
            <w:r>
              <w:rPr>
                <w:rFonts w:hint="default" w:ascii="Times New Roman" w:hAnsi="Times New Roman" w:eastAsia="宋体" w:cs="Times New Roman"/>
                <w:color w:val="000000" w:themeColor="text1"/>
                <w:spacing w:val="1"/>
                <w:sz w:val="24"/>
                <w:highlight w:val="none"/>
                <w14:textFill>
                  <w14:solidFill>
                    <w14:schemeClr w14:val="tx1"/>
                  </w14:solidFill>
                </w14:textFill>
              </w:rPr>
              <w:t>①“一图”</w:t>
            </w:r>
          </w:p>
          <w:p w14:paraId="5791DED8">
            <w:pPr>
              <w:pStyle w:val="26"/>
              <w:spacing w:after="0" w:line="500" w:lineRule="exact"/>
              <w:ind w:firstLine="484" w:firstLineChars="200"/>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pacing w:val="1"/>
                <w:sz w:val="24"/>
                <w:highlight w:val="none"/>
                <w14:textFill>
                  <w14:solidFill>
                    <w14:schemeClr w14:val="tx1"/>
                  </w14:solidFill>
                </w14:textFill>
              </w:rPr>
              <w:t>根据下图所示，本项目与环境管控单元叠加图显示，本项目所在地为重点管控单元</w:t>
            </w:r>
            <w:r>
              <w:rPr>
                <w:rFonts w:hint="default" w:ascii="Times New Roman" w:hAnsi="Times New Roman" w:eastAsia="宋体" w:cs="Times New Roman"/>
                <w:color w:val="000000" w:themeColor="text1"/>
                <w:spacing w:val="1"/>
                <w:sz w:val="24"/>
                <w:highlight w:val="none"/>
                <w:lang w:val="en-US" w:eastAsia="zh-CN"/>
                <w14:textFill>
                  <w14:solidFill>
                    <w14:schemeClr w14:val="tx1"/>
                  </w14:solidFill>
                </w14:textFill>
              </w:rPr>
              <w:t>和一般管控单元</w:t>
            </w:r>
            <w:r>
              <w:rPr>
                <w:rFonts w:hint="default" w:ascii="Times New Roman" w:hAnsi="Times New Roman" w:eastAsia="宋体" w:cs="Times New Roman"/>
                <w:bCs/>
                <w:color w:val="000000" w:themeColor="text1"/>
                <w:sz w:val="24"/>
                <w:highlight w:val="none"/>
                <w14:textFill>
                  <w14:solidFill>
                    <w14:schemeClr w14:val="tx1"/>
                  </w14:solidFill>
                </w14:textFill>
              </w:rPr>
              <w:t>，见图1-1。</w:t>
            </w:r>
          </w:p>
          <w:p w14:paraId="06A3BE7D">
            <w:pPr>
              <w:pStyle w:val="102"/>
              <w:spacing w:line="240" w:lineRule="auto"/>
              <w:ind w:firstLine="0" w:firstLineChars="0"/>
              <w:jc w:val="center"/>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drawing>
                <wp:inline distT="0" distB="0" distL="114300" distR="114300">
                  <wp:extent cx="4889500" cy="2734945"/>
                  <wp:effectExtent l="0" t="0" r="6350" b="8255"/>
                  <wp:docPr id="3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3"/>
                          <pic:cNvPicPr>
                            <a:picLocks noChangeAspect="1"/>
                          </pic:cNvPicPr>
                        </pic:nvPicPr>
                        <pic:blipFill>
                          <a:blip r:embed="rId14"/>
                          <a:stretch>
                            <a:fillRect/>
                          </a:stretch>
                        </pic:blipFill>
                        <pic:spPr>
                          <a:xfrm>
                            <a:off x="0" y="0"/>
                            <a:ext cx="4889500" cy="2734945"/>
                          </a:xfrm>
                          <a:prstGeom prst="rect">
                            <a:avLst/>
                          </a:prstGeom>
                          <a:noFill/>
                          <a:ln>
                            <a:noFill/>
                          </a:ln>
                        </pic:spPr>
                      </pic:pic>
                    </a:graphicData>
                  </a:graphic>
                </wp:inline>
              </w:drawing>
            </w:r>
          </w:p>
          <w:p w14:paraId="6EF8B0FA">
            <w:pPr>
              <w:pStyle w:val="102"/>
              <w:spacing w:line="500" w:lineRule="exact"/>
              <w:ind w:firstLine="0" w:firstLineChars="0"/>
              <w:jc w:val="center"/>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4"/>
                <w:szCs w:val="24"/>
                <w:highlight w:val="none"/>
                <w14:textFill>
                  <w14:solidFill>
                    <w14:schemeClr w14:val="tx1"/>
                  </w14:solidFill>
                </w14:textFill>
              </w:rPr>
              <w:t>图1-1 本项目与环境管控单元叠加图</w:t>
            </w:r>
          </w:p>
          <w:p w14:paraId="0A666781">
            <w:pPr>
              <w:pStyle w:val="11"/>
              <w:spacing w:line="500" w:lineRule="exact"/>
              <w:ind w:firstLine="480" w:firstLineChars="200"/>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②“一表”</w:t>
            </w:r>
          </w:p>
          <w:p w14:paraId="577F993E">
            <w:pPr>
              <w:snapToGrid w:val="0"/>
              <w:spacing w:line="500" w:lineRule="exact"/>
              <w:ind w:firstLine="480" w:firstLineChars="200"/>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本项目与“三线一单”符合性分析见</w:t>
            </w:r>
            <w:r>
              <w:rPr>
                <w:rFonts w:hint="eastAsia" w:cs="Times New Roman"/>
                <w:color w:val="000000" w:themeColor="text1"/>
                <w:sz w:val="24"/>
                <w:highlight w:val="none"/>
                <w:lang w:val="en-US" w:eastAsia="zh-CN"/>
                <w14:textFill>
                  <w14:solidFill>
                    <w14:schemeClr w14:val="tx1"/>
                  </w14:solidFill>
                </w14:textFill>
              </w:rPr>
              <w:t>下</w:t>
            </w:r>
            <w:r>
              <w:rPr>
                <w:rFonts w:hint="default" w:ascii="Times New Roman" w:hAnsi="Times New Roman" w:eastAsia="宋体" w:cs="Times New Roman"/>
                <w:color w:val="000000" w:themeColor="text1"/>
                <w:sz w:val="24"/>
                <w:highlight w:val="none"/>
                <w14:textFill>
                  <w14:solidFill>
                    <w14:schemeClr w14:val="tx1"/>
                  </w14:solidFill>
                </w14:textFill>
              </w:rPr>
              <w:t>表。</w:t>
            </w:r>
          </w:p>
          <w:p w14:paraId="2559094E">
            <w:pPr>
              <w:pStyle w:val="103"/>
              <w:spacing w:line="500" w:lineRule="exact"/>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表1-</w:t>
            </w:r>
            <w:r>
              <w:rPr>
                <w:rFonts w:hint="eastAsia" w:cs="Times New Roman"/>
                <w:color w:val="000000" w:themeColor="text1"/>
                <w:sz w:val="24"/>
                <w:szCs w:val="24"/>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24"/>
                <w:highlight w:val="none"/>
                <w14:textFill>
                  <w14:solidFill>
                    <w14:schemeClr w14:val="tx1"/>
                  </w14:solidFill>
                </w14:textFill>
              </w:rPr>
              <w:t>本项目与“三线一单”要求符合性分析</w:t>
            </w:r>
          </w:p>
          <w:tbl>
            <w:tblPr>
              <w:tblStyle w:val="28"/>
              <w:tblW w:w="492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91"/>
              <w:gridCol w:w="3918"/>
              <w:gridCol w:w="2286"/>
            </w:tblGrid>
            <w:tr w14:paraId="682A10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3"/>
                  <w:noWrap w:val="0"/>
                  <w:vAlign w:val="center"/>
                </w:tcPr>
                <w:p w14:paraId="41F8BB85">
                  <w:pPr>
                    <w:adjustRightInd w:val="0"/>
                    <w:snapToGrid w:val="0"/>
                    <w:jc w:val="center"/>
                    <w:textAlignment w:val="baseline"/>
                    <w:rPr>
                      <w:rFonts w:hint="default"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Cs w:val="21"/>
                      <w:highlight w:val="none"/>
                      <w14:textFill>
                        <w14:solidFill>
                          <w14:schemeClr w14:val="tx1"/>
                        </w14:solidFill>
                      </w14:textFill>
                    </w:rPr>
                    <w:t>一、生态保护红线</w:t>
                  </w:r>
                </w:p>
              </w:tc>
            </w:tr>
            <w:tr w14:paraId="178A1D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3"/>
                  <w:noWrap w:val="0"/>
                  <w:vAlign w:val="center"/>
                </w:tcPr>
                <w:p w14:paraId="16A99F29">
                  <w:pPr>
                    <w:adjustRightInd w:val="0"/>
                    <w:snapToGrid w:val="0"/>
                    <w:textAlignment w:val="baseline"/>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根据《</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伊春市绿擎未来环保科技有限公司建设项目</w:t>
                  </w:r>
                  <w:r>
                    <w:rPr>
                      <w:rFonts w:hint="default" w:ascii="Times New Roman" w:hAnsi="Times New Roman" w:eastAsia="宋体" w:cs="Times New Roman"/>
                      <w:color w:val="000000" w:themeColor="text1"/>
                      <w:szCs w:val="21"/>
                      <w:highlight w:val="none"/>
                      <w14:textFill>
                        <w14:solidFill>
                          <w14:schemeClr w14:val="tx1"/>
                        </w14:solidFill>
                      </w14:textFill>
                    </w:rPr>
                    <w:t>生态环境分区管控分析报告》可知，本项目不涉及生态保护红线</w:t>
                  </w:r>
                  <w:r>
                    <w:rPr>
                      <w:rFonts w:hint="default" w:ascii="Times New Roman" w:hAnsi="Times New Roman" w:eastAsia="宋体" w:cs="Times New Roman"/>
                      <w:color w:val="000000" w:themeColor="text1"/>
                      <w:spacing w:val="1"/>
                      <w:szCs w:val="21"/>
                      <w:highlight w:val="none"/>
                      <w:lang w:eastAsia="zh-CN"/>
                      <w14:textFill>
                        <w14:solidFill>
                          <w14:schemeClr w14:val="tx1"/>
                        </w14:solidFill>
                      </w14:textFill>
                    </w:rPr>
                    <w:t>，所在区域不属于生态保护红线和一般生态空间。</w:t>
                  </w:r>
                </w:p>
              </w:tc>
            </w:tr>
            <w:tr w14:paraId="7E995F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3"/>
                  <w:noWrap w:val="0"/>
                  <w:vAlign w:val="center"/>
                </w:tcPr>
                <w:p w14:paraId="767665F6">
                  <w:pPr>
                    <w:adjustRightInd w:val="0"/>
                    <w:snapToGrid w:val="0"/>
                    <w:jc w:val="center"/>
                    <w:textAlignment w:val="baseline"/>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Cs w:val="21"/>
                      <w:highlight w:val="none"/>
                      <w14:textFill>
                        <w14:solidFill>
                          <w14:schemeClr w14:val="tx1"/>
                        </w14:solidFill>
                      </w14:textFill>
                    </w:rPr>
                    <w:t>二、环境质量底线</w:t>
                  </w:r>
                </w:p>
              </w:tc>
            </w:tr>
            <w:tr w14:paraId="4FBE6D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3"/>
                  <w:noWrap w:val="0"/>
                  <w:vAlign w:val="center"/>
                </w:tcPr>
                <w:p w14:paraId="4763C744">
                  <w:pPr>
                    <w:adjustRightInd w:val="0"/>
                    <w:snapToGrid w:val="0"/>
                    <w:jc w:val="center"/>
                    <w:textAlignment w:val="baseline"/>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Cs w:val="21"/>
                      <w:highlight w:val="none"/>
                      <w14:textFill>
                        <w14:solidFill>
                          <w14:schemeClr w14:val="tx1"/>
                        </w14:solidFill>
                      </w14:textFill>
                    </w:rPr>
                    <w:t>水环境</w:t>
                  </w:r>
                </w:p>
              </w:tc>
            </w:tr>
            <w:tr w14:paraId="34393D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15" w:type="pct"/>
                  <w:noWrap w:val="0"/>
                  <w:vAlign w:val="center"/>
                </w:tcPr>
                <w:p w14:paraId="3D622B33">
                  <w:pPr>
                    <w:adjustRightInd w:val="0"/>
                    <w:snapToGrid w:val="0"/>
                    <w:jc w:val="center"/>
                    <w:textAlignment w:val="baseline"/>
                    <w:rPr>
                      <w:rFonts w:hint="default" w:ascii="Times New Roman" w:hAnsi="Times New Roman" w:eastAsia="宋体" w:cs="Times New Roman"/>
                      <w:color w:val="000000" w:themeColor="text1"/>
                      <w:spacing w:val="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pacing w:val="1"/>
                      <w:szCs w:val="21"/>
                      <w:highlight w:val="none"/>
                      <w:lang w:eastAsia="zh-CN"/>
                      <w14:textFill>
                        <w14:solidFill>
                          <w14:schemeClr w14:val="tx1"/>
                        </w14:solidFill>
                      </w14:textFill>
                    </w:rPr>
                    <w:t>管控单元类别</w:t>
                  </w:r>
                </w:p>
              </w:tc>
              <w:tc>
                <w:tcPr>
                  <w:tcW w:w="4084" w:type="pct"/>
                  <w:gridSpan w:val="2"/>
                  <w:noWrap w:val="0"/>
                  <w:vAlign w:val="center"/>
                </w:tcPr>
                <w:p w14:paraId="0B6B6A2E">
                  <w:pPr>
                    <w:adjustRightInd w:val="0"/>
                    <w:snapToGrid w:val="0"/>
                    <w:textAlignment w:val="baseline"/>
                    <w:rPr>
                      <w:rFonts w:hint="default" w:ascii="Times New Roman" w:hAnsi="Times New Roman" w:eastAsia="宋体" w:cs="Times New Roman"/>
                      <w:color w:val="000000" w:themeColor="text1"/>
                      <w:spacing w:val="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pacing w:val="1"/>
                      <w:szCs w:val="21"/>
                      <w:highlight w:val="none"/>
                      <w:lang w:val="en-US" w:eastAsia="zh-CN"/>
                      <w14:textFill>
                        <w14:solidFill>
                          <w14:schemeClr w14:val="tx1"/>
                        </w14:solidFill>
                      </w14:textFill>
                    </w:rPr>
                    <w:t>伊美区</w:t>
                  </w:r>
                  <w:r>
                    <w:rPr>
                      <w:rFonts w:hint="default" w:ascii="Times New Roman" w:hAnsi="Times New Roman" w:eastAsia="宋体" w:cs="Times New Roman"/>
                      <w:color w:val="000000" w:themeColor="text1"/>
                      <w:spacing w:val="1"/>
                      <w:szCs w:val="21"/>
                      <w:highlight w:val="none"/>
                      <w:lang w:eastAsia="zh-CN"/>
                      <w14:textFill>
                        <w14:solidFill>
                          <w14:schemeClr w14:val="tx1"/>
                        </w14:solidFill>
                      </w14:textFill>
                    </w:rPr>
                    <w:t>地下水环境一般管控区</w:t>
                  </w:r>
                </w:p>
              </w:tc>
            </w:tr>
            <w:tr w14:paraId="080D88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15" w:type="pct"/>
                  <w:noWrap w:val="0"/>
                  <w:vAlign w:val="center"/>
                </w:tcPr>
                <w:p w14:paraId="3AE0F7B4">
                  <w:pPr>
                    <w:adjustRightInd w:val="0"/>
                    <w:snapToGrid w:val="0"/>
                    <w:jc w:val="center"/>
                    <w:textAlignment w:val="baseline"/>
                    <w:rPr>
                      <w:rFonts w:hint="default" w:ascii="Times New Roman" w:hAnsi="Times New Roman" w:eastAsia="宋体" w:cs="Times New Roman"/>
                      <w:color w:val="000000" w:themeColor="text1"/>
                      <w:spacing w:val="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pacing w:val="1"/>
                      <w:szCs w:val="21"/>
                      <w:highlight w:val="none"/>
                      <w:lang w:eastAsia="zh-CN"/>
                      <w14:textFill>
                        <w14:solidFill>
                          <w14:schemeClr w14:val="tx1"/>
                        </w14:solidFill>
                      </w14:textFill>
                    </w:rPr>
                    <w:t>符合性</w:t>
                  </w:r>
                </w:p>
                <w:p w14:paraId="2ADB8E87">
                  <w:pPr>
                    <w:adjustRightInd w:val="0"/>
                    <w:snapToGrid w:val="0"/>
                    <w:jc w:val="center"/>
                    <w:textAlignment w:val="baseline"/>
                    <w:rPr>
                      <w:rFonts w:hint="default" w:ascii="Times New Roman" w:hAnsi="Times New Roman" w:eastAsia="宋体" w:cs="Times New Roman"/>
                      <w:color w:val="000000" w:themeColor="text1"/>
                      <w:spacing w:val="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pacing w:val="1"/>
                      <w:szCs w:val="21"/>
                      <w:highlight w:val="none"/>
                      <w:lang w:eastAsia="zh-CN"/>
                      <w14:textFill>
                        <w14:solidFill>
                          <w14:schemeClr w14:val="tx1"/>
                        </w14:solidFill>
                      </w14:textFill>
                    </w:rPr>
                    <w:t>分析</w:t>
                  </w:r>
                </w:p>
              </w:tc>
              <w:tc>
                <w:tcPr>
                  <w:tcW w:w="4084" w:type="pct"/>
                  <w:gridSpan w:val="2"/>
                  <w:noWrap w:val="0"/>
                  <w:vAlign w:val="center"/>
                </w:tcPr>
                <w:p w14:paraId="5002F034">
                  <w:pPr>
                    <w:pStyle w:val="2"/>
                    <w:keepNext w:val="0"/>
                    <w:keepLines w:val="0"/>
                    <w:pageBreakBefore w:val="0"/>
                    <w:kinsoku/>
                    <w:wordWrap/>
                    <w:overflowPunct/>
                    <w:topLinePunct w:val="0"/>
                    <w:autoSpaceDE/>
                    <w:autoSpaceDN/>
                    <w:bidi w:val="0"/>
                    <w:adjustRightInd/>
                    <w:spacing w:before="0" w:after="0" w:line="240" w:lineRule="auto"/>
                    <w:ind w:right="0" w:rightChars="0"/>
                    <w:textAlignment w:val="auto"/>
                    <w:rPr>
                      <w:rFonts w:hint="default" w:ascii="Times New Roman" w:hAnsi="Times New Roman" w:eastAsia="宋体" w:cs="Times New Roman"/>
                      <w:color w:val="000000" w:themeColor="text1"/>
                      <w:spacing w:val="1"/>
                      <w:szCs w:val="21"/>
                      <w:highlight w:val="none"/>
                      <w:lang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本项目无生产用水，无生产废水产生，生活污水依托</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伊春市林源家具有限公司，</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经市政管网</w:t>
                  </w:r>
                  <w:r>
                    <w:rPr>
                      <w:rFonts w:hint="default" w:ascii="Times New Roman" w:hAnsi="Times New Roman" w:eastAsia="宋体" w:cs="Times New Roman"/>
                      <w:color w:val="000000" w:themeColor="text1"/>
                      <w:kern w:val="2"/>
                      <w:sz w:val="21"/>
                      <w:szCs w:val="21"/>
                      <w:highlight w:val="none"/>
                      <w:lang w:eastAsia="zh-CN"/>
                      <w14:textFill>
                        <w14:solidFill>
                          <w14:schemeClr w14:val="tx1"/>
                        </w14:solidFill>
                      </w14:textFill>
                    </w:rPr>
                    <w:t>排入伊春市中心城污水处理厂处理。</w:t>
                  </w:r>
                  <w: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废气处理碱喷淋塔碱液循环使用，不外排，无废水产生。危险</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废物贮存库、导流渠、应急事故池为重点防渗区，</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地面与裙角用坚固、防渗的材料建造，建筑材料与危险废物相容</w:t>
                  </w:r>
                  <w:r>
                    <w:rPr>
                      <w:rFonts w:hint="eastAsia"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库周设1m高围堰，有泄漏液体收集装置、气体导出口及气体净化装置。用以存放装载液体、半固体危险废物容器的地方，有耐腐蚀的硬化地面，且表面无裂痕。</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参照《危险废物贮存污染控制标准》（GB18597-2023）要求设置重点防渗区：</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采取“2mm厚HDPE膜+防渗混凝土防渗措施，表面平整无裂痕，承重良好，</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防渗性能等效黏土防渗层Mb≥6m、K≤1.0×10</w:t>
                  </w:r>
                  <w:r>
                    <w:rPr>
                      <w:rFonts w:hint="default" w:ascii="Times New Roman" w:hAnsi="Times New Roman" w:eastAsia="宋体" w:cs="Times New Roman"/>
                      <w:color w:val="000000" w:themeColor="text1"/>
                      <w:kern w:val="2"/>
                      <w:sz w:val="21"/>
                      <w:szCs w:val="21"/>
                      <w:highlight w:val="none"/>
                      <w:vertAlign w:val="superscript"/>
                      <w:lang w:val="en-US" w:eastAsia="zh-CN" w:bidi="ar-SA"/>
                      <w14:textFill>
                        <w14:solidFill>
                          <w14:schemeClr w14:val="tx1"/>
                        </w14:solidFill>
                      </w14:textFill>
                    </w:rPr>
                    <w:t>-10</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cm/s；厂区道路</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等其他</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区域为简单防渗区，进行简单地面硬化。设置地下水监测井2处，分别位于厂址地下潜水径流（西南至东北）的上游和下游，其中上游背景监测井位于危险废物贮存库西南侧5米处（E128°55′9.01817″，N47°44′9.22986″）、下游2#跟踪监测井位于危险废物贮存库东北侧50m（E</w:t>
                  </w:r>
                  <w:r>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t>128°55′13.04593″</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，N</w:t>
                  </w:r>
                  <w:r>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t>47°44′11.51684″</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p>
              </w:tc>
            </w:tr>
            <w:tr w14:paraId="249B7E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3"/>
                  <w:noWrap w:val="0"/>
                  <w:vAlign w:val="center"/>
                </w:tcPr>
                <w:p w14:paraId="19DF1380">
                  <w:pPr>
                    <w:adjustRightInd w:val="0"/>
                    <w:snapToGrid w:val="0"/>
                    <w:jc w:val="center"/>
                    <w:textAlignment w:val="baseline"/>
                    <w:rPr>
                      <w:rFonts w:hint="default"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Cs w:val="21"/>
                      <w:highlight w:val="none"/>
                      <w14:textFill>
                        <w14:solidFill>
                          <w14:schemeClr w14:val="tx1"/>
                        </w14:solidFill>
                      </w14:textFill>
                    </w:rPr>
                    <w:t>三、资源利用上线</w:t>
                  </w:r>
                </w:p>
              </w:tc>
            </w:tr>
            <w:tr w14:paraId="48317C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15" w:type="pct"/>
                  <w:noWrap w:val="0"/>
                  <w:vAlign w:val="center"/>
                </w:tcPr>
                <w:p w14:paraId="4D7A0371">
                  <w:pPr>
                    <w:adjustRightInd w:val="0"/>
                    <w:snapToGrid w:val="0"/>
                    <w:jc w:val="center"/>
                    <w:textAlignment w:val="baseline"/>
                    <w:rPr>
                      <w:rFonts w:hint="default"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Cs w:val="21"/>
                      <w:highlight w:val="none"/>
                      <w14:textFill>
                        <w14:solidFill>
                          <w14:schemeClr w14:val="tx1"/>
                        </w14:solidFill>
                      </w14:textFill>
                    </w:rPr>
                    <w:t>管控单元类别</w:t>
                  </w:r>
                </w:p>
              </w:tc>
              <w:tc>
                <w:tcPr>
                  <w:tcW w:w="4084" w:type="pct"/>
                  <w:gridSpan w:val="2"/>
                  <w:noWrap w:val="0"/>
                  <w:vAlign w:val="center"/>
                </w:tcPr>
                <w:p w14:paraId="056B22DB">
                  <w:pPr>
                    <w:adjustRightInd w:val="0"/>
                    <w:snapToGrid w:val="0"/>
                    <w:jc w:val="center"/>
                    <w:textAlignment w:val="baseline"/>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高污染燃料禁燃区</w:t>
                  </w:r>
                </w:p>
              </w:tc>
            </w:tr>
            <w:tr w14:paraId="371D6D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15" w:type="pct"/>
                  <w:noWrap w:val="0"/>
                  <w:vAlign w:val="center"/>
                </w:tcPr>
                <w:p w14:paraId="3FC76A0B">
                  <w:pPr>
                    <w:jc w:val="center"/>
                    <w:rPr>
                      <w:rFonts w:hint="default"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Cs w:val="21"/>
                      <w:highlight w:val="none"/>
                      <w14:textFill>
                        <w14:solidFill>
                          <w14:schemeClr w14:val="tx1"/>
                        </w14:solidFill>
                      </w14:textFill>
                    </w:rPr>
                    <w:t>符合性</w:t>
                  </w:r>
                </w:p>
                <w:p w14:paraId="6022BA1F">
                  <w:pPr>
                    <w:tabs>
                      <w:tab w:val="center" w:pos="4153"/>
                      <w:tab w:val="right" w:pos="8306"/>
                    </w:tabs>
                    <w:jc w:val="center"/>
                    <w:rPr>
                      <w:rFonts w:hint="default"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Cs w:val="21"/>
                      <w:highlight w:val="none"/>
                      <w14:textFill>
                        <w14:solidFill>
                          <w14:schemeClr w14:val="tx1"/>
                        </w14:solidFill>
                      </w14:textFill>
                    </w:rPr>
                    <w:t>分析</w:t>
                  </w:r>
                </w:p>
              </w:tc>
              <w:tc>
                <w:tcPr>
                  <w:tcW w:w="4084" w:type="pct"/>
                  <w:gridSpan w:val="2"/>
                  <w:noWrap w:val="0"/>
                  <w:vAlign w:val="center"/>
                </w:tcPr>
                <w:p w14:paraId="742F4045">
                  <w:pPr>
                    <w:tabs>
                      <w:tab w:val="center" w:pos="4153"/>
                      <w:tab w:val="right" w:pos="8306"/>
                    </w:tabs>
                    <w:jc w:val="left"/>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本项目</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无</w:t>
                  </w:r>
                  <w:r>
                    <w:rPr>
                      <w:rFonts w:hint="default" w:ascii="Times New Roman" w:hAnsi="Times New Roman" w:eastAsia="宋体" w:cs="Times New Roman"/>
                      <w:color w:val="000000" w:themeColor="text1"/>
                      <w:szCs w:val="21"/>
                      <w:highlight w:val="none"/>
                      <w14:textFill>
                        <w14:solidFill>
                          <w14:schemeClr w14:val="tx1"/>
                        </w14:solidFill>
                      </w14:textFill>
                    </w:rPr>
                    <w:t>生产用热</w:t>
                  </w:r>
                  <w:r>
                    <w:rPr>
                      <w:rFonts w:hint="default" w:ascii="Times New Roman" w:hAnsi="Times New Roman" w:eastAsia="宋体" w:cs="Times New Roman"/>
                      <w:color w:val="000000" w:themeColor="text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Cs w:val="21"/>
                      <w:highlight w:val="none"/>
                      <w14:textFill>
                        <w14:solidFill>
                          <w14:schemeClr w14:val="tx1"/>
                        </w14:solidFill>
                      </w14:textFill>
                    </w:rPr>
                    <w:t>冬季</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生活供暖依托伊春市林源家具有限公司，</w:t>
                  </w:r>
                  <w:r>
                    <w:rPr>
                      <w:rFonts w:hint="default" w:ascii="Times New Roman" w:hAnsi="Times New Roman" w:eastAsia="宋体" w:cs="Times New Roman"/>
                      <w:color w:val="000000" w:themeColor="text1"/>
                      <w:szCs w:val="21"/>
                      <w:highlight w:val="none"/>
                      <w14:textFill>
                        <w14:solidFill>
                          <w14:schemeClr w14:val="tx1"/>
                        </w14:solidFill>
                      </w14:textFill>
                    </w:rPr>
                    <w:t>不涉及燃用高污染燃料。</w:t>
                  </w:r>
                </w:p>
              </w:tc>
            </w:tr>
            <w:tr w14:paraId="616567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3"/>
                  <w:noWrap w:val="0"/>
                  <w:vAlign w:val="center"/>
                </w:tcPr>
                <w:p w14:paraId="67DF5ADC">
                  <w:pPr>
                    <w:adjustRightInd w:val="0"/>
                    <w:snapToGrid w:val="0"/>
                    <w:jc w:val="center"/>
                    <w:textAlignment w:val="baseline"/>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Cs w:val="21"/>
                      <w:highlight w:val="none"/>
                      <w14:textFill>
                        <w14:solidFill>
                          <w14:schemeClr w14:val="tx1"/>
                        </w14:solidFill>
                      </w14:textFill>
                    </w:rPr>
                    <w:t>四、环境准入清单</w:t>
                  </w:r>
                </w:p>
              </w:tc>
            </w:tr>
            <w:tr w14:paraId="60E4BF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15" w:type="pct"/>
                  <w:noWrap w:val="0"/>
                  <w:vAlign w:val="center"/>
                </w:tcPr>
                <w:p w14:paraId="0C0AB818">
                  <w:pPr>
                    <w:adjustRightInd w:val="0"/>
                    <w:snapToGrid w:val="0"/>
                    <w:jc w:val="center"/>
                    <w:textAlignment w:val="baseline"/>
                    <w:rPr>
                      <w:rFonts w:hint="default"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Cs w:val="21"/>
                      <w:highlight w:val="none"/>
                      <w14:textFill>
                        <w14:solidFill>
                          <w14:schemeClr w14:val="tx1"/>
                        </w14:solidFill>
                      </w14:textFill>
                    </w:rPr>
                    <w:t>环境管控单元名称</w:t>
                  </w:r>
                </w:p>
              </w:tc>
              <w:tc>
                <w:tcPr>
                  <w:tcW w:w="4084" w:type="pct"/>
                  <w:gridSpan w:val="2"/>
                  <w:noWrap w:val="0"/>
                  <w:vAlign w:val="center"/>
                </w:tcPr>
                <w:p w14:paraId="4B3205EA">
                  <w:pPr>
                    <w:adjustRightInd w:val="0"/>
                    <w:snapToGrid w:val="0"/>
                    <w:jc w:val="center"/>
                    <w:textAlignment w:val="baseline"/>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伊美区城镇空间</w:t>
                  </w:r>
                </w:p>
              </w:tc>
            </w:tr>
            <w:tr w14:paraId="1DC211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15" w:type="pct"/>
                  <w:noWrap w:val="0"/>
                  <w:vAlign w:val="center"/>
                </w:tcPr>
                <w:p w14:paraId="77CCEAD1">
                  <w:pPr>
                    <w:adjustRightInd w:val="0"/>
                    <w:snapToGrid w:val="0"/>
                    <w:jc w:val="center"/>
                    <w:textAlignment w:val="baseline"/>
                    <w:rPr>
                      <w:rFonts w:hint="default"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Cs w:val="21"/>
                      <w:highlight w:val="none"/>
                      <w14:textFill>
                        <w14:solidFill>
                          <w14:schemeClr w14:val="tx1"/>
                        </w14:solidFill>
                      </w14:textFill>
                    </w:rPr>
                    <w:t>环境管控单元编码</w:t>
                  </w:r>
                </w:p>
              </w:tc>
              <w:tc>
                <w:tcPr>
                  <w:tcW w:w="4084" w:type="pct"/>
                  <w:gridSpan w:val="2"/>
                  <w:noWrap w:val="0"/>
                  <w:vAlign w:val="center"/>
                </w:tcPr>
                <w:p w14:paraId="795BB189">
                  <w:pPr>
                    <w:adjustRightInd w:val="0"/>
                    <w:snapToGrid w:val="0"/>
                    <w:jc w:val="center"/>
                    <w:textAlignment w:val="baseline"/>
                    <w:rPr>
                      <w:rFonts w:hint="default" w:ascii="Times New Roman" w:hAnsi="Times New Roman" w:eastAsia="宋体" w:cs="Times New Roman"/>
                      <w:color w:val="000000" w:themeColor="text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ZH230</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7172</w:t>
                  </w:r>
                  <w:r>
                    <w:rPr>
                      <w:rFonts w:hint="default" w:ascii="Times New Roman" w:hAnsi="Times New Roman" w:eastAsia="宋体" w:cs="Times New Roman"/>
                      <w:color w:val="000000" w:themeColor="text1"/>
                      <w:szCs w:val="21"/>
                      <w:highlight w:val="none"/>
                      <w14:textFill>
                        <w14:solidFill>
                          <w14:schemeClr w14:val="tx1"/>
                        </w14:solidFill>
                      </w14:textFill>
                    </w:rPr>
                    <w:t>000</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w:t>
                  </w:r>
                </w:p>
              </w:tc>
            </w:tr>
            <w:tr w14:paraId="110B5F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15" w:type="pct"/>
                  <w:noWrap w:val="0"/>
                  <w:vAlign w:val="center"/>
                </w:tcPr>
                <w:p w14:paraId="4C38B09D">
                  <w:pPr>
                    <w:adjustRightInd w:val="0"/>
                    <w:snapToGrid w:val="0"/>
                    <w:jc w:val="center"/>
                    <w:textAlignment w:val="baseline"/>
                    <w:rPr>
                      <w:rFonts w:hint="default"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Cs w:val="21"/>
                      <w:highlight w:val="none"/>
                      <w14:textFill>
                        <w14:solidFill>
                          <w14:schemeClr w14:val="tx1"/>
                        </w14:solidFill>
                      </w14:textFill>
                    </w:rPr>
                    <w:t>管控单元类别</w:t>
                  </w:r>
                </w:p>
              </w:tc>
              <w:tc>
                <w:tcPr>
                  <w:tcW w:w="4084" w:type="pct"/>
                  <w:gridSpan w:val="2"/>
                  <w:noWrap w:val="0"/>
                  <w:vAlign w:val="center"/>
                </w:tcPr>
                <w:p w14:paraId="6500E4E9">
                  <w:pPr>
                    <w:adjustRightInd w:val="0"/>
                    <w:snapToGrid w:val="0"/>
                    <w:jc w:val="center"/>
                    <w:textAlignment w:val="baseline"/>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伊美区城镇空间</w:t>
                  </w:r>
                </w:p>
              </w:tc>
            </w:tr>
            <w:tr w14:paraId="23B568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494" w:type="pct"/>
                  <w:gridSpan w:val="2"/>
                  <w:noWrap w:val="0"/>
                  <w:vAlign w:val="center"/>
                </w:tcPr>
                <w:p w14:paraId="3B547C43">
                  <w:pPr>
                    <w:adjustRightInd w:val="0"/>
                    <w:snapToGrid w:val="0"/>
                    <w:jc w:val="center"/>
                    <w:textAlignment w:val="baseline"/>
                    <w:rPr>
                      <w:rFonts w:hint="default"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Cs w:val="21"/>
                      <w:highlight w:val="none"/>
                      <w14:textFill>
                        <w14:solidFill>
                          <w14:schemeClr w14:val="tx1"/>
                        </w14:solidFill>
                      </w14:textFill>
                    </w:rPr>
                    <w:t>管控要求</w:t>
                  </w:r>
                </w:p>
              </w:tc>
              <w:tc>
                <w:tcPr>
                  <w:tcW w:w="1505" w:type="pct"/>
                  <w:noWrap w:val="0"/>
                  <w:vAlign w:val="center"/>
                </w:tcPr>
                <w:p w14:paraId="331F3C7B">
                  <w:pPr>
                    <w:adjustRightInd w:val="0"/>
                    <w:snapToGrid w:val="0"/>
                    <w:jc w:val="center"/>
                    <w:textAlignment w:val="baseline"/>
                    <w:rPr>
                      <w:rFonts w:hint="default"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b/>
                      <w:bCs/>
                      <w:color w:val="000000" w:themeColor="text1"/>
                      <w:szCs w:val="21"/>
                      <w:highlight w:val="none"/>
                      <w14:textFill>
                        <w14:solidFill>
                          <w14:schemeClr w14:val="tx1"/>
                        </w14:solidFill>
                      </w14:textFill>
                    </w:rPr>
                    <w:t>项目符合性分析</w:t>
                  </w:r>
                </w:p>
              </w:tc>
            </w:tr>
            <w:tr w14:paraId="5A397C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95" w:hRule="atLeast"/>
                <w:jc w:val="center"/>
              </w:trPr>
              <w:tc>
                <w:tcPr>
                  <w:tcW w:w="915" w:type="pct"/>
                  <w:noWrap w:val="0"/>
                  <w:vAlign w:val="center"/>
                </w:tcPr>
                <w:p w14:paraId="465A2A17">
                  <w:pPr>
                    <w:tabs>
                      <w:tab w:val="center" w:pos="4153"/>
                      <w:tab w:val="right" w:pos="8306"/>
                    </w:tabs>
                    <w:jc w:val="center"/>
                    <w:rPr>
                      <w:rFonts w:hint="default"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空间布局约束</w:t>
                  </w:r>
                </w:p>
              </w:tc>
              <w:tc>
                <w:tcPr>
                  <w:tcW w:w="2579" w:type="pct"/>
                  <w:noWrap w:val="0"/>
                  <w:vAlign w:val="center"/>
                </w:tcPr>
                <w:p w14:paraId="5BBE7A39">
                  <w:pPr>
                    <w:numPr>
                      <w:ilvl w:val="0"/>
                      <w:numId w:val="0"/>
                    </w:numPr>
                    <w:tabs>
                      <w:tab w:val="center" w:pos="4153"/>
                      <w:tab w:val="right" w:pos="8306"/>
                    </w:tabs>
                    <w:jc w:val="left"/>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1.严禁在人口密集区新建危险化学品生产项目，城镇人口密集区危险化学品生产企业应搬迁改造。2.禁止在城镇居民区、文化教育科学研究区等人口集中区域建设畜禽养殖场、养殖小区。3.严控“两高”行业产能。严格执行钢铁、水泥、平板玻璃等行业产能置换实施办法。4.利用水泥窑协同处置城市生活垃圾、危险废弃物、电石渣等固废伴生水泥项目，必须依托现有新型干法水泥熟料生产线进行不扩产能改造</w:t>
                  </w:r>
                </w:p>
              </w:tc>
              <w:tc>
                <w:tcPr>
                  <w:tcW w:w="1505" w:type="pct"/>
                  <w:noWrap w:val="0"/>
                  <w:vAlign w:val="center"/>
                </w:tcPr>
                <w:p w14:paraId="661BE9DC">
                  <w:pPr>
                    <w:tabs>
                      <w:tab w:val="center" w:pos="4153"/>
                      <w:tab w:val="right" w:pos="8306"/>
                    </w:tabs>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本项</w:t>
                  </w:r>
                  <w:r>
                    <w:rPr>
                      <w:rFonts w:hint="default" w:ascii="Times New Roman" w:hAnsi="Times New Roman" w:eastAsia="宋体" w:cs="Times New Roman"/>
                      <w:color w:val="000000" w:themeColor="text1"/>
                      <w:szCs w:val="21"/>
                      <w:highlight w:val="none"/>
                      <w:lang w:eastAsia="zh-CN"/>
                      <w14:textFill>
                        <w14:solidFill>
                          <w14:schemeClr w14:val="tx1"/>
                        </w14:solidFill>
                      </w14:textFill>
                    </w:rPr>
                    <w:t>目为危险废物临时贮存周转项目，不属于危险化学品生产、畜禽养殖、“两高”行业、利用水泥窑协同处置城市生活垃</w:t>
                  </w:r>
                  <w:r>
                    <w:rPr>
                      <w:rFonts w:hint="default" w:ascii="Times New Roman" w:hAnsi="Times New Roman" w:eastAsia="宋体" w:cs="Times New Roman"/>
                      <w:color w:val="000000" w:themeColor="text1"/>
                      <w:kern w:val="0"/>
                      <w:szCs w:val="21"/>
                      <w:highlight w:val="none"/>
                      <w14:textFill>
                        <w14:solidFill>
                          <w14:schemeClr w14:val="tx1"/>
                        </w14:solidFill>
                      </w14:textFill>
                    </w:rPr>
                    <w:t>圾、危险废弃物、电石渣等固废伴生水泥项目等行业。</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符合</w:t>
                  </w:r>
                  <w:r>
                    <w:rPr>
                      <w:rFonts w:hint="default" w:ascii="Times New Roman" w:hAnsi="Times New Roman" w:eastAsia="宋体" w:cs="Times New Roman"/>
                      <w:color w:val="000000" w:themeColor="text1"/>
                      <w:kern w:val="0"/>
                      <w:szCs w:val="21"/>
                      <w:highlight w:val="none"/>
                      <w14:textFill>
                        <w14:solidFill>
                          <w14:schemeClr w14:val="tx1"/>
                        </w14:solidFill>
                      </w14:textFill>
                    </w:rPr>
                    <w:t>空间布局约束</w:t>
                  </w: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w:t>
                  </w:r>
                </w:p>
              </w:tc>
            </w:tr>
            <w:tr w14:paraId="1317DD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15" w:type="pct"/>
                  <w:noWrap w:val="0"/>
                  <w:vAlign w:val="center"/>
                </w:tcPr>
                <w:p w14:paraId="0D922A6B">
                  <w:pPr>
                    <w:tabs>
                      <w:tab w:val="center" w:pos="4153"/>
                      <w:tab w:val="right" w:pos="8306"/>
                    </w:tabs>
                    <w:jc w:val="center"/>
                    <w:rPr>
                      <w:rFonts w:hint="default" w:ascii="Times New Roman" w:hAnsi="Times New Roman" w:eastAsia="宋体" w:cs="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污染物</w:t>
                  </w:r>
                </w:p>
                <w:p w14:paraId="2C1D972A">
                  <w:pPr>
                    <w:tabs>
                      <w:tab w:val="center" w:pos="4153"/>
                      <w:tab w:val="right" w:pos="8306"/>
                    </w:tabs>
                    <w:jc w:val="center"/>
                    <w:rPr>
                      <w:rFonts w:hint="default"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排放管控</w:t>
                  </w:r>
                </w:p>
              </w:tc>
              <w:tc>
                <w:tcPr>
                  <w:tcW w:w="2579" w:type="pct"/>
                  <w:noWrap w:val="0"/>
                  <w:vAlign w:val="center"/>
                </w:tcPr>
                <w:p w14:paraId="3C069C11">
                  <w:pPr>
                    <w:numPr>
                      <w:ilvl w:val="0"/>
                      <w:numId w:val="0"/>
                    </w:numPr>
                    <w:tabs>
                      <w:tab w:val="center" w:pos="4153"/>
                      <w:tab w:val="right" w:pos="8306"/>
                    </w:tabs>
                    <w:jc w:val="left"/>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1.加快65t/h以上燃煤锅炉(含电力)超低排放改造。2.对以煤、石焦油、渣油、重油等为燃料的锅炉和工业炉窑，加快使用清洁低碳能源以及工厂余热、电力热力等进行替代。3.到2025年，在用65蒸吨/小时以上的燃煤锅炉(含电力)实现超低排放，钢铁企业基本实现超低排放</w:t>
                  </w:r>
                </w:p>
              </w:tc>
              <w:tc>
                <w:tcPr>
                  <w:tcW w:w="1505" w:type="pct"/>
                  <w:noWrap w:val="0"/>
                  <w:vAlign w:val="center"/>
                </w:tcPr>
                <w:p w14:paraId="61046FC6">
                  <w:pPr>
                    <w:tabs>
                      <w:tab w:val="center" w:pos="4153"/>
                      <w:tab w:val="right" w:pos="8306"/>
                    </w:tabs>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本项目</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无</w:t>
                  </w:r>
                  <w:r>
                    <w:rPr>
                      <w:rFonts w:hint="default" w:ascii="Times New Roman" w:hAnsi="Times New Roman" w:eastAsia="宋体" w:cs="Times New Roman"/>
                      <w:color w:val="000000" w:themeColor="text1"/>
                      <w:szCs w:val="21"/>
                      <w:highlight w:val="none"/>
                      <w14:textFill>
                        <w14:solidFill>
                          <w14:schemeClr w14:val="tx1"/>
                        </w14:solidFill>
                      </w14:textFill>
                    </w:rPr>
                    <w:t>生产用热</w:t>
                  </w:r>
                  <w:r>
                    <w:rPr>
                      <w:rFonts w:hint="default" w:ascii="Times New Roman" w:hAnsi="Times New Roman" w:eastAsia="宋体" w:cs="Times New Roman"/>
                      <w:color w:val="000000" w:themeColor="text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Cs w:val="21"/>
                      <w:highlight w:val="none"/>
                      <w14:textFill>
                        <w14:solidFill>
                          <w14:schemeClr w14:val="tx1"/>
                        </w14:solidFill>
                      </w14:textFill>
                    </w:rPr>
                    <w:t>冬季</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生活供暖依托伊春市林源家具有限公司，</w:t>
                  </w:r>
                  <w:r>
                    <w:rPr>
                      <w:rFonts w:hint="default" w:ascii="Times New Roman" w:hAnsi="Times New Roman" w:eastAsia="宋体" w:cs="Times New Roman"/>
                      <w:color w:val="000000" w:themeColor="text1"/>
                      <w:szCs w:val="21"/>
                      <w:highlight w:val="none"/>
                      <w14:textFill>
                        <w14:solidFill>
                          <w14:schemeClr w14:val="tx1"/>
                        </w14:solidFill>
                      </w14:textFill>
                    </w:rPr>
                    <w:t>不涉及燃用高污染燃料。</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符合</w:t>
                  </w:r>
                  <w:r>
                    <w:rPr>
                      <w:rFonts w:hint="default" w:ascii="Times New Roman" w:hAnsi="Times New Roman" w:eastAsia="宋体" w:cs="Times New Roman"/>
                      <w:color w:val="000000" w:themeColor="text1"/>
                      <w:kern w:val="0"/>
                      <w:szCs w:val="21"/>
                      <w:highlight w:val="none"/>
                      <w14:textFill>
                        <w14:solidFill>
                          <w14:schemeClr w14:val="tx1"/>
                        </w14:solidFill>
                      </w14:textFill>
                    </w:rPr>
                    <w:t>污染物排放管控</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要求</w:t>
                  </w: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w:t>
                  </w:r>
                </w:p>
              </w:tc>
            </w:tr>
            <w:tr w14:paraId="733E95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15" w:type="pct"/>
                  <w:noWrap w:val="0"/>
                  <w:vAlign w:val="center"/>
                </w:tcPr>
                <w:p w14:paraId="606D66FD">
                  <w:pPr>
                    <w:tabs>
                      <w:tab w:val="center" w:pos="4153"/>
                      <w:tab w:val="right" w:pos="8306"/>
                    </w:tabs>
                    <w:jc w:val="center"/>
                    <w:rPr>
                      <w:rFonts w:hint="default"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环境风险防控</w:t>
                  </w:r>
                </w:p>
              </w:tc>
              <w:tc>
                <w:tcPr>
                  <w:tcW w:w="2579" w:type="pct"/>
                  <w:noWrap w:val="0"/>
                  <w:vAlign w:val="center"/>
                </w:tcPr>
                <w:p w14:paraId="30666D8E">
                  <w:pPr>
                    <w:tabs>
                      <w:tab w:val="center" w:pos="4153"/>
                      <w:tab w:val="right" w:pos="8306"/>
                    </w:tabs>
                    <w:jc w:val="left"/>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kern w:val="0"/>
                      <w:szCs w:val="21"/>
                      <w:highlight w:val="none"/>
                      <w14:textFill>
                        <w14:solidFill>
                          <w14:schemeClr w14:val="tx1"/>
                        </w14:solidFill>
                      </w14:textFill>
                    </w:rPr>
                    <w:t>化工园区与城市建成区、人员密集场所、重要设施、敏感目标等应当保持规定的安全距离，相对封闭，不应保留常住居民，非关联企业和产业要逐步搬迁或退出，妥善防范化解“邻避”问题。严禁在松花江干流及一级支流沿岸1公里范围内布局化工园区。</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kern w:val="0"/>
                      <w:szCs w:val="21"/>
                      <w:highlight w:val="none"/>
                      <w14:textFill>
                        <w14:solidFill>
                          <w14:schemeClr w14:val="tx1"/>
                        </w14:solidFill>
                      </w14:textFill>
                    </w:rPr>
                    <w:t>禁止在居民区、学校、医疗和养老机构等周边新建有色金属冶炼、焦化等行业企业。</w:t>
                  </w:r>
                </w:p>
              </w:tc>
              <w:tc>
                <w:tcPr>
                  <w:tcW w:w="1505" w:type="pct"/>
                  <w:noWrap w:val="0"/>
                  <w:vAlign w:val="center"/>
                </w:tcPr>
                <w:p w14:paraId="5950C48D">
                  <w:pPr>
                    <w:tabs>
                      <w:tab w:val="center" w:pos="4153"/>
                      <w:tab w:val="right" w:pos="8306"/>
                    </w:tabs>
                    <w:jc w:val="left"/>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0"/>
                      <w:szCs w:val="21"/>
                      <w:highlight w:val="none"/>
                      <w14:textFill>
                        <w14:solidFill>
                          <w14:schemeClr w14:val="tx1"/>
                        </w14:solidFill>
                      </w14:textFill>
                    </w:rPr>
                    <w:t>本项目</w:t>
                  </w:r>
                  <w:r>
                    <w:rPr>
                      <w:rFonts w:hint="default" w:ascii="Times New Roman" w:hAnsi="Times New Roman" w:eastAsia="宋体" w:cs="Times New Roman"/>
                      <w:color w:val="000000" w:themeColor="text1"/>
                      <w:szCs w:val="21"/>
                      <w:highlight w:val="none"/>
                      <w14:textFill>
                        <w14:solidFill>
                          <w14:schemeClr w14:val="tx1"/>
                        </w14:solidFill>
                      </w14:textFill>
                    </w:rPr>
                    <w:t>为</w:t>
                  </w:r>
                  <w:r>
                    <w:rPr>
                      <w:rFonts w:hint="default" w:ascii="Times New Roman" w:hAnsi="Times New Roman" w:eastAsia="宋体" w:cs="Times New Roman"/>
                      <w:color w:val="000000" w:themeColor="text1"/>
                      <w:szCs w:val="21"/>
                      <w:highlight w:val="none"/>
                      <w:lang w:eastAsia="zh-CN"/>
                      <w14:textFill>
                        <w14:solidFill>
                          <w14:schemeClr w14:val="tx1"/>
                        </w14:solidFill>
                      </w14:textFill>
                    </w:rPr>
                    <w:t>危险废物临时贮存周转项目</w:t>
                  </w:r>
                  <w:r>
                    <w:rPr>
                      <w:rFonts w:hint="default" w:ascii="Times New Roman" w:hAnsi="Times New Roman" w:eastAsia="宋体" w:cs="Times New Roman"/>
                      <w:color w:val="000000" w:themeColor="text1"/>
                      <w:szCs w:val="21"/>
                      <w:highlight w:val="none"/>
                      <w14:textFill>
                        <w14:solidFill>
                          <w14:schemeClr w14:val="tx1"/>
                        </w14:solidFill>
                      </w14:textFill>
                    </w:rPr>
                    <w:t>，</w:t>
                  </w:r>
                  <w:r>
                    <w:rPr>
                      <w:rFonts w:hint="default" w:ascii="Times New Roman" w:hAnsi="Times New Roman" w:eastAsia="宋体" w:cs="Times New Roman"/>
                      <w:snapToGrid w:val="0"/>
                      <w:color w:val="000000" w:themeColor="text1"/>
                      <w:kern w:val="0"/>
                      <w:szCs w:val="21"/>
                      <w:highlight w:val="none"/>
                      <w14:textFill>
                        <w14:solidFill>
                          <w14:schemeClr w14:val="tx1"/>
                        </w14:solidFill>
                      </w14:textFill>
                    </w:rPr>
                    <w:t>不涉及化工园区</w:t>
                  </w:r>
                  <w:r>
                    <w:rPr>
                      <w:rFonts w:hint="default" w:ascii="Times New Roman" w:hAnsi="Times New Roman" w:eastAsia="宋体" w:cs="Times New Roman"/>
                      <w:snapToGrid w:val="0"/>
                      <w:color w:val="000000" w:themeColor="text1"/>
                      <w:kern w:val="0"/>
                      <w:szCs w:val="21"/>
                      <w:highlight w:val="none"/>
                      <w:lang w:eastAsia="zh-CN"/>
                      <w14:textFill>
                        <w14:solidFill>
                          <w14:schemeClr w14:val="tx1"/>
                        </w14:solidFill>
                      </w14:textFill>
                    </w:rPr>
                    <w:t>，</w:t>
                  </w:r>
                  <w:r>
                    <w:rPr>
                      <w:rFonts w:hint="default" w:ascii="Times New Roman" w:hAnsi="Times New Roman" w:eastAsia="宋体" w:cs="Times New Roman"/>
                      <w:snapToGrid w:val="0"/>
                      <w:color w:val="000000" w:themeColor="text1"/>
                      <w:kern w:val="0"/>
                      <w:szCs w:val="21"/>
                      <w:highlight w:val="none"/>
                      <w:lang w:val="en-US" w:eastAsia="zh-CN"/>
                      <w14:textFill>
                        <w14:solidFill>
                          <w14:schemeClr w14:val="tx1"/>
                        </w14:solidFill>
                      </w14:textFill>
                    </w:rPr>
                    <w:t>不属于有</w:t>
                  </w:r>
                  <w:r>
                    <w:rPr>
                      <w:rFonts w:hint="default" w:ascii="Times New Roman" w:hAnsi="Times New Roman" w:eastAsia="宋体" w:cs="Times New Roman"/>
                      <w:color w:val="000000" w:themeColor="text1"/>
                      <w:kern w:val="0"/>
                      <w:szCs w:val="21"/>
                      <w:highlight w:val="none"/>
                      <w14:textFill>
                        <w14:solidFill>
                          <w14:schemeClr w14:val="tx1"/>
                        </w14:solidFill>
                      </w14:textFill>
                    </w:rPr>
                    <w:t>色金属冶炼、焦化等行业</w:t>
                  </w:r>
                  <w:r>
                    <w:rPr>
                      <w:rFonts w:hint="default" w:ascii="Times New Roman" w:hAnsi="Times New Roman" w:eastAsia="宋体" w:cs="Times New Roman"/>
                      <w:snapToGrid w:val="0"/>
                      <w:color w:val="000000" w:themeColor="text1"/>
                      <w:kern w:val="0"/>
                      <w:szCs w:val="21"/>
                      <w:highlight w:val="none"/>
                      <w14:textFill>
                        <w14:solidFill>
                          <w14:schemeClr w14:val="tx1"/>
                        </w14:solidFill>
                      </w14:textFill>
                    </w:rPr>
                    <w:t>。</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符合</w:t>
                  </w:r>
                  <w:r>
                    <w:rPr>
                      <w:rFonts w:hint="default" w:ascii="Times New Roman" w:hAnsi="Times New Roman" w:eastAsia="宋体" w:cs="Times New Roman"/>
                      <w:color w:val="000000" w:themeColor="text1"/>
                      <w:kern w:val="0"/>
                      <w:szCs w:val="21"/>
                      <w:highlight w:val="none"/>
                      <w14:textFill>
                        <w14:solidFill>
                          <w14:schemeClr w14:val="tx1"/>
                        </w14:solidFill>
                      </w14:textFill>
                    </w:rPr>
                    <w:t>环境风险防控</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要求</w:t>
                  </w: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w:t>
                  </w:r>
                </w:p>
              </w:tc>
            </w:tr>
            <w:tr w14:paraId="2A369B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15" w:type="pct"/>
                  <w:noWrap w:val="0"/>
                  <w:vAlign w:val="center"/>
                </w:tcPr>
                <w:p w14:paraId="0EFABF10">
                  <w:pPr>
                    <w:tabs>
                      <w:tab w:val="center" w:pos="4153"/>
                      <w:tab w:val="right" w:pos="8306"/>
                    </w:tabs>
                    <w:jc w:val="center"/>
                    <w:rPr>
                      <w:rFonts w:hint="default" w:ascii="Times New Roman" w:hAnsi="Times New Roman" w:eastAsia="宋体" w:cs="Times New Roman"/>
                      <w:b/>
                      <w:bCs/>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资源开发效率要求</w:t>
                  </w:r>
                </w:p>
              </w:tc>
              <w:tc>
                <w:tcPr>
                  <w:tcW w:w="2579" w:type="pct"/>
                  <w:noWrap w:val="0"/>
                  <w:vAlign w:val="center"/>
                </w:tcPr>
                <w:p w14:paraId="195FBF16">
                  <w:pPr>
                    <w:tabs>
                      <w:tab w:val="center" w:pos="4153"/>
                      <w:tab w:val="right" w:pos="8306"/>
                    </w:tabs>
                    <w:jc w:val="left"/>
                    <w:rPr>
                      <w:rFonts w:hint="default" w:ascii="Times New Roman" w:hAnsi="Times New Roman" w:eastAsia="宋体" w:cs="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1.推进污水再生利用设施建设。2.公共建筑必须采用节水器具，限期淘汰公共建筑中不符合节水标准的水嘴、便器水箱等生活用水器具。3.在禁燃区内，禁止销售、燃用高污染燃料</w:t>
                  </w: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Cs w:val="21"/>
                      <w:highlight w:val="none"/>
                      <w14:textFill>
                        <w14:solidFill>
                          <w14:schemeClr w14:val="tx1"/>
                        </w14:solidFill>
                      </w14:textFill>
                    </w:rPr>
                    <w:t>禁止新建、扩建燃用高污染燃料的设施，已建成的，应当在城市人民政府规定的期限内改用天然气、页岩气、液化石油气、电或者其他清洁能源。4城市建设应当统筹规划，在燃煤供热地区，推进热电联产和集中供热。在集中供热管网覆盖地区，禁止新建、扩建分散</w:t>
                  </w:r>
                </w:p>
                <w:p w14:paraId="6363DEA7">
                  <w:pPr>
                    <w:tabs>
                      <w:tab w:val="center" w:pos="4153"/>
                      <w:tab w:val="right" w:pos="8306"/>
                    </w:tabs>
                    <w:jc w:val="left"/>
                    <w:rPr>
                      <w:rFonts w:hint="default" w:ascii="Times New Roman" w:hAnsi="Times New Roman" w:eastAsia="宋体" w:cs="Times New Roman"/>
                      <w:color w:val="000000" w:themeColor="text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燃煤供热锅炉</w:t>
                  </w: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Cs w:val="21"/>
                      <w:highlight w:val="none"/>
                      <w14:textFill>
                        <w14:solidFill>
                          <w14:schemeClr w14:val="tx1"/>
                        </w14:solidFill>
                      </w14:textFill>
                    </w:rPr>
                    <w:t>已建成的不能达标排放的燃煤供热锅炉，应当在城市人民政府规定的期限内拆除</w:t>
                  </w: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w:t>
                  </w:r>
                </w:p>
              </w:tc>
              <w:tc>
                <w:tcPr>
                  <w:tcW w:w="1505" w:type="pct"/>
                  <w:noWrap w:val="0"/>
                  <w:vAlign w:val="center"/>
                </w:tcPr>
                <w:p w14:paraId="1F74F7BB">
                  <w:pPr>
                    <w:tabs>
                      <w:tab w:val="center" w:pos="4153"/>
                      <w:tab w:val="right" w:pos="8306"/>
                    </w:tabs>
                    <w:jc w:val="left"/>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本项目为</w:t>
                  </w:r>
                  <w:r>
                    <w:rPr>
                      <w:rFonts w:hint="default" w:ascii="Times New Roman" w:hAnsi="Times New Roman" w:eastAsia="宋体" w:cs="Times New Roman"/>
                      <w:color w:val="000000" w:themeColor="text1"/>
                      <w:szCs w:val="21"/>
                      <w:highlight w:val="none"/>
                      <w:lang w:eastAsia="zh-CN"/>
                      <w14:textFill>
                        <w14:solidFill>
                          <w14:schemeClr w14:val="tx1"/>
                        </w14:solidFill>
                      </w14:textFill>
                    </w:rPr>
                    <w:t>危险废物临时贮存周转项目，</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本项目无生产用水，无生产废水产生，生活污水经市政管网</w:t>
                  </w:r>
                  <w:r>
                    <w:rPr>
                      <w:rFonts w:hint="default" w:ascii="Times New Roman" w:hAnsi="Times New Roman" w:eastAsia="宋体" w:cs="Times New Roman"/>
                      <w:color w:val="000000" w:themeColor="text1"/>
                      <w:kern w:val="2"/>
                      <w:sz w:val="21"/>
                      <w:szCs w:val="21"/>
                      <w:highlight w:val="none"/>
                      <w:lang w:eastAsia="zh-CN"/>
                      <w14:textFill>
                        <w14:solidFill>
                          <w14:schemeClr w14:val="tx1"/>
                        </w14:solidFill>
                      </w14:textFill>
                    </w:rPr>
                    <w:t>排入伊春市中心城污水处理厂处理。</w:t>
                  </w:r>
                  <w: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废气处理碱喷淋塔碱液循环使用，不外排，无废水产生。</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无</w:t>
                  </w:r>
                  <w:r>
                    <w:rPr>
                      <w:rFonts w:hint="default" w:ascii="Times New Roman" w:hAnsi="Times New Roman" w:eastAsia="宋体" w:cs="Times New Roman"/>
                      <w:color w:val="000000" w:themeColor="text1"/>
                      <w:szCs w:val="21"/>
                      <w:highlight w:val="none"/>
                      <w14:textFill>
                        <w14:solidFill>
                          <w14:schemeClr w14:val="tx1"/>
                        </w14:solidFill>
                      </w14:textFill>
                    </w:rPr>
                    <w:t>生产用热</w:t>
                  </w:r>
                  <w:r>
                    <w:rPr>
                      <w:rFonts w:hint="default" w:ascii="Times New Roman" w:hAnsi="Times New Roman" w:eastAsia="宋体" w:cs="Times New Roman"/>
                      <w:color w:val="000000" w:themeColor="text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Cs w:val="21"/>
                      <w:highlight w:val="none"/>
                      <w14:textFill>
                        <w14:solidFill>
                          <w14:schemeClr w14:val="tx1"/>
                        </w14:solidFill>
                      </w14:textFill>
                    </w:rPr>
                    <w:t>冬季</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生活供暖依托伊春市林源家具有限公司，</w:t>
                  </w:r>
                  <w:r>
                    <w:rPr>
                      <w:rFonts w:hint="default" w:ascii="Times New Roman" w:hAnsi="Times New Roman" w:eastAsia="宋体" w:cs="Times New Roman"/>
                      <w:color w:val="000000" w:themeColor="text1"/>
                      <w:szCs w:val="21"/>
                      <w:highlight w:val="none"/>
                      <w14:textFill>
                        <w14:solidFill>
                          <w14:schemeClr w14:val="tx1"/>
                        </w14:solidFill>
                      </w14:textFill>
                    </w:rPr>
                    <w:t>不涉及燃用高污染燃料。</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符</w:t>
                  </w:r>
                  <w:r>
                    <w:rPr>
                      <w:rFonts w:hint="default" w:ascii="Times New Roman" w:hAnsi="Times New Roman" w:eastAsia="宋体" w:cs="Times New Roman"/>
                      <w:color w:val="000000" w:themeColor="text1"/>
                      <w:kern w:val="0"/>
                      <w:szCs w:val="21"/>
                      <w:highlight w:val="none"/>
                      <w14:textFill>
                        <w14:solidFill>
                          <w14:schemeClr w14:val="tx1"/>
                        </w14:solidFill>
                      </w14:textFill>
                    </w:rPr>
                    <w:t>资源开发效率要求</w:t>
                  </w:r>
                  <w:r>
                    <w:rPr>
                      <w:rFonts w:hint="default" w:ascii="Times New Roman" w:hAnsi="Times New Roman" w:eastAsia="宋体" w:cs="Times New Roman"/>
                      <w:color w:val="000000" w:themeColor="text1"/>
                      <w:kern w:val="0"/>
                      <w:szCs w:val="21"/>
                      <w:highlight w:val="none"/>
                      <w:lang w:eastAsia="zh-CN"/>
                      <w14:textFill>
                        <w14:solidFill>
                          <w14:schemeClr w14:val="tx1"/>
                        </w14:solidFill>
                      </w14:textFill>
                    </w:rPr>
                    <w:t>。</w:t>
                  </w:r>
                </w:p>
              </w:tc>
            </w:tr>
          </w:tbl>
          <w:p w14:paraId="00AB2688">
            <w:pPr>
              <w:spacing w:line="500" w:lineRule="exact"/>
              <w:ind w:firstLine="480" w:firstLineChars="200"/>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③一“说明”</w:t>
            </w:r>
          </w:p>
          <w:p w14:paraId="4F4B43C3">
            <w:pPr>
              <w:spacing w:line="500" w:lineRule="exact"/>
              <w:ind w:firstLine="484" w:firstLineChars="200"/>
              <w:rPr>
                <w:rFonts w:hint="default" w:ascii="Times New Roman" w:hAnsi="Times New Roman" w:eastAsia="宋体" w:cs="Times New Roman"/>
                <w:color w:val="000000" w:themeColor="text1"/>
                <w:spacing w:val="1"/>
                <w:sz w:val="24"/>
                <w:highlight w:val="none"/>
                <w14:textFill>
                  <w14:solidFill>
                    <w14:schemeClr w14:val="tx1"/>
                  </w14:solidFill>
                </w14:textFill>
              </w:rPr>
            </w:pPr>
            <w:r>
              <w:rPr>
                <w:rFonts w:hint="default" w:ascii="Times New Roman" w:hAnsi="Times New Roman" w:eastAsia="宋体" w:cs="Times New Roman"/>
                <w:color w:val="000000" w:themeColor="text1"/>
                <w:spacing w:val="1"/>
                <w:sz w:val="24"/>
                <w:highlight w:val="none"/>
                <w:lang w:eastAsia="zh-CN"/>
                <w14:textFill>
                  <w14:solidFill>
                    <w14:schemeClr w14:val="tx1"/>
                  </w14:solidFill>
                </w14:textFill>
              </w:rPr>
              <w:t>伊春市绿擎未来环保科技有限公司建设项目位置涉及伊春市伊美区;项目占地总面积小于0.01平方公里。与生态保护红线交集面积为0.00平方公里，占项目占地面积的0.00%。与自然保护地整合优化方案数据交集面积为0.00平方公里，占项目占地面积的0.00%。保护地涉及等类型。与自然保护地(现状管理数据)交集面积为0.00平方公里，占项目占地面积的0.00%。保护地涉及等类型。与饮用水水源保护区交集面积为0.00平方公里，占项目占地面积的0.00%。与国家级水产种质资源保护区交集面积为0.00平方公里，占项目占地面积的0.00%。与环境管控单元优先保护单元交集面积为0.00平方公里，占项目占地面积的0.00%；与重点管控单元交集面积为小于0.01平方公里，占项目占地面积的100.00%；一般管控单元交集面积为0.00平方公里，占项目占地面积的0.00%。与地下水环境优先保护区交集面积为0.00平方公里，占项目占地面积的0.00%；与地下水环境重点管控区交集面积为0.00平方公里，占项目占地面积的0.00%，与地下水环境一般管控区交集面积为小于0.01平方公里，占项目占地面积的100.00%。</w:t>
            </w:r>
          </w:p>
          <w:p w14:paraId="6CBC8016">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157" w:beforeLines="50"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综上</w:t>
            </w:r>
            <w:r>
              <w:rPr>
                <w:rFonts w:hint="default" w:ascii="Times New Roman" w:hAnsi="Times New Roman" w:eastAsia="宋体" w:cs="Times New Roman"/>
                <w:color w:val="000000" w:themeColor="text1"/>
                <w:sz w:val="24"/>
                <w:highlight w:val="none"/>
                <w14:textFill>
                  <w14:solidFill>
                    <w14:schemeClr w14:val="tx1"/>
                  </w14:solidFill>
                </w14:textFill>
              </w:rPr>
              <w:t>，本项目符合生态环境分区管控相关要求。</w:t>
            </w:r>
          </w:p>
        </w:tc>
      </w:tr>
    </w:tbl>
    <w:p w14:paraId="59AD046E">
      <w:pPr>
        <w:spacing w:line="360" w:lineRule="auto"/>
        <w:outlineLvl w:val="9"/>
        <w:rPr>
          <w:rFonts w:hint="eastAsia" w:eastAsia="黑体"/>
          <w:color w:val="000000" w:themeColor="text1"/>
          <w:sz w:val="30"/>
          <w:highlight w:val="none"/>
          <w:lang w:eastAsia="zh-CN"/>
          <w14:textFill>
            <w14:solidFill>
              <w14:schemeClr w14:val="tx1"/>
            </w14:solidFill>
          </w14:textFill>
        </w:rPr>
        <w:sectPr>
          <w:footerReference r:id="rId6" w:type="default"/>
          <w:pgSz w:w="11906" w:h="16838"/>
          <w:pgMar w:top="1417" w:right="1417" w:bottom="1451" w:left="1417"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1AD08A69">
      <w:pPr>
        <w:pStyle w:val="24"/>
        <w:jc w:val="center"/>
        <w:outlineLvl w:val="0"/>
        <w:rPr>
          <w:rFonts w:ascii="黑体" w:hAnsi="黑体" w:eastAsia="黑体"/>
          <w:snapToGrid w:val="0"/>
          <w:color w:val="000000" w:themeColor="text1"/>
          <w:sz w:val="30"/>
          <w:szCs w:val="30"/>
          <w:highlight w:val="none"/>
          <w14:textFill>
            <w14:solidFill>
              <w14:schemeClr w14:val="tx1"/>
            </w14:solidFill>
          </w14:textFill>
        </w:rPr>
      </w:pPr>
      <w:bookmarkStart w:id="24" w:name="_Toc6948"/>
      <w:bookmarkStart w:id="25" w:name="_Toc31138"/>
      <w:bookmarkStart w:id="26" w:name="_Toc2782"/>
      <w:bookmarkStart w:id="27" w:name="_Toc8437"/>
      <w:bookmarkStart w:id="28" w:name="_Toc13782"/>
      <w:bookmarkStart w:id="29" w:name="_Toc22549"/>
      <w:bookmarkStart w:id="30" w:name="_Toc26207"/>
      <w:bookmarkStart w:id="31" w:name="_Toc12625"/>
      <w:bookmarkStart w:id="32" w:name="_Toc27192"/>
      <w:r>
        <w:rPr>
          <w:rFonts w:hint="eastAsia" w:ascii="黑体" w:hAnsi="黑体" w:eastAsia="黑体"/>
          <w:snapToGrid w:val="0"/>
          <w:color w:val="000000" w:themeColor="text1"/>
          <w:sz w:val="30"/>
          <w:szCs w:val="30"/>
          <w:highlight w:val="none"/>
          <w14:textFill>
            <w14:solidFill>
              <w14:schemeClr w14:val="tx1"/>
            </w14:solidFill>
          </w14:textFill>
        </w:rPr>
        <w:t>二、建设项目工程分析</w:t>
      </w:r>
      <w:bookmarkEnd w:id="24"/>
      <w:bookmarkEnd w:id="25"/>
      <w:bookmarkEnd w:id="26"/>
      <w:bookmarkEnd w:id="27"/>
      <w:bookmarkEnd w:id="28"/>
    </w:p>
    <w:tbl>
      <w:tblPr>
        <w:tblStyle w:val="28"/>
        <w:tblpPr w:leftFromText="180" w:rightFromText="180" w:vertAnchor="text" w:tblpXSpec="center" w:tblpY="1"/>
        <w:tblOverlap w:val="never"/>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09"/>
        <w:gridCol w:w="8315"/>
      </w:tblGrid>
      <w:tr w14:paraId="229D2E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242" w:hRule="atLeast"/>
          <w:jc w:val="center"/>
        </w:trPr>
        <w:tc>
          <w:tcPr>
            <w:tcW w:w="709" w:type="dxa"/>
            <w:noWrap w:val="0"/>
            <w:vAlign w:val="center"/>
          </w:tcPr>
          <w:p w14:paraId="4AC9764E">
            <w:pPr>
              <w:pStyle w:val="24"/>
              <w:adjustRightInd w:val="0"/>
              <w:snapToGrid w:val="0"/>
              <w:spacing w:before="0" w:beforeAutospacing="0" w:after="0" w:afterAutospacing="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建设内容</w:t>
            </w:r>
          </w:p>
        </w:tc>
        <w:tc>
          <w:tcPr>
            <w:tcW w:w="8315" w:type="dxa"/>
            <w:noWrap w:val="0"/>
            <w:vAlign w:val="top"/>
          </w:tcPr>
          <w:p w14:paraId="3EAC56E6">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eastAsia="宋体" w:cs="Times New Roman"/>
                <w:b/>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val="0"/>
                <w:color w:val="000000" w:themeColor="text1"/>
                <w:kern w:val="2"/>
                <w:sz w:val="24"/>
                <w:szCs w:val="24"/>
                <w:highlight w:val="none"/>
                <w:lang w:val="en-US" w:eastAsia="zh-CN" w:bidi="ar-SA"/>
                <w14:textFill>
                  <w14:solidFill>
                    <w14:schemeClr w14:val="tx1"/>
                  </w14:solidFill>
                </w14:textFill>
              </w:rPr>
              <w:t>一、项目概况</w:t>
            </w:r>
          </w:p>
          <w:p w14:paraId="34C0B9E7">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vertAlign w:val="baseline"/>
                <w:lang w:val="en-US" w:eastAsia="zh-CN" w:bidi="ar-SA"/>
                <w14:textFill>
                  <w14:solidFill>
                    <w14:schemeClr w14:val="tx1"/>
                  </w14:solidFill>
                </w14:textFill>
              </w:rPr>
              <w:t>（1）项目名称：</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延</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伊春市绿擎未来环保科技有限公司</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建设项目</w:t>
            </w:r>
          </w:p>
          <w:p w14:paraId="2B4B85CE">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vertAlign w:val="baseline"/>
                <w:lang w:val="en-US" w:eastAsia="zh-CN" w:bidi="ar-SA"/>
                <w14:textFill>
                  <w14:solidFill>
                    <w14:schemeClr w14:val="tx1"/>
                  </w14:solidFill>
                </w14:textFill>
              </w:rPr>
              <w:t>（2）建设单位：</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伊春市绿擎未来环保科技有限公司</w:t>
            </w:r>
          </w:p>
          <w:p w14:paraId="737063B5">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vertAlign w:val="baseline"/>
                <w:lang w:val="en-US" w:eastAsia="zh-CN" w:bidi="ar-SA"/>
                <w14:textFill>
                  <w14:solidFill>
                    <w14:schemeClr w14:val="tx1"/>
                  </w14:solidFill>
                </w14:textFill>
              </w:rPr>
              <w:t>（3）建设性质：新建</w:t>
            </w:r>
          </w:p>
          <w:p w14:paraId="61F0753D">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vertAlign w:val="baseline"/>
                <w:lang w:val="en-US" w:eastAsia="zh-CN" w:bidi="ar-SA"/>
                <w14:textFill>
                  <w14:solidFill>
                    <w14:schemeClr w14:val="tx1"/>
                  </w14:solidFill>
                </w14:textFill>
              </w:rPr>
              <w:t>（4）建设地点：</w:t>
            </w:r>
            <w:bookmarkStart w:id="33" w:name="OLE_LINK3"/>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黑龙江省伊春市伊美区旭日街道一道口伊美区循环经济园区内（林源家具厂）</w:t>
            </w:r>
            <w:bookmarkEnd w:id="33"/>
            <w:r>
              <w:rPr>
                <w:rFonts w:hint="default" w:ascii="Times New Roman" w:hAnsi="Times New Roman" w:eastAsia="宋体" w:cs="Times New Roman"/>
                <w:color w:val="000000" w:themeColor="text1"/>
                <w:kern w:val="2"/>
                <w:sz w:val="24"/>
                <w:szCs w:val="24"/>
                <w:highlight w:val="none"/>
                <w:vertAlign w:val="baseline"/>
                <w:lang w:val="en-US" w:eastAsia="zh-CN" w:bidi="ar-SA"/>
                <w14:textFill>
                  <w14:solidFill>
                    <w14:schemeClr w14:val="tx1"/>
                  </w14:solidFill>
                </w14:textFill>
              </w:rPr>
              <w:t>。</w:t>
            </w:r>
          </w:p>
          <w:p w14:paraId="176445EC">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vertAlign w:val="baseline"/>
                <w:lang w:val="en-US" w:eastAsia="zh-CN" w:bidi="ar-SA"/>
                <w14:textFill>
                  <w14:solidFill>
                    <w14:schemeClr w14:val="tx1"/>
                  </w14:solidFill>
                </w14:textFill>
              </w:rPr>
              <w:t>（5）建设投资：项目总投</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资</w:t>
            </w:r>
            <w:r>
              <w:rPr>
                <w:rFonts w:hint="eastAsia" w:cs="Times New Roman"/>
                <w:color w:val="000000" w:themeColor="text1"/>
                <w:sz w:val="24"/>
                <w:szCs w:val="24"/>
                <w:highlight w:val="none"/>
                <w:lang w:val="en-US" w:eastAsia="zh-CN"/>
                <w14:textFill>
                  <w14:solidFill>
                    <w14:schemeClr w14:val="tx1"/>
                  </w14:solidFill>
                </w14:textFill>
              </w:rPr>
              <w:t>9</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00</w:t>
            </w:r>
            <w:r>
              <w:rPr>
                <w:rFonts w:hint="default" w:ascii="Times New Roman" w:hAnsi="Times New Roman" w:eastAsia="宋体" w:cs="Times New Roman"/>
                <w:color w:val="000000" w:themeColor="text1"/>
                <w:kern w:val="2"/>
                <w:sz w:val="24"/>
                <w:szCs w:val="24"/>
                <w:highlight w:val="none"/>
                <w:vertAlign w:val="baseline"/>
                <w:lang w:val="en-US" w:eastAsia="zh-CN" w:bidi="ar-SA"/>
                <w14:textFill>
                  <w14:solidFill>
                    <w14:schemeClr w14:val="tx1"/>
                  </w14:solidFill>
                </w14:textFill>
              </w:rPr>
              <w:t>万元，其中环保投资</w:t>
            </w:r>
            <w:r>
              <w:rPr>
                <w:rFonts w:hint="eastAsia" w:cs="Times New Roman"/>
                <w:color w:val="000000" w:themeColor="text1"/>
                <w:kern w:val="2"/>
                <w:sz w:val="24"/>
                <w:szCs w:val="24"/>
                <w:highlight w:val="none"/>
                <w:vertAlign w:val="baseline"/>
                <w:lang w:val="en-US" w:eastAsia="zh-CN" w:bidi="ar-SA"/>
                <w14:textFill>
                  <w14:solidFill>
                    <w14:schemeClr w14:val="tx1"/>
                  </w14:solidFill>
                </w14:textFill>
              </w:rPr>
              <w:t>200.0</w:t>
            </w:r>
            <w:r>
              <w:rPr>
                <w:rFonts w:hint="default" w:ascii="Times New Roman" w:hAnsi="Times New Roman" w:eastAsia="宋体" w:cs="Times New Roman"/>
                <w:color w:val="000000" w:themeColor="text1"/>
                <w:kern w:val="2"/>
                <w:sz w:val="24"/>
                <w:szCs w:val="24"/>
                <w:highlight w:val="none"/>
                <w:vertAlign w:val="baseline"/>
                <w:lang w:val="en-US" w:eastAsia="zh-CN" w:bidi="ar-SA"/>
                <w14:textFill>
                  <w14:solidFill>
                    <w14:schemeClr w14:val="tx1"/>
                  </w14:solidFill>
                </w14:textFill>
              </w:rPr>
              <w:t>万元，占总投资的</w:t>
            </w:r>
            <w:r>
              <w:rPr>
                <w:rFonts w:hint="eastAsia" w:cs="Times New Roman"/>
                <w:color w:val="000000" w:themeColor="text1"/>
                <w:kern w:val="2"/>
                <w:sz w:val="24"/>
                <w:szCs w:val="24"/>
                <w:highlight w:val="none"/>
                <w:vertAlign w:val="baseline"/>
                <w:lang w:val="en-US" w:eastAsia="zh-CN" w:bidi="ar-SA"/>
                <w14:textFill>
                  <w14:solidFill>
                    <w14:schemeClr w14:val="tx1"/>
                  </w14:solidFill>
                </w14:textFill>
              </w:rPr>
              <w:t>22.22</w:t>
            </w:r>
            <w:r>
              <w:rPr>
                <w:rFonts w:hint="default" w:ascii="Times New Roman" w:hAnsi="Times New Roman" w:eastAsia="宋体" w:cs="Times New Roman"/>
                <w:color w:val="000000" w:themeColor="text1"/>
                <w:kern w:val="2"/>
                <w:sz w:val="24"/>
                <w:szCs w:val="24"/>
                <w:highlight w:val="none"/>
                <w:vertAlign w:val="baseline"/>
                <w:lang w:val="en-US" w:eastAsia="zh-CN" w:bidi="ar-SA"/>
                <w14:textFill>
                  <w14:solidFill>
                    <w14:schemeClr w14:val="tx1"/>
                  </w14:solidFill>
                </w14:textFill>
              </w:rPr>
              <w:t>%</w:t>
            </w:r>
          </w:p>
          <w:p w14:paraId="10710679">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vertAlign w:val="baseline"/>
                <w:lang w:val="en-US" w:eastAsia="zh-CN" w:bidi="ar-SA"/>
                <w14:textFill>
                  <w14:solidFill>
                    <w14:schemeClr w14:val="tx1"/>
                  </w14:solidFill>
                </w14:textFill>
              </w:rPr>
              <w:t>（6）周边情况</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：厂址东侧部分为伊春市应急物资储备库；南侧为商混站；西侧为伊春市林源家具有限公司厂区闲置厂房；北侧为伊春市林源家具有限公司厂区空地。</w:t>
            </w:r>
          </w:p>
          <w:p w14:paraId="43BAC320">
            <w:pPr>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vertAlign w:val="baseline"/>
                <w:lang w:val="en-US" w:eastAsia="zh-CN" w:bidi="ar-SA"/>
                <w14:textFill>
                  <w14:solidFill>
                    <w14:schemeClr w14:val="tx1"/>
                  </w14:solidFill>
                </w14:textFill>
              </w:rPr>
              <w:t>（7）劳动定员及工作制度：</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本项目员工6人，每天工作8小时，年运行340天</w:t>
            </w:r>
            <w:r>
              <w:rPr>
                <w:rFonts w:hint="default" w:ascii="Times New Roman" w:hAnsi="Times New Roman" w:eastAsia="宋体" w:cs="Times New Roman"/>
                <w:color w:val="000000" w:themeColor="text1"/>
                <w:kern w:val="2"/>
                <w:sz w:val="24"/>
                <w:szCs w:val="24"/>
                <w:highlight w:val="none"/>
                <w:vertAlign w:val="baseline"/>
                <w:lang w:val="en-US" w:eastAsia="zh-CN" w:bidi="ar-SA"/>
                <w14:textFill>
                  <w14:solidFill>
                    <w14:schemeClr w14:val="tx1"/>
                  </w14:solidFill>
                </w14:textFill>
              </w:rPr>
              <w:t>。</w:t>
            </w:r>
          </w:p>
          <w:p w14:paraId="1F215BF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24"/>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vertAlign w:val="baseline"/>
                <w:lang w:val="en-US" w:eastAsia="zh-CN" w:bidi="ar-SA"/>
                <w14:textFill>
                  <w14:solidFill>
                    <w14:schemeClr w14:val="tx1"/>
                  </w14:solidFill>
                </w14:textFill>
              </w:rPr>
              <w:t>（8）建设内容及规模：本项目位于</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伊春市林源家具有限公司院内</w:t>
            </w:r>
            <w:r>
              <w:rPr>
                <w:rFonts w:hint="default" w:ascii="Times New Roman" w:hAnsi="Times New Roman" w:eastAsia="宋体" w:cs="Times New Roman"/>
                <w:color w:val="000000" w:themeColor="text1"/>
                <w:kern w:val="2"/>
                <w:sz w:val="24"/>
                <w:szCs w:val="24"/>
                <w:highlight w:val="none"/>
                <w:vertAlign w:val="baseline"/>
                <w:lang w:val="en-US" w:eastAsia="zh-CN" w:bidi="ar-SA"/>
                <w14:textFill>
                  <w14:solidFill>
                    <w14:schemeClr w14:val="tx1"/>
                  </w14:solidFill>
                </w14:textFill>
              </w:rPr>
              <w:t>，租赁</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伊春市林源家具有限公司</w:t>
            </w:r>
            <w:r>
              <w:rPr>
                <w:rFonts w:hint="default" w:ascii="Times New Roman" w:hAnsi="Times New Roman" w:eastAsia="宋体" w:cs="Times New Roman"/>
                <w:color w:val="000000" w:themeColor="text1"/>
                <w:kern w:val="2"/>
                <w:sz w:val="24"/>
                <w:szCs w:val="24"/>
                <w:highlight w:val="none"/>
                <w:vertAlign w:val="baseline"/>
                <w:lang w:val="en-US" w:eastAsia="zh-CN" w:bidi="ar-SA"/>
                <w14:textFill>
                  <w14:solidFill>
                    <w14:schemeClr w14:val="tx1"/>
                  </w14:solidFill>
                </w14:textFill>
              </w:rPr>
              <w:t>厂地及闲置厂房建设危险废物贮存库项目，</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厂区占地面积2000m</w:t>
            </w:r>
            <w:r>
              <w:rPr>
                <w:rFonts w:hint="default" w:ascii="Times New Roman" w:hAnsi="Times New Roman" w:eastAsia="宋体" w:cs="Times New Roman"/>
                <w:color w:val="000000" w:themeColor="text1"/>
                <w:sz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建筑面积1585m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，危废</w:t>
            </w:r>
            <w:r>
              <w:rPr>
                <w:rFonts w:hint="eastAsia" w:cs="Times New Roman"/>
                <w:color w:val="000000" w:themeColor="text1"/>
                <w:sz w:val="24"/>
                <w:highlight w:val="none"/>
                <w:lang w:val="en-US" w:eastAsia="zh-CN"/>
                <w14:textFill>
                  <w14:solidFill>
                    <w14:schemeClr w14:val="tx1"/>
                  </w14:solidFill>
                </w14:textFill>
              </w:rPr>
              <w:t>废物</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贮存库最大储存量为810t，年周转24次，年周转危险废物19440t。</w:t>
            </w:r>
            <w:r>
              <w:rPr>
                <w:rFonts w:hint="default" w:ascii="Times New Roman" w:hAnsi="Times New Roman" w:eastAsia="宋体" w:cs="Times New Roman"/>
                <w:color w:val="000000" w:themeColor="text1"/>
                <w:kern w:val="24"/>
                <w:sz w:val="24"/>
                <w:szCs w:val="24"/>
                <w:highlight w:val="none"/>
                <w:vertAlign w:val="baseline"/>
                <w:lang w:val="en-US" w:eastAsia="zh-CN"/>
                <w14:textFill>
                  <w14:solidFill>
                    <w14:schemeClr w14:val="tx1"/>
                  </w14:solidFill>
                </w14:textFill>
              </w:rPr>
              <w:t>危险废物</w:t>
            </w:r>
            <w:r>
              <w:rPr>
                <w:rFonts w:hint="default" w:ascii="Times New Roman" w:hAnsi="Times New Roman" w:eastAsia="宋体" w:cs="Times New Roman"/>
                <w:color w:val="000000" w:themeColor="text1"/>
                <w:kern w:val="24"/>
                <w:sz w:val="24"/>
                <w:szCs w:val="24"/>
                <w:highlight w:val="none"/>
                <w:lang w:val="en-US" w:eastAsia="zh-CN"/>
                <w14:textFill>
                  <w14:solidFill>
                    <w14:schemeClr w14:val="tx1"/>
                  </w14:solidFill>
                </w14:textFill>
              </w:rPr>
              <w:t>贮存库</w:t>
            </w:r>
            <w:r>
              <w:rPr>
                <w:rFonts w:hint="default" w:ascii="Times New Roman" w:hAnsi="Times New Roman" w:eastAsia="宋体" w:cs="Times New Roman"/>
                <w:color w:val="000000" w:themeColor="text1"/>
                <w:kern w:val="24"/>
                <w:sz w:val="24"/>
                <w:szCs w:val="24"/>
                <w:highlight w:val="none"/>
                <w:vertAlign w:val="baseline"/>
                <w:lang w:val="en-US" w:eastAsia="zh-CN"/>
                <w14:textFill>
                  <w14:solidFill>
                    <w14:schemeClr w14:val="tx1"/>
                  </w14:solidFill>
                </w14:textFill>
              </w:rPr>
              <w:t>规划了20个存储分区，分区内由1.5</w:t>
            </w:r>
            <w:r>
              <w:rPr>
                <w:rFonts w:hint="eastAsia" w:cs="Times New Roman"/>
                <w:color w:val="000000" w:themeColor="text1"/>
                <w:kern w:val="24"/>
                <w:sz w:val="24"/>
                <w:szCs w:val="24"/>
                <w:highlight w:val="none"/>
                <w:vertAlign w:val="baseline"/>
                <w:lang w:val="en-US" w:eastAsia="zh-CN"/>
                <w14:textFill>
                  <w14:solidFill>
                    <w14:schemeClr w14:val="tx1"/>
                  </w14:solidFill>
                </w14:textFill>
              </w:rPr>
              <w:t>m</w:t>
            </w:r>
            <w:r>
              <w:rPr>
                <w:rFonts w:hint="default" w:ascii="Times New Roman" w:hAnsi="Times New Roman" w:eastAsia="宋体" w:cs="Times New Roman"/>
                <w:color w:val="000000" w:themeColor="text1"/>
                <w:kern w:val="24"/>
                <w:sz w:val="24"/>
                <w:szCs w:val="24"/>
                <w:highlight w:val="none"/>
                <w:vertAlign w:val="baseline"/>
                <w:lang w:val="en-US" w:eastAsia="zh-CN"/>
                <w14:textFill>
                  <w14:solidFill>
                    <w14:schemeClr w14:val="tx1"/>
                  </w14:solidFill>
                </w14:textFill>
              </w:rPr>
              <w:t>高</w:t>
            </w:r>
            <w:r>
              <w:rPr>
                <w:rFonts w:hint="eastAsia" w:cs="Times New Roman"/>
                <w:color w:val="000000" w:themeColor="text1"/>
                <w:kern w:val="24"/>
                <w:sz w:val="24"/>
                <w:szCs w:val="24"/>
                <w:highlight w:val="none"/>
                <w:vertAlign w:val="baseline"/>
                <w:lang w:val="en-US" w:eastAsia="zh-CN"/>
                <w14:textFill>
                  <w14:solidFill>
                    <w14:schemeClr w14:val="tx1"/>
                  </w14:solidFill>
                </w14:textFill>
              </w:rPr>
              <w:t>金属隔断</w:t>
            </w:r>
            <w:r>
              <w:rPr>
                <w:rFonts w:hint="default" w:ascii="Times New Roman" w:hAnsi="Times New Roman" w:eastAsia="宋体" w:cs="Times New Roman"/>
                <w:color w:val="000000" w:themeColor="text1"/>
                <w:kern w:val="24"/>
                <w:sz w:val="24"/>
                <w:szCs w:val="24"/>
                <w:highlight w:val="none"/>
                <w:vertAlign w:val="baseline"/>
                <w:lang w:val="en-US" w:eastAsia="zh-CN"/>
                <w14:textFill>
                  <w14:solidFill>
                    <w14:schemeClr w14:val="tx1"/>
                  </w14:solidFill>
                </w14:textFill>
              </w:rPr>
              <w:t>相互隔开，各类危险废物分区贮存库内设置</w:t>
            </w:r>
            <w:r>
              <w:rPr>
                <w:rFonts w:hint="eastAsia" w:cs="Times New Roman"/>
                <w:color w:val="000000" w:themeColor="text1"/>
                <w:kern w:val="24"/>
                <w:sz w:val="24"/>
                <w:szCs w:val="24"/>
                <w:highlight w:val="none"/>
                <w:vertAlign w:val="baseline"/>
                <w:lang w:val="en-US" w:eastAsia="zh-CN"/>
                <w14:textFill>
                  <w14:solidFill>
                    <w14:schemeClr w14:val="tx1"/>
                  </w14:solidFill>
                </w14:textFill>
              </w:rPr>
              <w:t>导流渠</w:t>
            </w:r>
            <w:r>
              <w:rPr>
                <w:rFonts w:hint="default" w:ascii="Times New Roman" w:hAnsi="Times New Roman" w:eastAsia="宋体" w:cs="Times New Roman"/>
                <w:color w:val="000000" w:themeColor="text1"/>
                <w:kern w:val="24"/>
                <w:sz w:val="24"/>
                <w:szCs w:val="24"/>
                <w:highlight w:val="none"/>
                <w:vertAlign w:val="baseline"/>
                <w:lang w:val="en-US" w:eastAsia="zh-CN"/>
                <w14:textFill>
                  <w14:solidFill>
                    <w14:schemeClr w14:val="tx1"/>
                  </w14:solidFill>
                </w14:textFill>
              </w:rPr>
              <w:t>，并配备1个有效容积为</w:t>
            </w:r>
            <w:r>
              <w:rPr>
                <w:rFonts w:hint="eastAsia" w:cs="Times New Roman"/>
                <w:color w:val="000000" w:themeColor="text1"/>
                <w:kern w:val="24"/>
                <w:sz w:val="24"/>
                <w:szCs w:val="24"/>
                <w:highlight w:val="none"/>
                <w:vertAlign w:val="baseline"/>
                <w:lang w:val="en-US" w:eastAsia="zh-CN"/>
                <w14:textFill>
                  <w14:solidFill>
                    <w14:schemeClr w14:val="tx1"/>
                  </w14:solidFill>
                </w14:textFill>
              </w:rPr>
              <w:t>2</w:t>
            </w:r>
            <w:r>
              <w:rPr>
                <w:rFonts w:hint="default" w:ascii="Times New Roman" w:hAnsi="Times New Roman" w:eastAsia="宋体" w:cs="Times New Roman"/>
                <w:color w:val="000000" w:themeColor="text1"/>
                <w:kern w:val="24"/>
                <w:sz w:val="24"/>
                <w:szCs w:val="24"/>
                <w:highlight w:val="none"/>
                <w:vertAlign w:val="baseline"/>
                <w:lang w:val="en-US" w:eastAsia="zh-CN"/>
                <w14:textFill>
                  <w14:solidFill>
                    <w14:schemeClr w14:val="tx1"/>
                  </w14:solidFill>
                </w14:textFill>
              </w:rPr>
              <w:t>0m</w:t>
            </w:r>
            <w:r>
              <w:rPr>
                <w:rFonts w:hint="default" w:ascii="Times New Roman" w:hAnsi="Times New Roman" w:eastAsia="宋体" w:cs="Times New Roman"/>
                <w:color w:val="000000" w:themeColor="text1"/>
                <w:kern w:val="24"/>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kern w:val="24"/>
                <w:sz w:val="24"/>
                <w:szCs w:val="24"/>
                <w:highlight w:val="none"/>
                <w:vertAlign w:val="baseline"/>
                <w:lang w:val="en-US" w:eastAsia="zh-CN"/>
                <w14:textFill>
                  <w14:solidFill>
                    <w14:schemeClr w14:val="tx1"/>
                  </w14:solidFill>
                </w14:textFill>
              </w:rPr>
              <w:t>的应急事故池。本项目仅对危险废物进行收集贮存，</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存满即转运至有相应资质处置单位进行处置</w:t>
            </w:r>
            <w:r>
              <w:rPr>
                <w:rFonts w:hint="default" w:ascii="Times New Roman" w:hAnsi="Times New Roman" w:eastAsia="宋体" w:cs="Times New Roman"/>
                <w:color w:val="000000" w:themeColor="text1"/>
                <w:kern w:val="24"/>
                <w:sz w:val="24"/>
                <w:szCs w:val="24"/>
                <w:highlight w:val="none"/>
                <w:vertAlign w:val="baseline"/>
                <w:lang w:val="en-US" w:eastAsia="zh-CN"/>
                <w14:textFill>
                  <w14:solidFill>
                    <w14:schemeClr w14:val="tx1"/>
                  </w14:solidFill>
                </w14:textFill>
              </w:rPr>
              <w:t>；其中收集过程中运输环节、外运处置中的运输环节均委托相关危险废物运输资质单位进行，不在本次评价范围之内。</w:t>
            </w:r>
          </w:p>
          <w:p w14:paraId="4BF68DB3">
            <w:pPr>
              <w:keepNext w:val="0"/>
              <w:keepLines w:val="0"/>
              <w:pageBreakBefore w:val="0"/>
              <w:shd w:val="clear" w:color="auto" w:fill="auto"/>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kern w:val="2"/>
                <w:sz w:val="24"/>
                <w:szCs w:val="24"/>
                <w:highlight w:val="none"/>
                <w:lang w:val="en-US" w:eastAsia="zh-CN" w:bidi="ar-SA"/>
                <w14:textFill>
                  <w14:solidFill>
                    <w14:schemeClr w14:val="tx1"/>
                  </w14:solidFill>
                </w14:textFill>
              </w:rPr>
              <w:t>二、建设内容及规模</w:t>
            </w:r>
          </w:p>
          <w:p w14:paraId="2204EEF2">
            <w:pPr>
              <w:keepNext w:val="0"/>
              <w:keepLines w:val="0"/>
              <w:pageBreakBefore w:val="0"/>
              <w:kinsoku/>
              <w:wordWrap/>
              <w:overflowPunct/>
              <w:topLinePunct w:val="0"/>
              <w:autoSpaceDE/>
              <w:autoSpaceDN/>
              <w:bidi w:val="0"/>
              <w:adjustRightInd/>
              <w:snapToGrid/>
              <w:spacing w:beforeAutospacing="0" w:afterAutospacing="0" w:line="360" w:lineRule="auto"/>
              <w:ind w:firstLine="482" w:firstLineChars="200"/>
              <w:jc w:val="both"/>
              <w:textAlignment w:val="auto"/>
              <w:rPr>
                <w:rFonts w:hint="default" w:ascii="Times New Roman" w:hAnsi="Times New Roman" w:eastAsia="宋体" w:cs="Times New Roman"/>
                <w:b/>
                <w:bCs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kern w:val="2"/>
                <w:sz w:val="24"/>
                <w:szCs w:val="24"/>
                <w:highlight w:val="none"/>
                <w:lang w:val="en-US" w:eastAsia="zh-CN" w:bidi="ar-SA"/>
                <w14:textFill>
                  <w14:solidFill>
                    <w14:schemeClr w14:val="tx1"/>
                  </w14:solidFill>
                </w14:textFill>
              </w:rPr>
              <w:t>1.工程建设内容</w:t>
            </w:r>
          </w:p>
          <w:p w14:paraId="04243C4A">
            <w:pPr>
              <w:pStyle w:val="14"/>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本项目的建设内容按照主体工程、辅助工程、储运工程、公用工程、环保工程划分情况详见下表。本项目工程组成详见下表。</w:t>
            </w:r>
          </w:p>
          <w:p w14:paraId="0BB725C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表2.1 项目组成一览表</w:t>
            </w:r>
          </w:p>
          <w:tbl>
            <w:tblPr>
              <w:tblStyle w:val="28"/>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21"/>
              <w:gridCol w:w="729"/>
              <w:gridCol w:w="685"/>
              <w:gridCol w:w="5233"/>
              <w:gridCol w:w="731"/>
            </w:tblGrid>
            <w:tr w14:paraId="21493A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445" w:type="pct"/>
                  <w:tcBorders>
                    <w:tl2br w:val="nil"/>
                    <w:tr2bl w:val="nil"/>
                  </w:tcBorders>
                  <w:noWrap w:val="0"/>
                  <w:vAlign w:val="center"/>
                </w:tcPr>
                <w:p w14:paraId="2872D9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工程类别</w:t>
                  </w:r>
                </w:p>
              </w:tc>
              <w:tc>
                <w:tcPr>
                  <w:tcW w:w="450" w:type="pct"/>
                  <w:tcBorders>
                    <w:tl2br w:val="nil"/>
                    <w:tr2bl w:val="nil"/>
                  </w:tcBorders>
                  <w:noWrap w:val="0"/>
                  <w:vAlign w:val="center"/>
                </w:tcPr>
                <w:p w14:paraId="6428EBF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t>建设内容</w:t>
                  </w:r>
                </w:p>
              </w:tc>
              <w:tc>
                <w:tcPr>
                  <w:tcW w:w="3653" w:type="pct"/>
                  <w:gridSpan w:val="2"/>
                  <w:tcBorders>
                    <w:tl2br w:val="nil"/>
                    <w:tr2bl w:val="nil"/>
                  </w:tcBorders>
                  <w:noWrap w:val="0"/>
                  <w:vAlign w:val="center"/>
                </w:tcPr>
                <w:p w14:paraId="567363E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t>工程建设内容及规模</w:t>
                  </w:r>
                </w:p>
              </w:tc>
              <w:tc>
                <w:tcPr>
                  <w:tcW w:w="451" w:type="pct"/>
                  <w:tcBorders>
                    <w:tl2br w:val="nil"/>
                    <w:tr2bl w:val="nil"/>
                  </w:tcBorders>
                  <w:noWrap w:val="0"/>
                  <w:vAlign w:val="center"/>
                </w:tcPr>
                <w:p w14:paraId="6E8DAE9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t>备注</w:t>
                  </w:r>
                </w:p>
              </w:tc>
            </w:tr>
            <w:tr w14:paraId="0696EC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445" w:type="pct"/>
                  <w:vMerge w:val="restart"/>
                  <w:tcBorders>
                    <w:tl2br w:val="nil"/>
                    <w:tr2bl w:val="nil"/>
                  </w:tcBorders>
                  <w:noWrap w:val="0"/>
                  <w:vAlign w:val="center"/>
                </w:tcPr>
                <w:p w14:paraId="30D4976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主体工程</w:t>
                  </w:r>
                </w:p>
              </w:tc>
              <w:tc>
                <w:tcPr>
                  <w:tcW w:w="450" w:type="pct"/>
                  <w:vMerge w:val="restart"/>
                  <w:tcBorders>
                    <w:tl2br w:val="nil"/>
                    <w:tr2bl w:val="nil"/>
                  </w:tcBorders>
                  <w:noWrap w:val="0"/>
                  <w:vAlign w:val="center"/>
                </w:tcPr>
                <w:p w14:paraId="063554C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危险废物贮存库</w:t>
                  </w:r>
                </w:p>
              </w:tc>
              <w:tc>
                <w:tcPr>
                  <w:tcW w:w="422" w:type="pct"/>
                  <w:tcBorders>
                    <w:tl2br w:val="nil"/>
                    <w:tr2bl w:val="nil"/>
                  </w:tcBorders>
                  <w:noWrap w:val="0"/>
                  <w:vAlign w:val="center"/>
                </w:tcPr>
                <w:p w14:paraId="0BC31A8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1#分区</w:t>
                  </w:r>
                </w:p>
              </w:tc>
              <w:tc>
                <w:tcPr>
                  <w:tcW w:w="3230" w:type="pct"/>
                  <w:tcBorders>
                    <w:tl2br w:val="nil"/>
                    <w:tr2bl w:val="nil"/>
                  </w:tcBorders>
                  <w:noWrap w:val="0"/>
                  <w:vAlign w:val="center"/>
                </w:tcPr>
                <w:p w14:paraId="0FB0795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占地面积45m</w:t>
                  </w:r>
                  <w:r>
                    <w:rPr>
                      <w:rFonts w:hint="default" w:ascii="Times New Roman" w:hAnsi="Times New Roman" w:eastAsia="宋体"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，尺寸3×15m。主要贮存HW09油/水、烃/水混合物或乳液（全部），</w:t>
                  </w:r>
                  <w:r>
                    <w:rPr>
                      <w:rFonts w:hint="default" w:ascii="Times New Roman" w:hAnsi="Times New Roman" w:eastAsia="宋体" w:cs="Times New Roman"/>
                      <w:color w:val="000000" w:themeColor="text1"/>
                      <w:kern w:val="24"/>
                      <w:sz w:val="21"/>
                      <w:szCs w:val="21"/>
                      <w:highlight w:val="none"/>
                      <w:lang w:val="en-US" w:eastAsia="zh-CN"/>
                      <w14:textFill>
                        <w14:solidFill>
                          <w14:schemeClr w14:val="tx1"/>
                        </w14:solidFill>
                      </w14:textFill>
                    </w:rPr>
                    <w:t>分区</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设置</w:t>
                  </w:r>
                  <w:r>
                    <w:rPr>
                      <w:rFonts w:hint="eastAsia" w:cs="Times New Roman"/>
                      <w:bCs/>
                      <w:color w:val="000000" w:themeColor="text1"/>
                      <w:sz w:val="21"/>
                      <w:szCs w:val="21"/>
                      <w:highlight w:val="none"/>
                      <w:lang w:val="en-US" w:eastAsia="zh-CN"/>
                      <w14:textFill>
                        <w14:solidFill>
                          <w14:schemeClr w14:val="tx1"/>
                        </w14:solidFill>
                      </w14:textFill>
                    </w:rPr>
                    <w:t>1.5m高金属隔断</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，裙角高度为200mm，</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最大储存量为30t</w:t>
                  </w:r>
                  <w:r>
                    <w:rPr>
                      <w:rFonts w:hint="eastAsia"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，年周转24次，年周转量为720</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t。</w:t>
                  </w:r>
                </w:p>
              </w:tc>
              <w:tc>
                <w:tcPr>
                  <w:tcW w:w="451" w:type="pct"/>
                  <w:tcBorders>
                    <w:tl2br w:val="nil"/>
                    <w:tr2bl w:val="nil"/>
                  </w:tcBorders>
                  <w:noWrap w:val="0"/>
                  <w:vAlign w:val="center"/>
                </w:tcPr>
                <w:p w14:paraId="6DFF5CE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新建</w:t>
                  </w:r>
                </w:p>
              </w:tc>
            </w:tr>
            <w:tr w14:paraId="610489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445" w:type="pct"/>
                  <w:vMerge w:val="continue"/>
                  <w:tcBorders>
                    <w:tl2br w:val="nil"/>
                    <w:tr2bl w:val="nil"/>
                  </w:tcBorders>
                  <w:noWrap w:val="0"/>
                  <w:vAlign w:val="center"/>
                </w:tcPr>
                <w:p w14:paraId="1108B42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50" w:type="pct"/>
                  <w:vMerge w:val="continue"/>
                  <w:tcBorders>
                    <w:tl2br w:val="nil"/>
                    <w:tr2bl w:val="nil"/>
                  </w:tcBorders>
                  <w:noWrap w:val="0"/>
                  <w:vAlign w:val="center"/>
                </w:tcPr>
                <w:p w14:paraId="060E36A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22" w:type="pct"/>
                  <w:tcBorders>
                    <w:tl2br w:val="nil"/>
                    <w:tr2bl w:val="nil"/>
                  </w:tcBorders>
                  <w:noWrap w:val="0"/>
                  <w:vAlign w:val="center"/>
                </w:tcPr>
                <w:p w14:paraId="5247CE7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2#分区</w:t>
                  </w:r>
                </w:p>
              </w:tc>
              <w:tc>
                <w:tcPr>
                  <w:tcW w:w="3230" w:type="pct"/>
                  <w:tcBorders>
                    <w:tl2br w:val="nil"/>
                    <w:tr2bl w:val="nil"/>
                  </w:tcBorders>
                  <w:noWrap w:val="0"/>
                  <w:vAlign w:val="center"/>
                </w:tcPr>
                <w:p w14:paraId="142EF21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占地面积45m</w:t>
                  </w:r>
                  <w:r>
                    <w:rPr>
                      <w:rFonts w:hint="default" w:ascii="Times New Roman" w:hAnsi="Times New Roman" w:eastAsia="宋体"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，尺寸3×15m。主要贮存HW11精（蒸）馏残渣（全部），</w:t>
                  </w:r>
                  <w:r>
                    <w:rPr>
                      <w:rFonts w:hint="default" w:ascii="Times New Roman" w:hAnsi="Times New Roman" w:eastAsia="宋体" w:cs="Times New Roman"/>
                      <w:color w:val="000000" w:themeColor="text1"/>
                      <w:kern w:val="24"/>
                      <w:sz w:val="21"/>
                      <w:szCs w:val="21"/>
                      <w:highlight w:val="none"/>
                      <w:lang w:val="en-US" w:eastAsia="zh-CN"/>
                      <w14:textFill>
                        <w14:solidFill>
                          <w14:schemeClr w14:val="tx1"/>
                        </w14:solidFill>
                      </w14:textFill>
                    </w:rPr>
                    <w:t>分区</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设置</w:t>
                  </w:r>
                  <w:r>
                    <w:rPr>
                      <w:rFonts w:hint="eastAsia" w:cs="Times New Roman"/>
                      <w:bCs/>
                      <w:color w:val="000000" w:themeColor="text1"/>
                      <w:sz w:val="21"/>
                      <w:szCs w:val="21"/>
                      <w:highlight w:val="none"/>
                      <w:lang w:val="en-US" w:eastAsia="zh-CN"/>
                      <w14:textFill>
                        <w14:solidFill>
                          <w14:schemeClr w14:val="tx1"/>
                        </w14:solidFill>
                      </w14:textFill>
                    </w:rPr>
                    <w:t>1.5m高金属隔断</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，裙角高度为200mm，最大储存量为30t</w:t>
                  </w:r>
                  <w:r>
                    <w:rPr>
                      <w:rFonts w:hint="eastAsia"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，年周转24次，年周转量为720</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t。</w:t>
                  </w:r>
                </w:p>
              </w:tc>
              <w:tc>
                <w:tcPr>
                  <w:tcW w:w="451" w:type="pct"/>
                  <w:tcBorders>
                    <w:tl2br w:val="nil"/>
                    <w:tr2bl w:val="nil"/>
                  </w:tcBorders>
                  <w:noWrap w:val="0"/>
                  <w:vAlign w:val="center"/>
                </w:tcPr>
                <w:p w14:paraId="30D512B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新建</w:t>
                  </w:r>
                </w:p>
              </w:tc>
            </w:tr>
            <w:tr w14:paraId="783B6B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1027" w:hRule="atLeast"/>
              </w:trPr>
              <w:tc>
                <w:tcPr>
                  <w:tcW w:w="445" w:type="pct"/>
                  <w:vMerge w:val="continue"/>
                  <w:tcBorders>
                    <w:tl2br w:val="nil"/>
                    <w:tr2bl w:val="nil"/>
                  </w:tcBorders>
                  <w:noWrap w:val="0"/>
                  <w:vAlign w:val="center"/>
                </w:tcPr>
                <w:p w14:paraId="0E2B94E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50" w:type="pct"/>
                  <w:vMerge w:val="continue"/>
                  <w:tcBorders>
                    <w:tl2br w:val="nil"/>
                    <w:tr2bl w:val="nil"/>
                  </w:tcBorders>
                  <w:noWrap w:val="0"/>
                  <w:vAlign w:val="center"/>
                </w:tcPr>
                <w:p w14:paraId="5B45D6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22" w:type="pct"/>
                  <w:tcBorders>
                    <w:tl2br w:val="nil"/>
                    <w:tr2bl w:val="nil"/>
                  </w:tcBorders>
                  <w:noWrap w:val="0"/>
                  <w:vAlign w:val="center"/>
                </w:tcPr>
                <w:p w14:paraId="2252BD0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3#分区</w:t>
                  </w:r>
                </w:p>
              </w:tc>
              <w:tc>
                <w:tcPr>
                  <w:tcW w:w="3230" w:type="pct"/>
                  <w:tcBorders>
                    <w:tl2br w:val="nil"/>
                    <w:tr2bl w:val="nil"/>
                  </w:tcBorders>
                  <w:noWrap w:val="0"/>
                  <w:vAlign w:val="center"/>
                </w:tcPr>
                <w:p w14:paraId="1B97594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占地面积45m</w:t>
                  </w:r>
                  <w:r>
                    <w:rPr>
                      <w:rFonts w:hint="default" w:ascii="Times New Roman" w:hAnsi="Times New Roman" w:eastAsia="宋体"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，尺寸3×15m。主要贮存HW12染料、涂料废物（全部），</w:t>
                  </w:r>
                  <w:r>
                    <w:rPr>
                      <w:rFonts w:hint="default" w:ascii="Times New Roman" w:hAnsi="Times New Roman" w:eastAsia="宋体" w:cs="Times New Roman"/>
                      <w:color w:val="000000" w:themeColor="text1"/>
                      <w:kern w:val="24"/>
                      <w:sz w:val="21"/>
                      <w:szCs w:val="21"/>
                      <w:highlight w:val="none"/>
                      <w:lang w:val="en-US" w:eastAsia="zh-CN"/>
                      <w14:textFill>
                        <w14:solidFill>
                          <w14:schemeClr w14:val="tx1"/>
                        </w14:solidFill>
                      </w14:textFill>
                    </w:rPr>
                    <w:t>分区</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设置</w:t>
                  </w:r>
                  <w:r>
                    <w:rPr>
                      <w:rFonts w:hint="eastAsia" w:cs="Times New Roman"/>
                      <w:bCs/>
                      <w:color w:val="000000" w:themeColor="text1"/>
                      <w:sz w:val="21"/>
                      <w:szCs w:val="21"/>
                      <w:highlight w:val="none"/>
                      <w:lang w:val="en-US" w:eastAsia="zh-CN"/>
                      <w14:textFill>
                        <w14:solidFill>
                          <w14:schemeClr w14:val="tx1"/>
                        </w14:solidFill>
                      </w14:textFill>
                    </w:rPr>
                    <w:t>1.5m高金属隔断</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，裙角高度为200mm，最大储存量为30t</w:t>
                  </w:r>
                  <w:r>
                    <w:rPr>
                      <w:rFonts w:hint="eastAsia"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，年周转24次，年周转量为720</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t。</w:t>
                  </w:r>
                </w:p>
              </w:tc>
              <w:tc>
                <w:tcPr>
                  <w:tcW w:w="451" w:type="pct"/>
                  <w:tcBorders>
                    <w:tl2br w:val="nil"/>
                    <w:tr2bl w:val="nil"/>
                  </w:tcBorders>
                  <w:noWrap w:val="0"/>
                  <w:vAlign w:val="center"/>
                </w:tcPr>
                <w:p w14:paraId="5846A60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新建</w:t>
                  </w:r>
                </w:p>
              </w:tc>
            </w:tr>
            <w:tr w14:paraId="0BF00D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1007" w:hRule="atLeast"/>
              </w:trPr>
              <w:tc>
                <w:tcPr>
                  <w:tcW w:w="445" w:type="pct"/>
                  <w:vMerge w:val="continue"/>
                  <w:tcBorders>
                    <w:tl2br w:val="nil"/>
                    <w:tr2bl w:val="nil"/>
                  </w:tcBorders>
                  <w:noWrap w:val="0"/>
                  <w:vAlign w:val="center"/>
                </w:tcPr>
                <w:p w14:paraId="508537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50" w:type="pct"/>
                  <w:vMerge w:val="continue"/>
                  <w:tcBorders>
                    <w:tl2br w:val="nil"/>
                    <w:tr2bl w:val="nil"/>
                  </w:tcBorders>
                  <w:noWrap w:val="0"/>
                  <w:vAlign w:val="center"/>
                </w:tcPr>
                <w:p w14:paraId="30B652E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22" w:type="pct"/>
                  <w:tcBorders>
                    <w:tl2br w:val="nil"/>
                    <w:tr2bl w:val="nil"/>
                  </w:tcBorders>
                  <w:noWrap w:val="0"/>
                  <w:vAlign w:val="center"/>
                </w:tcPr>
                <w:p w14:paraId="03E4B7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4#分区</w:t>
                  </w:r>
                </w:p>
              </w:tc>
              <w:tc>
                <w:tcPr>
                  <w:tcW w:w="3230" w:type="pct"/>
                  <w:tcBorders>
                    <w:tl2br w:val="nil"/>
                    <w:tr2bl w:val="nil"/>
                  </w:tcBorders>
                  <w:noWrap w:val="0"/>
                  <w:vAlign w:val="center"/>
                </w:tcPr>
                <w:p w14:paraId="055099B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占地面积45m</w:t>
                  </w:r>
                  <w:r>
                    <w:rPr>
                      <w:rFonts w:hint="default" w:ascii="Times New Roman" w:hAnsi="Times New Roman" w:eastAsia="宋体"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，尺寸3×15m。主要贮存HW13有机树脂类废物（全部），</w:t>
                  </w:r>
                  <w:r>
                    <w:rPr>
                      <w:rFonts w:hint="default" w:ascii="Times New Roman" w:hAnsi="Times New Roman" w:eastAsia="宋体" w:cs="Times New Roman"/>
                      <w:color w:val="000000" w:themeColor="text1"/>
                      <w:kern w:val="24"/>
                      <w:sz w:val="21"/>
                      <w:szCs w:val="21"/>
                      <w:highlight w:val="none"/>
                      <w:lang w:val="en-US" w:eastAsia="zh-CN"/>
                      <w14:textFill>
                        <w14:solidFill>
                          <w14:schemeClr w14:val="tx1"/>
                        </w14:solidFill>
                      </w14:textFill>
                    </w:rPr>
                    <w:t>分区</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设置</w:t>
                  </w:r>
                  <w:r>
                    <w:rPr>
                      <w:rFonts w:hint="eastAsia" w:cs="Times New Roman"/>
                      <w:bCs/>
                      <w:color w:val="000000" w:themeColor="text1"/>
                      <w:sz w:val="21"/>
                      <w:szCs w:val="21"/>
                      <w:highlight w:val="none"/>
                      <w:lang w:val="en-US" w:eastAsia="zh-CN"/>
                      <w14:textFill>
                        <w14:solidFill>
                          <w14:schemeClr w14:val="tx1"/>
                        </w14:solidFill>
                      </w14:textFill>
                    </w:rPr>
                    <w:t>1.5m高金属隔断</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，裙角高度为200mm，最大储存量为30t</w:t>
                  </w:r>
                  <w:r>
                    <w:rPr>
                      <w:rFonts w:hint="eastAsia"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，年周转24次，年周转量为720</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t。</w:t>
                  </w:r>
                </w:p>
              </w:tc>
              <w:tc>
                <w:tcPr>
                  <w:tcW w:w="451" w:type="pct"/>
                  <w:tcBorders>
                    <w:tl2br w:val="nil"/>
                    <w:tr2bl w:val="nil"/>
                  </w:tcBorders>
                  <w:noWrap w:val="0"/>
                  <w:vAlign w:val="center"/>
                </w:tcPr>
                <w:p w14:paraId="69CA171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新建</w:t>
                  </w:r>
                </w:p>
              </w:tc>
            </w:tr>
            <w:tr w14:paraId="68FC67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445" w:type="pct"/>
                  <w:vMerge w:val="continue"/>
                  <w:tcBorders>
                    <w:tl2br w:val="nil"/>
                    <w:tr2bl w:val="nil"/>
                  </w:tcBorders>
                  <w:noWrap w:val="0"/>
                  <w:vAlign w:val="center"/>
                </w:tcPr>
                <w:p w14:paraId="330E86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50" w:type="pct"/>
                  <w:vMerge w:val="continue"/>
                  <w:tcBorders>
                    <w:tl2br w:val="nil"/>
                    <w:tr2bl w:val="nil"/>
                  </w:tcBorders>
                  <w:noWrap w:val="0"/>
                  <w:vAlign w:val="center"/>
                </w:tcPr>
                <w:p w14:paraId="54B420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22" w:type="pct"/>
                  <w:tcBorders>
                    <w:tl2br w:val="nil"/>
                    <w:tr2bl w:val="nil"/>
                  </w:tcBorders>
                  <w:noWrap w:val="0"/>
                  <w:vAlign w:val="center"/>
                </w:tcPr>
                <w:p w14:paraId="415AB9F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5#分区</w:t>
                  </w:r>
                </w:p>
              </w:tc>
              <w:tc>
                <w:tcPr>
                  <w:tcW w:w="3230" w:type="pct"/>
                  <w:tcBorders>
                    <w:tl2br w:val="nil"/>
                    <w:tr2bl w:val="nil"/>
                  </w:tcBorders>
                  <w:shd w:val="clear" w:color="auto" w:fill="auto"/>
                  <w:noWrap w:val="0"/>
                  <w:vAlign w:val="center"/>
                </w:tcPr>
                <w:p w14:paraId="495169A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占地面积</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30</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m</w:t>
                  </w:r>
                  <w:r>
                    <w:rPr>
                      <w:rFonts w:hint="default" w:ascii="Times New Roman" w:hAnsi="Times New Roman" w:eastAsia="宋体"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，尺寸</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2</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×15m。主要贮存HW31含铅废物（全部），</w:t>
                  </w:r>
                  <w:r>
                    <w:rPr>
                      <w:rFonts w:hint="default" w:ascii="Times New Roman" w:hAnsi="Times New Roman" w:eastAsia="宋体" w:cs="Times New Roman"/>
                      <w:color w:val="000000" w:themeColor="text1"/>
                      <w:kern w:val="24"/>
                      <w:sz w:val="21"/>
                      <w:szCs w:val="21"/>
                      <w:highlight w:val="none"/>
                      <w:lang w:val="en-US" w:eastAsia="zh-CN"/>
                      <w14:textFill>
                        <w14:solidFill>
                          <w14:schemeClr w14:val="tx1"/>
                        </w14:solidFill>
                      </w14:textFill>
                    </w:rPr>
                    <w:t>分区</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设置</w:t>
                  </w:r>
                  <w:r>
                    <w:rPr>
                      <w:rFonts w:hint="eastAsia" w:cs="Times New Roman"/>
                      <w:bCs/>
                      <w:color w:val="000000" w:themeColor="text1"/>
                      <w:sz w:val="21"/>
                      <w:szCs w:val="21"/>
                      <w:highlight w:val="none"/>
                      <w:lang w:val="en-US" w:eastAsia="zh-CN"/>
                      <w14:textFill>
                        <w14:solidFill>
                          <w14:schemeClr w14:val="tx1"/>
                        </w14:solidFill>
                      </w14:textFill>
                    </w:rPr>
                    <w:t>1.5m高金属隔断</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，裙角高度为200mm，最大储存量为30t</w:t>
                  </w:r>
                  <w:r>
                    <w:rPr>
                      <w:rFonts w:hint="eastAsia"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，年周转24次，年周转量为720</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t。</w:t>
                  </w:r>
                </w:p>
              </w:tc>
              <w:tc>
                <w:tcPr>
                  <w:tcW w:w="451" w:type="pct"/>
                  <w:tcBorders>
                    <w:tl2br w:val="nil"/>
                    <w:tr2bl w:val="nil"/>
                  </w:tcBorders>
                  <w:noWrap w:val="0"/>
                  <w:vAlign w:val="center"/>
                </w:tcPr>
                <w:p w14:paraId="7125F0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新建</w:t>
                  </w:r>
                </w:p>
              </w:tc>
            </w:tr>
            <w:tr w14:paraId="0B12AB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69" w:hRule="atLeast"/>
              </w:trPr>
              <w:tc>
                <w:tcPr>
                  <w:tcW w:w="445" w:type="pct"/>
                  <w:vMerge w:val="restart"/>
                  <w:tcBorders>
                    <w:tl2br w:val="nil"/>
                    <w:tr2bl w:val="nil"/>
                  </w:tcBorders>
                  <w:noWrap w:val="0"/>
                  <w:vAlign w:val="center"/>
                </w:tcPr>
                <w:p w14:paraId="3367A0D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主体工程</w:t>
                  </w:r>
                </w:p>
              </w:tc>
              <w:tc>
                <w:tcPr>
                  <w:tcW w:w="450" w:type="pct"/>
                  <w:vMerge w:val="continue"/>
                  <w:tcBorders>
                    <w:tl2br w:val="nil"/>
                    <w:tr2bl w:val="nil"/>
                  </w:tcBorders>
                  <w:noWrap w:val="0"/>
                  <w:vAlign w:val="center"/>
                </w:tcPr>
                <w:p w14:paraId="6152AA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22" w:type="pct"/>
                  <w:tcBorders>
                    <w:tl2br w:val="nil"/>
                    <w:tr2bl w:val="nil"/>
                  </w:tcBorders>
                  <w:noWrap w:val="0"/>
                  <w:vAlign w:val="center"/>
                </w:tcPr>
                <w:p w14:paraId="009E989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6#分区</w:t>
                  </w:r>
                </w:p>
              </w:tc>
              <w:tc>
                <w:tcPr>
                  <w:tcW w:w="3230" w:type="pct"/>
                  <w:tcBorders>
                    <w:tl2br w:val="nil"/>
                    <w:tr2bl w:val="nil"/>
                  </w:tcBorders>
                  <w:shd w:val="clear" w:color="auto" w:fill="auto"/>
                  <w:noWrap w:val="0"/>
                  <w:vAlign w:val="center"/>
                </w:tcPr>
                <w:p w14:paraId="454FE11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占地面积</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30</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m</w:t>
                  </w:r>
                  <w:r>
                    <w:rPr>
                      <w:rFonts w:hint="default" w:ascii="Times New Roman" w:hAnsi="Times New Roman" w:eastAsia="宋体"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，尺寸</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2</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×15m。主要贮存HW35废碱（全部），</w:t>
                  </w:r>
                  <w:r>
                    <w:rPr>
                      <w:rFonts w:hint="default" w:ascii="Times New Roman" w:hAnsi="Times New Roman" w:eastAsia="宋体" w:cs="Times New Roman"/>
                      <w:color w:val="000000" w:themeColor="text1"/>
                      <w:kern w:val="24"/>
                      <w:sz w:val="21"/>
                      <w:szCs w:val="21"/>
                      <w:highlight w:val="none"/>
                      <w:lang w:val="en-US" w:eastAsia="zh-CN"/>
                      <w14:textFill>
                        <w14:solidFill>
                          <w14:schemeClr w14:val="tx1"/>
                        </w14:solidFill>
                      </w14:textFill>
                    </w:rPr>
                    <w:t>分区</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设置</w:t>
                  </w:r>
                  <w:r>
                    <w:rPr>
                      <w:rFonts w:hint="eastAsia" w:cs="Times New Roman"/>
                      <w:bCs/>
                      <w:color w:val="000000" w:themeColor="text1"/>
                      <w:sz w:val="21"/>
                      <w:szCs w:val="21"/>
                      <w:highlight w:val="none"/>
                      <w:lang w:val="en-US" w:eastAsia="zh-CN"/>
                      <w14:textFill>
                        <w14:solidFill>
                          <w14:schemeClr w14:val="tx1"/>
                        </w14:solidFill>
                      </w14:textFill>
                    </w:rPr>
                    <w:t>1.5m高金属隔断</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，裙角高度为200mm，最大储存量为20t</w:t>
                  </w:r>
                  <w:r>
                    <w:rPr>
                      <w:rFonts w:hint="eastAsia"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，年周转24次，年周转量为480</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t。</w:t>
                  </w:r>
                </w:p>
              </w:tc>
              <w:tc>
                <w:tcPr>
                  <w:tcW w:w="451" w:type="pct"/>
                  <w:tcBorders>
                    <w:tl2br w:val="nil"/>
                    <w:tr2bl w:val="nil"/>
                  </w:tcBorders>
                  <w:noWrap w:val="0"/>
                  <w:vAlign w:val="center"/>
                </w:tcPr>
                <w:p w14:paraId="4328241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新建</w:t>
                  </w:r>
                </w:p>
              </w:tc>
            </w:tr>
            <w:tr w14:paraId="03D34C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69" w:hRule="atLeast"/>
              </w:trPr>
              <w:tc>
                <w:tcPr>
                  <w:tcW w:w="445" w:type="pct"/>
                  <w:vMerge w:val="continue"/>
                  <w:tcBorders>
                    <w:tl2br w:val="nil"/>
                    <w:tr2bl w:val="nil"/>
                  </w:tcBorders>
                  <w:noWrap w:val="0"/>
                  <w:vAlign w:val="center"/>
                </w:tcPr>
                <w:p w14:paraId="413A5AE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50" w:type="pct"/>
                  <w:vMerge w:val="continue"/>
                  <w:tcBorders>
                    <w:tl2br w:val="nil"/>
                    <w:tr2bl w:val="nil"/>
                  </w:tcBorders>
                  <w:noWrap w:val="0"/>
                  <w:vAlign w:val="center"/>
                </w:tcPr>
                <w:p w14:paraId="0FF564F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22" w:type="pct"/>
                  <w:tcBorders>
                    <w:tl2br w:val="nil"/>
                    <w:tr2bl w:val="nil"/>
                  </w:tcBorders>
                  <w:shd w:val="clear" w:color="auto" w:fill="auto"/>
                  <w:noWrap w:val="0"/>
                  <w:vAlign w:val="center"/>
                </w:tcPr>
                <w:p w14:paraId="70829E3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7#分区</w:t>
                  </w:r>
                </w:p>
              </w:tc>
              <w:tc>
                <w:tcPr>
                  <w:tcW w:w="3230" w:type="pct"/>
                  <w:tcBorders>
                    <w:tl2br w:val="nil"/>
                    <w:tr2bl w:val="nil"/>
                  </w:tcBorders>
                  <w:shd w:val="clear" w:color="auto" w:fill="auto"/>
                  <w:noWrap w:val="0"/>
                  <w:vAlign w:val="center"/>
                </w:tcPr>
                <w:p w14:paraId="2DA818F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占地面积</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30</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m</w:t>
                  </w:r>
                  <w:r>
                    <w:rPr>
                      <w:rFonts w:hint="default" w:ascii="Times New Roman" w:hAnsi="Times New Roman" w:eastAsia="宋体"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，尺寸</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2</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×15m。HW03废药物药品（全部），</w:t>
                  </w:r>
                  <w:r>
                    <w:rPr>
                      <w:rFonts w:hint="default" w:ascii="Times New Roman" w:hAnsi="Times New Roman" w:eastAsia="宋体" w:cs="Times New Roman"/>
                      <w:color w:val="000000" w:themeColor="text1"/>
                      <w:kern w:val="24"/>
                      <w:sz w:val="21"/>
                      <w:szCs w:val="21"/>
                      <w:highlight w:val="none"/>
                      <w:lang w:val="en-US" w:eastAsia="zh-CN"/>
                      <w14:textFill>
                        <w14:solidFill>
                          <w14:schemeClr w14:val="tx1"/>
                        </w14:solidFill>
                      </w14:textFill>
                    </w:rPr>
                    <w:t>分区</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设置</w:t>
                  </w:r>
                  <w:r>
                    <w:rPr>
                      <w:rFonts w:hint="eastAsia" w:cs="Times New Roman"/>
                      <w:bCs/>
                      <w:color w:val="000000" w:themeColor="text1"/>
                      <w:sz w:val="21"/>
                      <w:szCs w:val="21"/>
                      <w:highlight w:val="none"/>
                      <w:lang w:val="en-US" w:eastAsia="zh-CN"/>
                      <w14:textFill>
                        <w14:solidFill>
                          <w14:schemeClr w14:val="tx1"/>
                        </w14:solidFill>
                      </w14:textFill>
                    </w:rPr>
                    <w:t>1.5m高金属隔断</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，裙角高度为200mm，最大储存量为20t</w:t>
                  </w:r>
                  <w: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年周转24次，年周转量为480</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t。</w:t>
                  </w:r>
                </w:p>
              </w:tc>
              <w:tc>
                <w:tcPr>
                  <w:tcW w:w="451" w:type="pct"/>
                  <w:tcBorders>
                    <w:tl2br w:val="nil"/>
                    <w:tr2bl w:val="nil"/>
                  </w:tcBorders>
                  <w:noWrap w:val="0"/>
                  <w:vAlign w:val="center"/>
                </w:tcPr>
                <w:p w14:paraId="2F80EC9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新建</w:t>
                  </w:r>
                </w:p>
              </w:tc>
            </w:tr>
            <w:tr w14:paraId="7E6D56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69" w:hRule="atLeast"/>
              </w:trPr>
              <w:tc>
                <w:tcPr>
                  <w:tcW w:w="445" w:type="pct"/>
                  <w:vMerge w:val="continue"/>
                  <w:tcBorders>
                    <w:tl2br w:val="nil"/>
                    <w:tr2bl w:val="nil"/>
                  </w:tcBorders>
                  <w:noWrap w:val="0"/>
                  <w:vAlign w:val="center"/>
                </w:tcPr>
                <w:p w14:paraId="752AE79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50" w:type="pct"/>
                  <w:vMerge w:val="continue"/>
                  <w:tcBorders>
                    <w:tl2br w:val="nil"/>
                    <w:tr2bl w:val="nil"/>
                  </w:tcBorders>
                  <w:noWrap w:val="0"/>
                  <w:vAlign w:val="center"/>
                </w:tcPr>
                <w:p w14:paraId="1643678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22" w:type="pct"/>
                  <w:tcBorders>
                    <w:tl2br w:val="nil"/>
                    <w:tr2bl w:val="nil"/>
                  </w:tcBorders>
                  <w:shd w:val="clear" w:color="auto" w:fill="auto"/>
                  <w:noWrap w:val="0"/>
                  <w:vAlign w:val="center"/>
                </w:tcPr>
                <w:p w14:paraId="729B260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8#分区</w:t>
                  </w:r>
                </w:p>
              </w:tc>
              <w:tc>
                <w:tcPr>
                  <w:tcW w:w="3230" w:type="pct"/>
                  <w:tcBorders>
                    <w:tl2br w:val="nil"/>
                    <w:tr2bl w:val="nil"/>
                  </w:tcBorders>
                  <w:shd w:val="clear" w:color="auto" w:fill="auto"/>
                  <w:noWrap w:val="0"/>
                  <w:vAlign w:val="center"/>
                </w:tcPr>
                <w:p w14:paraId="65EDE3C7">
                  <w:pPr>
                    <w:keepNext w:val="0"/>
                    <w:keepLines w:val="0"/>
                    <w:widowControl/>
                    <w:suppressLineNumbers w:val="0"/>
                    <w:jc w:val="left"/>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占地面积</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15</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m</w:t>
                  </w:r>
                  <w:r>
                    <w:rPr>
                      <w:rFonts w:hint="default" w:ascii="Times New Roman" w:hAnsi="Times New Roman" w:eastAsia="宋体"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，尺寸</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1</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×15m。主要贮存HW16感光材料废物（全部），</w:t>
                  </w:r>
                  <w:r>
                    <w:rPr>
                      <w:rFonts w:hint="default" w:ascii="Times New Roman" w:hAnsi="Times New Roman" w:eastAsia="宋体" w:cs="Times New Roman"/>
                      <w:color w:val="000000" w:themeColor="text1"/>
                      <w:kern w:val="24"/>
                      <w:sz w:val="21"/>
                      <w:szCs w:val="21"/>
                      <w:highlight w:val="none"/>
                      <w:lang w:val="en-US" w:eastAsia="zh-CN"/>
                      <w14:textFill>
                        <w14:solidFill>
                          <w14:schemeClr w14:val="tx1"/>
                        </w14:solidFill>
                      </w14:textFill>
                    </w:rPr>
                    <w:t>分区</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设置</w:t>
                  </w:r>
                  <w:r>
                    <w:rPr>
                      <w:rFonts w:hint="eastAsia" w:cs="Times New Roman"/>
                      <w:bCs/>
                      <w:color w:val="000000" w:themeColor="text1"/>
                      <w:sz w:val="21"/>
                      <w:szCs w:val="21"/>
                      <w:highlight w:val="none"/>
                      <w:lang w:val="en-US" w:eastAsia="zh-CN"/>
                      <w14:textFill>
                        <w14:solidFill>
                          <w14:schemeClr w14:val="tx1"/>
                        </w14:solidFill>
                      </w14:textFill>
                    </w:rPr>
                    <w:t>1.5m高金属隔断</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，裙角高度为200mm，最大储存量为10t</w:t>
                  </w:r>
                  <w: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年周转24次，年周转量为240</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t。</w:t>
                  </w:r>
                </w:p>
              </w:tc>
              <w:tc>
                <w:tcPr>
                  <w:tcW w:w="451" w:type="pct"/>
                  <w:tcBorders>
                    <w:tl2br w:val="nil"/>
                    <w:tr2bl w:val="nil"/>
                  </w:tcBorders>
                  <w:noWrap w:val="0"/>
                  <w:vAlign w:val="center"/>
                </w:tcPr>
                <w:p w14:paraId="306FFBA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新建</w:t>
                  </w:r>
                </w:p>
              </w:tc>
            </w:tr>
            <w:tr w14:paraId="1D80DA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69" w:hRule="atLeast"/>
              </w:trPr>
              <w:tc>
                <w:tcPr>
                  <w:tcW w:w="445" w:type="pct"/>
                  <w:vMerge w:val="continue"/>
                  <w:tcBorders>
                    <w:tl2br w:val="nil"/>
                    <w:tr2bl w:val="nil"/>
                  </w:tcBorders>
                  <w:noWrap w:val="0"/>
                  <w:vAlign w:val="center"/>
                </w:tcPr>
                <w:p w14:paraId="22FFF4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50" w:type="pct"/>
                  <w:vMerge w:val="continue"/>
                  <w:tcBorders>
                    <w:tl2br w:val="nil"/>
                    <w:tr2bl w:val="nil"/>
                  </w:tcBorders>
                  <w:noWrap w:val="0"/>
                  <w:vAlign w:val="center"/>
                </w:tcPr>
                <w:p w14:paraId="7901CD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22" w:type="pct"/>
                  <w:tcBorders>
                    <w:tl2br w:val="nil"/>
                    <w:tr2bl w:val="nil"/>
                  </w:tcBorders>
                  <w:shd w:val="clear" w:color="auto" w:fill="auto"/>
                  <w:noWrap w:val="0"/>
                  <w:vAlign w:val="center"/>
                </w:tcPr>
                <w:p w14:paraId="5CA4B58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9#分区</w:t>
                  </w:r>
                </w:p>
              </w:tc>
              <w:tc>
                <w:tcPr>
                  <w:tcW w:w="3230" w:type="pct"/>
                  <w:tcBorders>
                    <w:tl2br w:val="nil"/>
                    <w:tr2bl w:val="nil"/>
                  </w:tcBorders>
                  <w:shd w:val="clear" w:color="auto" w:fill="auto"/>
                  <w:noWrap w:val="0"/>
                  <w:vAlign w:val="center"/>
                </w:tcPr>
                <w:p w14:paraId="736ECB46">
                  <w:pPr>
                    <w:keepNext w:val="0"/>
                    <w:keepLines w:val="0"/>
                    <w:widowControl/>
                    <w:suppressLineNumbers w:val="0"/>
                    <w:jc w:val="left"/>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占地面积</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15</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m</w:t>
                  </w:r>
                  <w:r>
                    <w:rPr>
                      <w:rFonts w:hint="default" w:ascii="Times New Roman" w:hAnsi="Times New Roman" w:eastAsia="宋体"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，尺寸</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1</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×15m。主要贮存HW29含汞废物（全部），</w:t>
                  </w:r>
                  <w:r>
                    <w:rPr>
                      <w:rFonts w:hint="default" w:ascii="Times New Roman" w:hAnsi="Times New Roman" w:eastAsia="宋体" w:cs="Times New Roman"/>
                      <w:color w:val="000000" w:themeColor="text1"/>
                      <w:kern w:val="24"/>
                      <w:sz w:val="21"/>
                      <w:szCs w:val="21"/>
                      <w:highlight w:val="none"/>
                      <w:lang w:val="en-US" w:eastAsia="zh-CN"/>
                      <w14:textFill>
                        <w14:solidFill>
                          <w14:schemeClr w14:val="tx1"/>
                        </w14:solidFill>
                      </w14:textFill>
                    </w:rPr>
                    <w:t>分区</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设置</w:t>
                  </w:r>
                  <w:r>
                    <w:rPr>
                      <w:rFonts w:hint="eastAsia" w:cs="Times New Roman"/>
                      <w:bCs/>
                      <w:color w:val="000000" w:themeColor="text1"/>
                      <w:sz w:val="21"/>
                      <w:szCs w:val="21"/>
                      <w:highlight w:val="none"/>
                      <w:lang w:val="en-US" w:eastAsia="zh-CN"/>
                      <w14:textFill>
                        <w14:solidFill>
                          <w14:schemeClr w14:val="tx1"/>
                        </w14:solidFill>
                      </w14:textFill>
                    </w:rPr>
                    <w:t>1.5m高金属隔断</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，裙角高度为200mm，最大储存量为10t</w:t>
                  </w:r>
                  <w: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年周转24次，年周转量为240</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t。</w:t>
                  </w:r>
                </w:p>
              </w:tc>
              <w:tc>
                <w:tcPr>
                  <w:tcW w:w="451" w:type="pct"/>
                  <w:tcBorders>
                    <w:tl2br w:val="nil"/>
                    <w:tr2bl w:val="nil"/>
                  </w:tcBorders>
                  <w:noWrap w:val="0"/>
                  <w:vAlign w:val="center"/>
                </w:tcPr>
                <w:p w14:paraId="292180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新建</w:t>
                  </w:r>
                </w:p>
              </w:tc>
            </w:tr>
            <w:tr w14:paraId="7A636F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69" w:hRule="atLeast"/>
              </w:trPr>
              <w:tc>
                <w:tcPr>
                  <w:tcW w:w="445" w:type="pct"/>
                  <w:vMerge w:val="continue"/>
                  <w:tcBorders>
                    <w:tl2br w:val="nil"/>
                    <w:tr2bl w:val="nil"/>
                  </w:tcBorders>
                  <w:noWrap w:val="0"/>
                  <w:vAlign w:val="center"/>
                </w:tcPr>
                <w:p w14:paraId="4335FC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50" w:type="pct"/>
                  <w:vMerge w:val="continue"/>
                  <w:tcBorders>
                    <w:tl2br w:val="nil"/>
                    <w:tr2bl w:val="nil"/>
                  </w:tcBorders>
                  <w:noWrap w:val="0"/>
                  <w:vAlign w:val="center"/>
                </w:tcPr>
                <w:p w14:paraId="5F90E6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22" w:type="pct"/>
                  <w:tcBorders>
                    <w:tl2br w:val="nil"/>
                    <w:tr2bl w:val="nil"/>
                  </w:tcBorders>
                  <w:shd w:val="clear" w:color="auto" w:fill="auto"/>
                  <w:noWrap w:val="0"/>
                  <w:vAlign w:val="center"/>
                </w:tcPr>
                <w:p w14:paraId="1444EB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10#分区</w:t>
                  </w:r>
                </w:p>
              </w:tc>
              <w:tc>
                <w:tcPr>
                  <w:tcW w:w="3230" w:type="pct"/>
                  <w:tcBorders>
                    <w:tl2br w:val="nil"/>
                    <w:tr2bl w:val="nil"/>
                  </w:tcBorders>
                  <w:shd w:val="clear" w:color="auto" w:fill="auto"/>
                  <w:noWrap w:val="0"/>
                  <w:vAlign w:val="center"/>
                </w:tcPr>
                <w:p w14:paraId="315F59A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占地面积</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85</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m</w:t>
                  </w:r>
                  <w:r>
                    <w:rPr>
                      <w:rFonts w:hint="default" w:ascii="Times New Roman" w:hAnsi="Times New Roman" w:eastAsia="宋体"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，尺寸</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5</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17</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m。主要贮存HW02医药废物（全部），</w:t>
                  </w:r>
                  <w:r>
                    <w:rPr>
                      <w:rFonts w:hint="default" w:ascii="Times New Roman" w:hAnsi="Times New Roman" w:eastAsia="宋体" w:cs="Times New Roman"/>
                      <w:color w:val="000000" w:themeColor="text1"/>
                      <w:kern w:val="24"/>
                      <w:sz w:val="21"/>
                      <w:szCs w:val="21"/>
                      <w:highlight w:val="none"/>
                      <w:lang w:val="en-US" w:eastAsia="zh-CN"/>
                      <w14:textFill>
                        <w14:solidFill>
                          <w14:schemeClr w14:val="tx1"/>
                        </w14:solidFill>
                      </w14:textFill>
                    </w:rPr>
                    <w:t>分区</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设置</w:t>
                  </w:r>
                  <w:r>
                    <w:rPr>
                      <w:rFonts w:hint="eastAsia" w:cs="Times New Roman"/>
                      <w:bCs/>
                      <w:color w:val="000000" w:themeColor="text1"/>
                      <w:sz w:val="21"/>
                      <w:szCs w:val="21"/>
                      <w:highlight w:val="none"/>
                      <w:lang w:val="en-US" w:eastAsia="zh-CN"/>
                      <w14:textFill>
                        <w14:solidFill>
                          <w14:schemeClr w14:val="tx1"/>
                        </w14:solidFill>
                      </w14:textFill>
                    </w:rPr>
                    <w:t>1.5m高金属隔断</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，裙角高度为200mm，最大储存量为50t</w:t>
                  </w:r>
                  <w: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年周转24次，年周转量为1200</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t。</w:t>
                  </w:r>
                </w:p>
              </w:tc>
              <w:tc>
                <w:tcPr>
                  <w:tcW w:w="451" w:type="pct"/>
                  <w:tcBorders>
                    <w:tl2br w:val="nil"/>
                    <w:tr2bl w:val="nil"/>
                  </w:tcBorders>
                  <w:noWrap w:val="0"/>
                  <w:vAlign w:val="center"/>
                </w:tcPr>
                <w:p w14:paraId="7D9FCF1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新建</w:t>
                  </w:r>
                </w:p>
              </w:tc>
            </w:tr>
            <w:tr w14:paraId="7B0DE0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69" w:hRule="atLeast"/>
              </w:trPr>
              <w:tc>
                <w:tcPr>
                  <w:tcW w:w="445" w:type="pct"/>
                  <w:vMerge w:val="continue"/>
                  <w:tcBorders>
                    <w:tl2br w:val="nil"/>
                    <w:tr2bl w:val="nil"/>
                  </w:tcBorders>
                  <w:noWrap w:val="0"/>
                  <w:vAlign w:val="center"/>
                </w:tcPr>
                <w:p w14:paraId="4D07823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50" w:type="pct"/>
                  <w:vMerge w:val="continue"/>
                  <w:tcBorders>
                    <w:tl2br w:val="nil"/>
                    <w:tr2bl w:val="nil"/>
                  </w:tcBorders>
                  <w:noWrap w:val="0"/>
                  <w:vAlign w:val="center"/>
                </w:tcPr>
                <w:p w14:paraId="0EBA697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22" w:type="pct"/>
                  <w:tcBorders>
                    <w:tl2br w:val="nil"/>
                    <w:tr2bl w:val="nil"/>
                  </w:tcBorders>
                  <w:shd w:val="clear" w:color="auto" w:fill="auto"/>
                  <w:noWrap w:val="0"/>
                  <w:vAlign w:val="center"/>
                </w:tcPr>
                <w:p w14:paraId="685AD9F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11#分区</w:t>
                  </w:r>
                </w:p>
              </w:tc>
              <w:tc>
                <w:tcPr>
                  <w:tcW w:w="3230" w:type="pct"/>
                  <w:tcBorders>
                    <w:tl2br w:val="nil"/>
                    <w:tr2bl w:val="nil"/>
                  </w:tcBorders>
                  <w:shd w:val="clear" w:color="auto" w:fill="auto"/>
                  <w:noWrap w:val="0"/>
                  <w:vAlign w:val="center"/>
                </w:tcPr>
                <w:p w14:paraId="01D878C0">
                  <w:pPr>
                    <w:keepNext w:val="0"/>
                    <w:keepLines w:val="0"/>
                    <w:widowControl/>
                    <w:suppressLineNumbers w:val="0"/>
                    <w:jc w:val="left"/>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占地面积</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85</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m</w:t>
                  </w:r>
                  <w:r>
                    <w:rPr>
                      <w:rFonts w:hint="default" w:ascii="Times New Roman" w:hAnsi="Times New Roman" w:eastAsia="宋体"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，尺寸</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5</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17</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m。主要贮存HW04农药废物（全部），</w:t>
                  </w:r>
                  <w:r>
                    <w:rPr>
                      <w:rFonts w:hint="default" w:ascii="Times New Roman" w:hAnsi="Times New Roman" w:eastAsia="宋体" w:cs="Times New Roman"/>
                      <w:color w:val="000000" w:themeColor="text1"/>
                      <w:kern w:val="24"/>
                      <w:sz w:val="21"/>
                      <w:szCs w:val="21"/>
                      <w:highlight w:val="none"/>
                      <w:lang w:val="en-US" w:eastAsia="zh-CN"/>
                      <w14:textFill>
                        <w14:solidFill>
                          <w14:schemeClr w14:val="tx1"/>
                        </w14:solidFill>
                      </w14:textFill>
                    </w:rPr>
                    <w:t>分区</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设置</w:t>
                  </w:r>
                  <w:r>
                    <w:rPr>
                      <w:rFonts w:hint="eastAsia" w:cs="Times New Roman"/>
                      <w:bCs/>
                      <w:color w:val="000000" w:themeColor="text1"/>
                      <w:sz w:val="21"/>
                      <w:szCs w:val="21"/>
                      <w:highlight w:val="none"/>
                      <w:lang w:val="en-US" w:eastAsia="zh-CN"/>
                      <w14:textFill>
                        <w14:solidFill>
                          <w14:schemeClr w14:val="tx1"/>
                        </w14:solidFill>
                      </w14:textFill>
                    </w:rPr>
                    <w:t>1.5m高金属隔断</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，裙角高度为200mm，最大储存量为50t</w:t>
                  </w:r>
                  <w: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年周转24次，年周转量为1200</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t。</w:t>
                  </w:r>
                </w:p>
              </w:tc>
              <w:tc>
                <w:tcPr>
                  <w:tcW w:w="451" w:type="pct"/>
                  <w:tcBorders>
                    <w:tl2br w:val="nil"/>
                    <w:tr2bl w:val="nil"/>
                  </w:tcBorders>
                  <w:noWrap w:val="0"/>
                  <w:vAlign w:val="center"/>
                </w:tcPr>
                <w:p w14:paraId="224E317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新建</w:t>
                  </w:r>
                </w:p>
              </w:tc>
            </w:tr>
            <w:tr w14:paraId="44AC27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69" w:hRule="atLeast"/>
              </w:trPr>
              <w:tc>
                <w:tcPr>
                  <w:tcW w:w="445" w:type="pct"/>
                  <w:vMerge w:val="continue"/>
                  <w:tcBorders>
                    <w:tl2br w:val="nil"/>
                    <w:tr2bl w:val="nil"/>
                  </w:tcBorders>
                  <w:noWrap w:val="0"/>
                  <w:vAlign w:val="center"/>
                </w:tcPr>
                <w:p w14:paraId="796A958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50" w:type="pct"/>
                  <w:vMerge w:val="continue"/>
                  <w:tcBorders>
                    <w:tl2br w:val="nil"/>
                    <w:tr2bl w:val="nil"/>
                  </w:tcBorders>
                  <w:noWrap w:val="0"/>
                  <w:vAlign w:val="center"/>
                </w:tcPr>
                <w:p w14:paraId="093E0B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22" w:type="pct"/>
                  <w:tcBorders>
                    <w:tl2br w:val="nil"/>
                    <w:tr2bl w:val="nil"/>
                  </w:tcBorders>
                  <w:shd w:val="clear" w:color="auto" w:fill="auto"/>
                  <w:noWrap w:val="0"/>
                  <w:vAlign w:val="center"/>
                </w:tcPr>
                <w:p w14:paraId="36C08FD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12#分区</w:t>
                  </w:r>
                </w:p>
              </w:tc>
              <w:tc>
                <w:tcPr>
                  <w:tcW w:w="3230" w:type="pct"/>
                  <w:tcBorders>
                    <w:tl2br w:val="nil"/>
                    <w:tr2bl w:val="nil"/>
                  </w:tcBorders>
                  <w:shd w:val="clear" w:color="auto" w:fill="auto"/>
                  <w:noWrap w:val="0"/>
                  <w:vAlign w:val="center"/>
                </w:tcPr>
                <w:p w14:paraId="72BD8D6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占地面积</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85</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m</w:t>
                  </w:r>
                  <w:r>
                    <w:rPr>
                      <w:rFonts w:hint="default" w:ascii="Times New Roman" w:hAnsi="Times New Roman" w:eastAsia="宋体"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，尺寸</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5</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17</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m。主要贮存HW06废有机溶剂与含有机溶剂废物（全部），</w:t>
                  </w:r>
                  <w:r>
                    <w:rPr>
                      <w:rFonts w:hint="default" w:ascii="Times New Roman" w:hAnsi="Times New Roman" w:eastAsia="宋体" w:cs="Times New Roman"/>
                      <w:color w:val="000000" w:themeColor="text1"/>
                      <w:kern w:val="24"/>
                      <w:sz w:val="21"/>
                      <w:szCs w:val="21"/>
                      <w:highlight w:val="none"/>
                      <w:lang w:val="en-US" w:eastAsia="zh-CN"/>
                      <w14:textFill>
                        <w14:solidFill>
                          <w14:schemeClr w14:val="tx1"/>
                        </w14:solidFill>
                      </w14:textFill>
                    </w:rPr>
                    <w:t>分区</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设置</w:t>
                  </w:r>
                  <w:r>
                    <w:rPr>
                      <w:rFonts w:hint="eastAsia" w:cs="Times New Roman"/>
                      <w:bCs/>
                      <w:color w:val="000000" w:themeColor="text1"/>
                      <w:sz w:val="21"/>
                      <w:szCs w:val="21"/>
                      <w:highlight w:val="none"/>
                      <w:lang w:val="en-US" w:eastAsia="zh-CN"/>
                      <w14:textFill>
                        <w14:solidFill>
                          <w14:schemeClr w14:val="tx1"/>
                        </w14:solidFill>
                      </w14:textFill>
                    </w:rPr>
                    <w:t>1.5m高金属隔断</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，裙角高度为200mm，最大储存量为50t</w:t>
                  </w:r>
                  <w: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年周转24次，年周转量为1200</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t。</w:t>
                  </w:r>
                </w:p>
              </w:tc>
              <w:tc>
                <w:tcPr>
                  <w:tcW w:w="451" w:type="pct"/>
                  <w:tcBorders>
                    <w:tl2br w:val="nil"/>
                    <w:tr2bl w:val="nil"/>
                  </w:tcBorders>
                  <w:noWrap w:val="0"/>
                  <w:vAlign w:val="center"/>
                </w:tcPr>
                <w:p w14:paraId="6AD8725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新建</w:t>
                  </w:r>
                </w:p>
              </w:tc>
            </w:tr>
            <w:tr w14:paraId="463DCC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70" w:hRule="atLeast"/>
              </w:trPr>
              <w:tc>
                <w:tcPr>
                  <w:tcW w:w="445" w:type="pct"/>
                  <w:vMerge w:val="continue"/>
                  <w:tcBorders>
                    <w:tl2br w:val="nil"/>
                    <w:tr2bl w:val="nil"/>
                  </w:tcBorders>
                  <w:noWrap w:val="0"/>
                  <w:vAlign w:val="center"/>
                </w:tcPr>
                <w:p w14:paraId="633C52F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50" w:type="pct"/>
                  <w:vMerge w:val="continue"/>
                  <w:tcBorders>
                    <w:tl2br w:val="nil"/>
                    <w:tr2bl w:val="nil"/>
                  </w:tcBorders>
                  <w:noWrap w:val="0"/>
                  <w:vAlign w:val="center"/>
                </w:tcPr>
                <w:p w14:paraId="4DC897F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22" w:type="pct"/>
                  <w:tcBorders>
                    <w:tl2br w:val="nil"/>
                    <w:tr2bl w:val="nil"/>
                  </w:tcBorders>
                  <w:shd w:val="clear" w:color="auto" w:fill="auto"/>
                  <w:noWrap w:val="0"/>
                  <w:vAlign w:val="center"/>
                </w:tcPr>
                <w:p w14:paraId="354051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13#分区</w:t>
                  </w:r>
                </w:p>
              </w:tc>
              <w:tc>
                <w:tcPr>
                  <w:tcW w:w="3230" w:type="pct"/>
                  <w:tcBorders>
                    <w:tl2br w:val="nil"/>
                    <w:tr2bl w:val="nil"/>
                  </w:tcBorders>
                  <w:shd w:val="clear" w:color="auto" w:fill="auto"/>
                  <w:noWrap w:val="0"/>
                  <w:vAlign w:val="center"/>
                </w:tcPr>
                <w:p w14:paraId="55A4FAC9">
                  <w:pPr>
                    <w:keepNext w:val="0"/>
                    <w:keepLines w:val="0"/>
                    <w:widowControl/>
                    <w:suppressLineNumbers w:val="0"/>
                    <w:jc w:val="left"/>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占地面积85m</w:t>
                  </w:r>
                  <w:r>
                    <w:rPr>
                      <w:rFonts w:hint="default" w:ascii="Times New Roman" w:hAnsi="Times New Roman" w:eastAsia="宋体"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，尺寸5×17m。主要贮存HW08废矿物油与含矿物油废物（全部），</w:t>
                  </w:r>
                  <w:r>
                    <w:rPr>
                      <w:rFonts w:hint="default" w:ascii="Times New Roman" w:hAnsi="Times New Roman" w:eastAsia="宋体" w:cs="Times New Roman"/>
                      <w:color w:val="000000" w:themeColor="text1"/>
                      <w:kern w:val="24"/>
                      <w:sz w:val="21"/>
                      <w:szCs w:val="21"/>
                      <w:highlight w:val="none"/>
                      <w:lang w:val="en-US" w:eastAsia="zh-CN"/>
                      <w14:textFill>
                        <w14:solidFill>
                          <w14:schemeClr w14:val="tx1"/>
                        </w14:solidFill>
                      </w14:textFill>
                    </w:rPr>
                    <w:t>分区</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设置</w:t>
                  </w:r>
                  <w:r>
                    <w:rPr>
                      <w:rFonts w:hint="eastAsia" w:cs="Times New Roman"/>
                      <w:bCs/>
                      <w:color w:val="000000" w:themeColor="text1"/>
                      <w:sz w:val="21"/>
                      <w:szCs w:val="21"/>
                      <w:highlight w:val="none"/>
                      <w:lang w:val="en-US" w:eastAsia="zh-CN"/>
                      <w14:textFill>
                        <w14:solidFill>
                          <w14:schemeClr w14:val="tx1"/>
                        </w14:solidFill>
                      </w14:textFill>
                    </w:rPr>
                    <w:t>1.5m高金属隔断</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，裙角高度为200mm，最大储存量为50t</w:t>
                  </w:r>
                  <w: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年周转24次，年周转量为1200</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t。</w:t>
                  </w:r>
                </w:p>
              </w:tc>
              <w:tc>
                <w:tcPr>
                  <w:tcW w:w="451" w:type="pct"/>
                  <w:tcBorders>
                    <w:tl2br w:val="nil"/>
                    <w:tr2bl w:val="nil"/>
                  </w:tcBorders>
                  <w:noWrap w:val="0"/>
                  <w:vAlign w:val="center"/>
                </w:tcPr>
                <w:p w14:paraId="71033B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新建</w:t>
                  </w:r>
                </w:p>
              </w:tc>
            </w:tr>
            <w:tr w14:paraId="6B07B5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69" w:hRule="atLeast"/>
              </w:trPr>
              <w:tc>
                <w:tcPr>
                  <w:tcW w:w="445" w:type="pct"/>
                  <w:vMerge w:val="continue"/>
                  <w:tcBorders>
                    <w:tl2br w:val="nil"/>
                    <w:tr2bl w:val="nil"/>
                  </w:tcBorders>
                  <w:noWrap w:val="0"/>
                  <w:vAlign w:val="center"/>
                </w:tcPr>
                <w:p w14:paraId="622D00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50" w:type="pct"/>
                  <w:vMerge w:val="continue"/>
                  <w:tcBorders>
                    <w:tl2br w:val="nil"/>
                    <w:tr2bl w:val="nil"/>
                  </w:tcBorders>
                  <w:noWrap w:val="0"/>
                  <w:vAlign w:val="center"/>
                </w:tcPr>
                <w:p w14:paraId="2F75B93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22" w:type="pct"/>
                  <w:tcBorders>
                    <w:tl2br w:val="nil"/>
                    <w:tr2bl w:val="nil"/>
                  </w:tcBorders>
                  <w:shd w:val="clear" w:color="auto" w:fill="auto"/>
                  <w:noWrap w:val="0"/>
                  <w:vAlign w:val="center"/>
                </w:tcPr>
                <w:p w14:paraId="34B4B60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14#分区</w:t>
                  </w:r>
                </w:p>
              </w:tc>
              <w:tc>
                <w:tcPr>
                  <w:tcW w:w="3230" w:type="pct"/>
                  <w:tcBorders>
                    <w:tl2br w:val="nil"/>
                    <w:tr2bl w:val="nil"/>
                  </w:tcBorders>
                  <w:shd w:val="clear" w:color="auto" w:fill="auto"/>
                  <w:noWrap w:val="0"/>
                  <w:vAlign w:val="center"/>
                </w:tcPr>
                <w:p w14:paraId="3A23A518">
                  <w:pPr>
                    <w:keepNext w:val="0"/>
                    <w:keepLines w:val="0"/>
                    <w:widowControl/>
                    <w:suppressLineNumbers w:val="0"/>
                    <w:jc w:val="left"/>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占地面积85m</w:t>
                  </w:r>
                  <w:r>
                    <w:rPr>
                      <w:rFonts w:hint="default" w:ascii="Times New Roman" w:hAnsi="Times New Roman" w:eastAsia="宋体"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，尺寸5×17m。主要贮存HW17表面处理废物（全部），</w:t>
                  </w:r>
                  <w:r>
                    <w:rPr>
                      <w:rFonts w:hint="default" w:ascii="Times New Roman" w:hAnsi="Times New Roman" w:eastAsia="宋体" w:cs="Times New Roman"/>
                      <w:color w:val="000000" w:themeColor="text1"/>
                      <w:kern w:val="24"/>
                      <w:sz w:val="21"/>
                      <w:szCs w:val="21"/>
                      <w:highlight w:val="none"/>
                      <w:lang w:val="en-US" w:eastAsia="zh-CN"/>
                      <w14:textFill>
                        <w14:solidFill>
                          <w14:schemeClr w14:val="tx1"/>
                        </w14:solidFill>
                      </w14:textFill>
                    </w:rPr>
                    <w:t>分区</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设置</w:t>
                  </w:r>
                  <w:r>
                    <w:rPr>
                      <w:rFonts w:hint="eastAsia" w:cs="Times New Roman"/>
                      <w:bCs/>
                      <w:color w:val="000000" w:themeColor="text1"/>
                      <w:sz w:val="21"/>
                      <w:szCs w:val="21"/>
                      <w:highlight w:val="none"/>
                      <w:lang w:val="en-US" w:eastAsia="zh-CN"/>
                      <w14:textFill>
                        <w14:solidFill>
                          <w14:schemeClr w14:val="tx1"/>
                        </w14:solidFill>
                      </w14:textFill>
                    </w:rPr>
                    <w:t>1.5m高金属隔断</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，裙角高度为200mm，最大储存量为50t</w:t>
                  </w:r>
                  <w: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年周转24次，年周转量为1200</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t。</w:t>
                  </w:r>
                </w:p>
              </w:tc>
              <w:tc>
                <w:tcPr>
                  <w:tcW w:w="451" w:type="pct"/>
                  <w:tcBorders>
                    <w:tl2br w:val="nil"/>
                    <w:tr2bl w:val="nil"/>
                  </w:tcBorders>
                  <w:noWrap w:val="0"/>
                  <w:vAlign w:val="center"/>
                </w:tcPr>
                <w:p w14:paraId="717AA1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新建</w:t>
                  </w:r>
                </w:p>
              </w:tc>
            </w:tr>
            <w:tr w14:paraId="19864D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69" w:hRule="atLeast"/>
              </w:trPr>
              <w:tc>
                <w:tcPr>
                  <w:tcW w:w="445" w:type="pct"/>
                  <w:vMerge w:val="continue"/>
                  <w:tcBorders>
                    <w:tl2br w:val="nil"/>
                    <w:tr2bl w:val="nil"/>
                  </w:tcBorders>
                  <w:noWrap w:val="0"/>
                  <w:vAlign w:val="center"/>
                </w:tcPr>
                <w:p w14:paraId="0D63B68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50" w:type="pct"/>
                  <w:vMerge w:val="continue"/>
                  <w:tcBorders>
                    <w:tl2br w:val="nil"/>
                    <w:tr2bl w:val="nil"/>
                  </w:tcBorders>
                  <w:noWrap w:val="0"/>
                  <w:vAlign w:val="center"/>
                </w:tcPr>
                <w:p w14:paraId="735A468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22" w:type="pct"/>
                  <w:tcBorders>
                    <w:tl2br w:val="nil"/>
                    <w:tr2bl w:val="nil"/>
                  </w:tcBorders>
                  <w:shd w:val="clear" w:color="auto" w:fill="auto"/>
                  <w:noWrap w:val="0"/>
                  <w:vAlign w:val="center"/>
                </w:tcPr>
                <w:p w14:paraId="348179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15#分区</w:t>
                  </w:r>
                </w:p>
              </w:tc>
              <w:tc>
                <w:tcPr>
                  <w:tcW w:w="3230" w:type="pct"/>
                  <w:tcBorders>
                    <w:tl2br w:val="nil"/>
                    <w:tr2bl w:val="nil"/>
                  </w:tcBorders>
                  <w:shd w:val="clear" w:color="auto" w:fill="auto"/>
                  <w:noWrap w:val="0"/>
                  <w:vAlign w:val="center"/>
                </w:tcPr>
                <w:p w14:paraId="2C6A5CA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占地面积85m</w:t>
                  </w:r>
                  <w:r>
                    <w:rPr>
                      <w:rFonts w:hint="default" w:ascii="Times New Roman" w:hAnsi="Times New Roman" w:eastAsia="宋体"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，尺寸5×17m。主要贮存HW34废酸（全部），</w:t>
                  </w:r>
                  <w:r>
                    <w:rPr>
                      <w:rFonts w:hint="default" w:ascii="Times New Roman" w:hAnsi="Times New Roman" w:eastAsia="宋体" w:cs="Times New Roman"/>
                      <w:color w:val="000000" w:themeColor="text1"/>
                      <w:kern w:val="24"/>
                      <w:sz w:val="21"/>
                      <w:szCs w:val="21"/>
                      <w:highlight w:val="none"/>
                      <w:lang w:val="en-US" w:eastAsia="zh-CN"/>
                      <w14:textFill>
                        <w14:solidFill>
                          <w14:schemeClr w14:val="tx1"/>
                        </w14:solidFill>
                      </w14:textFill>
                    </w:rPr>
                    <w:t>分区</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设置</w:t>
                  </w:r>
                  <w:r>
                    <w:rPr>
                      <w:rFonts w:hint="eastAsia" w:cs="Times New Roman"/>
                      <w:bCs/>
                      <w:color w:val="000000" w:themeColor="text1"/>
                      <w:sz w:val="21"/>
                      <w:szCs w:val="21"/>
                      <w:highlight w:val="none"/>
                      <w:lang w:val="en-US" w:eastAsia="zh-CN"/>
                      <w14:textFill>
                        <w14:solidFill>
                          <w14:schemeClr w14:val="tx1"/>
                        </w14:solidFill>
                      </w14:textFill>
                    </w:rPr>
                    <w:t>1.5m高金属隔断</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，裙角高度为200mm，最大储存量为50t</w:t>
                  </w:r>
                  <w: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年周转24次，年周转量为1200</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t。</w:t>
                  </w:r>
                </w:p>
              </w:tc>
              <w:tc>
                <w:tcPr>
                  <w:tcW w:w="451" w:type="pct"/>
                  <w:tcBorders>
                    <w:tl2br w:val="nil"/>
                    <w:tr2bl w:val="nil"/>
                  </w:tcBorders>
                  <w:noWrap w:val="0"/>
                  <w:vAlign w:val="center"/>
                </w:tcPr>
                <w:p w14:paraId="06416D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新建</w:t>
                  </w:r>
                </w:p>
              </w:tc>
            </w:tr>
            <w:tr w14:paraId="73620F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69" w:hRule="atLeast"/>
              </w:trPr>
              <w:tc>
                <w:tcPr>
                  <w:tcW w:w="445" w:type="pct"/>
                  <w:vMerge w:val="continue"/>
                  <w:tcBorders>
                    <w:tl2br w:val="nil"/>
                    <w:tr2bl w:val="nil"/>
                  </w:tcBorders>
                  <w:noWrap w:val="0"/>
                  <w:vAlign w:val="center"/>
                </w:tcPr>
                <w:p w14:paraId="332BBDF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50" w:type="pct"/>
                  <w:vMerge w:val="continue"/>
                  <w:tcBorders>
                    <w:tl2br w:val="nil"/>
                    <w:tr2bl w:val="nil"/>
                  </w:tcBorders>
                  <w:noWrap w:val="0"/>
                  <w:vAlign w:val="center"/>
                </w:tcPr>
                <w:p w14:paraId="3071CAE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22" w:type="pct"/>
                  <w:tcBorders>
                    <w:tl2br w:val="nil"/>
                    <w:tr2bl w:val="nil"/>
                  </w:tcBorders>
                  <w:shd w:val="clear" w:color="auto" w:fill="auto"/>
                  <w:noWrap w:val="0"/>
                  <w:vAlign w:val="center"/>
                </w:tcPr>
                <w:p w14:paraId="0851354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16#分区</w:t>
                  </w:r>
                </w:p>
              </w:tc>
              <w:tc>
                <w:tcPr>
                  <w:tcW w:w="3230" w:type="pct"/>
                  <w:tcBorders>
                    <w:tl2br w:val="nil"/>
                    <w:tr2bl w:val="nil"/>
                  </w:tcBorders>
                  <w:shd w:val="clear" w:color="auto" w:fill="auto"/>
                  <w:noWrap w:val="0"/>
                  <w:vAlign w:val="center"/>
                </w:tcPr>
                <w:p w14:paraId="0E0E38C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占地面积85m</w:t>
                  </w:r>
                  <w:r>
                    <w:rPr>
                      <w:rFonts w:hint="default" w:ascii="Times New Roman" w:hAnsi="Times New Roman" w:eastAsia="宋体"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，尺寸5×17m。主要贮存HW36石棉废物（全部），</w:t>
                  </w:r>
                  <w:r>
                    <w:rPr>
                      <w:rFonts w:hint="default" w:ascii="Times New Roman" w:hAnsi="Times New Roman" w:eastAsia="宋体" w:cs="Times New Roman"/>
                      <w:color w:val="000000" w:themeColor="text1"/>
                      <w:kern w:val="24"/>
                      <w:sz w:val="21"/>
                      <w:szCs w:val="21"/>
                      <w:highlight w:val="none"/>
                      <w:lang w:val="en-US" w:eastAsia="zh-CN"/>
                      <w14:textFill>
                        <w14:solidFill>
                          <w14:schemeClr w14:val="tx1"/>
                        </w14:solidFill>
                      </w14:textFill>
                    </w:rPr>
                    <w:t>分区</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设置</w:t>
                  </w:r>
                  <w:r>
                    <w:rPr>
                      <w:rFonts w:hint="eastAsia" w:cs="Times New Roman"/>
                      <w:bCs/>
                      <w:color w:val="000000" w:themeColor="text1"/>
                      <w:sz w:val="21"/>
                      <w:szCs w:val="21"/>
                      <w:highlight w:val="none"/>
                      <w:lang w:val="en-US" w:eastAsia="zh-CN"/>
                      <w14:textFill>
                        <w14:solidFill>
                          <w14:schemeClr w14:val="tx1"/>
                        </w14:solidFill>
                      </w14:textFill>
                    </w:rPr>
                    <w:t>1.5m高金属隔断</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，裙角高度为200mm，最大储存量为50t</w:t>
                  </w:r>
                  <w: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年周转24次，年周转量为1200</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t。</w:t>
                  </w:r>
                </w:p>
              </w:tc>
              <w:tc>
                <w:tcPr>
                  <w:tcW w:w="451" w:type="pct"/>
                  <w:tcBorders>
                    <w:tl2br w:val="nil"/>
                    <w:tr2bl w:val="nil"/>
                  </w:tcBorders>
                  <w:noWrap w:val="0"/>
                  <w:vAlign w:val="center"/>
                </w:tcPr>
                <w:p w14:paraId="33B252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新建</w:t>
                  </w:r>
                </w:p>
              </w:tc>
            </w:tr>
            <w:tr w14:paraId="1C17E1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69" w:hRule="atLeast"/>
              </w:trPr>
              <w:tc>
                <w:tcPr>
                  <w:tcW w:w="445" w:type="pct"/>
                  <w:vMerge w:val="continue"/>
                  <w:tcBorders>
                    <w:tl2br w:val="nil"/>
                    <w:tr2bl w:val="nil"/>
                  </w:tcBorders>
                  <w:noWrap w:val="0"/>
                  <w:vAlign w:val="center"/>
                </w:tcPr>
                <w:p w14:paraId="5294D48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50" w:type="pct"/>
                  <w:vMerge w:val="continue"/>
                  <w:tcBorders>
                    <w:tl2br w:val="nil"/>
                    <w:tr2bl w:val="nil"/>
                  </w:tcBorders>
                  <w:noWrap w:val="0"/>
                  <w:vAlign w:val="center"/>
                </w:tcPr>
                <w:p w14:paraId="12B2E47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22" w:type="pct"/>
                  <w:tcBorders>
                    <w:tl2br w:val="nil"/>
                    <w:tr2bl w:val="nil"/>
                  </w:tcBorders>
                  <w:shd w:val="clear" w:color="auto" w:fill="auto"/>
                  <w:noWrap w:val="0"/>
                  <w:vAlign w:val="center"/>
                </w:tcPr>
                <w:p w14:paraId="040330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17#分区</w:t>
                  </w:r>
                </w:p>
              </w:tc>
              <w:tc>
                <w:tcPr>
                  <w:tcW w:w="3230" w:type="pct"/>
                  <w:tcBorders>
                    <w:tl2br w:val="nil"/>
                    <w:tr2bl w:val="nil"/>
                  </w:tcBorders>
                  <w:shd w:val="clear" w:color="auto" w:fill="auto"/>
                  <w:noWrap w:val="0"/>
                  <w:vAlign w:val="center"/>
                </w:tcPr>
                <w:p w14:paraId="0BE1CA0B">
                  <w:pPr>
                    <w:keepNext w:val="0"/>
                    <w:keepLines w:val="0"/>
                    <w:widowControl/>
                    <w:suppressLineNumbers w:val="0"/>
                    <w:jc w:val="left"/>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占地面积85m</w:t>
                  </w:r>
                  <w:r>
                    <w:rPr>
                      <w:rFonts w:hint="default" w:ascii="Times New Roman" w:hAnsi="Times New Roman" w:eastAsia="宋体"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，尺寸5×17m。主要贮存HW48有色金属采选和冶炼废物（全部），</w:t>
                  </w:r>
                  <w:r>
                    <w:rPr>
                      <w:rFonts w:hint="default" w:ascii="Times New Roman" w:hAnsi="Times New Roman" w:eastAsia="宋体" w:cs="Times New Roman"/>
                      <w:color w:val="000000" w:themeColor="text1"/>
                      <w:kern w:val="24"/>
                      <w:sz w:val="21"/>
                      <w:szCs w:val="21"/>
                      <w:highlight w:val="none"/>
                      <w:lang w:val="en-US" w:eastAsia="zh-CN"/>
                      <w14:textFill>
                        <w14:solidFill>
                          <w14:schemeClr w14:val="tx1"/>
                        </w14:solidFill>
                      </w14:textFill>
                    </w:rPr>
                    <w:t>分区</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设置</w:t>
                  </w:r>
                  <w:r>
                    <w:rPr>
                      <w:rFonts w:hint="eastAsia" w:cs="Times New Roman"/>
                      <w:bCs/>
                      <w:color w:val="000000" w:themeColor="text1"/>
                      <w:sz w:val="21"/>
                      <w:szCs w:val="21"/>
                      <w:highlight w:val="none"/>
                      <w:lang w:val="en-US" w:eastAsia="zh-CN"/>
                      <w14:textFill>
                        <w14:solidFill>
                          <w14:schemeClr w14:val="tx1"/>
                        </w14:solidFill>
                      </w14:textFill>
                    </w:rPr>
                    <w:t>1.5m高金属隔断</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，裙角高度为200mm，最大储存量为50t</w:t>
                  </w:r>
                  <w: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年周转24次，年周转量为1200</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t。</w:t>
                  </w:r>
                </w:p>
              </w:tc>
              <w:tc>
                <w:tcPr>
                  <w:tcW w:w="451" w:type="pct"/>
                  <w:tcBorders>
                    <w:tl2br w:val="nil"/>
                    <w:tr2bl w:val="nil"/>
                  </w:tcBorders>
                  <w:noWrap w:val="0"/>
                  <w:vAlign w:val="center"/>
                </w:tcPr>
                <w:p w14:paraId="5950040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新建</w:t>
                  </w:r>
                </w:p>
              </w:tc>
            </w:tr>
            <w:tr w14:paraId="1FCB03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69" w:hRule="atLeast"/>
              </w:trPr>
              <w:tc>
                <w:tcPr>
                  <w:tcW w:w="445" w:type="pct"/>
                  <w:vMerge w:val="continue"/>
                  <w:tcBorders>
                    <w:tl2br w:val="nil"/>
                    <w:tr2bl w:val="nil"/>
                  </w:tcBorders>
                  <w:noWrap w:val="0"/>
                  <w:vAlign w:val="center"/>
                </w:tcPr>
                <w:p w14:paraId="4D5202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50" w:type="pct"/>
                  <w:vMerge w:val="continue"/>
                  <w:tcBorders>
                    <w:tl2br w:val="nil"/>
                    <w:tr2bl w:val="nil"/>
                  </w:tcBorders>
                  <w:noWrap w:val="0"/>
                  <w:vAlign w:val="center"/>
                </w:tcPr>
                <w:p w14:paraId="3E56398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22" w:type="pct"/>
                  <w:tcBorders>
                    <w:tl2br w:val="nil"/>
                    <w:tr2bl w:val="nil"/>
                  </w:tcBorders>
                  <w:shd w:val="clear" w:color="auto" w:fill="auto"/>
                  <w:noWrap w:val="0"/>
                  <w:vAlign w:val="center"/>
                </w:tcPr>
                <w:p w14:paraId="2983970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18#分区</w:t>
                  </w:r>
                </w:p>
              </w:tc>
              <w:tc>
                <w:tcPr>
                  <w:tcW w:w="3230" w:type="pct"/>
                  <w:tcBorders>
                    <w:tl2br w:val="nil"/>
                    <w:tr2bl w:val="nil"/>
                  </w:tcBorders>
                  <w:shd w:val="clear" w:color="auto" w:fill="auto"/>
                  <w:noWrap w:val="0"/>
                  <w:vAlign w:val="center"/>
                </w:tcPr>
                <w:p w14:paraId="2ECFBC2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占地面积90m</w:t>
                  </w:r>
                  <w:r>
                    <w:rPr>
                      <w:rFonts w:hint="default" w:ascii="Times New Roman" w:hAnsi="Times New Roman" w:eastAsia="宋体"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，尺寸5×18m。主要贮存HW49其他废物（全部），</w:t>
                  </w:r>
                  <w:r>
                    <w:rPr>
                      <w:rFonts w:hint="default" w:ascii="Times New Roman" w:hAnsi="Times New Roman" w:eastAsia="宋体" w:cs="Times New Roman"/>
                      <w:color w:val="000000" w:themeColor="text1"/>
                      <w:kern w:val="24"/>
                      <w:sz w:val="21"/>
                      <w:szCs w:val="21"/>
                      <w:highlight w:val="none"/>
                      <w:lang w:val="en-US" w:eastAsia="zh-CN"/>
                      <w14:textFill>
                        <w14:solidFill>
                          <w14:schemeClr w14:val="tx1"/>
                        </w14:solidFill>
                      </w14:textFill>
                    </w:rPr>
                    <w:t>分区</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设置</w:t>
                  </w:r>
                  <w:r>
                    <w:rPr>
                      <w:rFonts w:hint="eastAsia" w:cs="Times New Roman"/>
                      <w:bCs/>
                      <w:color w:val="000000" w:themeColor="text1"/>
                      <w:sz w:val="21"/>
                      <w:szCs w:val="21"/>
                      <w:highlight w:val="none"/>
                      <w:lang w:val="en-US" w:eastAsia="zh-CN"/>
                      <w14:textFill>
                        <w14:solidFill>
                          <w14:schemeClr w14:val="tx1"/>
                        </w14:solidFill>
                      </w14:textFill>
                    </w:rPr>
                    <w:t>1.5m高金属隔断</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，裙角高度为200mm，最大储存量为50t</w:t>
                  </w:r>
                  <w: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年周转24次，年周转量为1200</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t。</w:t>
                  </w:r>
                </w:p>
              </w:tc>
              <w:tc>
                <w:tcPr>
                  <w:tcW w:w="451" w:type="pct"/>
                  <w:tcBorders>
                    <w:tl2br w:val="nil"/>
                    <w:tr2bl w:val="nil"/>
                  </w:tcBorders>
                  <w:noWrap w:val="0"/>
                  <w:vAlign w:val="center"/>
                </w:tcPr>
                <w:p w14:paraId="679ACE8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新建</w:t>
                  </w:r>
                </w:p>
              </w:tc>
            </w:tr>
            <w:tr w14:paraId="17DC63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445" w:type="pct"/>
                  <w:vMerge w:val="continue"/>
                  <w:tcBorders>
                    <w:tl2br w:val="nil"/>
                    <w:tr2bl w:val="nil"/>
                  </w:tcBorders>
                  <w:noWrap w:val="0"/>
                  <w:vAlign w:val="center"/>
                </w:tcPr>
                <w:p w14:paraId="029E5C8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50" w:type="pct"/>
                  <w:vMerge w:val="continue"/>
                  <w:tcBorders>
                    <w:tl2br w:val="nil"/>
                    <w:tr2bl w:val="nil"/>
                  </w:tcBorders>
                  <w:noWrap w:val="0"/>
                  <w:vAlign w:val="center"/>
                </w:tcPr>
                <w:p w14:paraId="69A057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p>
              </w:tc>
              <w:tc>
                <w:tcPr>
                  <w:tcW w:w="422" w:type="pct"/>
                  <w:tcBorders>
                    <w:tl2br w:val="nil"/>
                    <w:tr2bl w:val="nil"/>
                  </w:tcBorders>
                  <w:shd w:val="clear" w:color="auto" w:fill="auto"/>
                  <w:noWrap w:val="0"/>
                  <w:vAlign w:val="center"/>
                </w:tcPr>
                <w:p w14:paraId="501A20E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19#分区</w:t>
                  </w:r>
                </w:p>
              </w:tc>
              <w:tc>
                <w:tcPr>
                  <w:tcW w:w="3230" w:type="pct"/>
                  <w:tcBorders>
                    <w:tl2br w:val="nil"/>
                    <w:tr2bl w:val="nil"/>
                  </w:tcBorders>
                  <w:shd w:val="clear" w:color="auto" w:fill="auto"/>
                  <w:noWrap w:val="0"/>
                  <w:vAlign w:val="center"/>
                </w:tcPr>
                <w:p w14:paraId="6A667DE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占地面积90m</w:t>
                  </w:r>
                  <w:r>
                    <w:rPr>
                      <w:rFonts w:hint="default" w:ascii="Times New Roman" w:hAnsi="Times New Roman" w:eastAsia="宋体"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，尺寸5×18m。主要贮存HW50废催化剂（全部），</w:t>
                  </w:r>
                  <w:r>
                    <w:rPr>
                      <w:rFonts w:hint="default" w:ascii="Times New Roman" w:hAnsi="Times New Roman" w:eastAsia="宋体" w:cs="Times New Roman"/>
                      <w:color w:val="000000" w:themeColor="text1"/>
                      <w:kern w:val="24"/>
                      <w:sz w:val="21"/>
                      <w:szCs w:val="21"/>
                      <w:highlight w:val="none"/>
                      <w:lang w:val="en-US" w:eastAsia="zh-CN"/>
                      <w14:textFill>
                        <w14:solidFill>
                          <w14:schemeClr w14:val="tx1"/>
                        </w14:solidFill>
                      </w14:textFill>
                    </w:rPr>
                    <w:t>分区</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设置</w:t>
                  </w:r>
                  <w:r>
                    <w:rPr>
                      <w:rFonts w:hint="eastAsia" w:cs="Times New Roman"/>
                      <w:bCs/>
                      <w:color w:val="000000" w:themeColor="text1"/>
                      <w:sz w:val="21"/>
                      <w:szCs w:val="21"/>
                      <w:highlight w:val="none"/>
                      <w:lang w:val="en-US" w:eastAsia="zh-CN"/>
                      <w14:textFill>
                        <w14:solidFill>
                          <w14:schemeClr w14:val="tx1"/>
                        </w14:solidFill>
                      </w14:textFill>
                    </w:rPr>
                    <w:t>1.5m高金属隔断</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，裙角高度为200mm，最大储存量为50t</w:t>
                  </w:r>
                  <w: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年周转24次，年周转量为12</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0</w:t>
                  </w:r>
                  <w:r>
                    <w:rPr>
                      <w:rFonts w:hint="eastAsia"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0</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t。</w:t>
                  </w:r>
                </w:p>
              </w:tc>
              <w:tc>
                <w:tcPr>
                  <w:tcW w:w="451" w:type="pct"/>
                  <w:tcBorders>
                    <w:tl2br w:val="nil"/>
                    <w:tr2bl w:val="nil"/>
                  </w:tcBorders>
                  <w:noWrap w:val="0"/>
                  <w:vAlign w:val="center"/>
                </w:tcPr>
                <w:p w14:paraId="1A5BD33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新建</w:t>
                  </w:r>
                </w:p>
              </w:tc>
            </w:tr>
            <w:tr w14:paraId="536A62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445" w:type="pct"/>
                  <w:vMerge w:val="continue"/>
                  <w:tcBorders>
                    <w:tl2br w:val="nil"/>
                    <w:tr2bl w:val="nil"/>
                  </w:tcBorders>
                  <w:noWrap w:val="0"/>
                  <w:vAlign w:val="center"/>
                </w:tcPr>
                <w:p w14:paraId="52DAE70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50" w:type="pct"/>
                  <w:vMerge w:val="continue"/>
                  <w:tcBorders>
                    <w:tl2br w:val="nil"/>
                    <w:tr2bl w:val="nil"/>
                  </w:tcBorders>
                  <w:noWrap w:val="0"/>
                  <w:vAlign w:val="center"/>
                </w:tcPr>
                <w:p w14:paraId="2848ADD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22" w:type="pct"/>
                  <w:tcBorders>
                    <w:tl2br w:val="nil"/>
                    <w:tr2bl w:val="nil"/>
                  </w:tcBorders>
                  <w:shd w:val="clear" w:color="auto" w:fill="auto"/>
                  <w:noWrap w:val="0"/>
                  <w:vAlign w:val="center"/>
                </w:tcPr>
                <w:p w14:paraId="146315A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20#分区</w:t>
                  </w:r>
                </w:p>
              </w:tc>
              <w:tc>
                <w:tcPr>
                  <w:tcW w:w="3230" w:type="pct"/>
                  <w:tcBorders>
                    <w:tl2br w:val="nil"/>
                    <w:tr2bl w:val="nil"/>
                  </w:tcBorders>
                  <w:shd w:val="clear" w:color="auto" w:fill="auto"/>
                  <w:noWrap w:val="0"/>
                  <w:vAlign w:val="center"/>
                </w:tcPr>
                <w:p w14:paraId="6AC7889C">
                  <w:pPr>
                    <w:keepNext w:val="0"/>
                    <w:keepLines w:val="0"/>
                    <w:widowControl/>
                    <w:suppressLineNumbers w:val="0"/>
                    <w:jc w:val="left"/>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占地面积180m</w:t>
                  </w:r>
                  <w:r>
                    <w:rPr>
                      <w:rFonts w:hint="default" w:ascii="Times New Roman" w:hAnsi="Times New Roman" w:eastAsia="宋体"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，尺寸10×18m。主要贮存HW18焚烧处置残渣（全部），</w:t>
                  </w:r>
                  <w:r>
                    <w:rPr>
                      <w:rFonts w:hint="default" w:ascii="Times New Roman" w:hAnsi="Times New Roman" w:eastAsia="宋体" w:cs="Times New Roman"/>
                      <w:color w:val="000000" w:themeColor="text1"/>
                      <w:kern w:val="24"/>
                      <w:sz w:val="21"/>
                      <w:szCs w:val="21"/>
                      <w:highlight w:val="none"/>
                      <w:lang w:val="en-US" w:eastAsia="zh-CN"/>
                      <w14:textFill>
                        <w14:solidFill>
                          <w14:schemeClr w14:val="tx1"/>
                        </w14:solidFill>
                      </w14:textFill>
                    </w:rPr>
                    <w:t>分区</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设置</w:t>
                  </w:r>
                  <w:r>
                    <w:rPr>
                      <w:rFonts w:hint="eastAsia" w:cs="Times New Roman"/>
                      <w:bCs/>
                      <w:color w:val="000000" w:themeColor="text1"/>
                      <w:sz w:val="21"/>
                      <w:szCs w:val="21"/>
                      <w:highlight w:val="none"/>
                      <w:lang w:val="en-US" w:eastAsia="zh-CN"/>
                      <w14:textFill>
                        <w14:solidFill>
                          <w14:schemeClr w14:val="tx1"/>
                        </w14:solidFill>
                      </w14:textFill>
                    </w:rPr>
                    <w:t>1.5m高金属隔断</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，裙角高度为200mm，最大储存量为100t</w:t>
                  </w:r>
                  <w: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年周转24次，年周转量为2400</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t。</w:t>
                  </w:r>
                </w:p>
              </w:tc>
              <w:tc>
                <w:tcPr>
                  <w:tcW w:w="451" w:type="pct"/>
                  <w:tcBorders>
                    <w:tl2br w:val="nil"/>
                    <w:tr2bl w:val="nil"/>
                  </w:tcBorders>
                  <w:noWrap w:val="0"/>
                  <w:vAlign w:val="center"/>
                </w:tcPr>
                <w:p w14:paraId="53538B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新建</w:t>
                  </w:r>
                </w:p>
              </w:tc>
            </w:tr>
            <w:tr w14:paraId="024A62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445" w:type="pct"/>
                  <w:vMerge w:val="restart"/>
                  <w:tcBorders>
                    <w:tl2br w:val="nil"/>
                    <w:tr2bl w:val="nil"/>
                  </w:tcBorders>
                  <w:noWrap w:val="0"/>
                  <w:vAlign w:val="center"/>
                </w:tcPr>
                <w:p w14:paraId="3DF07D8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辅助工程</w:t>
                  </w:r>
                </w:p>
              </w:tc>
              <w:tc>
                <w:tcPr>
                  <w:tcW w:w="450" w:type="pct"/>
                  <w:tcBorders>
                    <w:tl2br w:val="nil"/>
                    <w:tr2bl w:val="nil"/>
                  </w:tcBorders>
                  <w:noWrap w:val="0"/>
                  <w:vAlign w:val="center"/>
                </w:tcPr>
                <w:p w14:paraId="7C2071A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办公室</w:t>
                  </w:r>
                </w:p>
              </w:tc>
              <w:tc>
                <w:tcPr>
                  <w:tcW w:w="3653" w:type="pct"/>
                  <w:gridSpan w:val="2"/>
                  <w:tcBorders>
                    <w:tl2br w:val="nil"/>
                    <w:tr2bl w:val="nil"/>
                  </w:tcBorders>
                  <w:noWrap w:val="0"/>
                  <w:vAlign w:val="center"/>
                </w:tcPr>
                <w:p w14:paraId="4484D39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租赁</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伊春市林源家具有限公司</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办公室一间，建筑面积300m</w:t>
                  </w:r>
                  <w:r>
                    <w:rPr>
                      <w:rFonts w:hint="default" w:ascii="Times New Roman" w:hAnsi="Times New Roman" w:eastAsia="宋体"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位于厂界外北侧，配备专业人员进行危险废物情况记录，主要记录危险废物的名称、来源、数量、特性和包装容器的类别、入库日期、存放库位、废物出库日期及接受单位名称等；危险废物的记录和货单保留。不涉及餐饮及住宿。</w:t>
                  </w:r>
                </w:p>
              </w:tc>
              <w:tc>
                <w:tcPr>
                  <w:tcW w:w="451" w:type="pct"/>
                  <w:tcBorders>
                    <w:tl2br w:val="nil"/>
                    <w:tr2bl w:val="nil"/>
                  </w:tcBorders>
                  <w:noWrap w:val="0"/>
                  <w:vAlign w:val="center"/>
                </w:tcPr>
                <w:p w14:paraId="75101E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租赁</w:t>
                  </w:r>
                </w:p>
              </w:tc>
            </w:tr>
            <w:tr w14:paraId="344563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445" w:type="pct"/>
                  <w:vMerge w:val="continue"/>
                  <w:tcBorders>
                    <w:tl2br w:val="nil"/>
                    <w:tr2bl w:val="nil"/>
                  </w:tcBorders>
                  <w:noWrap w:val="0"/>
                  <w:vAlign w:val="center"/>
                </w:tcPr>
                <w:p w14:paraId="2D3B19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50" w:type="pct"/>
                  <w:tcBorders>
                    <w:tl2br w:val="nil"/>
                    <w:tr2bl w:val="nil"/>
                  </w:tcBorders>
                  <w:noWrap w:val="0"/>
                  <w:vAlign w:val="center"/>
                </w:tcPr>
                <w:p w14:paraId="0607E7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装卸区</w:t>
                  </w:r>
                </w:p>
              </w:tc>
              <w:tc>
                <w:tcPr>
                  <w:tcW w:w="3653" w:type="pct"/>
                  <w:gridSpan w:val="2"/>
                  <w:tcBorders>
                    <w:tl2br w:val="nil"/>
                    <w:tr2bl w:val="nil"/>
                  </w:tcBorders>
                  <w:noWrap w:val="0"/>
                  <w:vAlign w:val="center"/>
                </w:tcPr>
                <w:p w14:paraId="19367F1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危险废物贮存库内设两条4m宽的通道，作为危险废物装卸区，占地面积约160</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m</w:t>
                  </w:r>
                  <w:r>
                    <w:rPr>
                      <w:rFonts w:hint="default" w:ascii="Times New Roman" w:hAnsi="Times New Roman" w:eastAsia="宋体"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，用于危险废物日常贮存的装卸工作。</w:t>
                  </w:r>
                </w:p>
              </w:tc>
              <w:tc>
                <w:tcPr>
                  <w:tcW w:w="451" w:type="pct"/>
                  <w:tcBorders>
                    <w:tl2br w:val="nil"/>
                    <w:tr2bl w:val="nil"/>
                  </w:tcBorders>
                  <w:noWrap w:val="0"/>
                  <w:vAlign w:val="center"/>
                </w:tcPr>
                <w:p w14:paraId="59EBEB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新建</w:t>
                  </w:r>
                </w:p>
              </w:tc>
            </w:tr>
            <w:tr w14:paraId="41667B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445" w:type="pct"/>
                  <w:vMerge w:val="continue"/>
                  <w:tcBorders>
                    <w:tl2br w:val="nil"/>
                    <w:tr2bl w:val="nil"/>
                  </w:tcBorders>
                  <w:noWrap w:val="0"/>
                  <w:vAlign w:val="center"/>
                </w:tcPr>
                <w:p w14:paraId="233A7A0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50" w:type="pct"/>
                  <w:tcBorders>
                    <w:tl2br w:val="nil"/>
                    <w:tr2bl w:val="nil"/>
                  </w:tcBorders>
                  <w:noWrap w:val="0"/>
                  <w:vAlign w:val="center"/>
                </w:tcPr>
                <w:p w14:paraId="7C1E5AC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导流渠</w:t>
                  </w:r>
                </w:p>
              </w:tc>
              <w:tc>
                <w:tcPr>
                  <w:tcW w:w="3653" w:type="pct"/>
                  <w:gridSpan w:val="2"/>
                  <w:tcBorders>
                    <w:tl2br w:val="nil"/>
                    <w:tr2bl w:val="nil"/>
                  </w:tcBorders>
                  <w:noWrap w:val="0"/>
                  <w:vAlign w:val="center"/>
                </w:tcPr>
                <w:p w14:paraId="13EC79E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危险废物</w:t>
                  </w:r>
                  <w:r>
                    <w:rPr>
                      <w:rFonts w:hint="default" w:ascii="Times New Roman" w:hAnsi="Times New Roman" w:eastAsia="宋体" w:cs="Times New Roman"/>
                      <w:color w:val="000000" w:themeColor="text1"/>
                      <w:kern w:val="24"/>
                      <w:sz w:val="21"/>
                      <w:szCs w:val="21"/>
                      <w:highlight w:val="none"/>
                      <w:lang w:val="en-US" w:eastAsia="zh-CN"/>
                      <w14:textFill>
                        <w14:solidFill>
                          <w14:schemeClr w14:val="tx1"/>
                        </w14:solidFill>
                      </w14:textFill>
                    </w:rPr>
                    <w:t>贮存库</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室内设置导流渠，并与库外事故水池连通，</w:t>
                  </w:r>
                  <w:r>
                    <w:rPr>
                      <w:rFonts w:hint="eastAsia" w:cs="Times New Roman"/>
                      <w:snapToGrid w:val="0"/>
                      <w:color w:val="000000" w:themeColor="text1"/>
                      <w:kern w:val="0"/>
                      <w:sz w:val="21"/>
                      <w:szCs w:val="21"/>
                      <w:highlight w:val="none"/>
                      <w:lang w:val="en-US" w:eastAsia="zh-CN"/>
                      <w14:textFill>
                        <w14:solidFill>
                          <w14:schemeClr w14:val="tx1"/>
                        </w14:solidFill>
                      </w14:textFill>
                    </w:rPr>
                    <w:t>导流渠</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为矩形断面，宽0.</w:t>
                  </w:r>
                  <w:r>
                    <w:rPr>
                      <w:rFonts w:hint="eastAsia" w:cs="Times New Roman"/>
                      <w:snapToGrid w:val="0"/>
                      <w:color w:val="000000" w:themeColor="text1"/>
                      <w:kern w:val="0"/>
                      <w:sz w:val="21"/>
                      <w:szCs w:val="21"/>
                      <w:highlight w:val="none"/>
                      <w:lang w:val="en-US" w:eastAsia="zh-CN"/>
                      <w14:textFill>
                        <w14:solidFill>
                          <w14:schemeClr w14:val="tx1"/>
                        </w14:solidFill>
                      </w14:textFill>
                    </w:rPr>
                    <w:t>3</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m，深0.</w:t>
                  </w:r>
                  <w:r>
                    <w:rPr>
                      <w:rFonts w:hint="eastAsia" w:cs="Times New Roman"/>
                      <w:snapToGrid w:val="0"/>
                      <w:color w:val="000000" w:themeColor="text1"/>
                      <w:kern w:val="0"/>
                      <w:sz w:val="21"/>
                      <w:szCs w:val="21"/>
                      <w:highlight w:val="none"/>
                      <w:lang w:val="en-US" w:eastAsia="zh-CN"/>
                      <w14:textFill>
                        <w14:solidFill>
                          <w14:schemeClr w14:val="tx1"/>
                        </w14:solidFill>
                      </w14:textFill>
                    </w:rPr>
                    <w:t>1</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m，设置长度约为210m。</w:t>
                  </w:r>
                </w:p>
              </w:tc>
              <w:tc>
                <w:tcPr>
                  <w:tcW w:w="451" w:type="pct"/>
                  <w:tcBorders>
                    <w:tl2br w:val="nil"/>
                    <w:tr2bl w:val="nil"/>
                  </w:tcBorders>
                  <w:noWrap w:val="0"/>
                  <w:vAlign w:val="center"/>
                </w:tcPr>
                <w:p w14:paraId="56EEF6D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新建</w:t>
                  </w:r>
                </w:p>
              </w:tc>
            </w:tr>
            <w:tr w14:paraId="6BA3FF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445" w:type="pct"/>
                  <w:vMerge w:val="continue"/>
                  <w:tcBorders>
                    <w:tl2br w:val="nil"/>
                    <w:tr2bl w:val="nil"/>
                  </w:tcBorders>
                  <w:noWrap w:val="0"/>
                  <w:vAlign w:val="center"/>
                </w:tcPr>
                <w:p w14:paraId="7E2E68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50" w:type="pct"/>
                  <w:tcBorders>
                    <w:tl2br w:val="nil"/>
                    <w:tr2bl w:val="nil"/>
                  </w:tcBorders>
                  <w:noWrap w:val="0"/>
                  <w:vAlign w:val="center"/>
                </w:tcPr>
                <w:p w14:paraId="2DA5E65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应急事故池</w:t>
                  </w:r>
                </w:p>
              </w:tc>
              <w:tc>
                <w:tcPr>
                  <w:tcW w:w="3653" w:type="pct"/>
                  <w:gridSpan w:val="2"/>
                  <w:tcBorders>
                    <w:tl2br w:val="nil"/>
                    <w:tr2bl w:val="nil"/>
                  </w:tcBorders>
                  <w:noWrap w:val="0"/>
                  <w:vAlign w:val="center"/>
                </w:tcPr>
                <w:p w14:paraId="76FD855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设置1个有效容积为</w:t>
                  </w:r>
                  <w:r>
                    <w:rPr>
                      <w:rFonts w:hint="eastAsia" w:cs="Times New Roman"/>
                      <w:snapToGrid w:val="0"/>
                      <w:color w:val="000000" w:themeColor="text1"/>
                      <w:kern w:val="0"/>
                      <w:sz w:val="21"/>
                      <w:szCs w:val="21"/>
                      <w:highlight w:val="none"/>
                      <w:lang w:val="en-US" w:eastAsia="zh-CN"/>
                      <w14:textFill>
                        <w14:solidFill>
                          <w14:schemeClr w14:val="tx1"/>
                        </w14:solidFill>
                      </w14:textFill>
                    </w:rPr>
                    <w:t>2</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0m</w:t>
                  </w:r>
                  <w:r>
                    <w:rPr>
                      <w:rFonts w:hint="default" w:ascii="Times New Roman" w:hAnsi="Times New Roman" w:eastAsia="宋体" w:cs="Times New Roman"/>
                      <w:snapToGrid w:val="0"/>
                      <w:color w:val="000000" w:themeColor="text1"/>
                      <w:kern w:val="0"/>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的应急事故水池，用于收集事故状态下泄露的危险废物。</w:t>
                  </w:r>
                </w:p>
              </w:tc>
              <w:tc>
                <w:tcPr>
                  <w:tcW w:w="451" w:type="pct"/>
                  <w:tcBorders>
                    <w:tl2br w:val="nil"/>
                    <w:tr2bl w:val="nil"/>
                  </w:tcBorders>
                  <w:noWrap w:val="0"/>
                  <w:vAlign w:val="center"/>
                </w:tcPr>
                <w:p w14:paraId="626F9DD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新建</w:t>
                  </w:r>
                </w:p>
              </w:tc>
            </w:tr>
            <w:tr w14:paraId="70AA83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445" w:type="pct"/>
                  <w:vMerge w:val="continue"/>
                  <w:tcBorders>
                    <w:tl2br w:val="nil"/>
                    <w:tr2bl w:val="nil"/>
                  </w:tcBorders>
                  <w:noWrap w:val="0"/>
                  <w:vAlign w:val="center"/>
                </w:tcPr>
                <w:p w14:paraId="5AB644F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50" w:type="pct"/>
                  <w:tcBorders>
                    <w:tl2br w:val="nil"/>
                    <w:tr2bl w:val="nil"/>
                  </w:tcBorders>
                  <w:noWrap w:val="0"/>
                  <w:vAlign w:val="center"/>
                </w:tcPr>
                <w:p w14:paraId="2D82980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围堰</w:t>
                  </w:r>
                </w:p>
              </w:tc>
              <w:tc>
                <w:tcPr>
                  <w:tcW w:w="3653" w:type="pct"/>
                  <w:gridSpan w:val="2"/>
                  <w:tcBorders>
                    <w:tl2br w:val="nil"/>
                    <w:tr2bl w:val="nil"/>
                  </w:tcBorders>
                  <w:noWrap w:val="0"/>
                  <w:vAlign w:val="center"/>
                </w:tcPr>
                <w:p w14:paraId="414D154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在库内四周设置堵截泄漏的围堰，围堰高度1m，地面与围堰所围建的容积高于危险废物贮存库最大储量。</w:t>
                  </w:r>
                </w:p>
              </w:tc>
              <w:tc>
                <w:tcPr>
                  <w:tcW w:w="451" w:type="pct"/>
                  <w:tcBorders>
                    <w:tl2br w:val="nil"/>
                    <w:tr2bl w:val="nil"/>
                  </w:tcBorders>
                  <w:noWrap w:val="0"/>
                  <w:vAlign w:val="center"/>
                </w:tcPr>
                <w:p w14:paraId="658F630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新建</w:t>
                  </w:r>
                </w:p>
              </w:tc>
            </w:tr>
            <w:tr w14:paraId="123453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445" w:type="pct"/>
                  <w:vMerge w:val="restart"/>
                  <w:tcBorders>
                    <w:tl2br w:val="nil"/>
                    <w:tr2bl w:val="nil"/>
                  </w:tcBorders>
                  <w:noWrap w:val="0"/>
                  <w:vAlign w:val="center"/>
                </w:tcPr>
                <w:p w14:paraId="08B148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公共工程</w:t>
                  </w:r>
                </w:p>
              </w:tc>
              <w:tc>
                <w:tcPr>
                  <w:tcW w:w="450" w:type="pct"/>
                  <w:tcBorders>
                    <w:tl2br w:val="nil"/>
                    <w:tr2bl w:val="nil"/>
                  </w:tcBorders>
                  <w:noWrap w:val="0"/>
                  <w:vAlign w:val="center"/>
                </w:tcPr>
                <w:p w14:paraId="2BF281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供水工程</w:t>
                  </w:r>
                </w:p>
              </w:tc>
              <w:tc>
                <w:tcPr>
                  <w:tcW w:w="3653" w:type="pct"/>
                  <w:gridSpan w:val="2"/>
                  <w:tcBorders>
                    <w:tl2br w:val="nil"/>
                    <w:tr2bl w:val="nil"/>
                  </w:tcBorders>
                  <w:noWrap w:val="0"/>
                  <w:vAlign w:val="center"/>
                </w:tcPr>
                <w:p w14:paraId="483CACA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生活用水由市政供水管网提供</w:t>
                  </w:r>
                  <w:r>
                    <w:rPr>
                      <w:rFonts w:hint="eastAsia" w:cs="Times New Roman"/>
                      <w:snapToGrid w:val="0"/>
                      <w:color w:val="000000" w:themeColor="text1"/>
                      <w:kern w:val="0"/>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本项目无生产用水。</w:t>
                  </w:r>
                </w:p>
              </w:tc>
              <w:tc>
                <w:tcPr>
                  <w:tcW w:w="451" w:type="pct"/>
                  <w:tcBorders>
                    <w:tl2br w:val="nil"/>
                    <w:tr2bl w:val="nil"/>
                  </w:tcBorders>
                  <w:noWrap w:val="0"/>
                  <w:vAlign w:val="center"/>
                </w:tcPr>
                <w:p w14:paraId="1E7C54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依托</w:t>
                  </w:r>
                </w:p>
              </w:tc>
            </w:tr>
            <w:tr w14:paraId="20DE41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445" w:type="pct"/>
                  <w:vMerge w:val="continue"/>
                  <w:tcBorders>
                    <w:tl2br w:val="nil"/>
                    <w:tr2bl w:val="nil"/>
                  </w:tcBorders>
                  <w:noWrap w:val="0"/>
                  <w:vAlign w:val="center"/>
                </w:tcPr>
                <w:p w14:paraId="0FC6FC8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50" w:type="pct"/>
                  <w:tcBorders>
                    <w:tl2br w:val="nil"/>
                    <w:tr2bl w:val="nil"/>
                  </w:tcBorders>
                  <w:noWrap w:val="0"/>
                  <w:vAlign w:val="center"/>
                </w:tcPr>
                <w:p w14:paraId="588C355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排水工程</w:t>
                  </w:r>
                </w:p>
              </w:tc>
              <w:tc>
                <w:tcPr>
                  <w:tcW w:w="3653" w:type="pct"/>
                  <w:gridSpan w:val="2"/>
                  <w:tcBorders>
                    <w:tl2br w:val="nil"/>
                    <w:tr2bl w:val="nil"/>
                  </w:tcBorders>
                  <w:noWrap w:val="0"/>
                  <w:vAlign w:val="center"/>
                </w:tcPr>
                <w:p w14:paraId="430C46A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本项目无生产用水，无生产废水产生，生活污水依托</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伊春市林源家具有限公司，</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经市政管网</w:t>
                  </w:r>
                  <w:r>
                    <w:rPr>
                      <w:rFonts w:hint="default" w:ascii="Times New Roman" w:hAnsi="Times New Roman" w:eastAsia="宋体" w:cs="Times New Roman"/>
                      <w:color w:val="000000" w:themeColor="text1"/>
                      <w:kern w:val="2"/>
                      <w:sz w:val="21"/>
                      <w:szCs w:val="21"/>
                      <w:highlight w:val="none"/>
                      <w:lang w:eastAsia="zh-CN"/>
                      <w14:textFill>
                        <w14:solidFill>
                          <w14:schemeClr w14:val="tx1"/>
                        </w14:solidFill>
                      </w14:textFill>
                    </w:rPr>
                    <w:t>排入伊春市中心城污水处理厂处理。</w:t>
                  </w:r>
                  <w: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废气处理碱喷淋塔碱液循环使用，不外排，无废水产生。</w:t>
                  </w:r>
                </w:p>
              </w:tc>
              <w:tc>
                <w:tcPr>
                  <w:tcW w:w="451" w:type="pct"/>
                  <w:tcBorders>
                    <w:tl2br w:val="nil"/>
                    <w:tr2bl w:val="nil"/>
                  </w:tcBorders>
                  <w:noWrap w:val="0"/>
                  <w:vAlign w:val="center"/>
                </w:tcPr>
                <w:p w14:paraId="55D9E0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依托</w:t>
                  </w:r>
                </w:p>
              </w:tc>
            </w:tr>
            <w:tr w14:paraId="36CB89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445" w:type="pct"/>
                  <w:vMerge w:val="continue"/>
                  <w:tcBorders>
                    <w:tl2br w:val="nil"/>
                    <w:tr2bl w:val="nil"/>
                  </w:tcBorders>
                  <w:noWrap w:val="0"/>
                  <w:vAlign w:val="center"/>
                </w:tcPr>
                <w:p w14:paraId="29B8DEA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50" w:type="pct"/>
                  <w:tcBorders>
                    <w:tl2br w:val="nil"/>
                    <w:tr2bl w:val="nil"/>
                  </w:tcBorders>
                  <w:noWrap w:val="0"/>
                  <w:vAlign w:val="center"/>
                </w:tcPr>
                <w:p w14:paraId="1C25616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供电工程</w:t>
                  </w:r>
                </w:p>
              </w:tc>
              <w:tc>
                <w:tcPr>
                  <w:tcW w:w="3653" w:type="pct"/>
                  <w:gridSpan w:val="2"/>
                  <w:tcBorders>
                    <w:tl2br w:val="nil"/>
                    <w:tr2bl w:val="nil"/>
                  </w:tcBorders>
                  <w:noWrap w:val="0"/>
                  <w:vAlign w:val="center"/>
                </w:tcPr>
                <w:p w14:paraId="0C6B80C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由当地供电局供给。</w:t>
                  </w:r>
                </w:p>
              </w:tc>
              <w:tc>
                <w:tcPr>
                  <w:tcW w:w="451" w:type="pct"/>
                  <w:tcBorders>
                    <w:tl2br w:val="nil"/>
                    <w:tr2bl w:val="nil"/>
                  </w:tcBorders>
                  <w:noWrap w:val="0"/>
                  <w:vAlign w:val="center"/>
                </w:tcPr>
                <w:p w14:paraId="789C81D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依托</w:t>
                  </w:r>
                </w:p>
              </w:tc>
            </w:tr>
            <w:tr w14:paraId="3991A8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445" w:type="pct"/>
                  <w:vMerge w:val="continue"/>
                  <w:tcBorders>
                    <w:tl2br w:val="nil"/>
                    <w:tr2bl w:val="nil"/>
                  </w:tcBorders>
                  <w:noWrap w:val="0"/>
                  <w:vAlign w:val="center"/>
                </w:tcPr>
                <w:p w14:paraId="6840656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50" w:type="pct"/>
                  <w:tcBorders>
                    <w:tl2br w:val="nil"/>
                    <w:tr2bl w:val="nil"/>
                  </w:tcBorders>
                  <w:noWrap w:val="0"/>
                  <w:vAlign w:val="center"/>
                </w:tcPr>
                <w:p w14:paraId="42B65B8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供热工程</w:t>
                  </w:r>
                </w:p>
              </w:tc>
              <w:tc>
                <w:tcPr>
                  <w:tcW w:w="3653" w:type="pct"/>
                  <w:gridSpan w:val="2"/>
                  <w:tcBorders>
                    <w:tl2br w:val="nil"/>
                    <w:tr2bl w:val="nil"/>
                  </w:tcBorders>
                  <w:noWrap w:val="0"/>
                  <w:vAlign w:val="center"/>
                </w:tcPr>
                <w:p w14:paraId="4BC22BA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本项目办公室采暖依托</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伊春市林源家具有限公司</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，危险废物</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贮存库</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内不供暖。</w:t>
                  </w:r>
                </w:p>
              </w:tc>
              <w:tc>
                <w:tcPr>
                  <w:tcW w:w="451" w:type="pct"/>
                  <w:tcBorders>
                    <w:tl2br w:val="nil"/>
                    <w:tr2bl w:val="nil"/>
                  </w:tcBorders>
                  <w:noWrap w:val="0"/>
                  <w:vAlign w:val="center"/>
                </w:tcPr>
                <w:p w14:paraId="7EF0623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依托</w:t>
                  </w:r>
                </w:p>
              </w:tc>
            </w:tr>
            <w:tr w14:paraId="7855DF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445" w:type="pct"/>
                  <w:vMerge w:val="continue"/>
                  <w:tcBorders>
                    <w:tl2br w:val="nil"/>
                    <w:tr2bl w:val="nil"/>
                  </w:tcBorders>
                  <w:noWrap w:val="0"/>
                  <w:vAlign w:val="center"/>
                </w:tcPr>
                <w:p w14:paraId="381FABC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p>
              </w:tc>
              <w:tc>
                <w:tcPr>
                  <w:tcW w:w="450" w:type="pct"/>
                  <w:tcBorders>
                    <w:tl2br w:val="nil"/>
                    <w:tr2bl w:val="nil"/>
                  </w:tcBorders>
                  <w:noWrap w:val="0"/>
                  <w:vAlign w:val="center"/>
                </w:tcPr>
                <w:p w14:paraId="6DD73D0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消防工程</w:t>
                  </w:r>
                </w:p>
              </w:tc>
              <w:tc>
                <w:tcPr>
                  <w:tcW w:w="3653" w:type="pct"/>
                  <w:gridSpan w:val="2"/>
                  <w:tcBorders>
                    <w:tl2br w:val="nil"/>
                    <w:tr2bl w:val="nil"/>
                  </w:tcBorders>
                  <w:noWrap w:val="0"/>
                  <w:vAlign w:val="center"/>
                </w:tcPr>
                <w:p w14:paraId="4831B18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配套消防栓和灭火器、设置火灾报警器、消防沙等器材。</w:t>
                  </w:r>
                </w:p>
              </w:tc>
              <w:tc>
                <w:tcPr>
                  <w:tcW w:w="451" w:type="pct"/>
                  <w:tcBorders>
                    <w:tl2br w:val="nil"/>
                    <w:tr2bl w:val="nil"/>
                  </w:tcBorders>
                  <w:noWrap w:val="0"/>
                  <w:vAlign w:val="center"/>
                </w:tcPr>
                <w:p w14:paraId="423A2F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新建</w:t>
                  </w:r>
                </w:p>
              </w:tc>
            </w:tr>
            <w:tr w14:paraId="06D48D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445" w:type="pct"/>
                  <w:vMerge w:val="restart"/>
                  <w:tcBorders>
                    <w:tl2br w:val="nil"/>
                    <w:tr2bl w:val="nil"/>
                  </w:tcBorders>
                  <w:noWrap w:val="0"/>
                  <w:vAlign w:val="center"/>
                </w:tcPr>
                <w:p w14:paraId="02FE85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环保工程</w:t>
                  </w:r>
                </w:p>
              </w:tc>
              <w:tc>
                <w:tcPr>
                  <w:tcW w:w="450" w:type="pct"/>
                  <w:tcBorders>
                    <w:tl2br w:val="nil"/>
                    <w:tr2bl w:val="nil"/>
                  </w:tcBorders>
                  <w:noWrap w:val="0"/>
                  <w:vAlign w:val="center"/>
                </w:tcPr>
                <w:p w14:paraId="5DBE5B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废水</w:t>
                  </w:r>
                </w:p>
              </w:tc>
              <w:tc>
                <w:tcPr>
                  <w:tcW w:w="3653" w:type="pct"/>
                  <w:gridSpan w:val="2"/>
                  <w:tcBorders>
                    <w:tl2br w:val="nil"/>
                    <w:tr2bl w:val="nil"/>
                  </w:tcBorders>
                  <w:noWrap w:val="0"/>
                  <w:vAlign w:val="center"/>
                </w:tcPr>
                <w:p w14:paraId="2C2FE186">
                  <w:pPr>
                    <w:pStyle w:val="2"/>
                    <w:keepNext w:val="0"/>
                    <w:keepLines w:val="0"/>
                    <w:pageBreakBefore w:val="0"/>
                    <w:kinsoku/>
                    <w:wordWrap/>
                    <w:overflowPunct/>
                    <w:topLinePunct w:val="0"/>
                    <w:autoSpaceDE/>
                    <w:autoSpaceDN/>
                    <w:bidi w:val="0"/>
                    <w:adjustRightInd/>
                    <w:spacing w:before="0" w:after="0" w:line="240" w:lineRule="auto"/>
                    <w:ind w:right="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本项目无生产用水，无生产废水产生，生活污水依托</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伊春市林源家具有限公司，</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经市政管网</w:t>
                  </w:r>
                  <w:r>
                    <w:rPr>
                      <w:rFonts w:hint="default" w:ascii="Times New Roman" w:hAnsi="Times New Roman" w:eastAsia="宋体" w:cs="Times New Roman"/>
                      <w:color w:val="000000" w:themeColor="text1"/>
                      <w:kern w:val="2"/>
                      <w:sz w:val="21"/>
                      <w:szCs w:val="21"/>
                      <w:highlight w:val="none"/>
                      <w:lang w:eastAsia="zh-CN"/>
                      <w14:textFill>
                        <w14:solidFill>
                          <w14:schemeClr w14:val="tx1"/>
                        </w14:solidFill>
                      </w14:textFill>
                    </w:rPr>
                    <w:t>排入伊春市中心城污水处理厂处理。</w:t>
                  </w:r>
                  <w: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废气处理碱喷淋塔碱液循环使用，不外排，无废水产生。</w:t>
                  </w:r>
                </w:p>
              </w:tc>
              <w:tc>
                <w:tcPr>
                  <w:tcW w:w="451" w:type="pct"/>
                  <w:tcBorders>
                    <w:tl2br w:val="nil"/>
                    <w:tr2bl w:val="nil"/>
                  </w:tcBorders>
                  <w:noWrap w:val="0"/>
                  <w:vAlign w:val="center"/>
                </w:tcPr>
                <w:p w14:paraId="5C53793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依托</w:t>
                  </w:r>
                </w:p>
              </w:tc>
            </w:tr>
            <w:tr w14:paraId="5BA289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07" w:hRule="atLeast"/>
              </w:trPr>
              <w:tc>
                <w:tcPr>
                  <w:tcW w:w="445" w:type="pct"/>
                  <w:vMerge w:val="continue"/>
                  <w:tcBorders>
                    <w:tl2br w:val="nil"/>
                    <w:tr2bl w:val="nil"/>
                  </w:tcBorders>
                  <w:noWrap w:val="0"/>
                  <w:vAlign w:val="center"/>
                </w:tcPr>
                <w:p w14:paraId="62D5DDB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p>
              </w:tc>
              <w:tc>
                <w:tcPr>
                  <w:tcW w:w="450" w:type="pct"/>
                  <w:tcBorders>
                    <w:tl2br w:val="nil"/>
                    <w:tr2bl w:val="nil"/>
                  </w:tcBorders>
                  <w:noWrap w:val="0"/>
                  <w:vAlign w:val="center"/>
                </w:tcPr>
                <w:p w14:paraId="49CA848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废气</w:t>
                  </w:r>
                </w:p>
              </w:tc>
              <w:tc>
                <w:tcPr>
                  <w:tcW w:w="3653" w:type="pct"/>
                  <w:gridSpan w:val="2"/>
                  <w:tcBorders>
                    <w:tl2br w:val="nil"/>
                    <w:tr2bl w:val="nil"/>
                  </w:tcBorders>
                  <w:noWrap w:val="0"/>
                  <w:vAlign w:val="center"/>
                </w:tcPr>
                <w:p w14:paraId="670F1800">
                  <w:pPr>
                    <w:pStyle w:val="2"/>
                    <w:keepNext w:val="0"/>
                    <w:keepLines w:val="0"/>
                    <w:pageBreakBefore w:val="0"/>
                    <w:kinsoku/>
                    <w:wordWrap/>
                    <w:overflowPunct/>
                    <w:topLinePunct w:val="0"/>
                    <w:autoSpaceDE/>
                    <w:autoSpaceDN/>
                    <w:bidi w:val="0"/>
                    <w:adjustRightInd/>
                    <w:spacing w:before="0" w:after="0" w:line="240" w:lineRule="auto"/>
                    <w:ind w:right="0"/>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危险废物储存产生的废气经负压收集+碱液喷淋吸附装置+二级活性炭吸附装置+15m高排气筒（DA001）高空排放。</w:t>
                  </w:r>
                </w:p>
              </w:tc>
              <w:tc>
                <w:tcPr>
                  <w:tcW w:w="451" w:type="pct"/>
                  <w:tcBorders>
                    <w:tl2br w:val="nil"/>
                    <w:tr2bl w:val="nil"/>
                  </w:tcBorders>
                  <w:noWrap w:val="0"/>
                  <w:vAlign w:val="center"/>
                </w:tcPr>
                <w:p w14:paraId="61E57EC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新建</w:t>
                  </w:r>
                </w:p>
              </w:tc>
            </w:tr>
            <w:tr w14:paraId="6C2F4D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445" w:type="pct"/>
                  <w:vMerge w:val="continue"/>
                  <w:tcBorders>
                    <w:tl2br w:val="nil"/>
                    <w:tr2bl w:val="nil"/>
                  </w:tcBorders>
                  <w:noWrap w:val="0"/>
                  <w:vAlign w:val="center"/>
                </w:tcPr>
                <w:p w14:paraId="23A386B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p>
              </w:tc>
              <w:tc>
                <w:tcPr>
                  <w:tcW w:w="450" w:type="pct"/>
                  <w:tcBorders>
                    <w:tl2br w:val="nil"/>
                    <w:tr2bl w:val="nil"/>
                  </w:tcBorders>
                  <w:noWrap w:val="0"/>
                  <w:vAlign w:val="center"/>
                </w:tcPr>
                <w:p w14:paraId="69CE5B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噪声</w:t>
                  </w:r>
                </w:p>
              </w:tc>
              <w:tc>
                <w:tcPr>
                  <w:tcW w:w="3653" w:type="pct"/>
                  <w:gridSpan w:val="2"/>
                  <w:tcBorders>
                    <w:tl2br w:val="nil"/>
                    <w:tr2bl w:val="nil"/>
                  </w:tcBorders>
                  <w:noWrap w:val="0"/>
                  <w:vAlign w:val="center"/>
                </w:tcPr>
                <w:p w14:paraId="2D8B6128">
                  <w:pPr>
                    <w:pStyle w:val="2"/>
                    <w:keepNext w:val="0"/>
                    <w:keepLines w:val="0"/>
                    <w:pageBreakBefore w:val="0"/>
                    <w:kinsoku/>
                    <w:wordWrap/>
                    <w:overflowPunct/>
                    <w:topLinePunct w:val="0"/>
                    <w:autoSpaceDE/>
                    <w:autoSpaceDN/>
                    <w:bidi w:val="0"/>
                    <w:adjustRightInd/>
                    <w:spacing w:before="0" w:after="0" w:line="240" w:lineRule="auto"/>
                    <w:ind w:right="0" w:rightChars="0"/>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选用低噪声设备，隔声、减振、软连接、厂房隔声等措施</w:t>
                  </w:r>
                </w:p>
              </w:tc>
              <w:tc>
                <w:tcPr>
                  <w:tcW w:w="451" w:type="pct"/>
                  <w:tcBorders>
                    <w:tl2br w:val="nil"/>
                    <w:tr2bl w:val="nil"/>
                  </w:tcBorders>
                  <w:noWrap w:val="0"/>
                  <w:vAlign w:val="center"/>
                </w:tcPr>
                <w:p w14:paraId="6660DE7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新建</w:t>
                  </w:r>
                </w:p>
              </w:tc>
            </w:tr>
            <w:tr w14:paraId="272E5A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445" w:type="pct"/>
                  <w:vMerge w:val="continue"/>
                  <w:tcBorders>
                    <w:tl2br w:val="nil"/>
                    <w:tr2bl w:val="nil"/>
                  </w:tcBorders>
                  <w:noWrap w:val="0"/>
                  <w:vAlign w:val="center"/>
                </w:tcPr>
                <w:p w14:paraId="12A3A6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p>
              </w:tc>
              <w:tc>
                <w:tcPr>
                  <w:tcW w:w="450" w:type="pct"/>
                  <w:tcBorders>
                    <w:tl2br w:val="nil"/>
                    <w:tr2bl w:val="nil"/>
                  </w:tcBorders>
                  <w:noWrap w:val="0"/>
                  <w:vAlign w:val="center"/>
                </w:tcPr>
                <w:p w14:paraId="47830A9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固体废物</w:t>
                  </w:r>
                </w:p>
              </w:tc>
              <w:tc>
                <w:tcPr>
                  <w:tcW w:w="3653" w:type="pct"/>
                  <w:gridSpan w:val="2"/>
                  <w:tcBorders>
                    <w:tl2br w:val="nil"/>
                    <w:tr2bl w:val="nil"/>
                  </w:tcBorders>
                  <w:noWrap w:val="0"/>
                  <w:vAlign w:val="center"/>
                </w:tcPr>
                <w:p w14:paraId="6C127AFB">
                  <w:pPr>
                    <w:pStyle w:val="2"/>
                    <w:keepNext w:val="0"/>
                    <w:keepLines w:val="0"/>
                    <w:pageBreakBefore w:val="0"/>
                    <w:kinsoku/>
                    <w:wordWrap/>
                    <w:overflowPunct/>
                    <w:topLinePunct w:val="0"/>
                    <w:autoSpaceDE/>
                    <w:autoSpaceDN/>
                    <w:bidi w:val="0"/>
                    <w:adjustRightInd/>
                    <w:spacing w:before="0" w:after="0" w:line="240" w:lineRule="auto"/>
                    <w:ind w:right="0" w:rightChars="0"/>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①生活垃圾集中收集在生活垃圾箱内，交由市政环卫部门统一清运处理。</w:t>
                  </w:r>
                </w:p>
                <w:p w14:paraId="2A9B0DC5">
                  <w:pPr>
                    <w:pStyle w:val="2"/>
                    <w:keepNext w:val="0"/>
                    <w:keepLines w:val="0"/>
                    <w:pageBreakBefore w:val="0"/>
                    <w:kinsoku/>
                    <w:wordWrap/>
                    <w:overflowPunct/>
                    <w:topLinePunct w:val="0"/>
                    <w:autoSpaceDE/>
                    <w:autoSpaceDN/>
                    <w:bidi w:val="0"/>
                    <w:adjustRightInd/>
                    <w:spacing w:before="0" w:after="0" w:line="240" w:lineRule="auto"/>
                    <w:ind w:right="0" w:rightChars="0"/>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②活性炭吸附装置产生的废活性炭属于危险废物（HW49其他废物，900-039-49），暂存于危险废物贮存库</w:t>
                  </w:r>
                  <w:r>
                    <w:rPr>
                      <w:rFonts w:hint="eastAsia" w:cs="Times New Roman"/>
                      <w:color w:val="000000" w:themeColor="text1"/>
                      <w:kern w:val="2"/>
                      <w:sz w:val="21"/>
                      <w:szCs w:val="21"/>
                      <w:highlight w:val="none"/>
                      <w:lang w:val="en-US" w:eastAsia="zh-CN" w:bidi="ar-SA"/>
                      <w14:textFill>
                        <w14:solidFill>
                          <w14:schemeClr w14:val="tx1"/>
                        </w14:solidFill>
                      </w14:textFill>
                    </w:rPr>
                    <w:t>18</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分区</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，定期交由有处置资质的单位回收处置。</w:t>
                  </w:r>
                </w:p>
                <w:p w14:paraId="438D96DA">
                  <w:pPr>
                    <w:pStyle w:val="2"/>
                    <w:keepNext w:val="0"/>
                    <w:keepLines w:val="0"/>
                    <w:pageBreakBefore w:val="0"/>
                    <w:kinsoku/>
                    <w:wordWrap/>
                    <w:overflowPunct/>
                    <w:topLinePunct w:val="0"/>
                    <w:autoSpaceDE/>
                    <w:autoSpaceDN/>
                    <w:bidi w:val="0"/>
                    <w:adjustRightInd/>
                    <w:spacing w:before="0" w:after="0" w:line="240" w:lineRule="auto"/>
                    <w:ind w:right="0" w:rightChars="0"/>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碱液喷淋吸附装置产生的废碱属于危险废物（</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HW</w:t>
                  </w:r>
                  <w:r>
                    <w:rPr>
                      <w:rFonts w:hint="eastAsia" w:cs="Times New Roman"/>
                      <w:color w:val="000000" w:themeColor="text1"/>
                      <w:sz w:val="21"/>
                      <w:szCs w:val="21"/>
                      <w:highlight w:val="none"/>
                      <w:lang w:val="en-US" w:eastAsia="zh-CN"/>
                      <w14:textFill>
                        <w14:solidFill>
                          <w14:schemeClr w14:val="tx1"/>
                        </w14:solidFill>
                      </w14:textFill>
                    </w:rPr>
                    <w:t>35废碱</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，900-</w:t>
                  </w:r>
                  <w:r>
                    <w:rPr>
                      <w:rFonts w:hint="eastAsia" w:cs="Times New Roman"/>
                      <w:color w:val="000000" w:themeColor="text1"/>
                      <w:sz w:val="21"/>
                      <w:szCs w:val="21"/>
                      <w:highlight w:val="none"/>
                      <w:lang w:val="en-US" w:eastAsia="zh-CN"/>
                      <w14:textFill>
                        <w14:solidFill>
                          <w14:schemeClr w14:val="tx1"/>
                        </w14:solidFill>
                      </w14:textFill>
                    </w:rPr>
                    <w:t>399</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35</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），暂存于危险废物贮存库</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6</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分区</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内，定期交由有处置资质的单位回收处置。</w:t>
                  </w:r>
                </w:p>
              </w:tc>
              <w:tc>
                <w:tcPr>
                  <w:tcW w:w="451" w:type="pct"/>
                  <w:tcBorders>
                    <w:tl2br w:val="nil"/>
                    <w:tr2bl w:val="nil"/>
                  </w:tcBorders>
                  <w:noWrap w:val="0"/>
                  <w:vAlign w:val="center"/>
                </w:tcPr>
                <w:p w14:paraId="3E7F899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新建</w:t>
                  </w:r>
                </w:p>
              </w:tc>
            </w:tr>
            <w:tr w14:paraId="1E4ADF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95" w:hRule="atLeast"/>
              </w:trPr>
              <w:tc>
                <w:tcPr>
                  <w:tcW w:w="445" w:type="pct"/>
                  <w:vMerge w:val="restart"/>
                  <w:tcBorders>
                    <w:tl2br w:val="nil"/>
                    <w:tr2bl w:val="nil"/>
                  </w:tcBorders>
                  <w:noWrap w:val="0"/>
                  <w:vAlign w:val="center"/>
                </w:tcPr>
                <w:p w14:paraId="1DF050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环保工程</w:t>
                  </w:r>
                </w:p>
              </w:tc>
              <w:tc>
                <w:tcPr>
                  <w:tcW w:w="450" w:type="pct"/>
                  <w:tcBorders>
                    <w:tl2br w:val="nil"/>
                    <w:tr2bl w:val="nil"/>
                  </w:tcBorders>
                  <w:noWrap w:val="0"/>
                  <w:vAlign w:val="center"/>
                </w:tcPr>
                <w:p w14:paraId="68BFB66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防渗措施</w:t>
                  </w:r>
                </w:p>
              </w:tc>
              <w:tc>
                <w:tcPr>
                  <w:tcW w:w="3653" w:type="pct"/>
                  <w:gridSpan w:val="2"/>
                  <w:tcBorders>
                    <w:tl2br w:val="nil"/>
                    <w:tr2bl w:val="nil"/>
                  </w:tcBorders>
                  <w:noWrap w:val="0"/>
                  <w:vAlign w:val="center"/>
                </w:tcPr>
                <w:p w14:paraId="017CC0FA">
                  <w:pPr>
                    <w:pStyle w:val="2"/>
                    <w:keepNext w:val="0"/>
                    <w:keepLines w:val="0"/>
                    <w:pageBreakBefore w:val="0"/>
                    <w:kinsoku/>
                    <w:wordWrap/>
                    <w:overflowPunct/>
                    <w:topLinePunct w:val="0"/>
                    <w:autoSpaceDE/>
                    <w:autoSpaceDN/>
                    <w:bidi w:val="0"/>
                    <w:adjustRightInd/>
                    <w:spacing w:before="0" w:after="0" w:line="240" w:lineRule="auto"/>
                    <w:ind w:right="0" w:rightChars="0"/>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危险</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废物贮存库、导流渠、应急事故池为重点防渗区，</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地面与裙角用坚固、防渗的材料建造，建筑材料与危险废物相容</w:t>
                  </w:r>
                  <w:r>
                    <w:rPr>
                      <w:rFonts w:hint="eastAsia"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库周设1m高围堰，有泄漏液体收集装置、气体导出口及气体净化装置。用以存放装载液体、半固体危险废物容器的地方，有耐腐蚀的硬化地面，且表面无裂痕。</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参照《危险废物贮存污染控制标准》（GB18597-2023）要求设置重点防渗区：</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采取“2mm厚HDPE膜+防渗混凝土防渗措施，表面平整无裂痕，承重良好，</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防渗性能等效黏土防渗层Mb≥6m、K≤1.0×10</w:t>
                  </w:r>
                  <w:r>
                    <w:rPr>
                      <w:rFonts w:hint="default" w:ascii="Times New Roman" w:hAnsi="Times New Roman" w:eastAsia="宋体" w:cs="Times New Roman"/>
                      <w:color w:val="000000" w:themeColor="text1"/>
                      <w:kern w:val="2"/>
                      <w:sz w:val="21"/>
                      <w:szCs w:val="21"/>
                      <w:highlight w:val="none"/>
                      <w:vertAlign w:val="superscript"/>
                      <w:lang w:val="en-US" w:eastAsia="zh-CN" w:bidi="ar-SA"/>
                      <w14:textFill>
                        <w14:solidFill>
                          <w14:schemeClr w14:val="tx1"/>
                        </w14:solidFill>
                      </w14:textFill>
                    </w:rPr>
                    <w:t>-10</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cm/s；厂区道路</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等其他</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区域为简单防渗区，进行简单地面硬化。</w:t>
                  </w:r>
                </w:p>
                <w:p w14:paraId="5EE154AB">
                  <w:pPr>
                    <w:pStyle w:val="2"/>
                    <w:keepNext w:val="0"/>
                    <w:keepLines w:val="0"/>
                    <w:pageBreakBefore w:val="0"/>
                    <w:kinsoku/>
                    <w:wordWrap/>
                    <w:overflowPunct/>
                    <w:topLinePunct w:val="0"/>
                    <w:autoSpaceDE/>
                    <w:autoSpaceDN/>
                    <w:bidi w:val="0"/>
                    <w:adjustRightInd/>
                    <w:spacing w:before="0" w:after="0" w:line="240" w:lineRule="auto"/>
                    <w:ind w:right="0" w:rightChars="0"/>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设置地下水监测井</w:t>
                  </w:r>
                  <w:r>
                    <w:rPr>
                      <w:rFonts w:hint="eastAsia" w:cs="Times New Roman"/>
                      <w:color w:val="000000" w:themeColor="text1"/>
                      <w:kern w:val="2"/>
                      <w:sz w:val="21"/>
                      <w:szCs w:val="21"/>
                      <w:highlight w:val="none"/>
                      <w:lang w:val="en-US" w:eastAsia="zh-CN" w:bidi="ar-SA"/>
                      <w14:textFill>
                        <w14:solidFill>
                          <w14:schemeClr w14:val="tx1"/>
                        </w14:solidFill>
                      </w14:textFill>
                    </w:rPr>
                    <w:t>1</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处，位于厂址地下</w:t>
                  </w:r>
                  <w:r>
                    <w:rPr>
                      <w:rFonts w:hint="eastAsia" w:cs="Times New Roman"/>
                      <w:color w:val="000000" w:themeColor="text1"/>
                      <w:kern w:val="2"/>
                      <w:sz w:val="21"/>
                      <w:szCs w:val="21"/>
                      <w:highlight w:val="none"/>
                      <w:lang w:val="en-US" w:eastAsia="zh-CN" w:bidi="ar-SA"/>
                      <w14:textFill>
                        <w14:solidFill>
                          <w14:schemeClr w14:val="tx1"/>
                        </w14:solidFill>
                      </w14:textFill>
                    </w:rPr>
                    <w:t>水</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下游，跟踪监测井位于危险废物贮存库东北侧50m（E</w:t>
                  </w:r>
                  <w:r>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t>128°55′13.04593″</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，N</w:t>
                  </w:r>
                  <w:r>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t>47°44′11.51684″</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p>
              </w:tc>
              <w:tc>
                <w:tcPr>
                  <w:tcW w:w="451" w:type="pct"/>
                  <w:tcBorders>
                    <w:tl2br w:val="nil"/>
                    <w:tr2bl w:val="nil"/>
                  </w:tcBorders>
                  <w:noWrap w:val="0"/>
                  <w:vAlign w:val="center"/>
                </w:tcPr>
                <w:p w14:paraId="62FC22C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新建</w:t>
                  </w:r>
                </w:p>
              </w:tc>
            </w:tr>
            <w:tr w14:paraId="5D7B16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445" w:type="pct"/>
                  <w:vMerge w:val="continue"/>
                  <w:tcBorders>
                    <w:tl2br w:val="nil"/>
                    <w:tr2bl w:val="nil"/>
                  </w:tcBorders>
                  <w:noWrap w:val="0"/>
                  <w:vAlign w:val="center"/>
                </w:tcPr>
                <w:p w14:paraId="284BC3D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p>
              </w:tc>
              <w:tc>
                <w:tcPr>
                  <w:tcW w:w="450" w:type="pct"/>
                  <w:tcBorders>
                    <w:tl2br w:val="nil"/>
                    <w:tr2bl w:val="nil"/>
                  </w:tcBorders>
                  <w:noWrap w:val="0"/>
                  <w:vAlign w:val="center"/>
                </w:tcPr>
                <w:p w14:paraId="4609E98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t>环境风险</w:t>
                  </w:r>
                </w:p>
              </w:tc>
              <w:tc>
                <w:tcPr>
                  <w:tcW w:w="3653" w:type="pct"/>
                  <w:gridSpan w:val="2"/>
                  <w:tcBorders>
                    <w:tl2br w:val="nil"/>
                    <w:tr2bl w:val="nil"/>
                  </w:tcBorders>
                  <w:noWrap w:val="0"/>
                  <w:vAlign w:val="center"/>
                </w:tcPr>
                <w:p w14:paraId="2BCBA6A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val="0"/>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危险废物贮存库</w:t>
                  </w:r>
                  <w:r>
                    <w:rPr>
                      <w:rFonts w:hint="default" w:ascii="Times New Roman" w:hAnsi="Times New Roman" w:eastAsia="宋体" w:cs="Times New Roman"/>
                      <w:snapToGrid w:val="0"/>
                      <w:color w:val="000000" w:themeColor="text1"/>
                      <w:kern w:val="0"/>
                      <w:sz w:val="21"/>
                      <w:szCs w:val="21"/>
                      <w:highlight w:val="none"/>
                      <w:lang w:eastAsia="zh-CN"/>
                      <w14:textFill>
                        <w14:solidFill>
                          <w14:schemeClr w14:val="tx1"/>
                        </w14:solidFill>
                      </w14:textFill>
                    </w:rPr>
                    <w:t>内</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连接导流渠，并</w:t>
                  </w:r>
                  <w:r>
                    <w:rPr>
                      <w:rFonts w:hint="default" w:ascii="Times New Roman" w:hAnsi="Times New Roman" w:eastAsia="宋体" w:cs="Times New Roman"/>
                      <w:snapToGrid w:val="0"/>
                      <w:color w:val="000000" w:themeColor="text1"/>
                      <w:kern w:val="0"/>
                      <w:sz w:val="21"/>
                      <w:szCs w:val="21"/>
                      <w:highlight w:val="none"/>
                      <w:lang w:eastAsia="zh-CN"/>
                      <w14:textFill>
                        <w14:solidFill>
                          <w14:schemeClr w14:val="tx1"/>
                        </w14:solidFill>
                      </w14:textFill>
                    </w:rPr>
                    <w:t>设置</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了1座</w:t>
                  </w:r>
                  <w:r>
                    <w:rPr>
                      <w:rFonts w:hint="eastAsia" w:cs="Times New Roman"/>
                      <w:snapToGrid w:val="0"/>
                      <w:color w:val="000000" w:themeColor="text1"/>
                      <w:kern w:val="0"/>
                      <w:sz w:val="21"/>
                      <w:szCs w:val="21"/>
                      <w:highlight w:val="none"/>
                      <w:lang w:val="en-US" w:eastAsia="zh-CN"/>
                      <w14:textFill>
                        <w14:solidFill>
                          <w14:schemeClr w14:val="tx1"/>
                        </w14:solidFill>
                      </w14:textFill>
                    </w:rPr>
                    <w:t>2</w:t>
                  </w:r>
                  <w:r>
                    <w:rPr>
                      <w:rFonts w:hint="eastAsia"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0</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m</w:t>
                  </w:r>
                  <w:r>
                    <w:rPr>
                      <w:rFonts w:hint="default" w:ascii="Times New Roman" w:hAnsi="Times New Roman" w:eastAsia="宋体" w:cs="Times New Roman"/>
                      <w:snapToGrid w:val="0"/>
                      <w:color w:val="000000" w:themeColor="text1"/>
                      <w:kern w:val="0"/>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应急</w:t>
                  </w:r>
                  <w:r>
                    <w:rPr>
                      <w:rFonts w:hint="default" w:ascii="Times New Roman" w:hAnsi="Times New Roman" w:eastAsia="宋体" w:cs="Times New Roman"/>
                      <w:snapToGrid w:val="0"/>
                      <w:color w:val="000000" w:themeColor="text1"/>
                      <w:kern w:val="0"/>
                      <w:sz w:val="21"/>
                      <w:szCs w:val="21"/>
                      <w:highlight w:val="none"/>
                      <w:lang w:eastAsia="zh-CN"/>
                      <w14:textFill>
                        <w14:solidFill>
                          <w14:schemeClr w14:val="tx1"/>
                        </w14:solidFill>
                      </w14:textFill>
                    </w:rPr>
                    <w:t>事故池。设置警示标志、标识牌、灭火器等器材计入消防设施。</w:t>
                  </w:r>
                </w:p>
              </w:tc>
              <w:tc>
                <w:tcPr>
                  <w:tcW w:w="451" w:type="pct"/>
                  <w:tcBorders>
                    <w:tl2br w:val="nil"/>
                    <w:tr2bl w:val="nil"/>
                  </w:tcBorders>
                  <w:noWrap w:val="0"/>
                  <w:vAlign w:val="center"/>
                </w:tcPr>
                <w:p w14:paraId="254428B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新建</w:t>
                  </w:r>
                </w:p>
              </w:tc>
            </w:tr>
            <w:tr w14:paraId="1B0E38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445" w:type="pct"/>
                  <w:tcBorders>
                    <w:tl2br w:val="nil"/>
                    <w:tr2bl w:val="nil"/>
                  </w:tcBorders>
                  <w:noWrap w:val="0"/>
                  <w:vAlign w:val="center"/>
                </w:tcPr>
                <w:p w14:paraId="5A7F8E6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依托工程</w:t>
                  </w:r>
                </w:p>
              </w:tc>
              <w:tc>
                <w:tcPr>
                  <w:tcW w:w="450" w:type="pct"/>
                  <w:tcBorders>
                    <w:tl2br w:val="nil"/>
                    <w:tr2bl w:val="nil"/>
                  </w:tcBorders>
                  <w:noWrap w:val="0"/>
                  <w:vAlign w:val="center"/>
                </w:tcPr>
                <w:p w14:paraId="47126B5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伊春市中心城污水处理厂</w:t>
                  </w:r>
                </w:p>
              </w:tc>
              <w:tc>
                <w:tcPr>
                  <w:tcW w:w="3653" w:type="pct"/>
                  <w:gridSpan w:val="2"/>
                  <w:tcBorders>
                    <w:tl2br w:val="nil"/>
                    <w:tr2bl w:val="nil"/>
                  </w:tcBorders>
                  <w:noWrap w:val="0"/>
                  <w:vAlign w:val="center"/>
                </w:tcPr>
                <w:p w14:paraId="493B7C7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根据</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《关于伊春市中心城污水处理厂二期工程环境影响报告表的批复》（伊</w:t>
                  </w:r>
                  <w:r>
                    <w:rPr>
                      <w:rFonts w:hint="default" w:ascii="Times New Roman" w:hAnsi="Times New Roman" w:eastAsia="宋体" w:cs="Times New Roman"/>
                      <w:color w:val="000000" w:themeColor="text1"/>
                      <w:sz w:val="21"/>
                      <w:szCs w:val="21"/>
                      <w:highlight w:val="none"/>
                      <w14:textFill>
                        <w14:solidFill>
                          <w14:schemeClr w14:val="tx1"/>
                        </w14:solidFill>
                      </w14:textFill>
                    </w:rPr>
                    <w:t>环</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函</w:t>
                  </w:r>
                  <w:r>
                    <w:rPr>
                      <w:rFonts w:hint="default" w:ascii="Times New Roman" w:hAnsi="Times New Roman" w:eastAsia="宋体" w:cs="Times New Roman"/>
                      <w:color w:val="000000" w:themeColor="text1"/>
                      <w:sz w:val="21"/>
                      <w:szCs w:val="21"/>
                      <w:highlight w:val="none"/>
                      <w14:textFill>
                        <w14:solidFill>
                          <w14:schemeClr w14:val="tx1"/>
                        </w14:solidFill>
                      </w14:textFill>
                    </w:rPr>
                    <w:t>[201</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15</w:t>
                  </w:r>
                  <w:r>
                    <w:rPr>
                      <w:rFonts w:hint="default" w:ascii="Times New Roman" w:hAnsi="Times New Roman" w:eastAsia="宋体" w:cs="Times New Roman"/>
                      <w:color w:val="000000" w:themeColor="text1"/>
                      <w:sz w:val="21"/>
                      <w:szCs w:val="21"/>
                      <w:highlight w:val="none"/>
                      <w14:textFill>
                        <w14:solidFill>
                          <w14:schemeClr w14:val="tx1"/>
                        </w14:solidFill>
                      </w14:textFill>
                    </w:rPr>
                    <w:t>号</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，伊春市中心城污水处理厂采用改良A</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2</w:t>
                  </w:r>
                  <w:r>
                    <w:rPr>
                      <w:rFonts w:hint="default" w:ascii="Times New Roman" w:hAnsi="Times New Roman" w:eastAsia="宋体" w:cs="Times New Roman"/>
                      <w:color w:val="000000" w:themeColor="text1"/>
                      <w:sz w:val="21"/>
                      <w:szCs w:val="21"/>
                      <w:highlight w:val="none"/>
                      <w14:textFill>
                        <w14:solidFill>
                          <w14:schemeClr w14:val="tx1"/>
                        </w14:solidFill>
                      </w14:textFill>
                    </w:rPr>
                    <w:t>/O处理工艺</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出水水质</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满足</w:t>
                  </w:r>
                  <w:r>
                    <w:rPr>
                      <w:rFonts w:hint="default" w:ascii="Times New Roman" w:hAnsi="Times New Roman" w:eastAsia="宋体" w:cs="Times New Roman"/>
                      <w:color w:val="000000" w:themeColor="text1"/>
                      <w:sz w:val="21"/>
                      <w:szCs w:val="21"/>
                      <w:highlight w:val="none"/>
                      <w14:textFill>
                        <w14:solidFill>
                          <w14:schemeClr w14:val="tx1"/>
                        </w14:solidFill>
                      </w14:textFill>
                    </w:rPr>
                    <w:t>《城镇污水处理厂污染物排放标准》（GB18918-2002）一级</w:t>
                  </w:r>
                  <w:r>
                    <w:rPr>
                      <w:rFonts w:hint="eastAsia" w:cs="Times New Roman"/>
                      <w:color w:val="000000" w:themeColor="text1"/>
                      <w:sz w:val="21"/>
                      <w:szCs w:val="21"/>
                      <w:highlight w:val="none"/>
                      <w:lang w:val="en-US" w:eastAsia="zh-CN"/>
                      <w14:textFill>
                        <w14:solidFill>
                          <w14:schemeClr w14:val="tx1"/>
                        </w14:solidFill>
                      </w14:textFill>
                    </w:rPr>
                    <w:t>A</w:t>
                  </w:r>
                  <w:r>
                    <w:rPr>
                      <w:rFonts w:hint="default" w:ascii="Times New Roman" w:hAnsi="Times New Roman" w:eastAsia="宋体" w:cs="Times New Roman"/>
                      <w:color w:val="000000" w:themeColor="text1"/>
                      <w:sz w:val="21"/>
                      <w:szCs w:val="21"/>
                      <w:highlight w:val="none"/>
                      <w14:textFill>
                        <w14:solidFill>
                          <w14:schemeClr w14:val="tx1"/>
                        </w14:solidFill>
                      </w14:textFill>
                    </w:rPr>
                    <w:t>标准</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伊春市中心城污水处理厂</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设计处理量为10万m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d，实际处理量为7万m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剩余</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处理量</w:t>
                  </w:r>
                  <w:r>
                    <w:rPr>
                      <w:rFonts w:hint="default" w:ascii="Times New Roman" w:hAnsi="Times New Roman" w:eastAsia="宋体" w:cs="Times New Roman"/>
                      <w:color w:val="000000" w:themeColor="text1"/>
                      <w:sz w:val="21"/>
                      <w:szCs w:val="21"/>
                      <w:highlight w:val="none"/>
                      <w14:textFill>
                        <w14:solidFill>
                          <w14:schemeClr w14:val="tx1"/>
                        </w14:solidFill>
                      </w14:textFill>
                    </w:rPr>
                    <w:t>满足本项目</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生活污水0.384</w:t>
                  </w:r>
                  <w:r>
                    <w:rPr>
                      <w:rFonts w:hint="default" w:ascii="Times New Roman" w:hAnsi="Times New Roman" w:eastAsia="宋体" w:cs="Times New Roman"/>
                      <w:bCs/>
                      <w:color w:val="000000" w:themeColor="text1"/>
                      <w:sz w:val="21"/>
                      <w:szCs w:val="21"/>
                      <w:highlight w:val="none"/>
                      <w:lang w:eastAsia="zh-CN"/>
                      <w14:textFill>
                        <w14:solidFill>
                          <w14:schemeClr w14:val="tx1"/>
                        </w14:solidFill>
                      </w14:textFill>
                    </w:rPr>
                    <w:t>m</w:t>
                  </w:r>
                  <w:r>
                    <w:rPr>
                      <w:rFonts w:hint="default" w:ascii="Times New Roman" w:hAnsi="Times New Roman" w:eastAsia="宋体" w:cs="Times New Roman"/>
                      <w:bCs/>
                      <w:color w:val="000000" w:themeColor="text1"/>
                      <w:sz w:val="21"/>
                      <w:szCs w:val="21"/>
                      <w:highlight w:val="none"/>
                      <w:vertAlign w:val="superscript"/>
                      <w:lang w:eastAsia="zh-CN"/>
                      <w14:textFill>
                        <w14:solidFill>
                          <w14:schemeClr w14:val="tx1"/>
                        </w14:solidFill>
                      </w14:textFill>
                    </w:rPr>
                    <w:t>3</w:t>
                  </w:r>
                  <w:r>
                    <w:rPr>
                      <w:rFonts w:hint="default" w:ascii="Times New Roman" w:hAnsi="Times New Roman" w:eastAsia="宋体" w:cs="Times New Roman"/>
                      <w:bCs/>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d</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的接收</w:t>
                  </w:r>
                  <w:r>
                    <w:rPr>
                      <w:rFonts w:hint="default" w:ascii="Times New Roman" w:hAnsi="Times New Roman" w:eastAsia="宋体" w:cs="Times New Roman"/>
                      <w:color w:val="000000" w:themeColor="text1"/>
                      <w:sz w:val="21"/>
                      <w:szCs w:val="21"/>
                      <w:highlight w:val="none"/>
                      <w14:textFill>
                        <w14:solidFill>
                          <w14:schemeClr w14:val="tx1"/>
                        </w14:solidFill>
                      </w14:textFill>
                    </w:rPr>
                    <w:t>需求</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本项目依托可行。</w:t>
                  </w:r>
                </w:p>
              </w:tc>
              <w:tc>
                <w:tcPr>
                  <w:tcW w:w="451" w:type="pct"/>
                  <w:tcBorders>
                    <w:tl2br w:val="nil"/>
                    <w:tr2bl w:val="nil"/>
                  </w:tcBorders>
                  <w:noWrap w:val="0"/>
                  <w:vAlign w:val="center"/>
                </w:tcPr>
                <w:p w14:paraId="1ABE4C6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依托</w:t>
                  </w:r>
                </w:p>
              </w:tc>
            </w:tr>
          </w:tbl>
          <w:p w14:paraId="57A5A30D">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2、主要设备</w:t>
            </w:r>
          </w:p>
          <w:p w14:paraId="10A967E9">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本项目主要设备见</w:t>
            </w:r>
            <w:r>
              <w:rPr>
                <w:rFonts w:hint="eastAsia" w:cs="Times New Roman"/>
                <w:color w:val="000000" w:themeColor="text1"/>
                <w:sz w:val="24"/>
                <w:szCs w:val="24"/>
                <w:highlight w:val="none"/>
                <w:lang w:val="en-US" w:eastAsia="zh-CN"/>
                <w14:textFill>
                  <w14:solidFill>
                    <w14:schemeClr w14:val="tx1"/>
                  </w14:solidFill>
                </w14:textFill>
              </w:rPr>
              <w:t>下</w:t>
            </w:r>
            <w:r>
              <w:rPr>
                <w:rFonts w:hint="default" w:ascii="Times New Roman" w:hAnsi="Times New Roman" w:eastAsia="宋体" w:cs="Times New Roman"/>
                <w:color w:val="000000" w:themeColor="text1"/>
                <w:sz w:val="24"/>
                <w:szCs w:val="24"/>
                <w:highlight w:val="none"/>
                <w14:textFill>
                  <w14:solidFill>
                    <w14:schemeClr w14:val="tx1"/>
                  </w14:solidFill>
                </w14:textFill>
              </w:rPr>
              <w:t>表</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所示</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587339C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b/>
                <w:bCs w:val="0"/>
                <w:color w:val="000000" w:themeColor="text1"/>
                <w:sz w:val="24"/>
                <w:szCs w:val="24"/>
                <w:highlight w:val="none"/>
                <w:vertAlign w:val="baseline"/>
                <w:lang w:val="en-US" w:eastAsia="zh-CN"/>
                <w14:textFill>
                  <w14:solidFill>
                    <w14:schemeClr w14:val="tx1"/>
                  </w14:solidFill>
                </w14:textFill>
              </w:rPr>
              <w:t>表2.</w:t>
            </w:r>
            <w:r>
              <w:rPr>
                <w:rFonts w:hint="eastAsia" w:cs="Times New Roman"/>
                <w:b/>
                <w:bCs w:val="0"/>
                <w:color w:val="000000" w:themeColor="text1"/>
                <w:sz w:val="24"/>
                <w:szCs w:val="24"/>
                <w:highlight w:val="none"/>
                <w:vertAlign w:val="baseline"/>
                <w:lang w:val="en-US" w:eastAsia="zh-CN"/>
                <w14:textFill>
                  <w14:solidFill>
                    <w14:schemeClr w14:val="tx1"/>
                  </w14:solidFill>
                </w14:textFill>
              </w:rPr>
              <w:t>2</w:t>
            </w:r>
            <w:r>
              <w:rPr>
                <w:rFonts w:hint="default" w:ascii="Times New Roman" w:hAnsi="Times New Roman" w:eastAsia="宋体" w:cs="Times New Roman"/>
                <w:b/>
                <w:bCs w:val="0"/>
                <w:color w:val="000000" w:themeColor="text1"/>
                <w:sz w:val="24"/>
                <w:szCs w:val="24"/>
                <w:highlight w:val="none"/>
                <w:vertAlign w:val="baseline"/>
                <w:lang w:val="en-US" w:eastAsia="zh-CN"/>
                <w14:textFill>
                  <w14:solidFill>
                    <w14:schemeClr w14:val="tx1"/>
                  </w14:solidFill>
                </w14:textFill>
              </w:rPr>
              <w:t xml:space="preserve"> 主要设备一览表</w:t>
            </w:r>
          </w:p>
          <w:tbl>
            <w:tblPr>
              <w:tblStyle w:val="28"/>
              <w:tblW w:w="492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500"/>
              <w:gridCol w:w="2113"/>
              <w:gridCol w:w="2975"/>
              <w:gridCol w:w="1114"/>
              <w:gridCol w:w="1268"/>
            </w:tblGrid>
            <w:tr w14:paraId="78A0D5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13" w:type="pct"/>
                  <w:tcBorders>
                    <w:tl2br w:val="nil"/>
                    <w:tr2bl w:val="nil"/>
                  </w:tcBorders>
                  <w:tcMar>
                    <w:top w:w="20" w:type="dxa"/>
                    <w:left w:w="20" w:type="dxa"/>
                    <w:bottom w:w="0" w:type="dxa"/>
                    <w:right w:w="20" w:type="dxa"/>
                  </w:tcMar>
                  <w:vAlign w:val="center"/>
                </w:tcPr>
                <w:p w14:paraId="59D7F1D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序号</w:t>
                  </w:r>
                </w:p>
              </w:tc>
              <w:tc>
                <w:tcPr>
                  <w:tcW w:w="1325" w:type="pct"/>
                  <w:tcBorders>
                    <w:tl2br w:val="nil"/>
                    <w:tr2bl w:val="nil"/>
                  </w:tcBorders>
                  <w:tcMar>
                    <w:top w:w="20" w:type="dxa"/>
                    <w:left w:w="20" w:type="dxa"/>
                    <w:bottom w:w="0" w:type="dxa"/>
                    <w:right w:w="20" w:type="dxa"/>
                  </w:tcMar>
                  <w:vAlign w:val="center"/>
                </w:tcPr>
                <w:p w14:paraId="0EC7E7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设备名称</w:t>
                  </w:r>
                </w:p>
              </w:tc>
              <w:tc>
                <w:tcPr>
                  <w:tcW w:w="1866" w:type="pct"/>
                  <w:tcBorders>
                    <w:tl2br w:val="nil"/>
                    <w:tr2bl w:val="nil"/>
                  </w:tcBorders>
                  <w:tcMar>
                    <w:top w:w="20" w:type="dxa"/>
                    <w:left w:w="20" w:type="dxa"/>
                    <w:bottom w:w="0" w:type="dxa"/>
                    <w:right w:w="20" w:type="dxa"/>
                  </w:tcMar>
                  <w:vAlign w:val="center"/>
                </w:tcPr>
                <w:p w14:paraId="13711DB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型号</w:t>
                  </w:r>
                </w:p>
              </w:tc>
              <w:tc>
                <w:tcPr>
                  <w:tcW w:w="698" w:type="pct"/>
                  <w:tcBorders>
                    <w:tl2br w:val="nil"/>
                    <w:tr2bl w:val="nil"/>
                  </w:tcBorders>
                  <w:tcMar>
                    <w:top w:w="20" w:type="dxa"/>
                    <w:left w:w="20" w:type="dxa"/>
                    <w:bottom w:w="0" w:type="dxa"/>
                    <w:right w:w="20" w:type="dxa"/>
                  </w:tcMar>
                  <w:vAlign w:val="center"/>
                </w:tcPr>
                <w:p w14:paraId="1577444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数量</w:t>
                  </w:r>
                </w:p>
              </w:tc>
              <w:tc>
                <w:tcPr>
                  <w:tcW w:w="795" w:type="pct"/>
                  <w:tcBorders>
                    <w:tl2br w:val="nil"/>
                    <w:tr2bl w:val="nil"/>
                  </w:tcBorders>
                  <w:tcMar>
                    <w:top w:w="20" w:type="dxa"/>
                    <w:left w:w="20" w:type="dxa"/>
                    <w:bottom w:w="0" w:type="dxa"/>
                    <w:right w:w="20" w:type="dxa"/>
                  </w:tcMar>
                  <w:vAlign w:val="center"/>
                </w:tcPr>
                <w:p w14:paraId="216C6CF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备注</w:t>
                  </w:r>
                </w:p>
              </w:tc>
            </w:tr>
            <w:tr w14:paraId="4F3245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13" w:type="pct"/>
                  <w:tcBorders>
                    <w:tl2br w:val="nil"/>
                    <w:tr2bl w:val="nil"/>
                  </w:tcBorders>
                  <w:tcMar>
                    <w:top w:w="20" w:type="dxa"/>
                    <w:left w:w="20" w:type="dxa"/>
                    <w:bottom w:w="0" w:type="dxa"/>
                    <w:right w:w="20" w:type="dxa"/>
                  </w:tcMar>
                  <w:vAlign w:val="center"/>
                </w:tcPr>
                <w:p w14:paraId="291F5F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1</w:t>
                  </w:r>
                </w:p>
              </w:tc>
              <w:tc>
                <w:tcPr>
                  <w:tcW w:w="1325" w:type="pct"/>
                  <w:tcBorders>
                    <w:tl2br w:val="nil"/>
                    <w:tr2bl w:val="nil"/>
                  </w:tcBorders>
                  <w:tcMar>
                    <w:top w:w="20" w:type="dxa"/>
                    <w:left w:w="20" w:type="dxa"/>
                    <w:bottom w:w="0" w:type="dxa"/>
                    <w:right w:w="20" w:type="dxa"/>
                  </w:tcMar>
                  <w:vAlign w:val="center"/>
                </w:tcPr>
                <w:p w14:paraId="43379A20">
                  <w:pPr>
                    <w:pStyle w:val="78"/>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t>防爆型轴流风机</w:t>
                  </w:r>
                </w:p>
              </w:tc>
              <w:tc>
                <w:tcPr>
                  <w:tcW w:w="1866" w:type="pct"/>
                  <w:tcBorders>
                    <w:tl2br w:val="nil"/>
                    <w:tr2bl w:val="nil"/>
                  </w:tcBorders>
                  <w:tcMar>
                    <w:top w:w="20" w:type="dxa"/>
                    <w:left w:w="20" w:type="dxa"/>
                    <w:bottom w:w="0" w:type="dxa"/>
                    <w:right w:w="20" w:type="dxa"/>
                  </w:tcMar>
                  <w:vAlign w:val="center"/>
                </w:tcPr>
                <w:p w14:paraId="3EA8655A">
                  <w:pPr>
                    <w:pStyle w:val="78"/>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pPr>
                  <w:r>
                    <w:rPr>
                      <w:rFonts w:hint="eastAsia" w:cs="Times New Roman"/>
                      <w:bCs/>
                      <w:color w:val="000000" w:themeColor="text1"/>
                      <w:kern w:val="2"/>
                      <w:sz w:val="21"/>
                      <w:szCs w:val="21"/>
                      <w:highlight w:val="none"/>
                      <w:lang w:val="en-US" w:eastAsia="zh-CN"/>
                      <w14:textFill>
                        <w14:solidFill>
                          <w14:schemeClr w14:val="tx1"/>
                        </w14:solidFill>
                      </w14:textFill>
                    </w:rPr>
                    <w:t>40000m</w:t>
                  </w:r>
                  <w:r>
                    <w:rPr>
                      <w:rFonts w:hint="eastAsia" w:cs="Times New Roman"/>
                      <w:bCs/>
                      <w:color w:val="000000" w:themeColor="text1"/>
                      <w:kern w:val="2"/>
                      <w:sz w:val="21"/>
                      <w:szCs w:val="21"/>
                      <w:highlight w:val="none"/>
                      <w:vertAlign w:val="superscript"/>
                      <w:lang w:val="en-US" w:eastAsia="zh-CN"/>
                      <w14:textFill>
                        <w14:solidFill>
                          <w14:schemeClr w14:val="tx1"/>
                        </w14:solidFill>
                      </w14:textFill>
                    </w:rPr>
                    <w:t>3</w:t>
                  </w:r>
                  <w:r>
                    <w:rPr>
                      <w:rFonts w:hint="eastAsia" w:cs="Times New Roman"/>
                      <w:bCs/>
                      <w:color w:val="000000" w:themeColor="text1"/>
                      <w:kern w:val="2"/>
                      <w:sz w:val="21"/>
                      <w:szCs w:val="21"/>
                      <w:highlight w:val="none"/>
                      <w:lang w:val="en-US" w:eastAsia="zh-CN"/>
                      <w14:textFill>
                        <w14:solidFill>
                          <w14:schemeClr w14:val="tx1"/>
                        </w14:solidFill>
                      </w14:textFill>
                    </w:rPr>
                    <w:t>/h</w:t>
                  </w:r>
                </w:p>
              </w:tc>
              <w:tc>
                <w:tcPr>
                  <w:tcW w:w="698" w:type="pct"/>
                  <w:tcBorders>
                    <w:tl2br w:val="nil"/>
                    <w:tr2bl w:val="nil"/>
                  </w:tcBorders>
                  <w:tcMar>
                    <w:top w:w="20" w:type="dxa"/>
                    <w:left w:w="20" w:type="dxa"/>
                    <w:bottom w:w="0" w:type="dxa"/>
                    <w:right w:w="20" w:type="dxa"/>
                  </w:tcMar>
                  <w:vAlign w:val="center"/>
                </w:tcPr>
                <w:p w14:paraId="04FFA720">
                  <w:pPr>
                    <w:pStyle w:val="78"/>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pPr>
                  <w:r>
                    <w:rPr>
                      <w:rFonts w:hint="eastAsia" w:cs="Times New Roman"/>
                      <w:bCs/>
                      <w:color w:val="000000" w:themeColor="text1"/>
                      <w:kern w:val="2"/>
                      <w:sz w:val="21"/>
                      <w:szCs w:val="21"/>
                      <w:highlight w:val="none"/>
                      <w:lang w:val="en-US" w:eastAsia="zh-CN"/>
                      <w14:textFill>
                        <w14:solidFill>
                          <w14:schemeClr w14:val="tx1"/>
                        </w14:solidFill>
                      </w14:textFill>
                    </w:rPr>
                    <w:t>1</w:t>
                  </w:r>
                  <w:r>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t>台</w:t>
                  </w:r>
                </w:p>
              </w:tc>
              <w:tc>
                <w:tcPr>
                  <w:tcW w:w="795" w:type="pct"/>
                  <w:vMerge w:val="restart"/>
                  <w:tcBorders>
                    <w:tl2br w:val="nil"/>
                    <w:tr2bl w:val="nil"/>
                  </w:tcBorders>
                  <w:tcMar>
                    <w:top w:w="20" w:type="dxa"/>
                    <w:left w:w="20" w:type="dxa"/>
                    <w:bottom w:w="0" w:type="dxa"/>
                    <w:right w:w="20" w:type="dxa"/>
                  </w:tcMar>
                  <w:vAlign w:val="center"/>
                </w:tcPr>
                <w:p w14:paraId="4B0A5D14">
                  <w:pPr>
                    <w:pStyle w:val="78"/>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t>环保设备</w:t>
                  </w:r>
                </w:p>
              </w:tc>
            </w:tr>
            <w:tr w14:paraId="3F4C3A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13" w:type="pct"/>
                  <w:tcBorders>
                    <w:tl2br w:val="nil"/>
                    <w:tr2bl w:val="nil"/>
                  </w:tcBorders>
                  <w:tcMar>
                    <w:top w:w="20" w:type="dxa"/>
                    <w:left w:w="20" w:type="dxa"/>
                    <w:bottom w:w="0" w:type="dxa"/>
                    <w:right w:w="20" w:type="dxa"/>
                  </w:tcMar>
                  <w:vAlign w:val="center"/>
                </w:tcPr>
                <w:p w14:paraId="7B1D596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2</w:t>
                  </w:r>
                </w:p>
              </w:tc>
              <w:tc>
                <w:tcPr>
                  <w:tcW w:w="1325" w:type="pct"/>
                  <w:tcBorders>
                    <w:tl2br w:val="nil"/>
                    <w:tr2bl w:val="nil"/>
                  </w:tcBorders>
                  <w:tcMar>
                    <w:top w:w="20" w:type="dxa"/>
                    <w:left w:w="20" w:type="dxa"/>
                    <w:bottom w:w="0" w:type="dxa"/>
                    <w:right w:w="20" w:type="dxa"/>
                  </w:tcMar>
                  <w:vAlign w:val="center"/>
                </w:tcPr>
                <w:p w14:paraId="08125AC9">
                  <w:pPr>
                    <w:pStyle w:val="78"/>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t>活性炭吸附装置</w:t>
                  </w:r>
                </w:p>
              </w:tc>
              <w:tc>
                <w:tcPr>
                  <w:tcW w:w="1866" w:type="pct"/>
                  <w:tcBorders>
                    <w:tl2br w:val="nil"/>
                    <w:tr2bl w:val="nil"/>
                  </w:tcBorders>
                  <w:tcMar>
                    <w:top w:w="20" w:type="dxa"/>
                    <w:left w:w="20" w:type="dxa"/>
                    <w:bottom w:w="0" w:type="dxa"/>
                    <w:right w:w="20" w:type="dxa"/>
                  </w:tcMar>
                  <w:vAlign w:val="center"/>
                </w:tcPr>
                <w:p w14:paraId="51B690FE">
                  <w:pPr>
                    <w:pStyle w:val="78"/>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pPr>
                  <w:bookmarkStart w:id="34" w:name="OLE_LINK11"/>
                  <w:r>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t>4.3</w:t>
                  </w:r>
                  <w:r>
                    <w:rPr>
                      <w:rFonts w:hint="eastAsia" w:cs="Times New Roman"/>
                      <w:bCs/>
                      <w:color w:val="000000" w:themeColor="text1"/>
                      <w:kern w:val="2"/>
                      <w:sz w:val="21"/>
                      <w:szCs w:val="21"/>
                      <w:highlight w:val="none"/>
                      <w:lang w:val="en-US" w:eastAsia="zh-CN"/>
                      <w14:textFill>
                        <w14:solidFill>
                          <w14:schemeClr w14:val="tx1"/>
                        </w14:solidFill>
                      </w14:textFill>
                    </w:rPr>
                    <w:t>m</w:t>
                  </w:r>
                  <w:r>
                    <w:rPr>
                      <w:rFonts w:hint="default" w:ascii="Arial" w:hAnsi="Arial" w:cs="Arial"/>
                      <w:bCs/>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t>1.1</w:t>
                  </w:r>
                  <w:r>
                    <w:rPr>
                      <w:rFonts w:hint="eastAsia" w:cs="Times New Roman"/>
                      <w:bCs/>
                      <w:color w:val="000000" w:themeColor="text1"/>
                      <w:kern w:val="2"/>
                      <w:sz w:val="21"/>
                      <w:szCs w:val="21"/>
                      <w:highlight w:val="none"/>
                      <w:lang w:val="en-US" w:eastAsia="zh-CN"/>
                      <w14:textFill>
                        <w14:solidFill>
                          <w14:schemeClr w14:val="tx1"/>
                        </w14:solidFill>
                      </w14:textFill>
                    </w:rPr>
                    <w:t>m</w:t>
                  </w:r>
                  <w:r>
                    <w:rPr>
                      <w:rFonts w:hint="default" w:ascii="Arial" w:hAnsi="Arial" w:cs="Arial"/>
                      <w:bCs/>
                      <w:color w:val="000000" w:themeColor="text1"/>
                      <w:kern w:val="2"/>
                      <w:sz w:val="21"/>
                      <w:szCs w:val="21"/>
                      <w:highlight w:val="none"/>
                      <w:lang w:val="en-US" w:eastAsia="zh-CN"/>
                      <w14:textFill>
                        <w14:solidFill>
                          <w14:schemeClr w14:val="tx1"/>
                        </w14:solidFill>
                      </w14:textFill>
                    </w:rPr>
                    <w:t>×</w:t>
                  </w:r>
                  <w:r>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t>1.7</w:t>
                  </w:r>
                  <w:r>
                    <w:rPr>
                      <w:rFonts w:hint="eastAsia" w:cs="Times New Roman"/>
                      <w:bCs/>
                      <w:color w:val="000000" w:themeColor="text1"/>
                      <w:kern w:val="2"/>
                      <w:sz w:val="21"/>
                      <w:szCs w:val="21"/>
                      <w:highlight w:val="none"/>
                      <w:lang w:val="en-US" w:eastAsia="zh-CN"/>
                      <w14:textFill>
                        <w14:solidFill>
                          <w14:schemeClr w14:val="tx1"/>
                        </w14:solidFill>
                      </w14:textFill>
                    </w:rPr>
                    <w:t>m</w:t>
                  </w:r>
                  <w:r>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t>，24个抽屉</w:t>
                  </w:r>
                  <w:bookmarkEnd w:id="34"/>
                </w:p>
              </w:tc>
              <w:tc>
                <w:tcPr>
                  <w:tcW w:w="698" w:type="pct"/>
                  <w:tcBorders>
                    <w:tl2br w:val="nil"/>
                    <w:tr2bl w:val="nil"/>
                  </w:tcBorders>
                  <w:tcMar>
                    <w:top w:w="20" w:type="dxa"/>
                    <w:left w:w="20" w:type="dxa"/>
                    <w:bottom w:w="0" w:type="dxa"/>
                    <w:right w:w="20" w:type="dxa"/>
                  </w:tcMar>
                  <w:vAlign w:val="center"/>
                </w:tcPr>
                <w:p w14:paraId="78D2CBD6">
                  <w:pPr>
                    <w:pStyle w:val="78"/>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pPr>
                  <w:r>
                    <w:rPr>
                      <w:rFonts w:hint="eastAsia" w:cs="Times New Roman"/>
                      <w:bCs/>
                      <w:color w:val="000000" w:themeColor="text1"/>
                      <w:kern w:val="2"/>
                      <w:sz w:val="21"/>
                      <w:szCs w:val="21"/>
                      <w:highlight w:val="none"/>
                      <w:lang w:val="en-US" w:eastAsia="zh-CN"/>
                      <w14:textFill>
                        <w14:solidFill>
                          <w14:schemeClr w14:val="tx1"/>
                        </w14:solidFill>
                      </w14:textFill>
                    </w:rPr>
                    <w:t>2个</w:t>
                  </w:r>
                </w:p>
              </w:tc>
              <w:tc>
                <w:tcPr>
                  <w:tcW w:w="795" w:type="pct"/>
                  <w:vMerge w:val="continue"/>
                  <w:tcBorders>
                    <w:tl2br w:val="nil"/>
                    <w:tr2bl w:val="nil"/>
                  </w:tcBorders>
                  <w:tcMar>
                    <w:top w:w="20" w:type="dxa"/>
                    <w:left w:w="20" w:type="dxa"/>
                    <w:bottom w:w="0" w:type="dxa"/>
                    <w:right w:w="20" w:type="dxa"/>
                  </w:tcMar>
                  <w:vAlign w:val="center"/>
                </w:tcPr>
                <w:p w14:paraId="1771E309">
                  <w:pPr>
                    <w:pStyle w:val="78"/>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pPr>
                </w:p>
              </w:tc>
            </w:tr>
            <w:tr w14:paraId="4CF302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13" w:type="pct"/>
                  <w:tcBorders>
                    <w:tl2br w:val="nil"/>
                    <w:tr2bl w:val="nil"/>
                  </w:tcBorders>
                  <w:tcMar>
                    <w:top w:w="20" w:type="dxa"/>
                    <w:left w:w="20" w:type="dxa"/>
                    <w:bottom w:w="0" w:type="dxa"/>
                    <w:right w:w="20" w:type="dxa"/>
                  </w:tcMar>
                  <w:vAlign w:val="center"/>
                </w:tcPr>
                <w:p w14:paraId="44E6C0E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3</w:t>
                  </w:r>
                </w:p>
              </w:tc>
              <w:tc>
                <w:tcPr>
                  <w:tcW w:w="1325" w:type="pct"/>
                  <w:tcBorders>
                    <w:tl2br w:val="nil"/>
                    <w:tr2bl w:val="nil"/>
                  </w:tcBorders>
                  <w:tcMar>
                    <w:top w:w="20" w:type="dxa"/>
                    <w:left w:w="20" w:type="dxa"/>
                    <w:bottom w:w="0" w:type="dxa"/>
                    <w:right w:w="20" w:type="dxa"/>
                  </w:tcMar>
                  <w:vAlign w:val="center"/>
                </w:tcPr>
                <w:p w14:paraId="2C2ED808">
                  <w:pPr>
                    <w:pStyle w:val="78"/>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t>碱液喷淋吸收装置</w:t>
                  </w:r>
                </w:p>
              </w:tc>
              <w:tc>
                <w:tcPr>
                  <w:tcW w:w="1866" w:type="pct"/>
                  <w:tcBorders>
                    <w:tl2br w:val="nil"/>
                    <w:tr2bl w:val="nil"/>
                  </w:tcBorders>
                  <w:tcMar>
                    <w:top w:w="20" w:type="dxa"/>
                    <w:left w:w="20" w:type="dxa"/>
                    <w:bottom w:w="0" w:type="dxa"/>
                    <w:right w:w="20" w:type="dxa"/>
                  </w:tcMar>
                  <w:vAlign w:val="center"/>
                </w:tcPr>
                <w:p w14:paraId="4DDF1E41">
                  <w:pPr>
                    <w:pStyle w:val="78"/>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t>/</w:t>
                  </w:r>
                </w:p>
              </w:tc>
              <w:tc>
                <w:tcPr>
                  <w:tcW w:w="698" w:type="pct"/>
                  <w:tcBorders>
                    <w:tl2br w:val="nil"/>
                    <w:tr2bl w:val="nil"/>
                  </w:tcBorders>
                  <w:tcMar>
                    <w:top w:w="20" w:type="dxa"/>
                    <w:left w:w="20" w:type="dxa"/>
                    <w:bottom w:w="0" w:type="dxa"/>
                    <w:right w:w="20" w:type="dxa"/>
                  </w:tcMar>
                  <w:vAlign w:val="center"/>
                </w:tcPr>
                <w:p w14:paraId="41B0FF1E">
                  <w:pPr>
                    <w:pStyle w:val="78"/>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t>1套</w:t>
                  </w:r>
                </w:p>
              </w:tc>
              <w:tc>
                <w:tcPr>
                  <w:tcW w:w="795" w:type="pct"/>
                  <w:vMerge w:val="continue"/>
                  <w:tcBorders>
                    <w:tl2br w:val="nil"/>
                    <w:tr2bl w:val="nil"/>
                  </w:tcBorders>
                  <w:tcMar>
                    <w:top w:w="20" w:type="dxa"/>
                    <w:left w:w="20" w:type="dxa"/>
                    <w:bottom w:w="0" w:type="dxa"/>
                    <w:right w:w="20" w:type="dxa"/>
                  </w:tcMar>
                  <w:vAlign w:val="center"/>
                </w:tcPr>
                <w:p w14:paraId="24E4E087">
                  <w:pPr>
                    <w:pStyle w:val="78"/>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pPr>
                </w:p>
              </w:tc>
            </w:tr>
            <w:tr w14:paraId="1117B8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13" w:type="pct"/>
                  <w:tcBorders>
                    <w:tl2br w:val="nil"/>
                    <w:tr2bl w:val="nil"/>
                  </w:tcBorders>
                  <w:tcMar>
                    <w:top w:w="20" w:type="dxa"/>
                    <w:left w:w="20" w:type="dxa"/>
                    <w:bottom w:w="0" w:type="dxa"/>
                    <w:right w:w="20" w:type="dxa"/>
                  </w:tcMar>
                  <w:vAlign w:val="center"/>
                </w:tcPr>
                <w:p w14:paraId="374A90A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4</w:t>
                  </w:r>
                </w:p>
              </w:tc>
              <w:tc>
                <w:tcPr>
                  <w:tcW w:w="1325" w:type="pct"/>
                  <w:tcBorders>
                    <w:tl2br w:val="nil"/>
                    <w:tr2bl w:val="nil"/>
                  </w:tcBorders>
                  <w:tcMar>
                    <w:top w:w="20" w:type="dxa"/>
                    <w:left w:w="20" w:type="dxa"/>
                    <w:bottom w:w="0" w:type="dxa"/>
                    <w:right w:w="20" w:type="dxa"/>
                  </w:tcMar>
                  <w:vAlign w:val="center"/>
                </w:tcPr>
                <w:p w14:paraId="4CB9CFE1">
                  <w:pPr>
                    <w:pStyle w:val="78"/>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t>事故池</w:t>
                  </w:r>
                </w:p>
              </w:tc>
              <w:tc>
                <w:tcPr>
                  <w:tcW w:w="1866" w:type="pct"/>
                  <w:tcBorders>
                    <w:tl2br w:val="nil"/>
                    <w:tr2bl w:val="nil"/>
                  </w:tcBorders>
                  <w:tcMar>
                    <w:top w:w="20" w:type="dxa"/>
                    <w:left w:w="20" w:type="dxa"/>
                    <w:bottom w:w="0" w:type="dxa"/>
                    <w:right w:w="20" w:type="dxa"/>
                  </w:tcMar>
                  <w:vAlign w:val="center"/>
                </w:tcPr>
                <w:p w14:paraId="7AF9658F">
                  <w:pPr>
                    <w:pStyle w:val="78"/>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t>20m</w:t>
                  </w:r>
                  <w:r>
                    <w:rPr>
                      <w:rFonts w:hint="default" w:ascii="Times New Roman" w:hAnsi="Times New Roman" w:eastAsia="宋体" w:cs="Times New Roman"/>
                      <w:bCs/>
                      <w:color w:val="000000" w:themeColor="text1"/>
                      <w:kern w:val="2"/>
                      <w:sz w:val="21"/>
                      <w:szCs w:val="21"/>
                      <w:highlight w:val="none"/>
                      <w:vertAlign w:val="superscript"/>
                      <w:lang w:val="en-US" w:eastAsia="zh-CN"/>
                      <w14:textFill>
                        <w14:solidFill>
                          <w14:schemeClr w14:val="tx1"/>
                        </w14:solidFill>
                      </w14:textFill>
                    </w:rPr>
                    <w:t>3</w:t>
                  </w:r>
                </w:p>
              </w:tc>
              <w:tc>
                <w:tcPr>
                  <w:tcW w:w="698" w:type="pct"/>
                  <w:tcBorders>
                    <w:tl2br w:val="nil"/>
                    <w:tr2bl w:val="nil"/>
                  </w:tcBorders>
                  <w:tcMar>
                    <w:top w:w="20" w:type="dxa"/>
                    <w:left w:w="20" w:type="dxa"/>
                    <w:bottom w:w="0" w:type="dxa"/>
                    <w:right w:w="20" w:type="dxa"/>
                  </w:tcMar>
                  <w:vAlign w:val="center"/>
                </w:tcPr>
                <w:p w14:paraId="338283EB">
                  <w:pPr>
                    <w:pStyle w:val="78"/>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t>1座</w:t>
                  </w:r>
                </w:p>
              </w:tc>
              <w:tc>
                <w:tcPr>
                  <w:tcW w:w="795" w:type="pct"/>
                  <w:vMerge w:val="continue"/>
                  <w:tcBorders>
                    <w:tl2br w:val="nil"/>
                    <w:tr2bl w:val="nil"/>
                  </w:tcBorders>
                  <w:tcMar>
                    <w:top w:w="20" w:type="dxa"/>
                    <w:left w:w="20" w:type="dxa"/>
                    <w:bottom w:w="0" w:type="dxa"/>
                    <w:right w:w="20" w:type="dxa"/>
                  </w:tcMar>
                  <w:vAlign w:val="center"/>
                </w:tcPr>
                <w:p w14:paraId="7BD59456">
                  <w:pPr>
                    <w:pStyle w:val="78"/>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pPr>
                </w:p>
              </w:tc>
            </w:tr>
            <w:tr w14:paraId="04ED9C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13" w:type="pct"/>
                  <w:tcBorders>
                    <w:tl2br w:val="nil"/>
                    <w:tr2bl w:val="nil"/>
                  </w:tcBorders>
                  <w:tcMar>
                    <w:top w:w="20" w:type="dxa"/>
                    <w:left w:w="20" w:type="dxa"/>
                    <w:bottom w:w="0" w:type="dxa"/>
                    <w:right w:w="20" w:type="dxa"/>
                  </w:tcMar>
                  <w:vAlign w:val="center"/>
                </w:tcPr>
                <w:p w14:paraId="3C19041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5</w:t>
                  </w:r>
                </w:p>
              </w:tc>
              <w:tc>
                <w:tcPr>
                  <w:tcW w:w="1325" w:type="pct"/>
                  <w:tcBorders>
                    <w:tl2br w:val="nil"/>
                    <w:tr2bl w:val="nil"/>
                  </w:tcBorders>
                  <w:tcMar>
                    <w:top w:w="20" w:type="dxa"/>
                    <w:left w:w="20" w:type="dxa"/>
                    <w:bottom w:w="0" w:type="dxa"/>
                    <w:right w:w="20" w:type="dxa"/>
                  </w:tcMar>
                  <w:vAlign w:val="center"/>
                </w:tcPr>
                <w:p w14:paraId="53E21AF1">
                  <w:pPr>
                    <w:pStyle w:val="78"/>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t>可燃气体报警装置</w:t>
                  </w:r>
                </w:p>
              </w:tc>
              <w:tc>
                <w:tcPr>
                  <w:tcW w:w="1866" w:type="pct"/>
                  <w:tcBorders>
                    <w:tl2br w:val="nil"/>
                    <w:tr2bl w:val="nil"/>
                  </w:tcBorders>
                  <w:tcMar>
                    <w:top w:w="20" w:type="dxa"/>
                    <w:left w:w="20" w:type="dxa"/>
                    <w:bottom w:w="0" w:type="dxa"/>
                    <w:right w:w="20" w:type="dxa"/>
                  </w:tcMar>
                  <w:vAlign w:val="center"/>
                </w:tcPr>
                <w:p w14:paraId="3DE2DB02">
                  <w:pPr>
                    <w:pStyle w:val="78"/>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t>——</w:t>
                  </w:r>
                </w:p>
              </w:tc>
              <w:tc>
                <w:tcPr>
                  <w:tcW w:w="698" w:type="pct"/>
                  <w:tcBorders>
                    <w:tl2br w:val="nil"/>
                    <w:tr2bl w:val="nil"/>
                  </w:tcBorders>
                  <w:tcMar>
                    <w:top w:w="20" w:type="dxa"/>
                    <w:left w:w="20" w:type="dxa"/>
                    <w:bottom w:w="0" w:type="dxa"/>
                    <w:right w:w="20" w:type="dxa"/>
                  </w:tcMar>
                  <w:vAlign w:val="center"/>
                </w:tcPr>
                <w:p w14:paraId="616B4B8E">
                  <w:pPr>
                    <w:pStyle w:val="78"/>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t>1套</w:t>
                  </w:r>
                </w:p>
              </w:tc>
              <w:tc>
                <w:tcPr>
                  <w:tcW w:w="795" w:type="pct"/>
                  <w:tcBorders>
                    <w:tl2br w:val="nil"/>
                    <w:tr2bl w:val="nil"/>
                  </w:tcBorders>
                  <w:tcMar>
                    <w:top w:w="20" w:type="dxa"/>
                    <w:left w:w="20" w:type="dxa"/>
                    <w:bottom w:w="0" w:type="dxa"/>
                    <w:right w:w="20" w:type="dxa"/>
                  </w:tcMar>
                  <w:vAlign w:val="center"/>
                </w:tcPr>
                <w:p w14:paraId="1F1D78A7">
                  <w:pPr>
                    <w:pStyle w:val="78"/>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t>消防设备</w:t>
                  </w:r>
                </w:p>
              </w:tc>
            </w:tr>
            <w:tr w14:paraId="5816FA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13" w:type="pct"/>
                  <w:tcBorders>
                    <w:tl2br w:val="nil"/>
                    <w:tr2bl w:val="nil"/>
                  </w:tcBorders>
                  <w:tcMar>
                    <w:top w:w="20" w:type="dxa"/>
                    <w:left w:w="20" w:type="dxa"/>
                    <w:bottom w:w="0" w:type="dxa"/>
                    <w:right w:w="20" w:type="dxa"/>
                  </w:tcMar>
                  <w:vAlign w:val="center"/>
                </w:tcPr>
                <w:p w14:paraId="3A0452C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eastAsia" w:cs="Times New Roman"/>
                      <w:bCs/>
                      <w:color w:val="000000" w:themeColor="text1"/>
                      <w:sz w:val="21"/>
                      <w:szCs w:val="21"/>
                      <w:highlight w:val="none"/>
                      <w:lang w:val="en-US" w:eastAsia="zh-CN"/>
                      <w14:textFill>
                        <w14:solidFill>
                          <w14:schemeClr w14:val="tx1"/>
                        </w14:solidFill>
                      </w14:textFill>
                    </w:rPr>
                    <w:t>6</w:t>
                  </w:r>
                </w:p>
              </w:tc>
              <w:tc>
                <w:tcPr>
                  <w:tcW w:w="1325" w:type="pct"/>
                  <w:tcBorders>
                    <w:tl2br w:val="nil"/>
                    <w:tr2bl w:val="nil"/>
                  </w:tcBorders>
                  <w:tcMar>
                    <w:top w:w="20" w:type="dxa"/>
                    <w:left w:w="20" w:type="dxa"/>
                    <w:bottom w:w="0" w:type="dxa"/>
                    <w:right w:w="20" w:type="dxa"/>
                  </w:tcMar>
                  <w:vAlign w:val="center"/>
                </w:tcPr>
                <w:p w14:paraId="414DAFE4">
                  <w:pPr>
                    <w:pStyle w:val="78"/>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t>视频监控系统</w:t>
                  </w:r>
                </w:p>
              </w:tc>
              <w:tc>
                <w:tcPr>
                  <w:tcW w:w="1866" w:type="pct"/>
                  <w:tcBorders>
                    <w:tl2br w:val="nil"/>
                    <w:tr2bl w:val="nil"/>
                  </w:tcBorders>
                  <w:tcMar>
                    <w:top w:w="20" w:type="dxa"/>
                    <w:left w:w="20" w:type="dxa"/>
                    <w:bottom w:w="0" w:type="dxa"/>
                    <w:right w:w="20" w:type="dxa"/>
                  </w:tcMar>
                  <w:vAlign w:val="center"/>
                </w:tcPr>
                <w:p w14:paraId="361C6C61">
                  <w:pPr>
                    <w:pStyle w:val="78"/>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t>——</w:t>
                  </w:r>
                </w:p>
              </w:tc>
              <w:tc>
                <w:tcPr>
                  <w:tcW w:w="698" w:type="pct"/>
                  <w:tcBorders>
                    <w:tl2br w:val="nil"/>
                    <w:tr2bl w:val="nil"/>
                  </w:tcBorders>
                  <w:tcMar>
                    <w:top w:w="20" w:type="dxa"/>
                    <w:left w:w="20" w:type="dxa"/>
                    <w:bottom w:w="0" w:type="dxa"/>
                    <w:right w:w="20" w:type="dxa"/>
                  </w:tcMar>
                  <w:vAlign w:val="center"/>
                </w:tcPr>
                <w:p w14:paraId="1954F6A2">
                  <w:pPr>
                    <w:pStyle w:val="78"/>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t>1套</w:t>
                  </w:r>
                </w:p>
              </w:tc>
              <w:tc>
                <w:tcPr>
                  <w:tcW w:w="795" w:type="pct"/>
                  <w:vMerge w:val="restart"/>
                  <w:tcBorders>
                    <w:tl2br w:val="nil"/>
                    <w:tr2bl w:val="nil"/>
                  </w:tcBorders>
                  <w:tcMar>
                    <w:top w:w="20" w:type="dxa"/>
                    <w:left w:w="20" w:type="dxa"/>
                    <w:bottom w:w="0" w:type="dxa"/>
                    <w:right w:w="20" w:type="dxa"/>
                  </w:tcMar>
                  <w:vAlign w:val="center"/>
                </w:tcPr>
                <w:p w14:paraId="1C489C62">
                  <w:pPr>
                    <w:pStyle w:val="78"/>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t>监控设备</w:t>
                  </w:r>
                </w:p>
              </w:tc>
            </w:tr>
            <w:tr w14:paraId="2E15AC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13" w:type="pct"/>
                  <w:tcBorders>
                    <w:tl2br w:val="nil"/>
                    <w:tr2bl w:val="nil"/>
                  </w:tcBorders>
                  <w:tcMar>
                    <w:top w:w="20" w:type="dxa"/>
                    <w:left w:w="20" w:type="dxa"/>
                    <w:bottom w:w="0" w:type="dxa"/>
                    <w:right w:w="20" w:type="dxa"/>
                  </w:tcMar>
                  <w:vAlign w:val="center"/>
                </w:tcPr>
                <w:p w14:paraId="54CDB2F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7</w:t>
                  </w:r>
                </w:p>
              </w:tc>
              <w:tc>
                <w:tcPr>
                  <w:tcW w:w="1325" w:type="pct"/>
                  <w:tcBorders>
                    <w:tl2br w:val="nil"/>
                    <w:tr2bl w:val="nil"/>
                  </w:tcBorders>
                  <w:tcMar>
                    <w:top w:w="20" w:type="dxa"/>
                    <w:left w:w="20" w:type="dxa"/>
                    <w:bottom w:w="0" w:type="dxa"/>
                    <w:right w:w="20" w:type="dxa"/>
                  </w:tcMar>
                  <w:vAlign w:val="center"/>
                </w:tcPr>
                <w:p w14:paraId="7734D407">
                  <w:pPr>
                    <w:pStyle w:val="78"/>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t>防爆型摄像头</w:t>
                  </w:r>
                </w:p>
              </w:tc>
              <w:tc>
                <w:tcPr>
                  <w:tcW w:w="1866" w:type="pct"/>
                  <w:tcBorders>
                    <w:tl2br w:val="nil"/>
                    <w:tr2bl w:val="nil"/>
                  </w:tcBorders>
                  <w:tcMar>
                    <w:top w:w="20" w:type="dxa"/>
                    <w:left w:w="20" w:type="dxa"/>
                    <w:bottom w:w="0" w:type="dxa"/>
                    <w:right w:w="20" w:type="dxa"/>
                  </w:tcMar>
                  <w:vAlign w:val="center"/>
                </w:tcPr>
                <w:p w14:paraId="09DA6A1E">
                  <w:pPr>
                    <w:pStyle w:val="78"/>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t>——</w:t>
                  </w:r>
                </w:p>
              </w:tc>
              <w:tc>
                <w:tcPr>
                  <w:tcW w:w="698" w:type="pct"/>
                  <w:tcBorders>
                    <w:tl2br w:val="nil"/>
                    <w:tr2bl w:val="nil"/>
                  </w:tcBorders>
                  <w:tcMar>
                    <w:top w:w="20" w:type="dxa"/>
                    <w:left w:w="20" w:type="dxa"/>
                    <w:bottom w:w="0" w:type="dxa"/>
                    <w:right w:w="20" w:type="dxa"/>
                  </w:tcMar>
                  <w:vAlign w:val="center"/>
                </w:tcPr>
                <w:p w14:paraId="7F7D6882">
                  <w:pPr>
                    <w:pStyle w:val="78"/>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t>4个</w:t>
                  </w:r>
                </w:p>
              </w:tc>
              <w:tc>
                <w:tcPr>
                  <w:tcW w:w="795" w:type="pct"/>
                  <w:vMerge w:val="continue"/>
                  <w:tcBorders>
                    <w:tl2br w:val="nil"/>
                    <w:tr2bl w:val="nil"/>
                  </w:tcBorders>
                  <w:tcMar>
                    <w:top w:w="20" w:type="dxa"/>
                    <w:left w:w="20" w:type="dxa"/>
                    <w:bottom w:w="0" w:type="dxa"/>
                    <w:right w:w="20" w:type="dxa"/>
                  </w:tcMar>
                  <w:vAlign w:val="center"/>
                </w:tcPr>
                <w:p w14:paraId="1A398A10">
                  <w:pPr>
                    <w:pStyle w:val="78"/>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pPr>
                </w:p>
              </w:tc>
            </w:tr>
            <w:tr w14:paraId="219630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13" w:type="pct"/>
                  <w:tcBorders>
                    <w:tl2br w:val="nil"/>
                    <w:tr2bl w:val="nil"/>
                  </w:tcBorders>
                  <w:tcMar>
                    <w:top w:w="20" w:type="dxa"/>
                    <w:left w:w="20" w:type="dxa"/>
                    <w:bottom w:w="0" w:type="dxa"/>
                    <w:right w:w="20" w:type="dxa"/>
                  </w:tcMar>
                  <w:vAlign w:val="center"/>
                </w:tcPr>
                <w:p w14:paraId="6EA791C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t>8</w:t>
                  </w:r>
                </w:p>
              </w:tc>
              <w:tc>
                <w:tcPr>
                  <w:tcW w:w="1325" w:type="pct"/>
                  <w:tcBorders>
                    <w:tl2br w:val="nil"/>
                    <w:tr2bl w:val="nil"/>
                  </w:tcBorders>
                  <w:tcMar>
                    <w:top w:w="20" w:type="dxa"/>
                    <w:left w:w="20" w:type="dxa"/>
                    <w:bottom w:w="0" w:type="dxa"/>
                    <w:right w:w="20" w:type="dxa"/>
                  </w:tcMar>
                  <w:vAlign w:val="center"/>
                </w:tcPr>
                <w:p w14:paraId="720D20D7">
                  <w:pPr>
                    <w:pStyle w:val="78"/>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t>叉车</w:t>
                  </w:r>
                </w:p>
              </w:tc>
              <w:tc>
                <w:tcPr>
                  <w:tcW w:w="1866" w:type="pct"/>
                  <w:tcBorders>
                    <w:tl2br w:val="nil"/>
                    <w:tr2bl w:val="nil"/>
                  </w:tcBorders>
                  <w:tcMar>
                    <w:top w:w="20" w:type="dxa"/>
                    <w:left w:w="20" w:type="dxa"/>
                    <w:bottom w:w="0" w:type="dxa"/>
                    <w:right w:w="20" w:type="dxa"/>
                  </w:tcMar>
                  <w:vAlign w:val="center"/>
                </w:tcPr>
                <w:p w14:paraId="780BC3D8">
                  <w:pPr>
                    <w:pStyle w:val="78"/>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t>——</w:t>
                  </w:r>
                </w:p>
              </w:tc>
              <w:tc>
                <w:tcPr>
                  <w:tcW w:w="698" w:type="pct"/>
                  <w:tcBorders>
                    <w:tl2br w:val="nil"/>
                    <w:tr2bl w:val="nil"/>
                  </w:tcBorders>
                  <w:tcMar>
                    <w:top w:w="20" w:type="dxa"/>
                    <w:left w:w="20" w:type="dxa"/>
                    <w:bottom w:w="0" w:type="dxa"/>
                    <w:right w:w="20" w:type="dxa"/>
                  </w:tcMar>
                  <w:vAlign w:val="center"/>
                </w:tcPr>
                <w:p w14:paraId="6FFC0A77">
                  <w:pPr>
                    <w:pStyle w:val="78"/>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pPr>
                  <w:r>
                    <w:rPr>
                      <w:rFonts w:hint="eastAsia" w:cs="Times New Roman"/>
                      <w:bCs/>
                      <w:color w:val="000000" w:themeColor="text1"/>
                      <w:kern w:val="2"/>
                      <w:sz w:val="21"/>
                      <w:szCs w:val="21"/>
                      <w:highlight w:val="none"/>
                      <w:lang w:val="en-US" w:eastAsia="zh-CN"/>
                      <w14:textFill>
                        <w14:solidFill>
                          <w14:schemeClr w14:val="tx1"/>
                        </w14:solidFill>
                      </w14:textFill>
                    </w:rPr>
                    <w:t>1</w:t>
                  </w:r>
                  <w:r>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t>台</w:t>
                  </w:r>
                </w:p>
              </w:tc>
              <w:tc>
                <w:tcPr>
                  <w:tcW w:w="795" w:type="pct"/>
                  <w:tcBorders>
                    <w:tl2br w:val="nil"/>
                    <w:tr2bl w:val="nil"/>
                  </w:tcBorders>
                  <w:tcMar>
                    <w:top w:w="20" w:type="dxa"/>
                    <w:left w:w="20" w:type="dxa"/>
                    <w:bottom w:w="0" w:type="dxa"/>
                    <w:right w:w="20" w:type="dxa"/>
                  </w:tcMar>
                  <w:vAlign w:val="center"/>
                </w:tcPr>
                <w:p w14:paraId="6ED5C194">
                  <w:pPr>
                    <w:pStyle w:val="78"/>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14:textFill>
                        <w14:solidFill>
                          <w14:schemeClr w14:val="tx1"/>
                        </w14:solidFill>
                      </w14:textFill>
                    </w:rPr>
                    <w:t>生产设备</w:t>
                  </w:r>
                </w:p>
              </w:tc>
            </w:tr>
          </w:tbl>
          <w:p w14:paraId="55C897F6">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line="360" w:lineRule="auto"/>
              <w:ind w:firstLine="482" w:firstLineChars="200"/>
              <w:jc w:val="left"/>
              <w:textAlignment w:val="auto"/>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3、主要</w:t>
            </w:r>
            <w:r>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原辅材料</w:t>
            </w:r>
          </w:p>
          <w:p w14:paraId="4519E68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Cs/>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bCs/>
                <w:color w:val="000000" w:themeColor="text1"/>
                <w:sz w:val="24"/>
                <w:szCs w:val="24"/>
                <w:highlight w:val="none"/>
                <w:vertAlign w:val="baseline"/>
                <w:lang w:val="en-US" w:eastAsia="zh-CN"/>
                <w14:textFill>
                  <w14:solidFill>
                    <w14:schemeClr w14:val="tx1"/>
                  </w14:solidFill>
                </w14:textFill>
              </w:rPr>
              <w:t>本项目所需要的主要原辅材料及能源消耗情况见</w:t>
            </w:r>
            <w:r>
              <w:rPr>
                <w:rFonts w:hint="eastAsia" w:cs="Times New Roman"/>
                <w:bCs/>
                <w:color w:val="000000" w:themeColor="text1"/>
                <w:sz w:val="24"/>
                <w:szCs w:val="24"/>
                <w:highlight w:val="none"/>
                <w:vertAlign w:val="baseline"/>
                <w:lang w:val="en-US" w:eastAsia="zh-CN"/>
                <w14:textFill>
                  <w14:solidFill>
                    <w14:schemeClr w14:val="tx1"/>
                  </w14:solidFill>
                </w14:textFill>
              </w:rPr>
              <w:t>下</w:t>
            </w:r>
            <w:r>
              <w:rPr>
                <w:rFonts w:hint="default" w:ascii="Times New Roman" w:hAnsi="Times New Roman" w:eastAsia="宋体" w:cs="Times New Roman"/>
                <w:bCs/>
                <w:color w:val="000000" w:themeColor="text1"/>
                <w:sz w:val="24"/>
                <w:szCs w:val="24"/>
                <w:highlight w:val="none"/>
                <w:vertAlign w:val="baseline"/>
                <w:lang w:val="en-US" w:eastAsia="zh-CN"/>
                <w14:textFill>
                  <w14:solidFill>
                    <w14:schemeClr w14:val="tx1"/>
                  </w14:solidFill>
                </w14:textFill>
              </w:rPr>
              <w:t>表所示。</w:t>
            </w:r>
          </w:p>
          <w:p w14:paraId="18E05662">
            <w:pPr>
              <w:keepNext w:val="0"/>
              <w:keepLines w:val="0"/>
              <w:pageBreakBefore w:val="0"/>
              <w:widowControl w:val="0"/>
              <w:kinsoku/>
              <w:wordWrap/>
              <w:overflowPunct/>
              <w:topLinePunct w:val="0"/>
              <w:autoSpaceDE/>
              <w:autoSpaceDN/>
              <w:bidi w:val="0"/>
              <w:adjustRightInd w:val="0"/>
              <w:snapToGrid w:val="0"/>
              <w:spacing w:line="240" w:lineRule="auto"/>
              <w:ind w:firstLine="482" w:firstLineChars="200"/>
              <w:jc w:val="center"/>
              <w:textAlignment w:val="auto"/>
              <w:rPr>
                <w:rFonts w:hint="default" w:ascii="Times New Roman" w:hAnsi="Times New Roman" w:eastAsia="宋体" w:cs="Times New Roman"/>
                <w:b/>
                <w:bCs w:val="0"/>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b/>
                <w:bCs w:val="0"/>
                <w:color w:val="000000" w:themeColor="text1"/>
                <w:sz w:val="24"/>
                <w:szCs w:val="24"/>
                <w:highlight w:val="none"/>
                <w:vertAlign w:val="baseline"/>
                <w:lang w:val="en-US" w:eastAsia="zh-CN"/>
                <w14:textFill>
                  <w14:solidFill>
                    <w14:schemeClr w14:val="tx1"/>
                  </w14:solidFill>
                </w14:textFill>
              </w:rPr>
              <w:t>表2.</w:t>
            </w:r>
            <w:r>
              <w:rPr>
                <w:rFonts w:hint="eastAsia" w:cs="Times New Roman"/>
                <w:b/>
                <w:bCs w:val="0"/>
                <w:color w:val="000000" w:themeColor="text1"/>
                <w:sz w:val="24"/>
                <w:szCs w:val="24"/>
                <w:highlight w:val="none"/>
                <w:vertAlign w:val="baseline"/>
                <w:lang w:val="en-US" w:eastAsia="zh-CN"/>
                <w14:textFill>
                  <w14:solidFill>
                    <w14:schemeClr w14:val="tx1"/>
                  </w14:solidFill>
                </w14:textFill>
              </w:rPr>
              <w:t>3</w:t>
            </w:r>
            <w:r>
              <w:rPr>
                <w:rFonts w:hint="default" w:ascii="Times New Roman" w:hAnsi="Times New Roman" w:eastAsia="宋体" w:cs="Times New Roman"/>
                <w:b/>
                <w:bCs w:val="0"/>
                <w:color w:val="000000" w:themeColor="text1"/>
                <w:sz w:val="24"/>
                <w:szCs w:val="24"/>
                <w:highlight w:val="none"/>
                <w:vertAlign w:val="baseline"/>
                <w:lang w:val="en-US" w:eastAsia="zh-CN"/>
                <w14:textFill>
                  <w14:solidFill>
                    <w14:schemeClr w14:val="tx1"/>
                  </w14:solidFill>
                </w14:textFill>
              </w:rPr>
              <w:t xml:space="preserve"> 主要原辅材料一览表</w:t>
            </w:r>
          </w:p>
          <w:tbl>
            <w:tblPr>
              <w:tblStyle w:val="29"/>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42"/>
              <w:gridCol w:w="1435"/>
              <w:gridCol w:w="4616"/>
            </w:tblGrid>
            <w:tr w14:paraId="1D7105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61" w:type="pct"/>
                  <w:tcBorders>
                    <w:tl2br w:val="nil"/>
                    <w:tr2bl w:val="nil"/>
                  </w:tcBorders>
                  <w:noWrap w:val="0"/>
                  <w:vAlign w:val="center"/>
                </w:tcPr>
                <w:p w14:paraId="329E87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主要原辅材料</w:t>
                  </w:r>
                </w:p>
              </w:tc>
              <w:tc>
                <w:tcPr>
                  <w:tcW w:w="886" w:type="pct"/>
                  <w:tcBorders>
                    <w:tl2br w:val="nil"/>
                    <w:tr2bl w:val="nil"/>
                  </w:tcBorders>
                  <w:noWrap w:val="0"/>
                  <w:vAlign w:val="center"/>
                </w:tcPr>
                <w:p w14:paraId="132DCC9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用量</w:t>
                  </w:r>
                </w:p>
              </w:tc>
              <w:tc>
                <w:tcPr>
                  <w:tcW w:w="2851" w:type="pct"/>
                  <w:tcBorders>
                    <w:tl2br w:val="nil"/>
                    <w:tr2bl w:val="nil"/>
                  </w:tcBorders>
                  <w:noWrap w:val="0"/>
                  <w:vAlign w:val="center"/>
                </w:tcPr>
                <w:p w14:paraId="08D7329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备注</w:t>
                  </w:r>
                </w:p>
              </w:tc>
            </w:tr>
            <w:tr w14:paraId="03162C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61" w:type="pct"/>
                  <w:tcBorders>
                    <w:tl2br w:val="nil"/>
                    <w:tr2bl w:val="nil"/>
                  </w:tcBorders>
                  <w:noWrap w:val="0"/>
                  <w:vAlign w:val="center"/>
                </w:tcPr>
                <w:p w14:paraId="5326E2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吨袋</w:t>
                  </w:r>
                </w:p>
              </w:tc>
              <w:tc>
                <w:tcPr>
                  <w:tcW w:w="886" w:type="pct"/>
                  <w:tcBorders>
                    <w:tl2br w:val="nil"/>
                    <w:tr2bl w:val="nil"/>
                  </w:tcBorders>
                  <w:noWrap w:val="0"/>
                  <w:vAlign w:val="center"/>
                </w:tcPr>
                <w:p w14:paraId="0A536C4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z w:val="21"/>
                      <w:szCs w:val="21"/>
                      <w:highlight w:val="none"/>
                      <w:vertAlign w:val="baseline"/>
                      <w:lang w:val="en-US" w:eastAsia="zh-CN"/>
                      <w14:textFill>
                        <w14:solidFill>
                          <w14:schemeClr w14:val="tx1"/>
                        </w14:solidFill>
                      </w14:textFill>
                    </w:rPr>
                    <w:t>50</w:t>
                  </w: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个</w:t>
                  </w:r>
                </w:p>
              </w:tc>
              <w:tc>
                <w:tcPr>
                  <w:tcW w:w="2851" w:type="pct"/>
                  <w:tcBorders>
                    <w:tl2br w:val="nil"/>
                    <w:tr2bl w:val="nil"/>
                  </w:tcBorders>
                  <w:noWrap w:val="0"/>
                  <w:vAlign w:val="center"/>
                </w:tcPr>
                <w:p w14:paraId="47D5672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外购，尼龙材质，储存固体废物，用于应急储存。</w:t>
                  </w:r>
                </w:p>
              </w:tc>
            </w:tr>
            <w:tr w14:paraId="5F4681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61" w:type="pct"/>
                  <w:tcBorders>
                    <w:tl2br w:val="nil"/>
                    <w:tr2bl w:val="nil"/>
                  </w:tcBorders>
                  <w:noWrap w:val="0"/>
                  <w:vAlign w:val="center"/>
                </w:tcPr>
                <w:p w14:paraId="2F769C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吨桶</w:t>
                  </w:r>
                </w:p>
              </w:tc>
              <w:tc>
                <w:tcPr>
                  <w:tcW w:w="886" w:type="pct"/>
                  <w:tcBorders>
                    <w:tl2br w:val="nil"/>
                    <w:tr2bl w:val="nil"/>
                  </w:tcBorders>
                  <w:noWrap w:val="0"/>
                  <w:vAlign w:val="center"/>
                </w:tcPr>
                <w:p w14:paraId="418DDE1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2</w:t>
                  </w:r>
                  <w:r>
                    <w:rPr>
                      <w:rFonts w:hint="eastAsia" w:cs="Times New Roman"/>
                      <w:b w:val="0"/>
                      <w:bCs/>
                      <w:color w:val="000000" w:themeColor="text1"/>
                      <w:sz w:val="21"/>
                      <w:szCs w:val="21"/>
                      <w:highlight w:val="none"/>
                      <w:vertAlign w:val="baseline"/>
                      <w:lang w:val="en-US" w:eastAsia="zh-CN"/>
                      <w14:textFill>
                        <w14:solidFill>
                          <w14:schemeClr w14:val="tx1"/>
                        </w14:solidFill>
                      </w14:textFill>
                    </w:rPr>
                    <w:t>0</w:t>
                  </w: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个</w:t>
                  </w:r>
                </w:p>
              </w:tc>
              <w:tc>
                <w:tcPr>
                  <w:tcW w:w="2851" w:type="pct"/>
                  <w:tcBorders>
                    <w:tl2br w:val="nil"/>
                    <w:tr2bl w:val="nil"/>
                  </w:tcBorders>
                  <w:noWrap w:val="0"/>
                  <w:vAlign w:val="center"/>
                </w:tcPr>
                <w:p w14:paraId="7458703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外购，塑料材质，储存液体废物，</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用于应急储存。</w:t>
                  </w:r>
                </w:p>
              </w:tc>
            </w:tr>
            <w:tr w14:paraId="3B83E0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61" w:type="pct"/>
                  <w:tcBorders>
                    <w:tl2br w:val="nil"/>
                    <w:tr2bl w:val="nil"/>
                  </w:tcBorders>
                  <w:noWrap w:val="0"/>
                  <w:vAlign w:val="center"/>
                </w:tcPr>
                <w:p w14:paraId="16315EE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铁桶</w:t>
                  </w:r>
                </w:p>
              </w:tc>
              <w:tc>
                <w:tcPr>
                  <w:tcW w:w="886" w:type="pct"/>
                  <w:tcBorders>
                    <w:tl2br w:val="nil"/>
                    <w:tr2bl w:val="nil"/>
                  </w:tcBorders>
                  <w:noWrap w:val="0"/>
                  <w:vAlign w:val="center"/>
                </w:tcPr>
                <w:p w14:paraId="1FBC457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z w:val="21"/>
                      <w:szCs w:val="21"/>
                      <w:highlight w:val="none"/>
                      <w:vertAlign w:val="baseline"/>
                      <w:lang w:val="en-US" w:eastAsia="zh-CN"/>
                      <w14:textFill>
                        <w14:solidFill>
                          <w14:schemeClr w14:val="tx1"/>
                        </w14:solidFill>
                      </w14:textFill>
                    </w:rPr>
                    <w:t>50</w:t>
                  </w: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个</w:t>
                  </w:r>
                </w:p>
              </w:tc>
              <w:tc>
                <w:tcPr>
                  <w:tcW w:w="2851" w:type="pct"/>
                  <w:tcBorders>
                    <w:tl2br w:val="nil"/>
                    <w:tr2bl w:val="nil"/>
                  </w:tcBorders>
                  <w:noWrap w:val="0"/>
                  <w:vAlign w:val="center"/>
                </w:tcPr>
                <w:p w14:paraId="61ACBAC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外购，铁质，储存液体废物，</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用于应急储存。</w:t>
                  </w:r>
                </w:p>
              </w:tc>
            </w:tr>
            <w:tr w14:paraId="1AF0F4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61" w:type="pct"/>
                  <w:tcBorders>
                    <w:tl2br w:val="nil"/>
                    <w:tr2bl w:val="nil"/>
                  </w:tcBorders>
                  <w:noWrap w:val="0"/>
                  <w:vAlign w:val="center"/>
                </w:tcPr>
                <w:p w14:paraId="041002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活性炭</w:t>
                  </w:r>
                </w:p>
              </w:tc>
              <w:tc>
                <w:tcPr>
                  <w:tcW w:w="886" w:type="pct"/>
                  <w:tcBorders>
                    <w:tl2br w:val="nil"/>
                    <w:tr2bl w:val="nil"/>
                  </w:tcBorders>
                  <w:noWrap w:val="0"/>
                  <w:vAlign w:val="center"/>
                </w:tcPr>
                <w:p w14:paraId="1854C5E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z w:val="21"/>
                      <w:szCs w:val="21"/>
                      <w:highlight w:val="none"/>
                      <w:vertAlign w:val="baseline"/>
                      <w:lang w:val="en-US" w:eastAsia="zh-CN"/>
                      <w14:textFill>
                        <w14:solidFill>
                          <w14:schemeClr w14:val="tx1"/>
                        </w14:solidFill>
                      </w14:textFill>
                    </w:rPr>
                    <w:t>8.0</w:t>
                  </w: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t/a</w:t>
                  </w:r>
                </w:p>
              </w:tc>
              <w:tc>
                <w:tcPr>
                  <w:tcW w:w="2851" w:type="pct"/>
                  <w:tcBorders>
                    <w:tl2br w:val="nil"/>
                    <w:tr2bl w:val="nil"/>
                  </w:tcBorders>
                  <w:noWrap w:val="0"/>
                  <w:vAlign w:val="center"/>
                </w:tcPr>
                <w:p w14:paraId="215F64A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外购，用于活性炭吸附装置</w:t>
                  </w:r>
                </w:p>
              </w:tc>
            </w:tr>
            <w:tr w14:paraId="1296BB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61" w:type="pct"/>
                  <w:tcBorders>
                    <w:tl2br w:val="nil"/>
                    <w:tr2bl w:val="nil"/>
                  </w:tcBorders>
                  <w:noWrap w:val="0"/>
                  <w:vAlign w:val="center"/>
                </w:tcPr>
                <w:p w14:paraId="5EECABB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片碱（NaOH）</w:t>
                  </w:r>
                </w:p>
              </w:tc>
              <w:tc>
                <w:tcPr>
                  <w:tcW w:w="886" w:type="pct"/>
                  <w:tcBorders>
                    <w:tl2br w:val="nil"/>
                    <w:tr2bl w:val="nil"/>
                  </w:tcBorders>
                  <w:noWrap w:val="0"/>
                  <w:vAlign w:val="center"/>
                </w:tcPr>
                <w:p w14:paraId="436DD36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z w:val="21"/>
                      <w:szCs w:val="21"/>
                      <w:highlight w:val="none"/>
                      <w:vertAlign w:val="baseline"/>
                      <w:lang w:val="en-US" w:eastAsia="zh-CN"/>
                      <w14:textFill>
                        <w14:solidFill>
                          <w14:schemeClr w14:val="tx1"/>
                        </w14:solidFill>
                      </w14:textFill>
                    </w:rPr>
                    <w:t>0.65</w:t>
                  </w: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t/a</w:t>
                  </w:r>
                </w:p>
              </w:tc>
              <w:tc>
                <w:tcPr>
                  <w:tcW w:w="2851" w:type="pct"/>
                  <w:tcBorders>
                    <w:tl2br w:val="nil"/>
                    <w:tr2bl w:val="nil"/>
                  </w:tcBorders>
                  <w:noWrap w:val="0"/>
                  <w:vAlign w:val="center"/>
                </w:tcPr>
                <w:p w14:paraId="696FF24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外购，用于碱液喷淋吸附装置</w:t>
                  </w:r>
                </w:p>
              </w:tc>
            </w:tr>
          </w:tbl>
          <w:p w14:paraId="07411D5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公</w:t>
            </w:r>
            <w:r>
              <w:rPr>
                <w:rFonts w:hint="eastAsia" w:cs="Times New Roman"/>
                <w:b/>
                <w:bCs w:val="0"/>
                <w:color w:val="000000" w:themeColor="text1"/>
                <w:sz w:val="24"/>
                <w:szCs w:val="24"/>
                <w:highlight w:val="none"/>
                <w:lang w:val="en-US" w:eastAsia="zh-CN"/>
                <w14:textFill>
                  <w14:solidFill>
                    <w14:schemeClr w14:val="tx1"/>
                  </w14:solidFill>
                </w14:textFill>
              </w:rPr>
              <w:t>用</w:t>
            </w:r>
            <w:r>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工程</w:t>
            </w:r>
          </w:p>
          <w:p w14:paraId="595F662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Cs/>
                <w:color w:val="000000" w:themeColor="text1"/>
                <w:sz w:val="24"/>
                <w:szCs w:val="24"/>
                <w:highlight w:val="none"/>
                <w:vertAlign w:val="baseline"/>
                <w:lang w:val="en-US" w:eastAsia="zh-CN"/>
                <w14:textFill>
                  <w14:solidFill>
                    <w14:schemeClr w14:val="tx1"/>
                  </w14:solidFill>
                </w14:textFill>
              </w:rPr>
            </w:pPr>
            <w:r>
              <w:rPr>
                <w:rFonts w:hint="eastAsia" w:ascii="Times New Roman" w:hAnsi="Times New Roman" w:eastAsia="宋体" w:cs="Times New Roman"/>
                <w:bCs/>
                <w:color w:val="000000" w:themeColor="text1"/>
                <w:sz w:val="24"/>
                <w:szCs w:val="24"/>
                <w:highlight w:val="none"/>
                <w:vertAlign w:val="baseline"/>
                <w:lang w:val="en-US" w:eastAsia="zh-CN"/>
                <w14:textFill>
                  <w14:solidFill>
                    <w14:schemeClr w14:val="tx1"/>
                  </w14:solidFill>
                </w14:textFill>
              </w:rPr>
              <w:t>1）给水</w:t>
            </w:r>
          </w:p>
          <w:p w14:paraId="56059AF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Cs/>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bCs/>
                <w:color w:val="000000" w:themeColor="text1"/>
                <w:sz w:val="24"/>
                <w:szCs w:val="24"/>
                <w:highlight w:val="none"/>
                <w:vertAlign w:val="baseline"/>
                <w:lang w:val="en-US" w:eastAsia="zh-CN"/>
                <w14:textFill>
                  <w14:solidFill>
                    <w14:schemeClr w14:val="tx1"/>
                  </w14:solidFill>
                </w14:textFill>
              </w:rPr>
              <w:t>本项目用水主要为生活用水及碱液喷淋装置补充水。</w:t>
            </w:r>
            <w:r>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本项目</w:t>
            </w:r>
            <w:r>
              <w:rPr>
                <w:rFonts w:hint="eastAsia" w:cs="Times New Roman"/>
                <w:bCs/>
                <w:color w:val="000000" w:themeColor="text1"/>
                <w:sz w:val="24"/>
                <w:szCs w:val="24"/>
                <w:highlight w:val="none"/>
                <w:shd w:val="clear" w:color="auto" w:fill="auto"/>
                <w:lang w:val="en-US" w:eastAsia="zh-CN"/>
                <w14:textFill>
                  <w14:solidFill>
                    <w14:schemeClr w14:val="tx1"/>
                  </w14:solidFill>
                </w14:textFill>
              </w:rPr>
              <w:t>生活用水由市政供水管网</w:t>
            </w:r>
            <w:r>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供给。</w:t>
            </w:r>
          </w:p>
          <w:p w14:paraId="6B5B115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Cs/>
                <w:color w:val="000000" w:themeColor="text1"/>
                <w:sz w:val="24"/>
                <w:szCs w:val="24"/>
                <w:highlight w:val="none"/>
                <w:vertAlign w:val="baseline"/>
                <w:lang w:val="en-US" w:eastAsia="zh-CN"/>
                <w14:textFill>
                  <w14:solidFill>
                    <w14:schemeClr w14:val="tx1"/>
                  </w14:solidFill>
                </w14:textFill>
              </w:rPr>
            </w:pPr>
            <w:r>
              <w:rPr>
                <w:rFonts w:hint="eastAsia" w:ascii="Times New Roman" w:hAnsi="Times New Roman" w:eastAsia="宋体" w:cs="Times New Roman"/>
                <w:bCs/>
                <w:color w:val="000000" w:themeColor="text1"/>
                <w:sz w:val="24"/>
                <w:szCs w:val="24"/>
                <w:highlight w:val="none"/>
                <w:vertAlign w:val="baseline"/>
                <w:lang w:val="en-US" w:eastAsia="zh-CN"/>
                <w14:textFill>
                  <w14:solidFill>
                    <w14:schemeClr w14:val="tx1"/>
                  </w14:solidFill>
                </w14:textFill>
              </w:rPr>
              <w:t>（1）生活用水</w:t>
            </w:r>
          </w:p>
          <w:p w14:paraId="5580B3BC">
            <w:pPr>
              <w:adjustRightInd w:val="0"/>
              <w:snapToGrid w:val="0"/>
              <w:spacing w:line="360" w:lineRule="auto"/>
              <w:ind w:firstLine="480" w:firstLineChars="200"/>
              <w:rPr>
                <w:rFonts w:hint="default" w:ascii="Times New Roman" w:hAnsi="Times New Roman" w:eastAsia="宋体" w:cs="Times New Roman"/>
                <w:bCs/>
                <w:color w:val="000000" w:themeColor="text1"/>
                <w:sz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本项目建成后工作人员共</w:t>
            </w:r>
            <w:r>
              <w:rPr>
                <w:rFonts w:hint="eastAsia"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6</w:t>
            </w:r>
            <w:r>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人，年工作</w:t>
            </w:r>
            <w:r>
              <w:rPr>
                <w:rFonts w:hint="eastAsia"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340</w:t>
            </w:r>
            <w:r>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d，</w:t>
            </w:r>
            <w:r>
              <w:rPr>
                <w:rFonts w:hint="default" w:ascii="Times New Roman" w:hAnsi="Times New Roman" w:eastAsia="宋体" w:cs="Times New Roman"/>
                <w:bCs/>
                <w:color w:val="000000" w:themeColor="text1"/>
                <w:sz w:val="24"/>
                <w:highlight w:val="none"/>
                <w14:textFill>
                  <w14:solidFill>
                    <w14:schemeClr w14:val="tx1"/>
                  </w14:solidFill>
                </w14:textFill>
              </w:rPr>
              <w:t>依据《黑龙江省地方标准用水定额》（DB23/T727-2025），生活用水量按80L/人·d计算，生活用水量为</w:t>
            </w:r>
            <w:r>
              <w:rPr>
                <w:rFonts w:hint="default" w:ascii="Times New Roman" w:hAnsi="Times New Roman" w:eastAsia="宋体" w:cs="Times New Roman"/>
                <w:bCs/>
                <w:color w:val="000000" w:themeColor="text1"/>
                <w:sz w:val="24"/>
                <w:highlight w:val="none"/>
                <w:lang w:val="en-US" w:eastAsia="zh-CN"/>
                <w14:textFill>
                  <w14:solidFill>
                    <w14:schemeClr w14:val="tx1"/>
                  </w14:solidFill>
                </w14:textFill>
              </w:rPr>
              <w:t>0.48</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w:t>
            </w:r>
            <w:r>
              <w:rPr>
                <w:rFonts w:hint="default" w:ascii="Times New Roman" w:hAnsi="Times New Roman" w:eastAsia="宋体" w:cs="Times New Roman"/>
                <w:bCs/>
                <w:color w:val="000000" w:themeColor="text1"/>
                <w:sz w:val="24"/>
                <w:highlight w:val="none"/>
                <w14:textFill>
                  <w14:solidFill>
                    <w14:schemeClr w14:val="tx1"/>
                  </w14:solidFill>
                </w14:textFill>
              </w:rPr>
              <w:t>，</w:t>
            </w:r>
            <w:r>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t>163.2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bCs/>
                <w:color w:val="000000" w:themeColor="text1"/>
                <w:sz w:val="24"/>
                <w:highlight w:val="none"/>
                <w14:textFill>
                  <w14:solidFill>
                    <w14:schemeClr w14:val="tx1"/>
                  </w14:solidFill>
                </w14:textFill>
              </w:rPr>
              <w:t>/a。</w:t>
            </w:r>
          </w:p>
          <w:p w14:paraId="5C43A2C6">
            <w:pPr>
              <w:pStyle w:val="2"/>
              <w:ind w:firstLine="480" w:firstLineChars="200"/>
              <w:rPr>
                <w:rFonts w:hint="default" w:eastAsia="宋体"/>
                <w:color w:val="000000" w:themeColor="text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sz w:val="24"/>
                <w:highlight w:val="none"/>
                <w:lang w:eastAsia="zh-CN"/>
                <w14:textFill>
                  <w14:solidFill>
                    <w14:schemeClr w14:val="tx1"/>
                  </w14:solidFill>
                </w14:textFill>
              </w:rPr>
              <w:t>（</w:t>
            </w:r>
            <w:r>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t>2</w:t>
            </w:r>
            <w:r>
              <w:rPr>
                <w:rFonts w:hint="eastAsia" w:ascii="Times New Roman" w:hAnsi="Times New Roman" w:eastAsia="宋体" w:cs="Times New Roman"/>
                <w:bCs/>
                <w:color w:val="000000" w:themeColor="text1"/>
                <w:sz w:val="24"/>
                <w:highlight w:val="none"/>
                <w:lang w:eastAsia="zh-CN"/>
                <w14:textFill>
                  <w14:solidFill>
                    <w14:schemeClr w14:val="tx1"/>
                  </w14:solidFill>
                </w14:textFill>
              </w:rPr>
              <w:t>）</w:t>
            </w:r>
            <w:r>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t>碱液用水</w:t>
            </w:r>
          </w:p>
          <w:p w14:paraId="6FC30ED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碱液喷淋塔补充水：项目设置1台碱液喷淋塔对贮存区酸性气体进行吸收处理，</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碱喷淋塔365天24小时运行，片碱根据pH值投加，当pH值低时投加片碱，根据建设单位提供数据，片碱约每</w:t>
            </w:r>
            <w:r>
              <w:rPr>
                <w:rFonts w:hint="eastAsia" w:cs="Times New Roman"/>
                <w:color w:val="000000" w:themeColor="text1"/>
                <w:sz w:val="24"/>
                <w:szCs w:val="24"/>
                <w:highlight w:val="none"/>
                <w:lang w:val="en-US" w:eastAsia="zh-CN"/>
                <w14:textFill>
                  <w14:solidFill>
                    <w14:schemeClr w14:val="tx1"/>
                  </w14:solidFill>
                </w14:textFill>
              </w:rPr>
              <w:t>两</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周投加一次，用水量为2.0t/次，</w:t>
            </w:r>
            <w:r>
              <w:rPr>
                <w:rFonts w:hint="eastAsia" w:cs="Times New Roman"/>
                <w:b w:val="0"/>
                <w:bCs w:val="0"/>
                <w:color w:val="000000" w:themeColor="text1"/>
                <w:sz w:val="24"/>
                <w:szCs w:val="24"/>
                <w:highlight w:val="none"/>
                <w:lang w:val="en-US" w:eastAsia="zh-CN"/>
                <w14:textFill>
                  <w14:solidFill>
                    <w14:schemeClr w14:val="tx1"/>
                  </w14:solidFill>
                </w14:textFill>
              </w:rPr>
              <w:t>0.1428</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m</w:t>
            </w:r>
            <w:r>
              <w:rPr>
                <w:rFonts w:hint="default" w:ascii="Times New Roman" w:hAnsi="Times New Roman" w:eastAsia="宋体" w:cs="Times New Roman"/>
                <w:b w:val="0"/>
                <w:bCs w:val="0"/>
                <w:color w:val="000000" w:themeColor="text1"/>
                <w:sz w:val="24"/>
                <w:szCs w:val="24"/>
                <w:highlight w:val="none"/>
                <w:vertAlign w:val="superscript"/>
                <w14:textFill>
                  <w14:solidFill>
                    <w14:schemeClr w14:val="tx1"/>
                  </w14:solidFill>
                </w14:textFill>
              </w:rPr>
              <w:t>3</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d</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52.14</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t/a，</w:t>
            </w:r>
            <w:r>
              <w:rPr>
                <w:rFonts w:hint="default" w:ascii="Times New Roman" w:hAnsi="Times New Roman" w:eastAsia="宋体" w:cs="Times New Roman"/>
                <w:color w:val="000000" w:themeColor="text1"/>
                <w:sz w:val="24"/>
                <w:szCs w:val="24"/>
                <w:highlight w:val="none"/>
                <w14:textFill>
                  <w14:solidFill>
                    <w14:schemeClr w14:val="tx1"/>
                  </w14:solidFill>
                </w14:textFill>
              </w:rPr>
              <w:t>碱液循环使用</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不外排</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6BC48C2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全厂用水量计算见</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下</w:t>
            </w:r>
            <w:r>
              <w:rPr>
                <w:rFonts w:hint="default" w:ascii="Times New Roman" w:hAnsi="Times New Roman" w:eastAsia="宋体" w:cs="Times New Roman"/>
                <w:color w:val="000000" w:themeColor="text1"/>
                <w:sz w:val="24"/>
                <w:szCs w:val="24"/>
                <w:highlight w:val="none"/>
                <w14:textFill>
                  <w14:solidFill>
                    <w14:schemeClr w14:val="tx1"/>
                  </w14:solidFill>
                </w14:textFill>
              </w:rPr>
              <w:t>表。</w:t>
            </w:r>
          </w:p>
          <w:p w14:paraId="144030DB">
            <w:pPr>
              <w:keepNext w:val="0"/>
              <w:keepLines w:val="0"/>
              <w:pageBreakBefore w:val="0"/>
              <w:widowControl w:val="0"/>
              <w:kinsoku/>
              <w:wordWrap/>
              <w:overflowPunct/>
              <w:topLinePunct w:val="0"/>
              <w:autoSpaceDE/>
              <w:autoSpaceDN/>
              <w:bidi w:val="0"/>
              <w:adjustRightInd/>
              <w:snapToGrid/>
              <w:spacing w:line="240" w:lineRule="auto"/>
              <w:ind w:firstLine="562" w:firstLineChars="200"/>
              <w:jc w:val="center"/>
              <w:textAlignment w:val="auto"/>
              <w:rPr>
                <w:rFonts w:hint="default" w:ascii="Times New Roman" w:hAnsi="Times New Roman" w:eastAsia="宋体" w:cs="Times New Roman"/>
                <w:b/>
                <w:bCs/>
                <w:color w:val="000000" w:themeColor="text1"/>
                <w:spacing w:val="20"/>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pacing w:val="20"/>
                <w:sz w:val="24"/>
                <w:szCs w:val="24"/>
                <w:highlight w:val="none"/>
                <w14:textFill>
                  <w14:solidFill>
                    <w14:schemeClr w14:val="tx1"/>
                  </w14:solidFill>
                </w14:textFill>
              </w:rPr>
              <w:t>表</w:t>
            </w:r>
            <w:r>
              <w:rPr>
                <w:rFonts w:hint="default" w:ascii="Times New Roman" w:hAnsi="Times New Roman" w:eastAsia="宋体" w:cs="Times New Roman"/>
                <w:b/>
                <w:bCs/>
                <w:color w:val="000000" w:themeColor="text1"/>
                <w:spacing w:val="20"/>
                <w:sz w:val="24"/>
                <w:szCs w:val="24"/>
                <w:highlight w:val="none"/>
                <w:lang w:val="en-US" w:eastAsia="zh-CN"/>
                <w14:textFill>
                  <w14:solidFill>
                    <w14:schemeClr w14:val="tx1"/>
                  </w14:solidFill>
                </w14:textFill>
              </w:rPr>
              <w:t>2.</w:t>
            </w:r>
            <w:r>
              <w:rPr>
                <w:rFonts w:hint="eastAsia" w:cs="Times New Roman"/>
                <w:b/>
                <w:bCs/>
                <w:color w:val="000000" w:themeColor="text1"/>
                <w:spacing w:val="20"/>
                <w:sz w:val="24"/>
                <w:szCs w:val="24"/>
                <w:highlight w:val="none"/>
                <w:lang w:val="en-US" w:eastAsia="zh-CN"/>
                <w14:textFill>
                  <w14:solidFill>
                    <w14:schemeClr w14:val="tx1"/>
                  </w14:solidFill>
                </w14:textFill>
              </w:rPr>
              <w:t>4</w:t>
            </w:r>
            <w:r>
              <w:rPr>
                <w:rFonts w:hint="default" w:ascii="Times New Roman" w:hAnsi="Times New Roman" w:eastAsia="宋体" w:cs="Times New Roman"/>
                <w:b/>
                <w:bCs/>
                <w:color w:val="000000" w:themeColor="text1"/>
                <w:spacing w:val="20"/>
                <w:sz w:val="24"/>
                <w:szCs w:val="24"/>
                <w:highlight w:val="none"/>
                <w14:textFill>
                  <w14:solidFill>
                    <w14:schemeClr w14:val="tx1"/>
                  </w14:solidFill>
                </w14:textFill>
              </w:rPr>
              <w:t xml:space="preserve"> 全厂用水情况一览表</w:t>
            </w:r>
          </w:p>
          <w:tbl>
            <w:tblPr>
              <w:tblStyle w:val="28"/>
              <w:tblW w:w="813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20"/>
              <w:gridCol w:w="2687"/>
              <w:gridCol w:w="1520"/>
              <w:gridCol w:w="1412"/>
              <w:gridCol w:w="1599"/>
            </w:tblGrid>
            <w:tr w14:paraId="24E1F3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920" w:type="dxa"/>
                  <w:tcBorders>
                    <w:tl2br w:val="nil"/>
                    <w:tr2bl w:val="nil"/>
                  </w:tcBorders>
                  <w:noWrap w:val="0"/>
                  <w:vAlign w:val="center"/>
                </w:tcPr>
                <w:p w14:paraId="033AC8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序号</w:t>
                  </w:r>
                </w:p>
              </w:tc>
              <w:tc>
                <w:tcPr>
                  <w:tcW w:w="2687" w:type="dxa"/>
                  <w:tcBorders>
                    <w:tl2br w:val="nil"/>
                    <w:tr2bl w:val="nil"/>
                  </w:tcBorders>
                  <w:noWrap w:val="0"/>
                  <w:vAlign w:val="center"/>
                </w:tcPr>
                <w:p w14:paraId="6AFAB94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rPr>
                      <w:rFonts w:hint="default" w:ascii="Times New Roman" w:hAnsi="Times New Roman" w:eastAsia="宋体" w:cs="Times New Roman"/>
                      <w:b/>
                      <w:color w:val="000000" w:themeColor="text1"/>
                      <w:sz w:val="21"/>
                      <w:szCs w:val="21"/>
                      <w:highlight w:val="none"/>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用水工序</w:t>
                  </w:r>
                </w:p>
              </w:tc>
              <w:tc>
                <w:tcPr>
                  <w:tcW w:w="1520" w:type="dxa"/>
                  <w:tcBorders>
                    <w:tl2br w:val="nil"/>
                    <w:tr2bl w:val="nil"/>
                  </w:tcBorders>
                  <w:noWrap w:val="0"/>
                  <w:vAlign w:val="center"/>
                </w:tcPr>
                <w:p w14:paraId="2AA85A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用水来源</w:t>
                  </w:r>
                </w:p>
              </w:tc>
              <w:tc>
                <w:tcPr>
                  <w:tcW w:w="1412" w:type="dxa"/>
                  <w:tcBorders>
                    <w:tl2br w:val="nil"/>
                    <w:tr2bl w:val="nil"/>
                  </w:tcBorders>
                  <w:noWrap w:val="0"/>
                  <w:vAlign w:val="center"/>
                </w:tcPr>
                <w:p w14:paraId="5C36816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用水量（m</w:t>
                  </w:r>
                  <w:r>
                    <w:rPr>
                      <w:rFonts w:hint="default" w:ascii="Times New Roman" w:hAnsi="Times New Roman" w:eastAsia="宋体" w:cs="Times New Roman"/>
                      <w:b/>
                      <w:bCs/>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d</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p>
              </w:tc>
              <w:tc>
                <w:tcPr>
                  <w:tcW w:w="1599" w:type="dxa"/>
                  <w:tcBorders>
                    <w:tl2br w:val="nil"/>
                    <w:tr2bl w:val="nil"/>
                  </w:tcBorders>
                  <w:noWrap w:val="0"/>
                  <w:vAlign w:val="center"/>
                </w:tcPr>
                <w:p w14:paraId="3CEFCA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用水量</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/a</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p>
              </w:tc>
            </w:tr>
            <w:tr w14:paraId="507144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0" w:type="dxa"/>
                  <w:tcBorders>
                    <w:tl2br w:val="nil"/>
                    <w:tr2bl w:val="nil"/>
                  </w:tcBorders>
                  <w:noWrap w:val="0"/>
                  <w:vAlign w:val="center"/>
                </w:tcPr>
                <w:p w14:paraId="4DB3986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2687" w:type="dxa"/>
                  <w:tcBorders>
                    <w:tl2br w:val="nil"/>
                    <w:tr2bl w:val="nil"/>
                  </w:tcBorders>
                  <w:noWrap w:val="0"/>
                  <w:vAlign w:val="center"/>
                </w:tcPr>
                <w:p w14:paraId="3C026C50">
                  <w:pPr>
                    <w:keepNext w:val="0"/>
                    <w:keepLines w:val="0"/>
                    <w:pageBreakBefore w:val="0"/>
                    <w:widowControl/>
                    <w:suppressLineNumbers w:val="0"/>
                    <w:kinsoku/>
                    <w:wordWrap/>
                    <w:overflowPunct/>
                    <w:topLinePunct w:val="0"/>
                    <w:autoSpaceDE/>
                    <w:autoSpaceDN/>
                    <w:bidi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生活用水</w:t>
                  </w:r>
                </w:p>
              </w:tc>
              <w:tc>
                <w:tcPr>
                  <w:tcW w:w="1520" w:type="dxa"/>
                  <w:vMerge w:val="restart"/>
                  <w:tcBorders>
                    <w:tl2br w:val="nil"/>
                    <w:tr2bl w:val="nil"/>
                  </w:tcBorders>
                  <w:noWrap w:val="0"/>
                  <w:vAlign w:val="center"/>
                </w:tcPr>
                <w:p w14:paraId="43A7E1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现有水井</w:t>
                  </w:r>
                </w:p>
              </w:tc>
              <w:tc>
                <w:tcPr>
                  <w:tcW w:w="1412" w:type="dxa"/>
                  <w:tcBorders>
                    <w:tl2br w:val="nil"/>
                    <w:tr2bl w:val="nil"/>
                  </w:tcBorders>
                  <w:noWrap w:val="0"/>
                  <w:vAlign w:val="center"/>
                </w:tcPr>
                <w:p w14:paraId="2A42708B">
                  <w:pPr>
                    <w:keepNext w:val="0"/>
                    <w:keepLines w:val="0"/>
                    <w:pageBreakBefore w:val="0"/>
                    <w:widowControl/>
                    <w:suppressLineNumbers w:val="0"/>
                    <w:kinsoku/>
                    <w:wordWrap/>
                    <w:overflowPunct/>
                    <w:topLinePunct w:val="0"/>
                    <w:autoSpaceDE/>
                    <w:autoSpaceDN/>
                    <w:bidi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0.48</w:t>
                  </w:r>
                </w:p>
              </w:tc>
              <w:tc>
                <w:tcPr>
                  <w:tcW w:w="1599" w:type="dxa"/>
                  <w:tcBorders>
                    <w:tl2br w:val="nil"/>
                    <w:tr2bl w:val="nil"/>
                  </w:tcBorders>
                  <w:noWrap w:val="0"/>
                  <w:vAlign w:val="center"/>
                </w:tcPr>
                <w:p w14:paraId="155407F8">
                  <w:pPr>
                    <w:keepNext w:val="0"/>
                    <w:keepLines w:val="0"/>
                    <w:pageBreakBefore w:val="0"/>
                    <w:widowControl/>
                    <w:suppressLineNumbers w:val="0"/>
                    <w:kinsoku/>
                    <w:wordWrap/>
                    <w:overflowPunct/>
                    <w:topLinePunct w:val="0"/>
                    <w:autoSpaceDE/>
                    <w:autoSpaceDN/>
                    <w:bidi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163.2</w:t>
                  </w:r>
                </w:p>
              </w:tc>
            </w:tr>
            <w:tr w14:paraId="0037A2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20" w:type="dxa"/>
                  <w:tcBorders>
                    <w:tl2br w:val="nil"/>
                    <w:tr2bl w:val="nil"/>
                  </w:tcBorders>
                  <w:noWrap w:val="0"/>
                  <w:vAlign w:val="center"/>
                </w:tcPr>
                <w:p w14:paraId="6032BF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w:t>
                  </w:r>
                </w:p>
              </w:tc>
              <w:tc>
                <w:tcPr>
                  <w:tcW w:w="2687" w:type="dxa"/>
                  <w:tcBorders>
                    <w:tl2br w:val="nil"/>
                    <w:tr2bl w:val="nil"/>
                  </w:tcBorders>
                  <w:noWrap w:val="0"/>
                  <w:vAlign w:val="center"/>
                </w:tcPr>
                <w:p w14:paraId="009A6562">
                  <w:pPr>
                    <w:keepNext w:val="0"/>
                    <w:keepLines w:val="0"/>
                    <w:pageBreakBefore w:val="0"/>
                    <w:widowControl/>
                    <w:suppressLineNumbers w:val="0"/>
                    <w:kinsoku/>
                    <w:wordWrap/>
                    <w:overflowPunct/>
                    <w:topLinePunct w:val="0"/>
                    <w:autoSpaceDE/>
                    <w:autoSpaceDN/>
                    <w:bidi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vertAlign w:val="baseline"/>
                      <w:lang w:val="en-US" w:eastAsia="zh-CN"/>
                      <w14:textFill>
                        <w14:solidFill>
                          <w14:schemeClr w14:val="tx1"/>
                        </w14:solidFill>
                      </w14:textFill>
                    </w:rPr>
                    <w:t>碱液喷淋装置</w:t>
                  </w:r>
                  <w:r>
                    <w:rPr>
                      <w:rFonts w:hint="eastAsia" w:ascii="Times New Roman" w:hAnsi="Times New Roman" w:eastAsia="宋体" w:cs="Times New Roman"/>
                      <w:bCs/>
                      <w:color w:val="000000" w:themeColor="text1"/>
                      <w:sz w:val="21"/>
                      <w:szCs w:val="21"/>
                      <w:highlight w:val="none"/>
                      <w:vertAlign w:val="baseline"/>
                      <w:lang w:val="en-US" w:eastAsia="zh-CN"/>
                      <w14:textFill>
                        <w14:solidFill>
                          <w14:schemeClr w14:val="tx1"/>
                        </w14:solidFill>
                      </w14:textFill>
                    </w:rPr>
                    <w:t>用水</w:t>
                  </w:r>
                </w:p>
              </w:tc>
              <w:tc>
                <w:tcPr>
                  <w:tcW w:w="1520" w:type="dxa"/>
                  <w:vMerge w:val="continue"/>
                  <w:tcBorders>
                    <w:tl2br w:val="nil"/>
                    <w:tr2bl w:val="nil"/>
                  </w:tcBorders>
                  <w:noWrap w:val="0"/>
                  <w:vAlign w:val="center"/>
                </w:tcPr>
                <w:p w14:paraId="207BAB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412" w:type="dxa"/>
                  <w:tcBorders>
                    <w:tl2br w:val="nil"/>
                    <w:tr2bl w:val="nil"/>
                  </w:tcBorders>
                  <w:noWrap w:val="0"/>
                  <w:vAlign w:val="center"/>
                </w:tcPr>
                <w:p w14:paraId="713269FD">
                  <w:pPr>
                    <w:keepNext w:val="0"/>
                    <w:keepLines w:val="0"/>
                    <w:pageBreakBefore w:val="0"/>
                    <w:widowControl/>
                    <w:suppressLineNumbers w:val="0"/>
                    <w:kinsoku/>
                    <w:wordWrap/>
                    <w:overflowPunct/>
                    <w:topLinePunct w:val="0"/>
                    <w:autoSpaceDE/>
                    <w:autoSpaceDN/>
                    <w:bidi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0.1428</w:t>
                  </w:r>
                </w:p>
              </w:tc>
              <w:tc>
                <w:tcPr>
                  <w:tcW w:w="1599" w:type="dxa"/>
                  <w:tcBorders>
                    <w:tl2br w:val="nil"/>
                    <w:tr2bl w:val="nil"/>
                  </w:tcBorders>
                  <w:noWrap w:val="0"/>
                  <w:vAlign w:val="center"/>
                </w:tcPr>
                <w:p w14:paraId="392CBBF4">
                  <w:pPr>
                    <w:keepNext w:val="0"/>
                    <w:keepLines w:val="0"/>
                    <w:pageBreakBefore w:val="0"/>
                    <w:widowControl/>
                    <w:suppressLineNumbers w:val="0"/>
                    <w:kinsoku/>
                    <w:wordWrap/>
                    <w:overflowPunct/>
                    <w:topLinePunct w:val="0"/>
                    <w:autoSpaceDE/>
                    <w:autoSpaceDN/>
                    <w:bidi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52.14</w:t>
                  </w:r>
                </w:p>
              </w:tc>
            </w:tr>
            <w:tr w14:paraId="0EBABC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3607" w:type="dxa"/>
                  <w:gridSpan w:val="2"/>
                  <w:tcBorders>
                    <w:tl2br w:val="nil"/>
                    <w:tr2bl w:val="nil"/>
                  </w:tcBorders>
                  <w:noWrap w:val="0"/>
                  <w:vAlign w:val="center"/>
                </w:tcPr>
                <w:p w14:paraId="209A70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合计用水</w:t>
                  </w:r>
                </w:p>
              </w:tc>
              <w:tc>
                <w:tcPr>
                  <w:tcW w:w="1520" w:type="dxa"/>
                  <w:tcBorders>
                    <w:tl2br w:val="nil"/>
                    <w:tr2bl w:val="nil"/>
                  </w:tcBorders>
                  <w:noWrap w:val="0"/>
                  <w:vAlign w:val="center"/>
                </w:tcPr>
                <w:p w14:paraId="33301C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1412" w:type="dxa"/>
                  <w:tcBorders>
                    <w:tl2br w:val="nil"/>
                    <w:tr2bl w:val="nil"/>
                  </w:tcBorders>
                  <w:noWrap w:val="0"/>
                  <w:vAlign w:val="center"/>
                </w:tcPr>
                <w:p w14:paraId="6F3BC0D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6228</w:t>
                  </w:r>
                </w:p>
              </w:tc>
              <w:tc>
                <w:tcPr>
                  <w:tcW w:w="1599" w:type="dxa"/>
                  <w:tcBorders>
                    <w:tl2br w:val="nil"/>
                    <w:tr2bl w:val="nil"/>
                  </w:tcBorders>
                  <w:noWrap w:val="0"/>
                  <w:vAlign w:val="center"/>
                </w:tcPr>
                <w:p w14:paraId="51C2A3A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215.34</w:t>
                  </w:r>
                </w:p>
              </w:tc>
            </w:tr>
          </w:tbl>
          <w:p w14:paraId="147D45E4">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jc w:val="left"/>
              <w:textAlignment w:val="auto"/>
              <w:rPr>
                <w:rFonts w:hint="default" w:ascii="Times New Roman" w:hAnsi="Times New Roman" w:eastAsia="宋体" w:cs="Times New Roman"/>
                <w:bCs/>
                <w:color w:val="000000" w:themeColor="text1"/>
                <w:sz w:val="24"/>
                <w:szCs w:val="24"/>
                <w:highlight w:val="none"/>
                <w:vertAlign w:val="baseline"/>
                <w:lang w:val="en-US" w:eastAsia="zh-CN"/>
                <w14:textFill>
                  <w14:solidFill>
                    <w14:schemeClr w14:val="tx1"/>
                  </w14:solidFill>
                </w14:textFill>
              </w:rPr>
            </w:pPr>
            <w:r>
              <w:rPr>
                <w:rFonts w:hint="eastAsia" w:ascii="Times New Roman" w:hAnsi="Times New Roman" w:eastAsia="宋体" w:cs="Times New Roman"/>
                <w:bCs/>
                <w:color w:val="000000" w:themeColor="text1"/>
                <w:sz w:val="24"/>
                <w:szCs w:val="24"/>
                <w:highlight w:val="none"/>
                <w:vertAlign w:val="baseline"/>
                <w:lang w:val="en-US" w:eastAsia="zh-CN"/>
                <w14:textFill>
                  <w14:solidFill>
                    <w14:schemeClr w14:val="tx1"/>
                  </w14:solidFill>
                </w14:textFill>
              </w:rPr>
              <w:t>2）</w:t>
            </w:r>
            <w:r>
              <w:rPr>
                <w:rFonts w:hint="default" w:ascii="Times New Roman" w:hAnsi="Times New Roman" w:eastAsia="宋体" w:cs="Times New Roman"/>
                <w:bCs/>
                <w:color w:val="000000" w:themeColor="text1"/>
                <w:sz w:val="24"/>
                <w:szCs w:val="24"/>
                <w:highlight w:val="none"/>
                <w:vertAlign w:val="baseline"/>
                <w:lang w:val="en-US" w:eastAsia="zh-CN"/>
                <w14:textFill>
                  <w14:solidFill>
                    <w14:schemeClr w14:val="tx1"/>
                  </w14:solidFill>
                </w14:textFill>
              </w:rPr>
              <w:t>排水</w:t>
            </w:r>
          </w:p>
          <w:p w14:paraId="4F753B2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pPr>
            <w:r>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本项目实行雨污分流，室外雨水排入市政雨水管网，废水源主要为生活废水。</w:t>
            </w:r>
          </w:p>
          <w:p w14:paraId="115F22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碱液喷淋塔</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碱液循环使用，不外排，</w:t>
            </w:r>
            <w:r>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碱液喷淋吸附装置</w:t>
            </w:r>
            <w:r>
              <w:rPr>
                <w:rFonts w:hint="eastAsia"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用水蒸发损耗量为用水量的10%，即</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0.0</w:t>
            </w:r>
            <w:r>
              <w:rPr>
                <w:rFonts w:hint="eastAsia" w:cs="Times New Roman"/>
                <w:color w:val="000000" w:themeColor="text1"/>
                <w:sz w:val="24"/>
                <w:szCs w:val="24"/>
                <w:highlight w:val="none"/>
                <w:lang w:val="en-US" w:eastAsia="zh-CN"/>
                <w14:textFill>
                  <w14:solidFill>
                    <w14:schemeClr w14:val="tx1"/>
                  </w14:solidFill>
                </w14:textFill>
              </w:rPr>
              <w:t>143</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m</w:t>
            </w:r>
            <w:r>
              <w:rPr>
                <w:rFonts w:hint="default" w:ascii="Times New Roman" w:hAnsi="Times New Roman" w:eastAsia="宋体" w:cs="Times New Roman"/>
                <w:b w:val="0"/>
                <w:bCs w:val="0"/>
                <w:color w:val="000000" w:themeColor="text1"/>
                <w:sz w:val="24"/>
                <w:szCs w:val="24"/>
                <w:highlight w:val="none"/>
                <w:vertAlign w:val="superscript"/>
                <w14:textFill>
                  <w14:solidFill>
                    <w14:schemeClr w14:val="tx1"/>
                  </w14:solidFill>
                </w14:textFill>
              </w:rPr>
              <w:t>3</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d</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5.214</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t/a，废碱结晶</w:t>
            </w:r>
            <w:r>
              <w:rPr>
                <w:rFonts w:hint="default" w:ascii="Times New Roman" w:hAnsi="Times New Roman" w:eastAsia="宋体" w:cs="Times New Roman"/>
                <w:color w:val="000000" w:themeColor="text1"/>
                <w:sz w:val="24"/>
                <w:szCs w:val="24"/>
                <w:highlight w:val="none"/>
                <w14:textFill>
                  <w14:solidFill>
                    <w14:schemeClr w14:val="tx1"/>
                  </w14:solidFill>
                </w14:textFill>
              </w:rPr>
              <w:t>每</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个月</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排放一次</w:t>
            </w:r>
            <w:r>
              <w:rPr>
                <w:rFonts w:hint="default" w:ascii="Times New Roman" w:hAnsi="Times New Roman" w:eastAsia="宋体" w:cs="Times New Roman"/>
                <w:color w:val="000000" w:themeColor="text1"/>
                <w:sz w:val="24"/>
                <w:szCs w:val="24"/>
                <w:highlight w:val="none"/>
                <w14:textFill>
                  <w14:solidFill>
                    <w14:schemeClr w14:val="tx1"/>
                  </w14:solidFill>
                </w14:textFill>
              </w:rPr>
              <w:t>，废</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碱产生</w:t>
            </w:r>
            <w:r>
              <w:rPr>
                <w:rFonts w:hint="default" w:ascii="Times New Roman" w:hAnsi="Times New Roman" w:eastAsia="宋体" w:cs="Times New Roman"/>
                <w:color w:val="000000" w:themeColor="text1"/>
                <w:sz w:val="24"/>
                <w:szCs w:val="24"/>
                <w:highlight w:val="none"/>
                <w14:textFill>
                  <w14:solidFill>
                    <w14:schemeClr w14:val="tx1"/>
                  </w14:solidFill>
                </w14:textFill>
              </w:rPr>
              <w:t>量为0.1</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highlight w:val="none"/>
                <w14:textFill>
                  <w14:solidFill>
                    <w14:schemeClr w14:val="tx1"/>
                  </w14:solidFill>
                </w14:textFill>
              </w:rPr>
              <w:t>m</w:t>
            </w:r>
            <w:r>
              <w:rPr>
                <w:rFonts w:hint="default" w:ascii="Times New Roman" w:hAnsi="Times New Roman" w:eastAsia="宋体"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/次</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0.0016</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m</w:t>
            </w:r>
            <w:r>
              <w:rPr>
                <w:rFonts w:hint="default" w:ascii="Times New Roman" w:hAnsi="Times New Roman" w:eastAsia="宋体" w:cs="Times New Roman"/>
                <w:b w:val="0"/>
                <w:bCs w:val="0"/>
                <w:color w:val="000000" w:themeColor="text1"/>
                <w:sz w:val="24"/>
                <w:szCs w:val="24"/>
                <w:highlight w:val="none"/>
                <w:vertAlign w:val="superscript"/>
                <w14:textFill>
                  <w14:solidFill>
                    <w14:schemeClr w14:val="tx1"/>
                  </w14:solidFill>
                </w14:textFill>
              </w:rPr>
              <w:t>3</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d</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0.6m</w:t>
            </w:r>
            <w:r>
              <w:rPr>
                <w:rFonts w:hint="default" w:ascii="Times New Roman" w:hAnsi="Times New Roman" w:eastAsia="宋体"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/a</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产生的废碱液属于危险废物（HW</w:t>
            </w:r>
            <w:r>
              <w:rPr>
                <w:rFonts w:hint="eastAsia"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35废碱</w:t>
            </w:r>
            <w:r>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，900-</w:t>
            </w:r>
            <w:r>
              <w:rPr>
                <w:rFonts w:hint="eastAsia"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399</w:t>
            </w:r>
            <w:r>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w:t>
            </w:r>
            <w:r>
              <w:rPr>
                <w:rFonts w:hint="eastAsia"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35</w:t>
            </w:r>
            <w:r>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），暂存于</w:t>
            </w:r>
            <w:bookmarkStart w:id="35" w:name="OLE_LINK10"/>
            <w:r>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危险废物贮存库</w:t>
            </w:r>
            <w:r>
              <w:rPr>
                <w:rFonts w:hint="eastAsia"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6</w:t>
            </w:r>
            <w:r>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w:t>
            </w:r>
            <w:r>
              <w:rPr>
                <w:rFonts w:hint="eastAsia"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分区</w:t>
            </w:r>
            <w:bookmarkEnd w:id="35"/>
            <w:r>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内，定期交由有处置资质的单位回收处置。</w:t>
            </w:r>
          </w:p>
          <w:p w14:paraId="764C0783">
            <w:pPr>
              <w:keepNext w:val="0"/>
              <w:keepLines w:val="0"/>
              <w:pageBreakBefore w:val="0"/>
              <w:widowControl w:val="0"/>
              <w:numPr>
                <w:ilvl w:val="0"/>
                <w:numId w:val="5"/>
              </w:numPr>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pPr>
            <w:r>
              <w:rPr>
                <w:rFonts w:hint="eastAsia"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生活污水</w:t>
            </w:r>
          </w:p>
          <w:p w14:paraId="2297972B">
            <w:pPr>
              <w:pStyle w:val="2"/>
              <w:numPr>
                <w:ilvl w:val="0"/>
                <w:numId w:val="0"/>
              </w:numPr>
              <w:spacing w:line="360" w:lineRule="auto"/>
              <w:ind w:right="113" w:rightChars="0" w:firstLine="480" w:firstLineChars="200"/>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pPr>
            <w:r>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本项目生活污水产生量为生活用水量的80%，因此生活污水排放量为0.</w:t>
            </w:r>
            <w:r>
              <w:rPr>
                <w:rFonts w:hint="eastAsia"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384</w:t>
            </w:r>
            <w:r>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m</w:t>
            </w:r>
            <w:r>
              <w:rPr>
                <w:rFonts w:hint="default" w:ascii="Times New Roman" w:hAnsi="Times New Roman" w:eastAsia="宋体" w:cs="Times New Roman"/>
                <w:bCs/>
                <w:color w:val="000000" w:themeColor="text1"/>
                <w:sz w:val="24"/>
                <w:szCs w:val="24"/>
                <w:highlight w:val="none"/>
                <w:shd w:val="clear" w:color="auto" w:fill="auto"/>
                <w:vertAlign w:val="superscript"/>
                <w:lang w:val="en-US" w:eastAsia="zh-CN"/>
                <w14:textFill>
                  <w14:solidFill>
                    <w14:schemeClr w14:val="tx1"/>
                  </w14:solidFill>
                </w14:textFill>
              </w:rPr>
              <w:t>3</w:t>
            </w:r>
            <w:r>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/d</w:t>
            </w:r>
            <w:r>
              <w:rPr>
                <w:rFonts w:hint="eastAsia" w:cs="Times New Roman"/>
                <w:bCs/>
                <w:color w:val="000000" w:themeColor="text1"/>
                <w:sz w:val="24"/>
                <w:szCs w:val="24"/>
                <w:highlight w:val="none"/>
                <w:shd w:val="clear" w:color="auto" w:fill="auto"/>
                <w:lang w:val="en-US" w:eastAsia="zh-CN"/>
                <w14:textFill>
                  <w14:solidFill>
                    <w14:schemeClr w14:val="tx1"/>
                  </w14:solidFill>
                </w14:textFill>
              </w:rPr>
              <w:t>，</w:t>
            </w:r>
            <w:r>
              <w:rPr>
                <w:rFonts w:hint="eastAsia"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130.56</w:t>
            </w:r>
            <w:r>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m</w:t>
            </w:r>
            <w:r>
              <w:rPr>
                <w:rFonts w:hint="default" w:ascii="Times New Roman" w:hAnsi="Times New Roman" w:eastAsia="宋体" w:cs="Times New Roman"/>
                <w:bCs/>
                <w:color w:val="000000" w:themeColor="text1"/>
                <w:sz w:val="24"/>
                <w:szCs w:val="24"/>
                <w:highlight w:val="none"/>
                <w:shd w:val="clear" w:color="auto" w:fill="auto"/>
                <w:vertAlign w:val="superscript"/>
                <w:lang w:val="en-US" w:eastAsia="zh-CN"/>
                <w14:textFill>
                  <w14:solidFill>
                    <w14:schemeClr w14:val="tx1"/>
                  </w14:solidFill>
                </w14:textFill>
              </w:rPr>
              <w:t>3</w:t>
            </w:r>
            <w:r>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/a。</w:t>
            </w:r>
            <w:r>
              <w:rPr>
                <w:rFonts w:hint="default" w:ascii="Times New Roman" w:hAnsi="Times New Roman" w:eastAsia="宋体" w:cs="Times New Roman"/>
                <w:snapToGrid w:val="0"/>
                <w:color w:val="000000" w:themeColor="text1"/>
                <w:kern w:val="0"/>
                <w:sz w:val="24"/>
                <w:szCs w:val="24"/>
                <w:highlight w:val="none"/>
                <w:lang w:val="en-US" w:eastAsia="zh-CN"/>
                <w14:textFill>
                  <w14:solidFill>
                    <w14:schemeClr w14:val="tx1"/>
                  </w14:solidFill>
                </w14:textFill>
              </w:rPr>
              <w:t>生活污水依托</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伊春市林源家具有限公司，</w:t>
            </w:r>
            <w:r>
              <w:rPr>
                <w:rFonts w:hint="default" w:ascii="Times New Roman" w:hAnsi="Times New Roman" w:eastAsia="宋体" w:cs="Times New Roman"/>
                <w:snapToGrid w:val="0"/>
                <w:color w:val="000000" w:themeColor="text1"/>
                <w:kern w:val="0"/>
                <w:sz w:val="24"/>
                <w:szCs w:val="24"/>
                <w:highlight w:val="none"/>
                <w:lang w:val="en-US" w:eastAsia="zh-CN"/>
                <w14:textFill>
                  <w14:solidFill>
                    <w14:schemeClr w14:val="tx1"/>
                  </w14:solidFill>
                </w14:textFill>
              </w:rPr>
              <w:t>经市政管网</w:t>
            </w:r>
            <w:r>
              <w:rPr>
                <w:rFonts w:hint="default" w:ascii="Times New Roman" w:hAnsi="Times New Roman" w:eastAsia="宋体" w:cs="Times New Roman"/>
                <w:color w:val="000000" w:themeColor="text1"/>
                <w:kern w:val="2"/>
                <w:sz w:val="24"/>
                <w:szCs w:val="24"/>
                <w:highlight w:val="none"/>
                <w:lang w:eastAsia="zh-CN"/>
                <w14:textFill>
                  <w14:solidFill>
                    <w14:schemeClr w14:val="tx1"/>
                  </w14:solidFill>
                </w14:textFill>
              </w:rPr>
              <w:t>排入伊春市中心城污水处理厂处理。</w:t>
            </w:r>
          </w:p>
          <w:p w14:paraId="34B98706">
            <w:pPr>
              <w:pStyle w:val="10"/>
              <w:adjustRightInd w:val="0"/>
              <w:snapToGrid w:val="0"/>
              <w:spacing w:line="240" w:lineRule="auto"/>
              <w:ind w:firstLine="2168" w:firstLineChars="900"/>
              <w:jc w:val="both"/>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表2-</w:t>
            </w:r>
            <w:r>
              <w:rPr>
                <w:rFonts w:hint="eastAsia" w:cs="Times New Roman"/>
                <w:b/>
                <w:bCs/>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本项目排水量一览表</w:t>
            </w:r>
          </w:p>
          <w:tbl>
            <w:tblPr>
              <w:tblStyle w:val="28"/>
              <w:tblW w:w="837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42"/>
              <w:gridCol w:w="2834"/>
              <w:gridCol w:w="2087"/>
              <w:gridCol w:w="2015"/>
            </w:tblGrid>
            <w:tr w14:paraId="2EEC7F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1442" w:type="dxa"/>
                  <w:tcBorders>
                    <w:tl2br w:val="nil"/>
                    <w:tr2bl w:val="nil"/>
                  </w:tcBorders>
                  <w:noWrap w:val="0"/>
                  <w:vAlign w:val="center"/>
                </w:tcPr>
                <w:p w14:paraId="7EF6F5EB">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序号</w:t>
                  </w:r>
                </w:p>
              </w:tc>
              <w:tc>
                <w:tcPr>
                  <w:tcW w:w="2834" w:type="dxa"/>
                  <w:tcBorders>
                    <w:tl2br w:val="nil"/>
                    <w:tr2bl w:val="nil"/>
                  </w:tcBorders>
                  <w:noWrap w:val="0"/>
                  <w:vAlign w:val="center"/>
                </w:tcPr>
                <w:p w14:paraId="6D20B30B">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排水工序</w:t>
                  </w:r>
                </w:p>
              </w:tc>
              <w:tc>
                <w:tcPr>
                  <w:tcW w:w="2087" w:type="dxa"/>
                  <w:tcBorders>
                    <w:tl2br w:val="nil"/>
                    <w:tr2bl w:val="nil"/>
                  </w:tcBorders>
                  <w:noWrap w:val="0"/>
                  <w:vAlign w:val="center"/>
                </w:tcPr>
                <w:p w14:paraId="5D89A111">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排水量（m</w:t>
                  </w:r>
                  <w:r>
                    <w:rPr>
                      <w:rFonts w:hint="default" w:ascii="Times New Roman" w:hAnsi="Times New Roman" w:eastAsia="宋体" w:cs="Times New Roman"/>
                      <w:b w:val="0"/>
                      <w:bCs w:val="0"/>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d</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w:t>
                  </w:r>
                </w:p>
              </w:tc>
              <w:tc>
                <w:tcPr>
                  <w:tcW w:w="2015" w:type="dxa"/>
                  <w:tcBorders>
                    <w:tl2br w:val="nil"/>
                    <w:tr2bl w:val="nil"/>
                  </w:tcBorders>
                  <w:noWrap w:val="0"/>
                  <w:vAlign w:val="center"/>
                </w:tcPr>
                <w:p w14:paraId="15903370">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排水量（m</w:t>
                  </w:r>
                  <w:r>
                    <w:rPr>
                      <w:rFonts w:hint="default" w:ascii="Times New Roman" w:hAnsi="Times New Roman" w:eastAsia="宋体" w:cs="Times New Roman"/>
                      <w:b w:val="0"/>
                      <w:bCs w:val="0"/>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/a)</w:t>
                  </w:r>
                </w:p>
              </w:tc>
            </w:tr>
            <w:tr w14:paraId="47503D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442" w:type="dxa"/>
                  <w:tcBorders>
                    <w:tl2br w:val="nil"/>
                    <w:tr2bl w:val="nil"/>
                  </w:tcBorders>
                  <w:noWrap w:val="0"/>
                  <w:vAlign w:val="center"/>
                </w:tcPr>
                <w:p w14:paraId="3E5D9E49">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w:t>
                  </w:r>
                </w:p>
              </w:tc>
              <w:tc>
                <w:tcPr>
                  <w:tcW w:w="2834" w:type="dxa"/>
                  <w:tcBorders>
                    <w:tl2br w:val="nil"/>
                    <w:tr2bl w:val="nil"/>
                  </w:tcBorders>
                  <w:noWrap w:val="0"/>
                  <w:vAlign w:val="center"/>
                </w:tcPr>
                <w:p w14:paraId="58780767">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生活污水</w:t>
                  </w:r>
                </w:p>
              </w:tc>
              <w:tc>
                <w:tcPr>
                  <w:tcW w:w="2087" w:type="dxa"/>
                  <w:tcBorders>
                    <w:tl2br w:val="nil"/>
                    <w:tr2bl w:val="nil"/>
                  </w:tcBorders>
                  <w:noWrap w:val="0"/>
                  <w:vAlign w:val="center"/>
                </w:tcPr>
                <w:p w14:paraId="685F45A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0.384</w:t>
                  </w:r>
                </w:p>
              </w:tc>
              <w:tc>
                <w:tcPr>
                  <w:tcW w:w="2015" w:type="dxa"/>
                  <w:tcBorders>
                    <w:tl2br w:val="nil"/>
                    <w:tr2bl w:val="nil"/>
                  </w:tcBorders>
                  <w:noWrap w:val="0"/>
                  <w:vAlign w:val="center"/>
                </w:tcPr>
                <w:p w14:paraId="120B56E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130.56</w:t>
                  </w:r>
                </w:p>
              </w:tc>
            </w:tr>
            <w:tr w14:paraId="28C414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4276" w:type="dxa"/>
                  <w:gridSpan w:val="2"/>
                  <w:tcBorders>
                    <w:tl2br w:val="nil"/>
                    <w:tr2bl w:val="nil"/>
                  </w:tcBorders>
                  <w:noWrap w:val="0"/>
                  <w:vAlign w:val="center"/>
                </w:tcPr>
                <w:p w14:paraId="02159A48">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合计</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排水</w:t>
                  </w:r>
                </w:p>
              </w:tc>
              <w:tc>
                <w:tcPr>
                  <w:tcW w:w="2087" w:type="dxa"/>
                  <w:tcBorders>
                    <w:tl2br w:val="nil"/>
                    <w:tr2bl w:val="nil"/>
                  </w:tcBorders>
                  <w:noWrap w:val="0"/>
                  <w:vAlign w:val="center"/>
                </w:tcPr>
                <w:p w14:paraId="3538E14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0.384</w:t>
                  </w:r>
                </w:p>
              </w:tc>
              <w:tc>
                <w:tcPr>
                  <w:tcW w:w="2015" w:type="dxa"/>
                  <w:tcBorders>
                    <w:tl2br w:val="nil"/>
                    <w:tr2bl w:val="nil"/>
                  </w:tcBorders>
                  <w:noWrap w:val="0"/>
                  <w:vAlign w:val="center"/>
                </w:tcPr>
                <w:p w14:paraId="1E3E173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130.56</w:t>
                  </w:r>
                </w:p>
              </w:tc>
            </w:tr>
          </w:tbl>
          <w:p w14:paraId="70D0AB69">
            <w:pPr>
              <w:adjustRightInd w:val="0"/>
              <w:snapToGrid w:val="0"/>
              <w:spacing w:line="500" w:lineRule="exact"/>
              <w:ind w:firstLine="480" w:firstLineChars="200"/>
              <w:rPr>
                <w:rFonts w:hint="default" w:ascii="Times New Roman" w:hAnsi="Times New Roman" w:eastAsia="宋体" w:cs="Times New Roman"/>
                <w:bCs/>
                <w:color w:val="000000" w:themeColor="text1"/>
                <w:sz w:val="24"/>
                <w:highlight w:val="none"/>
                <w14:textFill>
                  <w14:solidFill>
                    <w14:schemeClr w14:val="tx1"/>
                  </w14:solidFill>
                </w14:textFill>
              </w:rPr>
            </w:pPr>
            <w:r>
              <w:rPr>
                <w:rFonts w:hint="default" w:ascii="Times New Roman" w:hAnsi="Times New Roman" w:eastAsia="宋体" w:cs="Times New Roman"/>
                <w:bCs/>
                <w:color w:val="000000" w:themeColor="text1"/>
                <w:sz w:val="24"/>
                <w:highlight w:val="none"/>
                <w14:textFill>
                  <w14:solidFill>
                    <w14:schemeClr w14:val="tx1"/>
                  </w14:solidFill>
                </w14:textFill>
              </w:rPr>
              <w:t>本项目水平衡情况见图2-1。</w:t>
            </w:r>
          </w:p>
          <w:p w14:paraId="358B1C4F">
            <w:pPr>
              <w:adjustRightInd w:val="0"/>
              <w:snapToGrid w:val="0"/>
              <w:rPr>
                <w:rFonts w:hint="default" w:ascii="Times New Roman" w:hAnsi="Times New Roman" w:eastAsia="宋体" w:cs="Times New Roman"/>
                <w:bCs/>
                <w:color w:val="000000" w:themeColor="text1"/>
                <w:sz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mc:AlternateContent>
                <mc:Choice Requires="wpc">
                  <w:drawing>
                    <wp:inline distT="0" distB="0" distL="114300" distR="114300">
                      <wp:extent cx="5115560" cy="2307590"/>
                      <wp:effectExtent l="4445" t="4445" r="23495" b="12065"/>
                      <wp:docPr id="28" name="画布 657"/>
                      <wp:cNvGraphicFramePr/>
                      <a:graphic xmlns:a="http://schemas.openxmlformats.org/drawingml/2006/main">
                        <a:graphicData uri="http://schemas.microsoft.com/office/word/2010/wordprocessingCanvas">
                          <wpc:wpc>
                            <wpc:bg>
                              <a:noFill/>
                            </wpc:bg>
                            <wpc:whole>
                              <a:ln>
                                <a:solidFill>
                                  <a:schemeClr val="tx1"/>
                                </a:solidFill>
                              </a:ln>
                            </wpc:whole>
                            <wps:wsp>
                              <wps:cNvPr id="32" name="文本框 659"/>
                              <wps:cNvSpPr txBox="1"/>
                              <wps:spPr>
                                <a:xfrm>
                                  <a:off x="1456690" y="577215"/>
                                  <a:ext cx="1447800" cy="2692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1AC4ED3">
                                    <w:pPr>
                                      <w:jc w:val="center"/>
                                      <w:rPr>
                                        <w:rFonts w:hint="default" w:eastAsia="宋体"/>
                                        <w:lang w:val="en-US" w:eastAsia="zh-CN"/>
                                      </w:rPr>
                                    </w:pPr>
                                    <w:r>
                                      <w:rPr>
                                        <w:rFonts w:hint="eastAsia"/>
                                        <w:lang w:val="en-US" w:eastAsia="zh-CN"/>
                                      </w:rPr>
                                      <w:t>碱喷淋塔</w:t>
                                    </w:r>
                                  </w:p>
                                </w:txbxContent>
                              </wps:txbx>
                              <wps:bodyPr vert="horz" wrap="square" anchor="t" anchorCtr="0" upright="1"/>
                            </wps:wsp>
                            <wps:wsp>
                              <wps:cNvPr id="47" name="直线 660"/>
                              <wps:cNvCnPr/>
                              <wps:spPr>
                                <a:xfrm>
                                  <a:off x="838835" y="705485"/>
                                  <a:ext cx="610870" cy="635"/>
                                </a:xfrm>
                                <a:prstGeom prst="line">
                                  <a:avLst/>
                                </a:prstGeom>
                                <a:ln w="9525" cap="flat" cmpd="sng">
                                  <a:solidFill>
                                    <a:srgbClr val="000000"/>
                                  </a:solidFill>
                                  <a:prstDash val="solid"/>
                                  <a:headEnd type="none" w="med" len="med"/>
                                  <a:tailEnd type="arrow" w="med" len="med"/>
                                </a:ln>
                              </wps:spPr>
                              <wps:bodyPr upright="1"/>
                            </wps:wsp>
                            <wps:wsp>
                              <wps:cNvPr id="48" name="文本框 661"/>
                              <wps:cNvSpPr txBox="1"/>
                              <wps:spPr>
                                <a:xfrm>
                                  <a:off x="1524635" y="1946911"/>
                                  <a:ext cx="1130300" cy="2667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078EDC1">
                                    <w:pPr>
                                      <w:jc w:val="center"/>
                                      <w:rPr>
                                        <w:rFonts w:hint="default" w:eastAsia="宋体"/>
                                        <w:lang w:val="en-US" w:eastAsia="zh-CN"/>
                                      </w:rPr>
                                    </w:pPr>
                                    <w:r>
                                      <w:rPr>
                                        <w:rFonts w:hint="eastAsia"/>
                                        <w:lang w:val="en-US" w:eastAsia="zh-CN"/>
                                      </w:rPr>
                                      <w:t>生活用水</w:t>
                                    </w:r>
                                  </w:p>
                                </w:txbxContent>
                              </wps:txbx>
                              <wps:bodyPr vert="horz" wrap="square" anchor="t" anchorCtr="0" upright="1"/>
                            </wps:wsp>
                            <wps:wsp>
                              <wps:cNvPr id="53" name="直线 662"/>
                              <wps:cNvCnPr/>
                              <wps:spPr>
                                <a:xfrm>
                                  <a:off x="850265" y="2091691"/>
                                  <a:ext cx="666750" cy="635"/>
                                </a:xfrm>
                                <a:prstGeom prst="line">
                                  <a:avLst/>
                                </a:prstGeom>
                                <a:ln w="9525" cap="flat" cmpd="sng">
                                  <a:solidFill>
                                    <a:srgbClr val="000000"/>
                                  </a:solidFill>
                                  <a:prstDash val="solid"/>
                                  <a:headEnd type="none" w="med" len="med"/>
                                  <a:tailEnd type="arrow" w="med" len="med"/>
                                </a:ln>
                              </wps:spPr>
                              <wps:bodyPr upright="1"/>
                            </wps:wsp>
                            <wps:wsp>
                              <wps:cNvPr id="55" name="直线 664"/>
                              <wps:cNvCnPr/>
                              <wps:spPr>
                                <a:xfrm flipH="1" flipV="1">
                                  <a:off x="2310130" y="832485"/>
                                  <a:ext cx="6985" cy="417195"/>
                                </a:xfrm>
                                <a:prstGeom prst="line">
                                  <a:avLst/>
                                </a:prstGeom>
                                <a:ln w="9525" cap="flat" cmpd="sng">
                                  <a:solidFill>
                                    <a:srgbClr val="000000"/>
                                  </a:solidFill>
                                  <a:prstDash val="solid"/>
                                  <a:headEnd type="none" w="med" len="med"/>
                                  <a:tailEnd type="arrow" w="med" len="med"/>
                                </a:ln>
                              </wps:spPr>
                              <wps:bodyPr upright="1"/>
                            </wps:wsp>
                            <wps:wsp>
                              <wps:cNvPr id="56" name="任意多边形 665"/>
                              <wps:cNvSpPr/>
                              <wps:spPr>
                                <a:xfrm>
                                  <a:off x="2629535" y="1808481"/>
                                  <a:ext cx="152400" cy="152400"/>
                                </a:xfrm>
                                <a:custGeom>
                                  <a:avLst/>
                                  <a:gdLst/>
                                  <a:ahLst/>
                                  <a:cxnLst/>
                                  <a:pathLst>
                                    <a:path w="259" h="252">
                                      <a:moveTo>
                                        <a:pt x="52" y="252"/>
                                      </a:moveTo>
                                      <a:cubicBezTo>
                                        <a:pt x="45" y="219"/>
                                        <a:pt x="0" y="130"/>
                                        <a:pt x="41" y="80"/>
                                      </a:cubicBezTo>
                                      <a:cubicBezTo>
                                        <a:pt x="82" y="30"/>
                                        <a:pt x="215" y="13"/>
                                        <a:pt x="259" y="0"/>
                                      </a:cubicBezTo>
                                    </a:path>
                                  </a:pathLst>
                                </a:custGeom>
                                <a:noFill/>
                                <a:ln w="9525" cap="flat" cmpd="sng">
                                  <a:solidFill>
                                    <a:srgbClr val="000000"/>
                                  </a:solidFill>
                                  <a:prstDash val="solid"/>
                                  <a:headEnd type="none" w="med" len="med"/>
                                  <a:tailEnd type="none" w="med" len="med"/>
                                </a:ln>
                              </wps:spPr>
                              <wps:bodyPr vert="horz" wrap="square" anchor="t" anchorCtr="0" upright="1"/>
                            </wps:wsp>
                            <wps:wsp>
                              <wps:cNvPr id="57" name="直线 666"/>
                              <wps:cNvCnPr/>
                              <wps:spPr>
                                <a:xfrm>
                                  <a:off x="831850" y="705485"/>
                                  <a:ext cx="6985" cy="1374141"/>
                                </a:xfrm>
                                <a:prstGeom prst="line">
                                  <a:avLst/>
                                </a:prstGeom>
                                <a:ln w="9525" cap="flat" cmpd="sng">
                                  <a:solidFill>
                                    <a:srgbClr val="000000"/>
                                  </a:solidFill>
                                  <a:prstDash val="solid"/>
                                  <a:headEnd type="none" w="med" len="med"/>
                                  <a:tailEnd type="none" w="med" len="med"/>
                                </a:ln>
                              </wps:spPr>
                              <wps:bodyPr upright="1"/>
                            </wps:wsp>
                            <wps:wsp>
                              <wps:cNvPr id="58" name="直线 667"/>
                              <wps:cNvCnPr/>
                              <wps:spPr>
                                <a:xfrm flipV="1">
                                  <a:off x="382905" y="1399541"/>
                                  <a:ext cx="451485" cy="8890"/>
                                </a:xfrm>
                                <a:prstGeom prst="line">
                                  <a:avLst/>
                                </a:prstGeom>
                                <a:ln w="9525" cap="flat" cmpd="sng">
                                  <a:solidFill>
                                    <a:srgbClr val="000000"/>
                                  </a:solidFill>
                                  <a:prstDash val="solid"/>
                                  <a:headEnd type="none" w="med" len="med"/>
                                  <a:tailEnd type="arrow" w="med" len="med"/>
                                </a:ln>
                              </wps:spPr>
                              <wps:bodyPr upright="1"/>
                            </wps:wsp>
                            <wps:wsp>
                              <wps:cNvPr id="59" name="文本框 668"/>
                              <wps:cNvSpPr txBox="1"/>
                              <wps:spPr>
                                <a:xfrm>
                                  <a:off x="2534920" y="133350"/>
                                  <a:ext cx="977265" cy="291465"/>
                                </a:xfrm>
                                <a:prstGeom prst="rect">
                                  <a:avLst/>
                                </a:prstGeom>
                                <a:noFill/>
                                <a:ln>
                                  <a:noFill/>
                                </a:ln>
                              </wps:spPr>
                              <wps:txbx>
                                <w:txbxContent>
                                  <w:p w14:paraId="47246924">
                                    <w:pPr>
                                      <w:rPr>
                                        <w:rFonts w:hint="default" w:eastAsia="宋体"/>
                                        <w:color w:val="000000"/>
                                        <w:lang w:val="en-US" w:eastAsia="zh-CN"/>
                                      </w:rPr>
                                    </w:pPr>
                                    <w:r>
                                      <w:rPr>
                                        <w:rFonts w:hint="eastAsia"/>
                                        <w:color w:val="000000"/>
                                        <w:lang w:val="en-US" w:eastAsia="zh-CN"/>
                                      </w:rPr>
                                      <w:t>损耗0.0143</w:t>
                                    </w:r>
                                  </w:p>
                                </w:txbxContent>
                              </wps:txbx>
                              <wps:bodyPr vert="horz" wrap="square" anchor="t" anchorCtr="0" upright="1"/>
                            </wps:wsp>
                            <wps:wsp>
                              <wps:cNvPr id="60" name="文本框 669"/>
                              <wps:cNvSpPr txBox="1"/>
                              <wps:spPr>
                                <a:xfrm>
                                  <a:off x="2767965" y="1503045"/>
                                  <a:ext cx="1257300" cy="283210"/>
                                </a:xfrm>
                                <a:prstGeom prst="rect">
                                  <a:avLst/>
                                </a:prstGeom>
                                <a:solidFill>
                                  <a:srgbClr val="FFFFFF"/>
                                </a:solidFill>
                                <a:ln>
                                  <a:noFill/>
                                </a:ln>
                              </wps:spPr>
                              <wps:txbx>
                                <w:txbxContent>
                                  <w:p w14:paraId="28F48311">
                                    <w:pPr>
                                      <w:rPr>
                                        <w:rFonts w:hint="default" w:eastAsia="宋体"/>
                                        <w:lang w:val="en-US" w:eastAsia="zh-CN"/>
                                      </w:rPr>
                                    </w:pPr>
                                    <w:r>
                                      <w:rPr>
                                        <w:rFonts w:hint="eastAsia"/>
                                        <w:lang w:val="en-US" w:eastAsia="zh-CN"/>
                                      </w:rPr>
                                      <w:t>损耗0.096</w:t>
                                    </w:r>
                                  </w:p>
                                </w:txbxContent>
                              </wps:txbx>
                              <wps:bodyPr vert="horz" wrap="square" anchor="t" anchorCtr="0" upright="1"/>
                            </wps:wsp>
                            <wps:wsp>
                              <wps:cNvPr id="61" name="直线 670"/>
                              <wps:cNvCnPr/>
                              <wps:spPr>
                                <a:xfrm>
                                  <a:off x="2666365" y="2084706"/>
                                  <a:ext cx="660400" cy="0"/>
                                </a:xfrm>
                                <a:prstGeom prst="line">
                                  <a:avLst/>
                                </a:prstGeom>
                                <a:ln w="9525" cap="flat" cmpd="sng">
                                  <a:solidFill>
                                    <a:srgbClr val="000000"/>
                                  </a:solidFill>
                                  <a:prstDash val="solid"/>
                                  <a:headEnd type="none" w="med" len="med"/>
                                  <a:tailEnd type="arrow" w="med" len="med"/>
                                </a:ln>
                              </wps:spPr>
                              <wps:bodyPr upright="1"/>
                            </wps:wsp>
                            <wps:wsp>
                              <wps:cNvPr id="62" name="文本框 671"/>
                              <wps:cNvSpPr txBox="1"/>
                              <wps:spPr>
                                <a:xfrm>
                                  <a:off x="64135" y="1183641"/>
                                  <a:ext cx="712470" cy="520065"/>
                                </a:xfrm>
                                <a:prstGeom prst="rect">
                                  <a:avLst/>
                                </a:prstGeom>
                                <a:noFill/>
                                <a:ln>
                                  <a:noFill/>
                                </a:ln>
                              </wps:spPr>
                              <wps:txbx>
                                <w:txbxContent>
                                  <w:p w14:paraId="00E06CED">
                                    <w:pPr>
                                      <w:rPr>
                                        <w:rFonts w:hint="default" w:eastAsia="宋体"/>
                                        <w:lang w:val="en-US" w:eastAsia="zh-CN"/>
                                      </w:rPr>
                                    </w:pPr>
                                    <w:r>
                                      <w:rPr>
                                        <w:rFonts w:hint="eastAsia"/>
                                        <w:lang w:val="en-US" w:eastAsia="zh-CN"/>
                                      </w:rPr>
                                      <w:t>新鲜水0.6228</w:t>
                                    </w:r>
                                  </w:p>
                                </w:txbxContent>
                              </wps:txbx>
                              <wps:bodyPr vert="horz" wrap="square" anchor="t" anchorCtr="0" upright="1"/>
                            </wps:wsp>
                            <wps:wsp>
                              <wps:cNvPr id="63" name="文本框 672"/>
                              <wps:cNvSpPr txBox="1"/>
                              <wps:spPr>
                                <a:xfrm>
                                  <a:off x="829310" y="499745"/>
                                  <a:ext cx="633095" cy="263525"/>
                                </a:xfrm>
                                <a:prstGeom prst="rect">
                                  <a:avLst/>
                                </a:prstGeom>
                                <a:noFill/>
                                <a:ln>
                                  <a:noFill/>
                                </a:ln>
                              </wps:spPr>
                              <wps:txbx>
                                <w:txbxContent>
                                  <w:p w14:paraId="7EB323A3">
                                    <w:pPr>
                                      <w:rPr>
                                        <w:rFonts w:hint="default" w:eastAsia="宋体"/>
                                        <w:lang w:val="en-US" w:eastAsia="zh-CN"/>
                                      </w:rPr>
                                    </w:pPr>
                                    <w:r>
                                      <w:rPr>
                                        <w:rFonts w:hint="eastAsia"/>
                                        <w:lang w:val="en-US" w:eastAsia="zh-CN"/>
                                      </w:rPr>
                                      <w:t>0.1428</w:t>
                                    </w:r>
                                  </w:p>
                                </w:txbxContent>
                              </wps:txbx>
                              <wps:bodyPr vert="horz" wrap="square" anchor="t" anchorCtr="0" upright="1"/>
                            </wps:wsp>
                            <wps:wsp>
                              <wps:cNvPr id="64" name="文本框 673"/>
                              <wps:cNvSpPr txBox="1"/>
                              <wps:spPr>
                                <a:xfrm>
                                  <a:off x="862965" y="1866266"/>
                                  <a:ext cx="711200" cy="421005"/>
                                </a:xfrm>
                                <a:prstGeom prst="rect">
                                  <a:avLst/>
                                </a:prstGeom>
                                <a:noFill/>
                                <a:ln>
                                  <a:noFill/>
                                </a:ln>
                              </wps:spPr>
                              <wps:txbx>
                                <w:txbxContent>
                                  <w:p w14:paraId="1BE6088A">
                                    <w:pPr>
                                      <w:rPr>
                                        <w:rFonts w:hint="default" w:eastAsia="宋体"/>
                                        <w:lang w:val="en-US" w:eastAsia="zh-CN"/>
                                      </w:rPr>
                                    </w:pPr>
                                    <w:r>
                                      <w:rPr>
                                        <w:rFonts w:hint="eastAsia"/>
                                        <w:lang w:val="en-US" w:eastAsia="zh-CN"/>
                                      </w:rPr>
                                      <w:t>0.48</w:t>
                                    </w:r>
                                  </w:p>
                                </w:txbxContent>
                              </wps:txbx>
                              <wps:bodyPr vert="horz" wrap="square" anchor="t" anchorCtr="0" upright="1"/>
                            </wps:wsp>
                            <wps:wsp>
                              <wps:cNvPr id="89" name="文本框 674"/>
                              <wps:cNvSpPr txBox="1"/>
                              <wps:spPr>
                                <a:xfrm>
                                  <a:off x="2644775" y="1837691"/>
                                  <a:ext cx="711200" cy="419100"/>
                                </a:xfrm>
                                <a:prstGeom prst="rect">
                                  <a:avLst/>
                                </a:prstGeom>
                                <a:noFill/>
                                <a:ln>
                                  <a:noFill/>
                                </a:ln>
                              </wps:spPr>
                              <wps:txbx>
                                <w:txbxContent>
                                  <w:p w14:paraId="6846E5EC">
                                    <w:pPr>
                                      <w:rPr>
                                        <w:rFonts w:hint="default" w:eastAsia="宋体"/>
                                        <w:lang w:val="en-US" w:eastAsia="zh-CN"/>
                                      </w:rPr>
                                    </w:pPr>
                                    <w:r>
                                      <w:rPr>
                                        <w:rFonts w:hint="eastAsia"/>
                                        <w:lang w:val="en-US" w:eastAsia="zh-CN"/>
                                      </w:rPr>
                                      <w:t>0.384</w:t>
                                    </w:r>
                                  </w:p>
                                </w:txbxContent>
                              </wps:txbx>
                              <wps:bodyPr vert="horz" wrap="square" anchor="t" anchorCtr="0" upright="1"/>
                            </wps:wsp>
                            <wps:wsp>
                              <wps:cNvPr id="90" name="文本框 675"/>
                              <wps:cNvSpPr txBox="1"/>
                              <wps:spPr>
                                <a:xfrm>
                                  <a:off x="3298190" y="1711960"/>
                                  <a:ext cx="1668145" cy="499745"/>
                                </a:xfrm>
                                <a:prstGeom prst="rect">
                                  <a:avLst/>
                                </a:prstGeom>
                                <a:noFill/>
                                <a:ln>
                                  <a:noFill/>
                                </a:ln>
                              </wps:spPr>
                              <wps:txbx>
                                <w:txbxContent>
                                  <w:p w14:paraId="66F6100D">
                                    <w:pPr>
                                      <w:rPr>
                                        <w:rFonts w:hint="default"/>
                                        <w:color w:val="000000"/>
                                        <w:lang w:val="en-US" w:eastAsia="zh-CN"/>
                                      </w:rPr>
                                    </w:pPr>
                                    <w:r>
                                      <w:rPr>
                                        <w:bCs/>
                                        <w:sz w:val="21"/>
                                        <w:szCs w:val="21"/>
                                      </w:rPr>
                                      <w:t>排</w:t>
                                    </w:r>
                                    <w:r>
                                      <w:rPr>
                                        <w:bCs/>
                                        <w:color w:val="000000"/>
                                        <w:sz w:val="21"/>
                                        <w:szCs w:val="21"/>
                                      </w:rPr>
                                      <w:t>入</w:t>
                                    </w:r>
                                    <w:r>
                                      <w:rPr>
                                        <w:rFonts w:hint="default" w:ascii="Times New Roman" w:hAnsi="Times New Roman" w:eastAsia="宋体" w:cs="Times New Roman"/>
                                        <w:color w:val="000000"/>
                                        <w:kern w:val="2"/>
                                        <w:sz w:val="24"/>
                                        <w:szCs w:val="24"/>
                                        <w:highlight w:val="none"/>
                                        <w:lang w:eastAsia="zh-CN"/>
                                      </w:rPr>
                                      <w:t>伊春市中心城污水处理厂</w:t>
                                    </w:r>
                                    <w:r>
                                      <w:rPr>
                                        <w:rFonts w:hint="eastAsia"/>
                                        <w:bCs/>
                                        <w:color w:val="000000"/>
                                        <w:sz w:val="21"/>
                                        <w:szCs w:val="21"/>
                                        <w:lang w:val="en-US" w:eastAsia="zh-CN"/>
                                      </w:rPr>
                                      <w:t>处理</w:t>
                                    </w:r>
                                  </w:p>
                                </w:txbxContent>
                              </wps:txbx>
                              <wps:bodyPr vert="horz" wrap="square" anchor="t" anchorCtr="0" upright="1"/>
                            </wps:wsp>
                            <wps:wsp>
                              <wps:cNvPr id="91" name="直线 676"/>
                              <wps:cNvCnPr/>
                              <wps:spPr>
                                <a:xfrm>
                                  <a:off x="2904490" y="694055"/>
                                  <a:ext cx="609600" cy="0"/>
                                </a:xfrm>
                                <a:prstGeom prst="line">
                                  <a:avLst/>
                                </a:prstGeom>
                                <a:ln w="9525" cap="flat" cmpd="sng">
                                  <a:solidFill>
                                    <a:srgbClr val="000000"/>
                                  </a:solidFill>
                                  <a:prstDash val="solid"/>
                                  <a:headEnd type="none" w="med" len="med"/>
                                  <a:tailEnd type="arrow" w="med" len="med"/>
                                </a:ln>
                              </wps:spPr>
                              <wps:bodyPr upright="1"/>
                            </wps:wsp>
                            <wps:wsp>
                              <wps:cNvPr id="92" name="直线 677"/>
                              <wps:cNvCnPr/>
                              <wps:spPr>
                                <a:xfrm>
                                  <a:off x="2309495" y="1231265"/>
                                  <a:ext cx="1192530" cy="6985"/>
                                </a:xfrm>
                                <a:prstGeom prst="line">
                                  <a:avLst/>
                                </a:prstGeom>
                                <a:ln w="9525" cap="flat" cmpd="sng">
                                  <a:solidFill>
                                    <a:srgbClr val="000000"/>
                                  </a:solidFill>
                                  <a:prstDash val="solid"/>
                                  <a:headEnd type="none" w="med" len="med"/>
                                  <a:tailEnd type="none" w="med" len="med"/>
                                </a:ln>
                              </wps:spPr>
                              <wps:bodyPr upright="1"/>
                            </wps:wsp>
                            <wps:wsp>
                              <wps:cNvPr id="93" name="直线 678"/>
                              <wps:cNvCnPr/>
                              <wps:spPr>
                                <a:xfrm flipH="1" flipV="1">
                                  <a:off x="3498215" y="711200"/>
                                  <a:ext cx="3810" cy="520065"/>
                                </a:xfrm>
                                <a:prstGeom prst="line">
                                  <a:avLst/>
                                </a:prstGeom>
                                <a:ln w="9525" cap="flat" cmpd="sng">
                                  <a:solidFill>
                                    <a:srgbClr val="000000"/>
                                  </a:solidFill>
                                  <a:prstDash val="solid"/>
                                  <a:headEnd type="none" w="med" len="med"/>
                                  <a:tailEnd type="none" w="med" len="med"/>
                                </a:ln>
                              </wps:spPr>
                              <wps:bodyPr upright="1"/>
                            </wps:wsp>
                            <wps:wsp>
                              <wps:cNvPr id="96" name="文本框 679"/>
                              <wps:cNvSpPr txBox="1"/>
                              <wps:spPr>
                                <a:xfrm>
                                  <a:off x="2517140" y="1033145"/>
                                  <a:ext cx="1104900" cy="292100"/>
                                </a:xfrm>
                                <a:prstGeom prst="rect">
                                  <a:avLst/>
                                </a:prstGeom>
                                <a:noFill/>
                                <a:ln>
                                  <a:noFill/>
                                </a:ln>
                              </wps:spPr>
                              <wps:txbx>
                                <w:txbxContent>
                                  <w:p w14:paraId="6876ECD0">
                                    <w:pPr>
                                      <w:rPr>
                                        <w:rFonts w:hint="default" w:eastAsia="宋体"/>
                                        <w:lang w:val="en-US" w:eastAsia="zh-CN"/>
                                      </w:rPr>
                                    </w:pPr>
                                    <w:r>
                                      <w:rPr>
                                        <w:rFonts w:hint="eastAsia"/>
                                        <w:lang w:val="en-US" w:eastAsia="zh-CN"/>
                                      </w:rPr>
                                      <w:t>回用0.1269</w:t>
                                    </w:r>
                                  </w:p>
                                </w:txbxContent>
                              </wps:txbx>
                              <wps:bodyPr vert="horz" wrap="square" anchor="t" anchorCtr="0" upright="1"/>
                            </wps:wsp>
                            <wps:wsp>
                              <wps:cNvPr id="139" name="任意多边形 685"/>
                              <wps:cNvSpPr/>
                              <wps:spPr>
                                <a:xfrm>
                                  <a:off x="2560955" y="396240"/>
                                  <a:ext cx="101600" cy="190500"/>
                                </a:xfrm>
                                <a:custGeom>
                                  <a:avLst/>
                                  <a:gdLst/>
                                  <a:ahLst/>
                                  <a:cxnLst/>
                                  <a:pathLst>
                                    <a:path w="175" h="300">
                                      <a:moveTo>
                                        <a:pt x="52" y="300"/>
                                      </a:moveTo>
                                      <a:cubicBezTo>
                                        <a:pt x="44" y="270"/>
                                        <a:pt x="0" y="196"/>
                                        <a:pt x="25" y="136"/>
                                      </a:cubicBezTo>
                                      <a:cubicBezTo>
                                        <a:pt x="50" y="76"/>
                                        <a:pt x="144" y="24"/>
                                        <a:pt x="175" y="0"/>
                                      </a:cubicBezTo>
                                    </a:path>
                                  </a:pathLst>
                                </a:custGeom>
                                <a:noFill/>
                                <a:ln w="9525" cap="flat" cmpd="sng">
                                  <a:solidFill>
                                    <a:srgbClr val="000000"/>
                                  </a:solidFill>
                                  <a:prstDash val="solid"/>
                                  <a:headEnd type="none" w="med" len="med"/>
                                  <a:tailEnd type="none" w="med" len="med"/>
                                </a:ln>
                              </wps:spPr>
                              <wps:bodyPr vert="horz" wrap="square" anchor="t" anchorCtr="0" upright="1"/>
                            </wps:wsp>
                            <wps:wsp>
                              <wps:cNvPr id="144" name="文本框 679"/>
                              <wps:cNvSpPr txBox="1"/>
                              <wps:spPr>
                                <a:xfrm>
                                  <a:off x="2978785" y="480060"/>
                                  <a:ext cx="1104900" cy="292100"/>
                                </a:xfrm>
                                <a:prstGeom prst="rect">
                                  <a:avLst/>
                                </a:prstGeom>
                                <a:noFill/>
                                <a:ln>
                                  <a:noFill/>
                                </a:ln>
                              </wps:spPr>
                              <wps:txbx>
                                <w:txbxContent>
                                  <w:p w14:paraId="3E715C7E">
                                    <w:pPr>
                                      <w:rPr>
                                        <w:rFonts w:hint="default" w:eastAsia="宋体"/>
                                        <w:lang w:val="en-US" w:eastAsia="zh-CN"/>
                                      </w:rPr>
                                    </w:pPr>
                                    <w:r>
                                      <w:rPr>
                                        <w:rFonts w:hint="eastAsia"/>
                                        <w:lang w:val="en-US" w:eastAsia="zh-CN"/>
                                      </w:rPr>
                                      <w:t>0.1269</w:t>
                                    </w:r>
                                  </w:p>
                                </w:txbxContent>
                              </wps:txbx>
                              <wps:bodyPr vert="horz" wrap="square" anchor="t" anchorCtr="0" upright="1"/>
                            </wps:wsp>
                            <wps:wsp>
                              <wps:cNvPr id="145" name="直接箭头连接符 145"/>
                              <wps:cNvCnPr/>
                              <wps:spPr>
                                <a:xfrm flipH="1">
                                  <a:off x="1655445" y="855980"/>
                                  <a:ext cx="7620" cy="31496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46" name="文本框 679"/>
                              <wps:cNvSpPr txBox="1"/>
                              <wps:spPr>
                                <a:xfrm>
                                  <a:off x="1285875" y="1073150"/>
                                  <a:ext cx="870585" cy="292100"/>
                                </a:xfrm>
                                <a:prstGeom prst="rect">
                                  <a:avLst/>
                                </a:prstGeom>
                                <a:noFill/>
                                <a:ln>
                                  <a:noFill/>
                                </a:ln>
                              </wps:spPr>
                              <wps:txbx>
                                <w:txbxContent>
                                  <w:p w14:paraId="5D7941C0">
                                    <w:pPr>
                                      <w:rPr>
                                        <w:rFonts w:hint="default" w:eastAsia="宋体"/>
                                        <w:lang w:val="en-US" w:eastAsia="zh-CN"/>
                                      </w:rPr>
                                    </w:pPr>
                                    <w:r>
                                      <w:rPr>
                                        <w:rFonts w:hint="eastAsia"/>
                                        <w:lang w:val="en-US" w:eastAsia="zh-CN"/>
                                      </w:rPr>
                                      <w:t>废碱0.0016</w:t>
                                    </w:r>
                                  </w:p>
                                </w:txbxContent>
                              </wps:txbx>
                              <wps:bodyPr vert="horz" wrap="square" anchor="t" anchorCtr="0" upright="1"/>
                            </wps:wsp>
                          </wpc:wpc>
                        </a:graphicData>
                      </a:graphic>
                    </wp:inline>
                  </w:drawing>
                </mc:Choice>
                <mc:Fallback>
                  <w:pict>
                    <v:group id="画布 657" o:spid="_x0000_s1026" o:spt="203" style="height:181.7pt;width:402.8pt;" coordsize="5115560,2307590" editas="canvas" o:gfxdata="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">
                      <o:lock v:ext="edit" aspectratio="f"/>
                      <v:shape id="画布 657" o:spid="_x0000_s1026" style="position:absolute;left:0;top:0;height:2307590;width:5115560;" filled="f" stroked="t" coordsize="21600,21600" o:gfxdata="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">
                        <v:fill on="f" focussize="0,0"/>
                        <v:stroke color="#000000 [3213]" joinstyle="round"/>
                        <v:imagedata o:title=""/>
                        <o:lock v:ext="edit" aspectratio="f"/>
                      </v:shape>
                      <v:shape id="文本框 659" o:spid="_x0000_s1026" o:spt="202" type="#_x0000_t202" style="position:absolute;left:1456690;top:577215;height:269240;width:1447800;" fillcolor="#FFFFFF" filled="t" stroked="t" coordsize="21600,21600" o:gfxdata="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fLZip1gAAAAUBAAAPAAAAAAAAAAEAIAAAACIAAABkcnMvZG93bnJl&#10;di54bWxQSwECFAAUAAAACACHTuJANfSqKjgCAAB3BAAADgAAAAAAAAABACAAAAAlAQAAZHJzL2Uy&#10;b0RvYy54bWxQSwUGAAAAAAYABgBZAQAAzwUAAAAA&#10;">
                        <v:fill on="t" focussize="0,0"/>
                        <v:stroke color="#000000" joinstyle="miter"/>
                        <v:imagedata o:title=""/>
                        <o:lock v:ext="edit" aspectratio="f"/>
                        <v:textbox>
                          <w:txbxContent>
                            <w:p w14:paraId="11AC4ED3">
                              <w:pPr>
                                <w:jc w:val="center"/>
                                <w:rPr>
                                  <w:rFonts w:hint="default" w:eastAsia="宋体"/>
                                  <w:lang w:val="en-US" w:eastAsia="zh-CN"/>
                                </w:rPr>
                              </w:pPr>
                              <w:r>
                                <w:rPr>
                                  <w:rFonts w:hint="eastAsia"/>
                                  <w:lang w:val="en-US" w:eastAsia="zh-CN"/>
                                </w:rPr>
                                <w:t>碱喷淋塔</w:t>
                              </w:r>
                            </w:p>
                          </w:txbxContent>
                        </v:textbox>
                      </v:shape>
                      <v:line id="直线 660" o:spid="_x0000_s1026" o:spt="20" style="position:absolute;left:838835;top:705485;height:635;width:610870;" filled="f" stroked="t" coordsize="21600,21600" o:gfxdata="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5gjPbNcAAAAFAQAADwAAAAAAAAABACAAAAAiAAAAZHJzL2Rvd25yZXYu&#10;eG1sUEsBAhQAFAAAAAgAh07iQMkCQQb8AQAA6gMAAA4AAAAAAAAAAQAgAAAAJgEAAGRycy9lMm9E&#10;b2MueG1sUEsFBgAAAAAGAAYAWQEAAJQFAAAAAA==&#10;">
                        <v:fill on="f" focussize="0,0"/>
                        <v:stroke color="#000000" joinstyle="round" endarrow="open"/>
                        <v:imagedata o:title=""/>
                        <o:lock v:ext="edit" aspectratio="f"/>
                      </v:line>
                      <v:shape id="文本框 661" o:spid="_x0000_s1026" o:spt="202" type="#_x0000_t202" style="position:absolute;left:1524635;top:1946911;height:266700;width:1130300;" fillcolor="#FFFFFF" filled="t" stroked="t" coordsize="21600,21600" o:gfxdata="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fLZip1gAAAAUBAAAPAAAAAAAAAAEAIAAAACIAAABkcnMvZG93bnJldi54&#10;bWxQSwECFAAUAAAACACHTuJAVsS/iDUCAAB4BAAADgAAAAAAAAABACAAAAAlAQAAZHJzL2Uyb0Rv&#10;Yy54bWxQSwUGAAAAAAYABgBZAQAAzAUAAAAA&#10;">
                        <v:fill on="t" focussize="0,0"/>
                        <v:stroke color="#000000" joinstyle="miter"/>
                        <v:imagedata o:title=""/>
                        <o:lock v:ext="edit" aspectratio="f"/>
                        <v:textbox>
                          <w:txbxContent>
                            <w:p w14:paraId="6078EDC1">
                              <w:pPr>
                                <w:jc w:val="center"/>
                                <w:rPr>
                                  <w:rFonts w:hint="default" w:eastAsia="宋体"/>
                                  <w:lang w:val="en-US" w:eastAsia="zh-CN"/>
                                </w:rPr>
                              </w:pPr>
                              <w:r>
                                <w:rPr>
                                  <w:rFonts w:hint="eastAsia"/>
                                  <w:lang w:val="en-US" w:eastAsia="zh-CN"/>
                                </w:rPr>
                                <w:t>生活用水</w:t>
                              </w:r>
                            </w:p>
                          </w:txbxContent>
                        </v:textbox>
                      </v:shape>
                      <v:line id="直线 662" o:spid="_x0000_s1026" o:spt="20" style="position:absolute;left:850265;top:2091691;height:635;width:666750;" filled="f" stroked="t" coordsize="21600,21600" o:gfxdata="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OYIz2zXAAAABQEAAA8AAAAAAAAAAQAgAAAAIgAAAGRycy9kb3ducmV2&#10;LnhtbFBLAQIUABQAAAAIAIdO4kDf/I+N/QEAAOsDAAAOAAAAAAAAAAEAIAAAACYBAABkcnMvZTJv&#10;RG9jLnhtbFBLBQYAAAAABgAGAFkBAACVBQAAAAA=&#10;">
                        <v:fill on="f" focussize="0,0"/>
                        <v:stroke color="#000000" joinstyle="round" endarrow="open"/>
                        <v:imagedata o:title=""/>
                        <o:lock v:ext="edit" aspectratio="f"/>
                      </v:line>
                      <v:line id="直线 664" o:spid="_x0000_s1026" o:spt="20" style="position:absolute;left:2310130;top:832485;flip:x y;height:417195;width:6985;" filled="f" stroked="t" coordsize="21600,21600" o:gfxdata="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BDJkWdYAAAAFAQAADwAAAAAAAAABACAAAAAi&#10;AAAAZHJzL2Rvd25yZXYueG1sUEsBAhQAFAAAAAgAh07iQPctZwwMAgAAAAQAAA4AAAAAAAAAAQAg&#10;AAAAJQEAAGRycy9lMm9Eb2MueG1sUEsFBgAAAAAGAAYAWQEAAKMFAAAAAA==&#10;">
                        <v:fill on="f" focussize="0,0"/>
                        <v:stroke color="#000000" joinstyle="round" endarrow="open"/>
                        <v:imagedata o:title=""/>
                        <o:lock v:ext="edit" aspectratio="f"/>
                      </v:line>
                      <v:shape id="任意多边形 665" o:spid="_x0000_s1026" o:spt="100" style="position:absolute;left:2629535;top:1808481;height:152400;width:152400;" filled="f" stroked="t" coordsize="259,252" o:gfxdata="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ilkRntQAAAAF&#10;AQAADwAAAAAAAAABACAAAAAiAAAAZHJzL2Rvd25yZXYueG1sUEsBAhQAFAAAAAgAh07iQJdhUveS&#10;AgAAZQUAAA4AAAAAAAAAAQAgAAAAIwEAAGRycy9lMm9Eb2MueG1sUEsFBgAAAAAGAAYAWQEAACcG&#10;AAAAAA==&#10;" path="m52,252c45,219,0,130,41,80c82,30,215,13,259,0e">
                        <v:fill on="f" focussize="0,0"/>
                        <v:stroke color="#000000" joinstyle="round"/>
                        <v:imagedata o:title=""/>
                        <o:lock v:ext="edit" aspectratio="f"/>
                      </v:shape>
                      <v:line id="直线 666" o:spid="_x0000_s1026" o:spt="20" style="position:absolute;left:831850;top:705485;height:1374141;width:6985;" filled="f" stroked="t" coordsize="21600,21600" o:gfxdata="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xYOp1QAAAAUBAAAPAAAAAAAAAAEAIAAAACIAAABkcnMvZG93bnJldi54bWxQSwEC&#10;FAAUAAAACACHTuJAuSTPl/cBAADrAwAADgAAAAAAAAABACAAAAAkAQAAZHJzL2Uyb0RvYy54bWxQ&#10;SwUGAAAAAAYABgBZAQAAjQUAAAAA&#10;">
                        <v:fill on="f" focussize="0,0"/>
                        <v:stroke color="#000000" joinstyle="round"/>
                        <v:imagedata o:title=""/>
                        <o:lock v:ext="edit" aspectratio="f"/>
                      </v:line>
                      <v:line id="直线 667" o:spid="_x0000_s1026" o:spt="20" style="position:absolute;left:382905;top:1399541;flip:y;height:8890;width:451485;" filled="f" stroked="t" coordsize="21600,21600" o:gfxdata="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3Lbm8tUAAAAFAQAADwAAAAAAAAABACAAAAAiAAAAZHJz&#10;L2Rvd25yZXYueG1sUEsBAhQAFAAAAAgAh07iQF70jicHAgAA9gMAAA4AAAAAAAAAAQAgAAAAJAEA&#10;AGRycy9lMm9Eb2MueG1sUEsFBgAAAAAGAAYAWQEAAJ0FAAAAAA==&#10;">
                        <v:fill on="f" focussize="0,0"/>
                        <v:stroke color="#000000" joinstyle="round" endarrow="open"/>
                        <v:imagedata o:title=""/>
                        <o:lock v:ext="edit" aspectratio="f"/>
                      </v:line>
                      <v:shape id="文本框 668" o:spid="_x0000_s1026" o:spt="202" type="#_x0000_t202" style="position:absolute;left:2534920;top:133350;height:291465;width:977265;" filled="f" stroked="f" coordsize="21600,21600" o:gfxdata="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7B7EFNQAAAAFAQAADwAAAAAAAAABACAA&#10;AAAiAAAAZHJzL2Rvd25yZXYueG1sUEsBAhQAFAAAAAgAh07iQN0mzfjYAQAAjgMAAA4AAAAAAAAA&#10;AQAgAAAAIwEAAGRycy9lMm9Eb2MueG1sUEsFBgAAAAAGAAYAWQEAAG0FAAAAAA==&#10;">
                        <v:fill on="f" focussize="0,0"/>
                        <v:stroke on="f"/>
                        <v:imagedata o:title=""/>
                        <o:lock v:ext="edit" aspectratio="f"/>
                        <v:textbox>
                          <w:txbxContent>
                            <w:p w14:paraId="47246924">
                              <w:pPr>
                                <w:rPr>
                                  <w:rFonts w:hint="default" w:eastAsia="宋体"/>
                                  <w:color w:val="000000"/>
                                  <w:lang w:val="en-US" w:eastAsia="zh-CN"/>
                                </w:rPr>
                              </w:pPr>
                              <w:r>
                                <w:rPr>
                                  <w:rFonts w:hint="eastAsia"/>
                                  <w:color w:val="000000"/>
                                  <w:lang w:val="en-US" w:eastAsia="zh-CN"/>
                                </w:rPr>
                                <w:t>损耗0.0143</w:t>
                              </w:r>
                            </w:p>
                          </w:txbxContent>
                        </v:textbox>
                      </v:shape>
                      <v:shape id="文本框 669" o:spid="_x0000_s1026" o:spt="202" type="#_x0000_t202" style="position:absolute;left:2767965;top:1503045;height:283210;width:1257300;" fillcolor="#FFFFFF" filled="t" stroked="f" coordsize="21600,21600" o:gfxdata="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FFm357VAAAABQEAAA8AAAAAAAAAAQAgAAAAIgAAAGRycy9kb3ducmV2LnhtbFBLAQIUABQAAAAI&#10;AIdO4kARBaSd8AEAALkDAAAOAAAAAAAAAAEAIAAAACQBAABkcnMvZTJvRG9jLnhtbFBLBQYAAAAA&#10;BgAGAFkBAACGBQAAAAA=&#10;">
                        <v:fill on="t" focussize="0,0"/>
                        <v:stroke on="f"/>
                        <v:imagedata o:title=""/>
                        <o:lock v:ext="edit" aspectratio="f"/>
                        <v:textbox>
                          <w:txbxContent>
                            <w:p w14:paraId="28F48311">
                              <w:pPr>
                                <w:rPr>
                                  <w:rFonts w:hint="default" w:eastAsia="宋体"/>
                                  <w:lang w:val="en-US" w:eastAsia="zh-CN"/>
                                </w:rPr>
                              </w:pPr>
                              <w:r>
                                <w:rPr>
                                  <w:rFonts w:hint="eastAsia"/>
                                  <w:lang w:val="en-US" w:eastAsia="zh-CN"/>
                                </w:rPr>
                                <w:t>损耗0.096</w:t>
                              </w:r>
                            </w:p>
                          </w:txbxContent>
                        </v:textbox>
                      </v:shape>
                      <v:line id="直线 670" o:spid="_x0000_s1026" o:spt="20" style="position:absolute;left:2666365;top:2084706;height:0;width:660400;" filled="f" stroked="t" coordsize="21600,21600" o:gfxdata="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5gjPbNcAAAAFAQAADwAAAAAAAAABACAAAAAiAAAAZHJzL2Rvd25yZXYu&#10;eG1sUEsBAhQAFAAAAAgAh07iQHF3OPH8AQAA6gMAAA4AAAAAAAAAAQAgAAAAJgEAAGRycy9lMm9E&#10;b2MueG1sUEsFBgAAAAAGAAYAWQEAAJQFAAAAAA==&#10;">
                        <v:fill on="f" focussize="0,0"/>
                        <v:stroke color="#000000" joinstyle="round" endarrow="open"/>
                        <v:imagedata o:title=""/>
                        <o:lock v:ext="edit" aspectratio="f"/>
                      </v:line>
                      <v:shape id="文本框 671" o:spid="_x0000_s1026" o:spt="202" type="#_x0000_t202" style="position:absolute;left:64135;top:1183641;height:520065;width:712470;" filled="f" stroked="f" coordsize="21600,21600" o:gfxdata="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OwexBTUAAAABQEAAA8AAAAAAAAAAQAgAAAA&#10;IgAAAGRycy9kb3ducmV2LnhtbFBLAQIUABQAAAAIAIdO4kBAKB2a1gEAAI0DAAAOAAAAAAAAAAEA&#10;IAAAACMBAABkcnMvZTJvRG9jLnhtbFBLBQYAAAAABgAGAFkBAABrBQAAAAA=&#10;">
                        <v:fill on="f" focussize="0,0"/>
                        <v:stroke on="f"/>
                        <v:imagedata o:title=""/>
                        <o:lock v:ext="edit" aspectratio="f"/>
                        <v:textbox>
                          <w:txbxContent>
                            <w:p w14:paraId="00E06CED">
                              <w:pPr>
                                <w:rPr>
                                  <w:rFonts w:hint="default" w:eastAsia="宋体"/>
                                  <w:lang w:val="en-US" w:eastAsia="zh-CN"/>
                                </w:rPr>
                              </w:pPr>
                              <w:r>
                                <w:rPr>
                                  <w:rFonts w:hint="eastAsia"/>
                                  <w:lang w:val="en-US" w:eastAsia="zh-CN"/>
                                </w:rPr>
                                <w:t>新鲜水0.6228</w:t>
                              </w:r>
                            </w:p>
                          </w:txbxContent>
                        </v:textbox>
                      </v:shape>
                      <v:shape id="文本框 672" o:spid="_x0000_s1026" o:spt="202" type="#_x0000_t202" style="position:absolute;left:829310;top:499745;height:263525;width:633095;" filled="f" stroked="f" coordsize="21600,21600" o:gfxdata="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sHsQU1AAAAAUBAAAPAAAAAAAAAAEA&#10;IAAAACIAAABkcnMvZG93bnJldi54bWxQSwECFAAUAAAACACHTuJAvAWkWtoBAACNAwAADgAAAAAA&#10;AAABACAAAAAjAQAAZHJzL2Uyb0RvYy54bWxQSwUGAAAAAAYABgBZAQAAbwUAAAAA&#10;">
                        <v:fill on="f" focussize="0,0"/>
                        <v:stroke on="f"/>
                        <v:imagedata o:title=""/>
                        <o:lock v:ext="edit" aspectratio="f"/>
                        <v:textbox>
                          <w:txbxContent>
                            <w:p w14:paraId="7EB323A3">
                              <w:pPr>
                                <w:rPr>
                                  <w:rFonts w:hint="default" w:eastAsia="宋体"/>
                                  <w:lang w:val="en-US" w:eastAsia="zh-CN"/>
                                </w:rPr>
                              </w:pPr>
                              <w:r>
                                <w:rPr>
                                  <w:rFonts w:hint="eastAsia"/>
                                  <w:lang w:val="en-US" w:eastAsia="zh-CN"/>
                                </w:rPr>
                                <w:t>0.1428</w:t>
                              </w:r>
                            </w:p>
                          </w:txbxContent>
                        </v:textbox>
                      </v:shape>
                      <v:shape id="文本框 673" o:spid="_x0000_s1026" o:spt="202" type="#_x0000_t202" style="position:absolute;left:862965;top:1866266;height:421005;width:711200;" filled="f" stroked="f" coordsize="21600,21600" o:gfxdata="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7B7EFNQAAAAFAQAADwAAAAAAAAABACAA&#10;AAAiAAAAZHJzL2Rvd25yZXYueG1sUEsBAhQAFAAAAAgAh07iQB5p9DzYAQAAjgMAAA4AAAAAAAAA&#10;AQAgAAAAIwEAAGRycy9lMm9Eb2MueG1sUEsFBgAAAAAGAAYAWQEAAG0FAAAAAA==&#10;">
                        <v:fill on="f" focussize="0,0"/>
                        <v:stroke on="f"/>
                        <v:imagedata o:title=""/>
                        <o:lock v:ext="edit" aspectratio="f"/>
                        <v:textbox>
                          <w:txbxContent>
                            <w:p w14:paraId="1BE6088A">
                              <w:pPr>
                                <w:rPr>
                                  <w:rFonts w:hint="default" w:eastAsia="宋体"/>
                                  <w:lang w:val="en-US" w:eastAsia="zh-CN"/>
                                </w:rPr>
                              </w:pPr>
                              <w:r>
                                <w:rPr>
                                  <w:rFonts w:hint="eastAsia"/>
                                  <w:lang w:val="en-US" w:eastAsia="zh-CN"/>
                                </w:rPr>
                                <w:t>0.48</w:t>
                              </w:r>
                            </w:p>
                          </w:txbxContent>
                        </v:textbox>
                      </v:shape>
                      <v:shape id="文本框 674" o:spid="_x0000_s1026" o:spt="202" type="#_x0000_t202" style="position:absolute;left:2644775;top:1837691;height:419100;width:711200;" filled="f" stroked="f" coordsize="21600,21600" o:gfxdata="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OwexBTUAAAABQEAAA8AAAAAAAAAAQAg&#10;AAAAIgAAAGRycy9kb3ducmV2LnhtbFBLAQIUABQAAAAIAIdO4kDsFT4J2QEAAI8DAAAOAAAAAAAA&#10;AAEAIAAAACMBAABkcnMvZTJvRG9jLnhtbFBLBQYAAAAABgAGAFkBAABuBQAAAAA=&#10;">
                        <v:fill on="f" focussize="0,0"/>
                        <v:stroke on="f"/>
                        <v:imagedata o:title=""/>
                        <o:lock v:ext="edit" aspectratio="f"/>
                        <v:textbox>
                          <w:txbxContent>
                            <w:p w14:paraId="6846E5EC">
                              <w:pPr>
                                <w:rPr>
                                  <w:rFonts w:hint="default" w:eastAsia="宋体"/>
                                  <w:lang w:val="en-US" w:eastAsia="zh-CN"/>
                                </w:rPr>
                              </w:pPr>
                              <w:r>
                                <w:rPr>
                                  <w:rFonts w:hint="eastAsia"/>
                                  <w:lang w:val="en-US" w:eastAsia="zh-CN"/>
                                </w:rPr>
                                <w:t>0.384</w:t>
                              </w:r>
                            </w:p>
                          </w:txbxContent>
                        </v:textbox>
                      </v:shape>
                      <v:shape id="文本框 675" o:spid="_x0000_s1026" o:spt="202" type="#_x0000_t202" style="position:absolute;left:3298190;top:1711960;height:499745;width:1668145;" filled="f" stroked="f" coordsize="21600,21600" o:gfxdata="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sHsQU1AAAAAUBAAAPAAAAAAAAAAEAIAAA&#10;ACIAAABkcnMvZG93bnJldi54bWxQSwECFAAUAAAACACHTuJAg9eNVtcBAACQAwAADgAAAAAAAAAB&#10;ACAAAAAjAQAAZHJzL2Uyb0RvYy54bWxQSwUGAAAAAAYABgBZAQAAbAUAAAAA&#10;">
                        <v:fill on="f" focussize="0,0"/>
                        <v:stroke on="f"/>
                        <v:imagedata o:title=""/>
                        <o:lock v:ext="edit" aspectratio="f"/>
                        <v:textbox>
                          <w:txbxContent>
                            <w:p w14:paraId="66F6100D">
                              <w:pPr>
                                <w:rPr>
                                  <w:rFonts w:hint="default"/>
                                  <w:color w:val="000000"/>
                                  <w:lang w:val="en-US" w:eastAsia="zh-CN"/>
                                </w:rPr>
                              </w:pPr>
                              <w:r>
                                <w:rPr>
                                  <w:bCs/>
                                  <w:sz w:val="21"/>
                                  <w:szCs w:val="21"/>
                                </w:rPr>
                                <w:t>排</w:t>
                              </w:r>
                              <w:r>
                                <w:rPr>
                                  <w:bCs/>
                                  <w:color w:val="000000"/>
                                  <w:sz w:val="21"/>
                                  <w:szCs w:val="21"/>
                                </w:rPr>
                                <w:t>入</w:t>
                              </w:r>
                              <w:r>
                                <w:rPr>
                                  <w:rFonts w:hint="default" w:ascii="Times New Roman" w:hAnsi="Times New Roman" w:eastAsia="宋体" w:cs="Times New Roman"/>
                                  <w:color w:val="000000"/>
                                  <w:kern w:val="2"/>
                                  <w:sz w:val="24"/>
                                  <w:szCs w:val="24"/>
                                  <w:highlight w:val="none"/>
                                  <w:lang w:eastAsia="zh-CN"/>
                                </w:rPr>
                                <w:t>伊春市中心城污水处理厂</w:t>
                              </w:r>
                              <w:r>
                                <w:rPr>
                                  <w:rFonts w:hint="eastAsia"/>
                                  <w:bCs/>
                                  <w:color w:val="000000"/>
                                  <w:sz w:val="21"/>
                                  <w:szCs w:val="21"/>
                                  <w:lang w:val="en-US" w:eastAsia="zh-CN"/>
                                </w:rPr>
                                <w:t>处理</w:t>
                              </w:r>
                            </w:p>
                          </w:txbxContent>
                        </v:textbox>
                      </v:shape>
                      <v:line id="直线 676" o:spid="_x0000_s1026" o:spt="20" style="position:absolute;left:2904490;top:694055;height:0;width:609600;" filled="f" stroked="t" coordsize="21600,21600" o:gfxdata="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5gjPbNcAAAAFAQAADwAAAAAAAAABACAAAAAiAAAAZHJzL2Rvd25yZXYu&#10;eG1sUEsBAhQAFAAAAAgAh07iQBkMz//8AQAA6QMAAA4AAAAAAAAAAQAgAAAAJgEAAGRycy9lMm9E&#10;b2MueG1sUEsFBgAAAAAGAAYAWQEAAJQFAAAAAA==&#10;">
                        <v:fill on="f" focussize="0,0"/>
                        <v:stroke color="#000000" joinstyle="round" endarrow="open"/>
                        <v:imagedata o:title=""/>
                        <o:lock v:ext="edit" aspectratio="f"/>
                      </v:line>
                      <v:line id="直线 677" o:spid="_x0000_s1026" o:spt="20" style="position:absolute;left:2309495;top:1231265;height:6985;width:1192530;" filled="f" stroked="t" coordsize="21600,21600" o:gfxdata="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L7Fg6nVAAAABQEAAA8AAAAAAAAAAQAgAAAAIgAAAGRycy9kb3ducmV2Lnht&#10;bFBLAQIUABQAAAAIAIdO4kBSPMQG/AEAAO0DAAAOAAAAAAAAAAEAIAAAACQBAABkcnMvZTJvRG9j&#10;LnhtbFBLBQYAAAAABgAGAFkBAACSBQAAAAA=&#10;">
                        <v:fill on="f" focussize="0,0"/>
                        <v:stroke color="#000000" joinstyle="round"/>
                        <v:imagedata o:title=""/>
                        <o:lock v:ext="edit" aspectratio="f"/>
                      </v:line>
                      <v:line id="直线 678" o:spid="_x0000_s1026" o:spt="20" style="position:absolute;left:3498215;top:711200;flip:x y;height:520065;width:3810;" filled="f" stroked="t" coordsize="21600,21600" o:gfxdata="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pXB/Y0gAAAAUBAAAPAAAAAAAAAAEAIAAAACIAAABkcnMvZG93bnJl&#10;di54bWxQSwECFAAUAAAACACHTuJAHt8eaQMCAAD/AwAADgAAAAAAAAABACAAAAAhAQAAZHJzL2Uy&#10;b0RvYy54bWxQSwUGAAAAAAYABgBZAQAAlgUAAAAA&#10;">
                        <v:fill on="f" focussize="0,0"/>
                        <v:stroke color="#000000" joinstyle="round"/>
                        <v:imagedata o:title=""/>
                        <o:lock v:ext="edit" aspectratio="f"/>
                      </v:line>
                      <v:shape id="文本框 679" o:spid="_x0000_s1026" o:spt="202" type="#_x0000_t202" style="position:absolute;left:2517140;top:1033145;height:292100;width:1104900;" filled="f" stroked="f" coordsize="21600,21600" o:gfxdata="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OwexBTUAAAABQEAAA8AAAAAAAAAAQAg&#10;AAAAIgAAAGRycy9kb3ducmV2LnhtbFBLAQIUABQAAAAIAIdO4kBlMsRN2QEAAJADAAAOAAAAAAAA&#10;AAEAIAAAACMBAABkcnMvZTJvRG9jLnhtbFBLBQYAAAAABgAGAFkBAABuBQAAAAA=&#10;">
                        <v:fill on="f" focussize="0,0"/>
                        <v:stroke on="f"/>
                        <v:imagedata o:title=""/>
                        <o:lock v:ext="edit" aspectratio="f"/>
                        <v:textbox>
                          <w:txbxContent>
                            <w:p w14:paraId="6876ECD0">
                              <w:pPr>
                                <w:rPr>
                                  <w:rFonts w:hint="default" w:eastAsia="宋体"/>
                                  <w:lang w:val="en-US" w:eastAsia="zh-CN"/>
                                </w:rPr>
                              </w:pPr>
                              <w:r>
                                <w:rPr>
                                  <w:rFonts w:hint="eastAsia"/>
                                  <w:lang w:val="en-US" w:eastAsia="zh-CN"/>
                                </w:rPr>
                                <w:t>回用0.1269</w:t>
                              </w:r>
                            </w:p>
                          </w:txbxContent>
                        </v:textbox>
                      </v:shape>
                      <v:shape id="任意多边形 685" o:spid="_x0000_s1026" o:spt="100" style="position:absolute;left:2560955;top:396240;height:190500;width:101600;" filled="f" stroked="t" coordsize="175,300" o:gfxdata="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CzqVa6&#10;1wAAAAUBAAAPAAAAAAAAAAEAIAAAACIAAABkcnMvZG93bnJldi54bWxQSwECFAAUAAAACACHTuJA&#10;/8AROZQCAABmBQAADgAAAAAAAAABACAAAAAmAQAAZHJzL2Uyb0RvYy54bWxQSwUGAAAAAAYABgBZ&#10;AQAALAYAAAAA&#10;" path="m52,300c44,270,0,196,25,136c50,76,144,24,175,0e">
                        <v:fill on="f" focussize="0,0"/>
                        <v:stroke color="#000000" joinstyle="round"/>
                        <v:imagedata o:title=""/>
                        <o:lock v:ext="edit" aspectratio="f"/>
                      </v:shape>
                      <v:shape id="文本框 679" o:spid="_x0000_s1026" o:spt="202" type="#_x0000_t202" style="position:absolute;left:2978785;top:480060;height:292100;width:1104900;" filled="f" stroked="f" coordsize="21600,21600" o:gfxdata="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7B7EFNQAAAAFAQAADwAAAAAAAAABACAA&#10;AAAiAAAAZHJzL2Rvd25yZXYueG1sUEsBAhQAFAAAAAgAh07iQBJSKTnYAQAAkAMAAA4AAAAAAAAA&#10;AQAgAAAAIwEAAGRycy9lMm9Eb2MueG1sUEsFBgAAAAAGAAYAWQEAAG0FAAAAAA==&#10;">
                        <v:fill on="f" focussize="0,0"/>
                        <v:stroke on="f"/>
                        <v:imagedata o:title=""/>
                        <o:lock v:ext="edit" aspectratio="f"/>
                        <v:textbox>
                          <w:txbxContent>
                            <w:p w14:paraId="3E715C7E">
                              <w:pPr>
                                <w:rPr>
                                  <w:rFonts w:hint="default" w:eastAsia="宋体"/>
                                  <w:lang w:val="en-US" w:eastAsia="zh-CN"/>
                                </w:rPr>
                              </w:pPr>
                              <w:r>
                                <w:rPr>
                                  <w:rFonts w:hint="eastAsia"/>
                                  <w:lang w:val="en-US" w:eastAsia="zh-CN"/>
                                </w:rPr>
                                <w:t>0.1269</w:t>
                              </w:r>
                            </w:p>
                          </w:txbxContent>
                        </v:textbox>
                      </v:shape>
                      <v:shape id="_x0000_s1026" o:spid="_x0000_s1026" o:spt="32" type="#_x0000_t32" style="position:absolute;left:1655445;top:855980;flip:x;height:314960;width:7620;" filled="f" stroked="t" coordsize="21600,21600" o:gfxdata="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Jq1VbVAAAABQEAAA8AAAAAAAAAAQAgAAAA&#10;IgAAAGRycy9kb3ducmV2LnhtbFBLAQIUABQAAAAIAIdO4kD+o9c7DgIAAOIDAAAOAAAAAAAAAAEA&#10;IAAAACQBAABkcnMvZTJvRG9jLnhtbFBLBQYAAAAABgAGAFkBAACkBQAAAAA=&#10;">
                        <v:fill on="f" focussize="0,0"/>
                        <v:stroke color="#000000 [3213]" joinstyle="round" endarrow="open"/>
                        <v:imagedata o:title=""/>
                        <o:lock v:ext="edit" aspectratio="f"/>
                      </v:shape>
                      <v:shape id="文本框 679" o:spid="_x0000_s1026" o:spt="202" type="#_x0000_t202" style="position:absolute;left:1285875;top:1073150;height:292100;width:870585;" filled="f" stroked="f" coordsize="21600,21600" o:gfxdata="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7B7EFNQAAAAFAQAADwAAAAAAAAABACAA&#10;AAAiAAAAZHJzL2Rvd25yZXYueG1sUEsBAhQAFAAAAAgAh07iQE8P9Z3YAQAAkAMAAA4AAAAAAAAA&#10;AQAgAAAAIwEAAGRycy9lMm9Eb2MueG1sUEsFBgAAAAAGAAYAWQEAAG0FAAAAAA==&#10;">
                        <v:fill on="f" focussize="0,0"/>
                        <v:stroke on="f"/>
                        <v:imagedata o:title=""/>
                        <o:lock v:ext="edit" aspectratio="f"/>
                        <v:textbox>
                          <w:txbxContent>
                            <w:p w14:paraId="5D7941C0">
                              <w:pPr>
                                <w:rPr>
                                  <w:rFonts w:hint="default" w:eastAsia="宋体"/>
                                  <w:lang w:val="en-US" w:eastAsia="zh-CN"/>
                                </w:rPr>
                              </w:pPr>
                              <w:r>
                                <w:rPr>
                                  <w:rFonts w:hint="eastAsia"/>
                                  <w:lang w:val="en-US" w:eastAsia="zh-CN"/>
                                </w:rPr>
                                <w:t>废碱0.0016</w:t>
                              </w:r>
                            </w:p>
                          </w:txbxContent>
                        </v:textbox>
                      </v:shape>
                      <w10:wrap type="none"/>
                      <w10:anchorlock/>
                    </v:group>
                  </w:pict>
                </mc:Fallback>
              </mc:AlternateContent>
            </w:r>
          </w:p>
          <w:p w14:paraId="2AFB15A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jc w:val="center"/>
              <w:textAlignment w:val="auto"/>
              <w:rPr>
                <w:rFonts w:hint="default" w:ascii="Times New Roman" w:hAnsi="Times New Roman" w:eastAsia="宋体" w:cs="Times New Roman"/>
                <w:bCs/>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b/>
                <w:color w:val="000000" w:themeColor="text1"/>
                <w:sz w:val="24"/>
                <w:szCs w:val="24"/>
                <w:highlight w:val="none"/>
                <w14:textFill>
                  <w14:solidFill>
                    <w14:schemeClr w14:val="tx1"/>
                  </w14:solidFill>
                </w14:textFill>
              </w:rPr>
              <w:t>图2-1 全厂水平衡图</w:t>
            </w:r>
            <w:r>
              <w:rPr>
                <w:rFonts w:hint="default" w:ascii="Times New Roman" w:hAnsi="Times New Roman" w:eastAsia="宋体" w:cs="Times New Roman"/>
                <w:b/>
                <w:bCs w:val="0"/>
                <w:color w:val="000000" w:themeColor="text1"/>
                <w:sz w:val="24"/>
                <w:szCs w:val="24"/>
                <w:highlight w:val="none"/>
                <w14:textFill>
                  <w14:solidFill>
                    <w14:schemeClr w14:val="tx1"/>
                  </w14:solidFill>
                </w14:textFill>
              </w:rPr>
              <w:t>（</w:t>
            </w:r>
            <w:r>
              <w:rPr>
                <w:rFonts w:hint="default" w:ascii="Times New Roman" w:hAnsi="Times New Roman" w:eastAsia="宋体" w:cs="Times New Roman"/>
                <w:b/>
                <w:bCs w:val="0"/>
                <w:color w:val="000000" w:themeColor="text1"/>
                <w:sz w:val="24"/>
                <w:highlight w:val="none"/>
                <w:lang w:val="en-US" w:eastAsia="zh-CN"/>
                <w14:textFill>
                  <w14:solidFill>
                    <w14:schemeClr w14:val="tx1"/>
                  </w14:solidFill>
                </w14:textFill>
              </w:rPr>
              <w:t>m</w:t>
            </w:r>
            <w:r>
              <w:rPr>
                <w:rFonts w:hint="default" w:ascii="Times New Roman" w:hAnsi="Times New Roman" w:eastAsia="宋体" w:cs="Times New Roman"/>
                <w:b/>
                <w:bCs w:val="0"/>
                <w:color w:val="000000" w:themeColor="text1"/>
                <w:sz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
                <w:bCs w:val="0"/>
                <w:color w:val="000000" w:themeColor="text1"/>
                <w:sz w:val="24"/>
                <w:szCs w:val="24"/>
                <w:highlight w:val="none"/>
                <w14:textFill>
                  <w14:solidFill>
                    <w14:schemeClr w14:val="tx1"/>
                  </w14:solidFill>
                </w14:textFill>
              </w:rPr>
              <w:t>/d）</w:t>
            </w:r>
          </w:p>
          <w:p w14:paraId="0082E34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Cs/>
                <w:color w:val="000000" w:themeColor="text1"/>
                <w:sz w:val="24"/>
                <w:szCs w:val="24"/>
                <w:highlight w:val="none"/>
                <w:vertAlign w:val="baseline"/>
                <w:lang w:val="en-US" w:eastAsia="zh-CN"/>
                <w14:textFill>
                  <w14:solidFill>
                    <w14:schemeClr w14:val="tx1"/>
                  </w14:solidFill>
                </w14:textFill>
              </w:rPr>
            </w:pPr>
            <w:r>
              <w:rPr>
                <w:rFonts w:hint="eastAsia" w:cs="Times New Roman"/>
                <w:b/>
                <w:bCs w:val="0"/>
                <w:color w:val="000000" w:themeColor="text1"/>
                <w:sz w:val="24"/>
                <w:szCs w:val="24"/>
                <w:highlight w:val="none"/>
                <w:vertAlign w:val="baseline"/>
                <w:lang w:val="en-US" w:eastAsia="zh-CN"/>
                <w14:textFill>
                  <w14:solidFill>
                    <w14:schemeClr w14:val="tx1"/>
                  </w14:solidFill>
                </w14:textFill>
              </w:rPr>
              <w:t>5、</w:t>
            </w:r>
            <w:r>
              <w:rPr>
                <w:rFonts w:hint="default" w:ascii="Times New Roman" w:hAnsi="Times New Roman" w:eastAsia="宋体" w:cs="Times New Roman"/>
                <w:b/>
                <w:bCs w:val="0"/>
                <w:color w:val="000000" w:themeColor="text1"/>
                <w:sz w:val="24"/>
                <w:szCs w:val="24"/>
                <w:highlight w:val="none"/>
                <w:vertAlign w:val="baseline"/>
                <w:lang w:val="en-US" w:eastAsia="zh-CN"/>
                <w14:textFill>
                  <w14:solidFill>
                    <w14:schemeClr w14:val="tx1"/>
                  </w14:solidFill>
                </w14:textFill>
              </w:rPr>
              <w:t>供暖工程</w:t>
            </w:r>
          </w:p>
          <w:p w14:paraId="6096EFF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Cs/>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本项目办公室采暖依托伊春市林源家具有限公司，危险废物贮存库内不供暖。</w:t>
            </w:r>
          </w:p>
          <w:p w14:paraId="538358C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val="0"/>
                <w:color w:val="000000" w:themeColor="text1"/>
                <w:sz w:val="24"/>
                <w:szCs w:val="24"/>
                <w:highlight w:val="none"/>
                <w:vertAlign w:val="baseline"/>
                <w:lang w:val="en-US" w:eastAsia="zh-CN"/>
                <w14:textFill>
                  <w14:solidFill>
                    <w14:schemeClr w14:val="tx1"/>
                  </w14:solidFill>
                </w14:textFill>
              </w:rPr>
            </w:pPr>
            <w:r>
              <w:rPr>
                <w:rFonts w:hint="eastAsia" w:cs="Times New Roman"/>
                <w:b/>
                <w:bCs w:val="0"/>
                <w:color w:val="000000" w:themeColor="text1"/>
                <w:sz w:val="24"/>
                <w:szCs w:val="24"/>
                <w:highlight w:val="none"/>
                <w:vertAlign w:val="baseline"/>
                <w:lang w:val="en-US" w:eastAsia="zh-CN"/>
                <w14:textFill>
                  <w14:solidFill>
                    <w14:schemeClr w14:val="tx1"/>
                  </w14:solidFill>
                </w14:textFill>
              </w:rPr>
              <w:t>6、</w:t>
            </w:r>
            <w:r>
              <w:rPr>
                <w:rFonts w:hint="default" w:ascii="Times New Roman" w:hAnsi="Times New Roman" w:eastAsia="宋体" w:cs="Times New Roman"/>
                <w:b/>
                <w:bCs w:val="0"/>
                <w:color w:val="000000" w:themeColor="text1"/>
                <w:sz w:val="24"/>
                <w:szCs w:val="24"/>
                <w:highlight w:val="none"/>
                <w:vertAlign w:val="baseline"/>
                <w:lang w:val="en-US" w:eastAsia="zh-CN"/>
                <w14:textFill>
                  <w14:solidFill>
                    <w14:schemeClr w14:val="tx1"/>
                  </w14:solidFill>
                </w14:textFill>
              </w:rPr>
              <w:t>供电工程</w:t>
            </w:r>
          </w:p>
          <w:p w14:paraId="620B7E5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Cs/>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bCs/>
                <w:color w:val="000000" w:themeColor="text1"/>
                <w:sz w:val="24"/>
                <w:szCs w:val="24"/>
                <w:highlight w:val="none"/>
                <w:vertAlign w:val="baseline"/>
                <w:lang w:val="en-US" w:eastAsia="zh-CN"/>
                <w14:textFill>
                  <w14:solidFill>
                    <w14:schemeClr w14:val="tx1"/>
                  </w14:solidFill>
                </w14:textFill>
              </w:rPr>
              <w:t>供电电源由当地供电局提供。</w:t>
            </w:r>
          </w:p>
          <w:p w14:paraId="5A0D125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7、</w:t>
            </w:r>
            <w:r>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劳动定员及工作制度</w:t>
            </w:r>
          </w:p>
          <w:p w14:paraId="5C00A01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Cs/>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bCs/>
                <w:color w:val="000000" w:themeColor="text1"/>
                <w:sz w:val="24"/>
                <w:highlight w:val="none"/>
                <w14:textFill>
                  <w14:solidFill>
                    <w14:schemeClr w14:val="tx1"/>
                  </w14:solidFill>
                </w14:textFill>
              </w:rPr>
              <w:t>本项目劳动定员</w:t>
            </w:r>
            <w:r>
              <w:rPr>
                <w:rFonts w:hint="default" w:ascii="Times New Roman" w:hAnsi="Times New Roman" w:eastAsia="宋体" w:cs="Times New Roman"/>
                <w:bCs/>
                <w:color w:val="000000" w:themeColor="text1"/>
                <w:sz w:val="24"/>
                <w:highlight w:val="none"/>
                <w:lang w:val="en-US" w:eastAsia="zh-CN"/>
                <w14:textFill>
                  <w14:solidFill>
                    <w14:schemeClr w14:val="tx1"/>
                  </w14:solidFill>
                </w14:textFill>
              </w:rPr>
              <w:t>6</w:t>
            </w:r>
            <w:r>
              <w:rPr>
                <w:rFonts w:hint="default" w:ascii="Times New Roman" w:hAnsi="Times New Roman" w:eastAsia="宋体" w:cs="Times New Roman"/>
                <w:bCs/>
                <w:color w:val="000000" w:themeColor="text1"/>
                <w:sz w:val="24"/>
                <w:highlight w:val="none"/>
                <w14:textFill>
                  <w14:solidFill>
                    <w14:schemeClr w14:val="tx1"/>
                  </w14:solidFill>
                </w14:textFill>
              </w:rPr>
              <w:t>人，年工作</w:t>
            </w:r>
            <w:r>
              <w:rPr>
                <w:rFonts w:hint="eastAsia" w:eastAsia="宋体" w:cs="Times New Roman"/>
                <w:bCs/>
                <w:color w:val="000000" w:themeColor="text1"/>
                <w:sz w:val="24"/>
                <w:highlight w:val="none"/>
                <w:lang w:val="en-US" w:eastAsia="zh-CN"/>
                <w14:textFill>
                  <w14:solidFill>
                    <w14:schemeClr w14:val="tx1"/>
                  </w14:solidFill>
                </w14:textFill>
              </w:rPr>
              <w:t>34</w:t>
            </w:r>
            <w:r>
              <w:rPr>
                <w:rFonts w:hint="default" w:ascii="Times New Roman" w:hAnsi="Times New Roman" w:eastAsia="宋体" w:cs="Times New Roman"/>
                <w:bCs/>
                <w:color w:val="000000" w:themeColor="text1"/>
                <w:sz w:val="24"/>
                <w:highlight w:val="none"/>
                <w:lang w:val="en-US" w:eastAsia="zh-CN"/>
                <w14:textFill>
                  <w14:solidFill>
                    <w14:schemeClr w14:val="tx1"/>
                  </w14:solidFill>
                </w14:textFill>
              </w:rPr>
              <w:t>0</w:t>
            </w:r>
            <w:r>
              <w:rPr>
                <w:rFonts w:hint="default" w:ascii="Times New Roman" w:hAnsi="Times New Roman" w:eastAsia="宋体" w:cs="Times New Roman"/>
                <w:bCs/>
                <w:color w:val="000000" w:themeColor="text1"/>
                <w:sz w:val="24"/>
                <w:highlight w:val="none"/>
                <w14:textFill>
                  <w14:solidFill>
                    <w14:schemeClr w14:val="tx1"/>
                  </w14:solidFill>
                </w14:textFill>
              </w:rPr>
              <w:t>天，每班</w:t>
            </w:r>
            <w:r>
              <w:rPr>
                <w:rFonts w:hint="eastAsia" w:eastAsia="宋体" w:cs="Times New Roman"/>
                <w:bCs/>
                <w:color w:val="000000" w:themeColor="text1"/>
                <w:sz w:val="24"/>
                <w:highlight w:val="none"/>
                <w:lang w:val="en-US" w:eastAsia="zh-CN"/>
                <w14:textFill>
                  <w14:solidFill>
                    <w14:schemeClr w14:val="tx1"/>
                  </w14:solidFill>
                </w14:textFill>
              </w:rPr>
              <w:t>8</w:t>
            </w:r>
            <w:r>
              <w:rPr>
                <w:rFonts w:hint="default" w:ascii="Times New Roman" w:hAnsi="Times New Roman" w:eastAsia="宋体" w:cs="Times New Roman"/>
                <w:bCs/>
                <w:color w:val="000000" w:themeColor="text1"/>
                <w:sz w:val="24"/>
                <w:highlight w:val="none"/>
                <w14:textFill>
                  <w14:solidFill>
                    <w14:schemeClr w14:val="tx1"/>
                  </w14:solidFill>
                </w14:textFill>
              </w:rPr>
              <w:t>小时。</w:t>
            </w:r>
          </w:p>
          <w:p w14:paraId="4992EE8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pPr>
            <w:r>
              <w:rPr>
                <w:rFonts w:hint="eastAsia" w:cs="Times New Roman"/>
                <w:b/>
                <w:bCs w:val="0"/>
                <w:color w:val="000000" w:themeColor="text1"/>
                <w:sz w:val="24"/>
                <w:szCs w:val="24"/>
                <w:highlight w:val="none"/>
                <w:lang w:val="en-US" w:eastAsia="zh-CN"/>
                <w14:textFill>
                  <w14:solidFill>
                    <w14:schemeClr w14:val="tx1"/>
                  </w14:solidFill>
                </w14:textFill>
              </w:rPr>
              <w:t>8、</w:t>
            </w:r>
            <w:r>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总平面布置图</w:t>
            </w:r>
          </w:p>
          <w:p w14:paraId="69CB4F0E">
            <w:pPr>
              <w:pStyle w:val="34"/>
              <w:keepNext w:val="0"/>
              <w:keepLines w:val="0"/>
              <w:pageBreakBefore w:val="0"/>
              <w:widowControl w:val="0"/>
              <w:numPr>
                <w:ilvl w:val="0"/>
                <w:numId w:val="0"/>
              </w:numPr>
              <w:kinsoku/>
              <w:wordWrap/>
              <w:overflowPunct/>
              <w:topLinePunct w:val="0"/>
              <w:autoSpaceDE/>
              <w:autoSpaceDN/>
              <w:bidi w:val="0"/>
              <w:adjustRightInd/>
              <w:snapToGrid/>
              <w:spacing w:before="157" w:beforeLines="50"/>
              <w:ind w:firstLine="480" w:firstLineChars="200"/>
              <w:jc w:val="left"/>
              <w:textAlignment w:val="auto"/>
              <w:rPr>
                <w:rFonts w:hint="default" w:ascii="Times New Roman" w:hAnsi="Times New Roman" w:eastAsia="宋体" w:cs="Times New Roman"/>
                <w:bCs/>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bCs/>
                <w:color w:val="000000" w:themeColor="text1"/>
                <w:sz w:val="24"/>
                <w:szCs w:val="24"/>
                <w:highlight w:val="none"/>
                <w:vertAlign w:val="baseline"/>
                <w:lang w:val="en-US" w:eastAsia="zh-CN"/>
                <w14:textFill>
                  <w14:solidFill>
                    <w14:schemeClr w14:val="tx1"/>
                  </w14:solidFill>
                </w14:textFill>
              </w:rPr>
              <w:t>本项目内部功能分区明确，布局上考虑了各不同种类危险废物分区堆放，各分区之间有隔断，形成各自独立的区域，避免相互影响，符合《危险废物贮存污染控制标准》（GB18597-2023）、《危险废物污染防治技术政策》（环发【2001】199号）的要求，因此本项目危险废物</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贮存库</w:t>
            </w:r>
            <w:r>
              <w:rPr>
                <w:rFonts w:hint="default" w:ascii="Times New Roman" w:hAnsi="Times New Roman" w:eastAsia="宋体" w:cs="Times New Roman"/>
                <w:bCs/>
                <w:color w:val="000000" w:themeColor="text1"/>
                <w:sz w:val="24"/>
                <w:szCs w:val="24"/>
                <w:highlight w:val="none"/>
                <w:vertAlign w:val="baseline"/>
                <w:lang w:val="en-US" w:eastAsia="zh-CN"/>
                <w14:textFill>
                  <w14:solidFill>
                    <w14:schemeClr w14:val="tx1"/>
                  </w14:solidFill>
                </w14:textFill>
              </w:rPr>
              <w:t>内平面布置合理。</w:t>
            </w:r>
          </w:p>
          <w:p w14:paraId="152B57C5">
            <w:pPr>
              <w:pStyle w:val="34"/>
              <w:keepNext w:val="0"/>
              <w:keepLines w:val="0"/>
              <w:pageBreakBefore w:val="0"/>
              <w:widowControl w:val="0"/>
              <w:numPr>
                <w:ilvl w:val="0"/>
                <w:numId w:val="0"/>
              </w:numPr>
              <w:kinsoku/>
              <w:wordWrap/>
              <w:overflowPunct/>
              <w:topLinePunct w:val="0"/>
              <w:autoSpaceDE/>
              <w:autoSpaceDN/>
              <w:bidi w:val="0"/>
              <w:adjustRightInd/>
              <w:snapToGrid/>
              <w:spacing w:before="157" w:beforeLines="50"/>
              <w:ind w:firstLine="482" w:firstLineChars="200"/>
              <w:jc w:val="left"/>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hAnsi="Times New Roman" w:cs="Times New Roman"/>
                <w:b/>
                <w:bCs/>
                <w:color w:val="000000" w:themeColor="text1"/>
                <w:sz w:val="24"/>
                <w:szCs w:val="24"/>
                <w:highlight w:val="none"/>
                <w:lang w:val="en-US" w:eastAsia="zh-CN"/>
                <w14:textFill>
                  <w14:solidFill>
                    <w14:schemeClr w14:val="tx1"/>
                  </w14:solidFill>
                </w14:textFill>
              </w:rPr>
              <w:t>9、</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环保投资</w:t>
            </w:r>
          </w:p>
          <w:p w14:paraId="2DA52E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本项目总投资为</w:t>
            </w:r>
            <w:r>
              <w:rPr>
                <w:rFonts w:hint="eastAsia" w:cs="Times New Roman"/>
                <w:color w:val="000000" w:themeColor="text1"/>
                <w:sz w:val="24"/>
                <w:szCs w:val="24"/>
                <w:highlight w:val="none"/>
                <w:lang w:val="en-US" w:eastAsia="zh-CN"/>
                <w14:textFill>
                  <w14:solidFill>
                    <w14:schemeClr w14:val="tx1"/>
                  </w14:solidFill>
                </w14:textFill>
              </w:rPr>
              <w:t>9</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00</w:t>
            </w:r>
            <w:r>
              <w:rPr>
                <w:rFonts w:hint="default" w:ascii="Times New Roman" w:hAnsi="Times New Roman" w:eastAsia="宋体" w:cs="Times New Roman"/>
                <w:color w:val="000000" w:themeColor="text1"/>
                <w:sz w:val="24"/>
                <w:szCs w:val="24"/>
                <w:highlight w:val="none"/>
                <w14:textFill>
                  <w14:solidFill>
                    <w14:schemeClr w14:val="tx1"/>
                  </w14:solidFill>
                </w14:textFill>
              </w:rPr>
              <w:t>万元，其中环保投</w:t>
            </w:r>
            <w:r>
              <w:rPr>
                <w:rFonts w:hint="default" w:ascii="Times New Roman" w:hAnsi="Times New Roman" w:eastAsia="宋体" w:cs="Times New Roman"/>
                <w:color w:val="000000" w:themeColor="text1"/>
                <w:sz w:val="24"/>
                <w:szCs w:val="24"/>
                <w:highlight w:val="none"/>
                <w:shd w:val="clear" w:color="auto" w:fill="auto"/>
                <w14:textFill>
                  <w14:solidFill>
                    <w14:schemeClr w14:val="tx1"/>
                  </w14:solidFill>
                </w14:textFill>
              </w:rPr>
              <w:t>资</w:t>
            </w:r>
            <w:r>
              <w:rPr>
                <w:rFonts w:hint="eastAsia" w:cs="Times New Roman"/>
                <w:color w:val="000000" w:themeColor="text1"/>
                <w:sz w:val="24"/>
                <w:szCs w:val="24"/>
                <w:highlight w:val="none"/>
                <w:shd w:val="clear" w:color="auto" w:fill="auto"/>
                <w:lang w:val="en-US" w:eastAsia="zh-CN"/>
                <w14:textFill>
                  <w14:solidFill>
                    <w14:schemeClr w14:val="tx1"/>
                  </w14:solidFill>
                </w14:textFill>
              </w:rPr>
              <w:t>200.0</w:t>
            </w:r>
            <w:r>
              <w:rPr>
                <w:rFonts w:hint="default" w:ascii="Times New Roman" w:hAnsi="Times New Roman" w:eastAsia="宋体" w:cs="Times New Roman"/>
                <w:color w:val="000000" w:themeColor="text1"/>
                <w:sz w:val="24"/>
                <w:szCs w:val="24"/>
                <w:highlight w:val="none"/>
                <w:shd w:val="clear" w:color="auto" w:fill="auto"/>
                <w14:textFill>
                  <w14:solidFill>
                    <w14:schemeClr w14:val="tx1"/>
                  </w14:solidFill>
                </w14:textFill>
              </w:rPr>
              <w:t>万元，环保投资占总投资的</w:t>
            </w:r>
            <w:r>
              <w:rPr>
                <w:rFonts w:hint="eastAsia" w:cs="Times New Roman"/>
                <w:color w:val="000000" w:themeColor="text1"/>
                <w:sz w:val="24"/>
                <w:szCs w:val="24"/>
                <w:highlight w:val="none"/>
                <w:shd w:val="clear" w:color="auto" w:fill="auto"/>
                <w:lang w:val="en-US" w:eastAsia="zh-CN"/>
                <w14:textFill>
                  <w14:solidFill>
                    <w14:schemeClr w14:val="tx1"/>
                  </w14:solidFill>
                </w14:textFill>
              </w:rPr>
              <w:t>22.22</w:t>
            </w:r>
            <w:r>
              <w:rPr>
                <w:rFonts w:hint="default" w:ascii="Times New Roman" w:hAnsi="Times New Roman" w:eastAsia="宋体" w:cs="Times New Roman"/>
                <w:color w:val="000000" w:themeColor="text1"/>
                <w:sz w:val="24"/>
                <w:szCs w:val="24"/>
                <w:highlight w:val="none"/>
                <w:shd w:val="clear" w:color="auto" w:fill="auto"/>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环保投资情况详见</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下</w:t>
            </w:r>
            <w:r>
              <w:rPr>
                <w:rFonts w:hint="default" w:ascii="Times New Roman" w:hAnsi="Times New Roman" w:eastAsia="宋体" w:cs="Times New Roman"/>
                <w:color w:val="000000" w:themeColor="text1"/>
                <w:sz w:val="24"/>
                <w:szCs w:val="24"/>
                <w:highlight w:val="none"/>
                <w14:textFill>
                  <w14:solidFill>
                    <w14:schemeClr w14:val="tx1"/>
                  </w14:solidFill>
                </w14:textFill>
              </w:rPr>
              <w:t>表。</w:t>
            </w:r>
          </w:p>
          <w:p w14:paraId="7F637DFC">
            <w:pPr>
              <w:keepNext w:val="0"/>
              <w:keepLines w:val="0"/>
              <w:pageBreakBefore w:val="0"/>
              <w:widowControl w:val="0"/>
              <w:kinsoku/>
              <w:wordWrap/>
              <w:overflowPunct/>
              <w:topLinePunct w:val="0"/>
              <w:autoSpaceDE/>
              <w:autoSpaceDN/>
              <w:bidi w:val="0"/>
              <w:adjustRightInd/>
              <w:snapToGrid/>
              <w:spacing w:line="240" w:lineRule="auto"/>
              <w:ind w:firstLine="482" w:firstLineChars="200"/>
              <w:jc w:val="center"/>
              <w:textAlignment w:val="auto"/>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表</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2.</w:t>
            </w:r>
            <w:r>
              <w:rPr>
                <w:rFonts w:hint="eastAsia" w:cs="Times New Roman"/>
                <w:b/>
                <w:bCs/>
                <w:color w:val="000000" w:themeColor="text1"/>
                <w:sz w:val="24"/>
                <w:szCs w:val="24"/>
                <w:highlight w:val="none"/>
                <w:lang w:val="en-US" w:eastAsia="zh-CN"/>
                <w14:textFill>
                  <w14:solidFill>
                    <w14:schemeClr w14:val="tx1"/>
                  </w14:solidFill>
                </w14:textFill>
              </w:rPr>
              <w:t>6</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环保投资估算一览表</w:t>
            </w:r>
          </w:p>
          <w:tbl>
            <w:tblPr>
              <w:tblStyle w:val="29"/>
              <w:tblW w:w="813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86"/>
              <w:gridCol w:w="1183"/>
              <w:gridCol w:w="5041"/>
              <w:gridCol w:w="1029"/>
            </w:tblGrid>
            <w:tr w14:paraId="446FC2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425" w:hRule="atLeast"/>
                <w:jc w:val="center"/>
              </w:trPr>
              <w:tc>
                <w:tcPr>
                  <w:tcW w:w="886" w:type="dxa"/>
                  <w:tcBorders>
                    <w:tl2br w:val="nil"/>
                    <w:tr2bl w:val="nil"/>
                  </w:tcBorders>
                  <w:vAlign w:val="center"/>
                </w:tcPr>
                <w:p w14:paraId="7137A4C5">
                  <w:pPr>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时段</w:t>
                  </w:r>
                </w:p>
              </w:tc>
              <w:tc>
                <w:tcPr>
                  <w:tcW w:w="1183" w:type="dxa"/>
                  <w:tcBorders>
                    <w:tl2br w:val="nil"/>
                    <w:tr2bl w:val="nil"/>
                  </w:tcBorders>
                  <w:vAlign w:val="center"/>
                </w:tcPr>
                <w:p w14:paraId="3ABCC75F">
                  <w:pPr>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要素</w:t>
                  </w:r>
                </w:p>
              </w:tc>
              <w:tc>
                <w:tcPr>
                  <w:tcW w:w="5041" w:type="dxa"/>
                  <w:tcBorders>
                    <w:tl2br w:val="nil"/>
                    <w:tr2bl w:val="nil"/>
                  </w:tcBorders>
                  <w:vAlign w:val="center"/>
                </w:tcPr>
                <w:p w14:paraId="039E515C">
                  <w:pPr>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防治措施</w:t>
                  </w:r>
                </w:p>
              </w:tc>
              <w:tc>
                <w:tcPr>
                  <w:tcW w:w="1029" w:type="dxa"/>
                  <w:tcBorders>
                    <w:tl2br w:val="nil"/>
                    <w:tr2bl w:val="nil"/>
                  </w:tcBorders>
                  <w:vAlign w:val="center"/>
                </w:tcPr>
                <w:p w14:paraId="7F5D37A5">
                  <w:pPr>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环保投资</w:t>
                  </w:r>
                </w:p>
                <w:p w14:paraId="076EAA63">
                  <w:pPr>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（万元）</w:t>
                  </w:r>
                </w:p>
              </w:tc>
            </w:tr>
            <w:tr w14:paraId="3B19A4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83" w:hRule="atLeast"/>
                <w:jc w:val="center"/>
              </w:trPr>
              <w:tc>
                <w:tcPr>
                  <w:tcW w:w="886" w:type="dxa"/>
                  <w:vMerge w:val="restart"/>
                  <w:tcBorders>
                    <w:tl2br w:val="nil"/>
                    <w:tr2bl w:val="nil"/>
                  </w:tcBorders>
                  <w:vAlign w:val="center"/>
                </w:tcPr>
                <w:p w14:paraId="05600EA0">
                  <w:pPr>
                    <w:contextualSpacing/>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施工期</w:t>
                  </w:r>
                </w:p>
              </w:tc>
              <w:tc>
                <w:tcPr>
                  <w:tcW w:w="1183" w:type="dxa"/>
                  <w:tcBorders>
                    <w:tl2br w:val="nil"/>
                    <w:tr2bl w:val="nil"/>
                  </w:tcBorders>
                  <w:vAlign w:val="center"/>
                </w:tcPr>
                <w:p w14:paraId="57ECBAFC">
                  <w:pPr>
                    <w:contextualSpacing/>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废气</w:t>
                  </w:r>
                </w:p>
              </w:tc>
              <w:tc>
                <w:tcPr>
                  <w:tcW w:w="5041" w:type="dxa"/>
                  <w:tcBorders>
                    <w:tl2br w:val="nil"/>
                    <w:tr2bl w:val="nil"/>
                  </w:tcBorders>
                  <w:vAlign w:val="center"/>
                </w:tcPr>
                <w:p w14:paraId="095AF34B">
                  <w:pPr>
                    <w:contextualSpacing/>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设置围挡，</w:t>
                  </w:r>
                  <w:r>
                    <w:rPr>
                      <w:rFonts w:hint="default" w:ascii="Times New Roman" w:hAnsi="Times New Roman" w:eastAsia="宋体" w:cs="Times New Roman"/>
                      <w:color w:val="000000" w:themeColor="text1"/>
                      <w:kern w:val="0"/>
                      <w:szCs w:val="21"/>
                      <w:highlight w:val="none"/>
                      <w14:textFill>
                        <w14:solidFill>
                          <w14:schemeClr w14:val="tx1"/>
                        </w14:solidFill>
                      </w14:textFill>
                    </w:rPr>
                    <w:t>洒水抑尘</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等</w:t>
                  </w:r>
                </w:p>
              </w:tc>
              <w:tc>
                <w:tcPr>
                  <w:tcW w:w="1029" w:type="dxa"/>
                  <w:tcBorders>
                    <w:tl2br w:val="nil"/>
                    <w:tr2bl w:val="nil"/>
                  </w:tcBorders>
                  <w:vAlign w:val="center"/>
                </w:tcPr>
                <w:p w14:paraId="78091AEB">
                  <w:pPr>
                    <w:contextualSpacing/>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1.0</w:t>
                  </w:r>
                </w:p>
              </w:tc>
            </w:tr>
            <w:tr w14:paraId="599EE7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886" w:type="dxa"/>
                  <w:vMerge w:val="continue"/>
                  <w:tcBorders>
                    <w:tl2br w:val="nil"/>
                    <w:tr2bl w:val="nil"/>
                  </w:tcBorders>
                  <w:vAlign w:val="center"/>
                </w:tcPr>
                <w:p w14:paraId="4BD026C6">
                  <w:pPr>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c>
                <w:tcPr>
                  <w:tcW w:w="1183" w:type="dxa"/>
                  <w:tcBorders>
                    <w:tl2br w:val="nil"/>
                    <w:tr2bl w:val="nil"/>
                  </w:tcBorders>
                  <w:vAlign w:val="center"/>
                </w:tcPr>
                <w:p w14:paraId="252B9616">
                  <w:pPr>
                    <w:contextualSpacing/>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废水</w:t>
                  </w:r>
                </w:p>
              </w:tc>
              <w:tc>
                <w:tcPr>
                  <w:tcW w:w="5041" w:type="dxa"/>
                  <w:tcBorders>
                    <w:tl2br w:val="nil"/>
                    <w:tr2bl w:val="nil"/>
                  </w:tcBorders>
                  <w:vAlign w:val="center"/>
                </w:tcPr>
                <w:p w14:paraId="4FFB5C46">
                  <w:pPr>
                    <w:contextualSpacing/>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生活污水依托</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伊春市林源家具有限公司，</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经市政管网</w:t>
                  </w:r>
                  <w:r>
                    <w:rPr>
                      <w:rFonts w:hint="default" w:ascii="Times New Roman" w:hAnsi="Times New Roman" w:eastAsia="宋体" w:cs="Times New Roman"/>
                      <w:color w:val="000000" w:themeColor="text1"/>
                      <w:kern w:val="2"/>
                      <w:sz w:val="21"/>
                      <w:szCs w:val="21"/>
                      <w:highlight w:val="none"/>
                      <w:lang w:eastAsia="zh-CN"/>
                      <w14:textFill>
                        <w14:solidFill>
                          <w14:schemeClr w14:val="tx1"/>
                        </w14:solidFill>
                      </w14:textFill>
                    </w:rPr>
                    <w:t>排入伊春市中心城污水处理厂处理。</w:t>
                  </w:r>
                </w:p>
              </w:tc>
              <w:tc>
                <w:tcPr>
                  <w:tcW w:w="1029" w:type="dxa"/>
                  <w:tcBorders>
                    <w:tl2br w:val="nil"/>
                    <w:tr2bl w:val="nil"/>
                  </w:tcBorders>
                  <w:vAlign w:val="center"/>
                </w:tcPr>
                <w:p w14:paraId="478BBCF4">
                  <w:pPr>
                    <w:contextualSpacing/>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依托现有</w:t>
                  </w:r>
                </w:p>
              </w:tc>
            </w:tr>
            <w:tr w14:paraId="2AC821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886" w:type="dxa"/>
                  <w:vMerge w:val="continue"/>
                  <w:tcBorders>
                    <w:tl2br w:val="nil"/>
                    <w:tr2bl w:val="nil"/>
                  </w:tcBorders>
                  <w:vAlign w:val="center"/>
                </w:tcPr>
                <w:p w14:paraId="125BD890">
                  <w:pPr>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c>
                <w:tcPr>
                  <w:tcW w:w="1183" w:type="dxa"/>
                  <w:tcBorders>
                    <w:tl2br w:val="nil"/>
                    <w:tr2bl w:val="nil"/>
                  </w:tcBorders>
                  <w:vAlign w:val="center"/>
                </w:tcPr>
                <w:p w14:paraId="18C52B41">
                  <w:pPr>
                    <w:contextualSpacing/>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噪声</w:t>
                  </w:r>
                </w:p>
              </w:tc>
              <w:tc>
                <w:tcPr>
                  <w:tcW w:w="5041" w:type="dxa"/>
                  <w:tcBorders>
                    <w:tl2br w:val="nil"/>
                    <w:tr2bl w:val="nil"/>
                  </w:tcBorders>
                  <w:vAlign w:val="center"/>
                </w:tcPr>
                <w:p w14:paraId="644AC5BE">
                  <w:pPr>
                    <w:contextualSpacing/>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隔声</w:t>
                  </w: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等</w:t>
                  </w:r>
                  <w:r>
                    <w:rPr>
                      <w:rFonts w:hint="default" w:ascii="Times New Roman" w:hAnsi="Times New Roman" w:eastAsia="宋体" w:cs="Times New Roman"/>
                      <w:color w:val="000000" w:themeColor="text1"/>
                      <w:kern w:val="0"/>
                      <w:szCs w:val="21"/>
                      <w:highlight w:val="none"/>
                      <w14:textFill>
                        <w14:solidFill>
                          <w14:schemeClr w14:val="tx1"/>
                        </w14:solidFill>
                      </w14:textFill>
                    </w:rPr>
                    <w:t>措施</w:t>
                  </w:r>
                </w:p>
              </w:tc>
              <w:tc>
                <w:tcPr>
                  <w:tcW w:w="1029" w:type="dxa"/>
                  <w:tcBorders>
                    <w:tl2br w:val="nil"/>
                    <w:tr2bl w:val="nil"/>
                  </w:tcBorders>
                  <w:vAlign w:val="center"/>
                </w:tcPr>
                <w:p w14:paraId="474080EA">
                  <w:pPr>
                    <w:contextualSpacing/>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1.0</w:t>
                  </w:r>
                </w:p>
              </w:tc>
            </w:tr>
            <w:tr w14:paraId="71BF47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886" w:type="dxa"/>
                  <w:vMerge w:val="continue"/>
                  <w:tcBorders>
                    <w:tl2br w:val="nil"/>
                    <w:tr2bl w:val="nil"/>
                  </w:tcBorders>
                  <w:vAlign w:val="center"/>
                </w:tcPr>
                <w:p w14:paraId="5CC82DC1">
                  <w:pPr>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c>
                <w:tcPr>
                  <w:tcW w:w="1183" w:type="dxa"/>
                  <w:tcBorders>
                    <w:tl2br w:val="nil"/>
                    <w:tr2bl w:val="nil"/>
                  </w:tcBorders>
                  <w:vAlign w:val="center"/>
                </w:tcPr>
                <w:p w14:paraId="0F91AC4B">
                  <w:pPr>
                    <w:contextualSpacing/>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Cs w:val="21"/>
                      <w:highlight w:val="none"/>
                      <w14:textFill>
                        <w14:solidFill>
                          <w14:schemeClr w14:val="tx1"/>
                        </w14:solidFill>
                      </w14:textFill>
                    </w:rPr>
                    <w:t>固废</w:t>
                  </w:r>
                </w:p>
              </w:tc>
              <w:tc>
                <w:tcPr>
                  <w:tcW w:w="5041" w:type="dxa"/>
                  <w:tcBorders>
                    <w:tl2br w:val="nil"/>
                    <w:tr2bl w:val="nil"/>
                  </w:tcBorders>
                  <w:vAlign w:val="center"/>
                </w:tcPr>
                <w:p w14:paraId="62C629DC">
                  <w:pPr>
                    <w:contextualSpacing/>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建筑垃圾和施工人员生活垃圾的清运、处置</w:t>
                  </w:r>
                </w:p>
              </w:tc>
              <w:tc>
                <w:tcPr>
                  <w:tcW w:w="1029" w:type="dxa"/>
                  <w:tcBorders>
                    <w:tl2br w:val="nil"/>
                    <w:tr2bl w:val="nil"/>
                  </w:tcBorders>
                  <w:vAlign w:val="center"/>
                </w:tcPr>
                <w:p w14:paraId="5923FFE4">
                  <w:pPr>
                    <w:contextualSpacing/>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cs="Times New Roman"/>
                      <w:color w:val="000000" w:themeColor="text1"/>
                      <w:kern w:val="0"/>
                      <w:szCs w:val="21"/>
                      <w:highlight w:val="none"/>
                      <w:lang w:val="en-US" w:eastAsia="zh-CN"/>
                      <w14:textFill>
                        <w14:solidFill>
                          <w14:schemeClr w14:val="tx1"/>
                        </w14:solidFill>
                      </w14:textFill>
                    </w:rPr>
                    <w:t>1.0</w:t>
                  </w:r>
                </w:p>
              </w:tc>
            </w:tr>
            <w:tr w14:paraId="700278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886" w:type="dxa"/>
                  <w:vMerge w:val="restart"/>
                  <w:tcBorders>
                    <w:tl2br w:val="nil"/>
                    <w:tr2bl w:val="nil"/>
                  </w:tcBorders>
                  <w:vAlign w:val="center"/>
                </w:tcPr>
                <w:p w14:paraId="5CCF4565">
                  <w:pPr>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运营期</w:t>
                  </w:r>
                </w:p>
              </w:tc>
              <w:tc>
                <w:tcPr>
                  <w:tcW w:w="1183" w:type="dxa"/>
                  <w:tcBorders>
                    <w:tl2br w:val="nil"/>
                    <w:tr2bl w:val="nil"/>
                  </w:tcBorders>
                  <w:vAlign w:val="center"/>
                </w:tcPr>
                <w:p w14:paraId="563DB2BC">
                  <w:pPr>
                    <w:keepNext w:val="0"/>
                    <w:keepLines w:val="0"/>
                    <w:widowControl/>
                    <w:suppressLineNumbers w:val="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废气治理</w:t>
                  </w:r>
                </w:p>
              </w:tc>
              <w:tc>
                <w:tcPr>
                  <w:tcW w:w="5041" w:type="dxa"/>
                  <w:tcBorders>
                    <w:tl2br w:val="nil"/>
                    <w:tr2bl w:val="nil"/>
                  </w:tcBorders>
                  <w:vAlign w:val="center"/>
                </w:tcPr>
                <w:p w14:paraId="0508A96F">
                  <w:pPr>
                    <w:pStyle w:val="10"/>
                    <w:keepNext w:val="0"/>
                    <w:keepLines w:val="0"/>
                    <w:pageBreakBefore w:val="0"/>
                    <w:kinsoku/>
                    <w:wordWrap/>
                    <w:overflowPunct/>
                    <w:topLinePunct w:val="0"/>
                    <w:autoSpaceDE/>
                    <w:autoSpaceDN/>
                    <w:bidi w:val="0"/>
                    <w:snapToGrid w:val="0"/>
                    <w:spacing w:line="240" w:lineRule="auto"/>
                    <w:ind w:right="0" w:firstLine="0" w:firstLineChars="0"/>
                    <w:jc w:val="left"/>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负压收集+碱液喷淋吸附装置+二级活性炭吸附装置+15m高排气筒（DA001）</w:t>
                  </w:r>
                </w:p>
              </w:tc>
              <w:tc>
                <w:tcPr>
                  <w:tcW w:w="1029" w:type="dxa"/>
                  <w:tcBorders>
                    <w:tl2br w:val="nil"/>
                    <w:tr2bl w:val="nil"/>
                  </w:tcBorders>
                  <w:vAlign w:val="center"/>
                </w:tcPr>
                <w:p w14:paraId="31FB2901">
                  <w:pPr>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cs="Times New Roman"/>
                      <w:color w:val="000000" w:themeColor="text1"/>
                      <w:kern w:val="2"/>
                      <w:sz w:val="21"/>
                      <w:szCs w:val="21"/>
                      <w:highlight w:val="red"/>
                      <w:lang w:val="en-US" w:eastAsia="zh-CN" w:bidi="ar"/>
                      <w14:textFill>
                        <w14:solidFill>
                          <w14:schemeClr w14:val="tx1"/>
                        </w14:solidFill>
                      </w14:textFill>
                    </w:rPr>
                    <w:t>12.0</w:t>
                  </w:r>
                </w:p>
              </w:tc>
            </w:tr>
            <w:tr w14:paraId="635D72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886" w:type="dxa"/>
                  <w:vMerge w:val="continue"/>
                  <w:tcBorders>
                    <w:tl2br w:val="nil"/>
                    <w:tr2bl w:val="nil"/>
                  </w:tcBorders>
                  <w:vAlign w:val="center"/>
                </w:tcPr>
                <w:p w14:paraId="35B6E9D5">
                  <w:pPr>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c>
                <w:tcPr>
                  <w:tcW w:w="1183" w:type="dxa"/>
                  <w:tcBorders>
                    <w:tl2br w:val="nil"/>
                    <w:tr2bl w:val="nil"/>
                  </w:tcBorders>
                  <w:vAlign w:val="center"/>
                </w:tcPr>
                <w:p w14:paraId="12799E81">
                  <w:pPr>
                    <w:keepNext w:val="0"/>
                    <w:keepLines w:val="0"/>
                    <w:widowControl/>
                    <w:suppressLineNumbers w:val="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废水治理</w:t>
                  </w:r>
                </w:p>
              </w:tc>
              <w:tc>
                <w:tcPr>
                  <w:tcW w:w="5041" w:type="dxa"/>
                  <w:tcBorders>
                    <w:tl2br w:val="nil"/>
                    <w:tr2bl w:val="nil"/>
                  </w:tcBorders>
                  <w:vAlign w:val="center"/>
                </w:tcPr>
                <w:p w14:paraId="37CA1672">
                  <w:pPr>
                    <w:pStyle w:val="10"/>
                    <w:keepNext w:val="0"/>
                    <w:keepLines w:val="0"/>
                    <w:pageBreakBefore w:val="0"/>
                    <w:kinsoku/>
                    <w:wordWrap/>
                    <w:overflowPunct/>
                    <w:topLinePunct w:val="0"/>
                    <w:autoSpaceDE/>
                    <w:autoSpaceDN/>
                    <w:bidi w:val="0"/>
                    <w:snapToGrid w:val="0"/>
                    <w:spacing w:line="240" w:lineRule="auto"/>
                    <w:ind w:right="0" w:firstLine="0" w:firstLineChars="0"/>
                    <w:jc w:val="left"/>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生活污水依托</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伊春市林源家具有限公司，</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经市政管网</w:t>
                  </w:r>
                  <w:r>
                    <w:rPr>
                      <w:rFonts w:hint="default" w:ascii="Times New Roman" w:hAnsi="Times New Roman" w:eastAsia="宋体" w:cs="Times New Roman"/>
                      <w:color w:val="000000" w:themeColor="text1"/>
                      <w:kern w:val="2"/>
                      <w:sz w:val="21"/>
                      <w:szCs w:val="21"/>
                      <w:highlight w:val="none"/>
                      <w:lang w:eastAsia="zh-CN"/>
                      <w14:textFill>
                        <w14:solidFill>
                          <w14:schemeClr w14:val="tx1"/>
                        </w14:solidFill>
                      </w14:textFill>
                    </w:rPr>
                    <w:t>排入伊春市中心城污水处理厂处理。</w:t>
                  </w:r>
                </w:p>
              </w:tc>
              <w:tc>
                <w:tcPr>
                  <w:tcW w:w="1029" w:type="dxa"/>
                  <w:tcBorders>
                    <w:tl2br w:val="nil"/>
                    <w:tr2bl w:val="nil"/>
                  </w:tcBorders>
                  <w:vAlign w:val="center"/>
                </w:tcPr>
                <w:p w14:paraId="0E2EDC1E">
                  <w:pPr>
                    <w:contextualSpacing/>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Cs w:val="21"/>
                      <w:highlight w:val="none"/>
                      <w:lang w:val="en-US" w:eastAsia="zh-CN"/>
                      <w14:textFill>
                        <w14:solidFill>
                          <w14:schemeClr w14:val="tx1"/>
                        </w14:solidFill>
                      </w14:textFill>
                    </w:rPr>
                    <w:t>依托现有</w:t>
                  </w:r>
                </w:p>
              </w:tc>
            </w:tr>
            <w:tr w14:paraId="57A9E4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886" w:type="dxa"/>
                  <w:vMerge w:val="continue"/>
                  <w:tcBorders>
                    <w:tl2br w:val="nil"/>
                    <w:tr2bl w:val="nil"/>
                  </w:tcBorders>
                  <w:vAlign w:val="center"/>
                </w:tcPr>
                <w:p w14:paraId="67FCD8A7">
                  <w:pPr>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c>
                <w:tcPr>
                  <w:tcW w:w="1183" w:type="dxa"/>
                  <w:tcBorders>
                    <w:tl2br w:val="nil"/>
                    <w:tr2bl w:val="nil"/>
                  </w:tcBorders>
                  <w:vAlign w:val="center"/>
                </w:tcPr>
                <w:p w14:paraId="1EBCE2FB">
                  <w:pPr>
                    <w:keepNext w:val="0"/>
                    <w:keepLines w:val="0"/>
                    <w:widowControl/>
                    <w:suppressLineNumbers w:val="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噪声治理</w:t>
                  </w:r>
                </w:p>
              </w:tc>
              <w:tc>
                <w:tcPr>
                  <w:tcW w:w="5041" w:type="dxa"/>
                  <w:tcBorders>
                    <w:tl2br w:val="nil"/>
                    <w:tr2bl w:val="nil"/>
                  </w:tcBorders>
                  <w:vAlign w:val="center"/>
                </w:tcPr>
                <w:p w14:paraId="2CFC921E">
                  <w:pPr>
                    <w:pStyle w:val="10"/>
                    <w:keepNext w:val="0"/>
                    <w:keepLines w:val="0"/>
                    <w:pageBreakBefore w:val="0"/>
                    <w:kinsoku/>
                    <w:wordWrap/>
                    <w:overflowPunct/>
                    <w:topLinePunct w:val="0"/>
                    <w:autoSpaceDE/>
                    <w:autoSpaceDN/>
                    <w:bidi w:val="0"/>
                    <w:snapToGrid w:val="0"/>
                    <w:spacing w:line="240" w:lineRule="auto"/>
                    <w:ind w:right="0" w:firstLine="0" w:firstLineChars="0"/>
                    <w:jc w:val="left"/>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选用低噪声设备，隔声、减振、软连接、厂房隔声等措施</w:t>
                  </w:r>
                </w:p>
              </w:tc>
              <w:tc>
                <w:tcPr>
                  <w:tcW w:w="1029" w:type="dxa"/>
                  <w:tcBorders>
                    <w:tl2br w:val="nil"/>
                    <w:tr2bl w:val="nil"/>
                  </w:tcBorders>
                  <w:vAlign w:val="center"/>
                </w:tcPr>
                <w:p w14:paraId="696B2492">
                  <w:pPr>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1.0</w:t>
                  </w:r>
                </w:p>
              </w:tc>
            </w:tr>
            <w:tr w14:paraId="0C48DA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886" w:type="dxa"/>
                  <w:vMerge w:val="continue"/>
                  <w:tcBorders>
                    <w:tl2br w:val="nil"/>
                    <w:tr2bl w:val="nil"/>
                  </w:tcBorders>
                  <w:vAlign w:val="center"/>
                </w:tcPr>
                <w:p w14:paraId="748E9E72">
                  <w:pPr>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c>
                <w:tcPr>
                  <w:tcW w:w="1183" w:type="dxa"/>
                  <w:tcBorders>
                    <w:tl2br w:val="nil"/>
                    <w:tr2bl w:val="nil"/>
                  </w:tcBorders>
                  <w:vAlign w:val="center"/>
                </w:tcPr>
                <w:p w14:paraId="24506575">
                  <w:pPr>
                    <w:keepNext w:val="0"/>
                    <w:keepLines w:val="0"/>
                    <w:widowControl/>
                    <w:suppressLineNumbers w:val="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固体废物</w:t>
                  </w:r>
                </w:p>
                <w:p w14:paraId="29E1CD0E">
                  <w:pPr>
                    <w:keepNext w:val="0"/>
                    <w:keepLines w:val="0"/>
                    <w:widowControl/>
                    <w:suppressLineNumbers w:val="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处理</w:t>
                  </w:r>
                </w:p>
              </w:tc>
              <w:tc>
                <w:tcPr>
                  <w:tcW w:w="5041" w:type="dxa"/>
                  <w:tcBorders>
                    <w:tl2br w:val="nil"/>
                    <w:tr2bl w:val="nil"/>
                  </w:tcBorders>
                  <w:vAlign w:val="center"/>
                </w:tcPr>
                <w:p w14:paraId="486A50D7">
                  <w:pPr>
                    <w:pStyle w:val="10"/>
                    <w:keepNext w:val="0"/>
                    <w:keepLines w:val="0"/>
                    <w:pageBreakBefore w:val="0"/>
                    <w:kinsoku/>
                    <w:wordWrap/>
                    <w:overflowPunct/>
                    <w:topLinePunct w:val="0"/>
                    <w:autoSpaceDE/>
                    <w:autoSpaceDN/>
                    <w:bidi w:val="0"/>
                    <w:snapToGrid w:val="0"/>
                    <w:spacing w:line="240" w:lineRule="auto"/>
                    <w:ind w:right="0" w:firstLine="0" w:firstLineChars="0"/>
                    <w:jc w:val="left"/>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收集桶，收集后由市政部门统一处理</w:t>
                  </w:r>
                </w:p>
              </w:tc>
              <w:tc>
                <w:tcPr>
                  <w:tcW w:w="1029" w:type="dxa"/>
                  <w:tcBorders>
                    <w:tl2br w:val="nil"/>
                    <w:tr2bl w:val="nil"/>
                  </w:tcBorders>
                  <w:vAlign w:val="center"/>
                </w:tcPr>
                <w:p w14:paraId="418E29F3">
                  <w:pPr>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cs="Times New Roman"/>
                      <w:color w:val="000000" w:themeColor="text1"/>
                      <w:kern w:val="2"/>
                      <w:sz w:val="21"/>
                      <w:szCs w:val="21"/>
                      <w:highlight w:val="none"/>
                      <w:lang w:val="en-US" w:eastAsia="zh-CN" w:bidi="ar"/>
                      <w14:textFill>
                        <w14:solidFill>
                          <w14:schemeClr w14:val="tx1"/>
                        </w14:solidFill>
                      </w14:textFill>
                    </w:rPr>
                    <w:t>1.0</w:t>
                  </w:r>
                </w:p>
              </w:tc>
            </w:tr>
            <w:tr w14:paraId="0F3301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886" w:type="dxa"/>
                  <w:vMerge w:val="continue"/>
                  <w:tcBorders>
                    <w:tl2br w:val="nil"/>
                    <w:tr2bl w:val="nil"/>
                  </w:tcBorders>
                  <w:vAlign w:val="center"/>
                </w:tcPr>
                <w:p w14:paraId="08D620F4">
                  <w:pPr>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c>
                <w:tcPr>
                  <w:tcW w:w="1183" w:type="dxa"/>
                  <w:tcBorders>
                    <w:tl2br w:val="nil"/>
                    <w:tr2bl w:val="nil"/>
                  </w:tcBorders>
                  <w:vAlign w:val="center"/>
                </w:tcPr>
                <w:p w14:paraId="046D10B4">
                  <w:pPr>
                    <w:keepNext w:val="0"/>
                    <w:keepLines w:val="0"/>
                    <w:widowControl/>
                    <w:suppressLineNumbers w:val="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危险废物处理</w:t>
                  </w:r>
                </w:p>
              </w:tc>
              <w:tc>
                <w:tcPr>
                  <w:tcW w:w="5041" w:type="dxa"/>
                  <w:tcBorders>
                    <w:tl2br w:val="nil"/>
                    <w:tr2bl w:val="nil"/>
                  </w:tcBorders>
                  <w:vAlign w:val="center"/>
                </w:tcPr>
                <w:p w14:paraId="1E71D426">
                  <w:pPr>
                    <w:pStyle w:val="10"/>
                    <w:keepNext w:val="0"/>
                    <w:keepLines w:val="0"/>
                    <w:pageBreakBefore w:val="0"/>
                    <w:kinsoku/>
                    <w:wordWrap/>
                    <w:overflowPunct/>
                    <w:topLinePunct w:val="0"/>
                    <w:autoSpaceDE/>
                    <w:autoSpaceDN/>
                    <w:bidi w:val="0"/>
                    <w:snapToGrid w:val="0"/>
                    <w:spacing w:line="240" w:lineRule="auto"/>
                    <w:ind w:right="0" w:firstLine="0" w:firstLineChars="0"/>
                    <w:jc w:val="left"/>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统一暂存危险废物贮存库，定期交由有资质单位回收处置。</w:t>
                  </w:r>
                </w:p>
              </w:tc>
              <w:tc>
                <w:tcPr>
                  <w:tcW w:w="1029" w:type="dxa"/>
                  <w:tcBorders>
                    <w:tl2br w:val="nil"/>
                    <w:tr2bl w:val="nil"/>
                  </w:tcBorders>
                  <w:vAlign w:val="center"/>
                </w:tcPr>
                <w:p w14:paraId="74A6A3D9">
                  <w:pPr>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1.0</w:t>
                  </w:r>
                </w:p>
              </w:tc>
            </w:tr>
            <w:tr w14:paraId="1833A2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886" w:type="dxa"/>
                  <w:vMerge w:val="restart"/>
                  <w:tcBorders>
                    <w:tl2br w:val="nil"/>
                    <w:tr2bl w:val="nil"/>
                  </w:tcBorders>
                  <w:vAlign w:val="center"/>
                </w:tcPr>
                <w:p w14:paraId="639D3BFE">
                  <w:pPr>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运营期</w:t>
                  </w:r>
                </w:p>
              </w:tc>
              <w:tc>
                <w:tcPr>
                  <w:tcW w:w="1183" w:type="dxa"/>
                  <w:tcBorders>
                    <w:tl2br w:val="nil"/>
                    <w:tr2bl w:val="nil"/>
                  </w:tcBorders>
                  <w:vAlign w:val="center"/>
                </w:tcPr>
                <w:p w14:paraId="7B40C74F">
                  <w:pPr>
                    <w:keepNext w:val="0"/>
                    <w:keepLines w:val="0"/>
                    <w:widowControl/>
                    <w:suppressLineNumbers w:val="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地下水污染防治</w:t>
                  </w:r>
                </w:p>
              </w:tc>
              <w:tc>
                <w:tcPr>
                  <w:tcW w:w="5041" w:type="dxa"/>
                  <w:tcBorders>
                    <w:tl2br w:val="nil"/>
                    <w:tr2bl w:val="nil"/>
                  </w:tcBorders>
                  <w:vAlign w:val="center"/>
                </w:tcPr>
                <w:p w14:paraId="11FC6A5F">
                  <w:pPr>
                    <w:jc w:val="left"/>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危险</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废物贮存库、导流渠、应急事故池为重点防渗区，参照《危险废物贮存污染控制标准》（GB18597-2023）要求设置重点防渗区：防渗性能等效黏土防渗层Mb≥6m、K≤1.0×10</w:t>
                  </w:r>
                  <w:r>
                    <w:rPr>
                      <w:rFonts w:hint="default" w:ascii="Times New Roman" w:hAnsi="Times New Roman" w:eastAsia="宋体" w:cs="Times New Roman"/>
                      <w:color w:val="000000" w:themeColor="text1"/>
                      <w:kern w:val="2"/>
                      <w:sz w:val="21"/>
                      <w:szCs w:val="21"/>
                      <w:highlight w:val="none"/>
                      <w:vertAlign w:val="superscript"/>
                      <w:lang w:val="en-US" w:eastAsia="zh-CN" w:bidi="ar-SA"/>
                      <w14:textFill>
                        <w14:solidFill>
                          <w14:schemeClr w14:val="tx1"/>
                        </w14:solidFill>
                      </w14:textFill>
                    </w:rPr>
                    <w:t>-10</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cm/s；厂区道路区域为简单防渗区，进行简单地面硬化。设置地下水监测井</w:t>
                  </w:r>
                  <w:r>
                    <w:rPr>
                      <w:rFonts w:hint="eastAsia" w:cs="Times New Roman"/>
                      <w:color w:val="000000" w:themeColor="text1"/>
                      <w:kern w:val="2"/>
                      <w:sz w:val="21"/>
                      <w:szCs w:val="21"/>
                      <w:highlight w:val="none"/>
                      <w:lang w:val="en-US" w:eastAsia="zh-CN" w:bidi="ar-SA"/>
                      <w14:textFill>
                        <w14:solidFill>
                          <w14:schemeClr w14:val="tx1"/>
                        </w14:solidFill>
                      </w14:textFill>
                    </w:rPr>
                    <w:t>1</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处，位于厂址地下</w:t>
                  </w:r>
                  <w:r>
                    <w:rPr>
                      <w:rFonts w:hint="eastAsia" w:cs="Times New Roman"/>
                      <w:color w:val="000000" w:themeColor="text1"/>
                      <w:kern w:val="2"/>
                      <w:sz w:val="21"/>
                      <w:szCs w:val="21"/>
                      <w:highlight w:val="none"/>
                      <w:lang w:val="en-US" w:eastAsia="zh-CN" w:bidi="ar-SA"/>
                      <w14:textFill>
                        <w14:solidFill>
                          <w14:schemeClr w14:val="tx1"/>
                        </w14:solidFill>
                      </w14:textFill>
                    </w:rPr>
                    <w:t>水</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下游，跟踪监测井位于危险废物贮存库东北侧50m（E</w:t>
                  </w:r>
                  <w:r>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t>128°55′13.04593″</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，N</w:t>
                  </w:r>
                  <w:r>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t>47°44′11.51684″</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p>
              </w:tc>
              <w:tc>
                <w:tcPr>
                  <w:tcW w:w="1029" w:type="dxa"/>
                  <w:tcBorders>
                    <w:tl2br w:val="nil"/>
                    <w:tr2bl w:val="nil"/>
                  </w:tcBorders>
                  <w:vAlign w:val="center"/>
                </w:tcPr>
                <w:p w14:paraId="70FFA5D8">
                  <w:pPr>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cs="Times New Roman"/>
                      <w:color w:val="000000" w:themeColor="text1"/>
                      <w:kern w:val="2"/>
                      <w:sz w:val="21"/>
                      <w:szCs w:val="21"/>
                      <w:highlight w:val="red"/>
                      <w:lang w:val="en-US" w:eastAsia="zh-CN" w:bidi="ar"/>
                      <w14:textFill>
                        <w14:solidFill>
                          <w14:schemeClr w14:val="tx1"/>
                        </w14:solidFill>
                      </w14:textFill>
                    </w:rPr>
                    <w:t>170</w:t>
                  </w:r>
                </w:p>
              </w:tc>
            </w:tr>
            <w:tr w14:paraId="64CCEC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886" w:type="dxa"/>
                  <w:vMerge w:val="continue"/>
                  <w:tcBorders>
                    <w:tl2br w:val="nil"/>
                    <w:tr2bl w:val="nil"/>
                  </w:tcBorders>
                  <w:vAlign w:val="center"/>
                </w:tcPr>
                <w:p w14:paraId="06D4D3C9">
                  <w:pPr>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c>
                <w:tcPr>
                  <w:tcW w:w="1183" w:type="dxa"/>
                  <w:tcBorders>
                    <w:tl2br w:val="nil"/>
                    <w:tr2bl w:val="nil"/>
                  </w:tcBorders>
                  <w:vAlign w:val="center"/>
                </w:tcPr>
                <w:p w14:paraId="7C04F6D4">
                  <w:pPr>
                    <w:keepNext w:val="0"/>
                    <w:keepLines w:val="0"/>
                    <w:widowControl/>
                    <w:suppressLineNumbers w:val="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环境风险</w:t>
                  </w:r>
                </w:p>
              </w:tc>
              <w:tc>
                <w:tcPr>
                  <w:tcW w:w="5041" w:type="dxa"/>
                  <w:tcBorders>
                    <w:tl2br w:val="nil"/>
                    <w:tr2bl w:val="nil"/>
                  </w:tcBorders>
                  <w:vAlign w:val="center"/>
                </w:tcPr>
                <w:p w14:paraId="6998B6DD">
                  <w:pPr>
                    <w:jc w:val="left"/>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全厂设有视频监控系统，贮存库设有全方位无死角视频监控，贮存库设置烟气感应器和声光报警器。</w:t>
                  </w:r>
                </w:p>
              </w:tc>
              <w:tc>
                <w:tcPr>
                  <w:tcW w:w="1029" w:type="dxa"/>
                  <w:tcBorders>
                    <w:tl2br w:val="nil"/>
                    <w:tr2bl w:val="nil"/>
                  </w:tcBorders>
                  <w:vAlign w:val="center"/>
                </w:tcPr>
                <w:p w14:paraId="08F8C0F1">
                  <w:pPr>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2.0</w:t>
                  </w:r>
                </w:p>
              </w:tc>
            </w:tr>
            <w:tr w14:paraId="794523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886" w:type="dxa"/>
                  <w:vMerge w:val="continue"/>
                  <w:tcBorders>
                    <w:tl2br w:val="nil"/>
                    <w:tr2bl w:val="nil"/>
                  </w:tcBorders>
                  <w:vAlign w:val="center"/>
                </w:tcPr>
                <w:p w14:paraId="28583989">
                  <w:pPr>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p>
              </w:tc>
              <w:tc>
                <w:tcPr>
                  <w:tcW w:w="6224" w:type="dxa"/>
                  <w:gridSpan w:val="2"/>
                  <w:tcBorders>
                    <w:tl2br w:val="nil"/>
                    <w:tr2bl w:val="nil"/>
                  </w:tcBorders>
                  <w:vAlign w:val="center"/>
                </w:tcPr>
                <w:p w14:paraId="28DB1A1D">
                  <w:pPr>
                    <w:jc w:val="center"/>
                    <w:rPr>
                      <w:rFonts w:hint="eastAsia"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Cs w:val="21"/>
                      <w:highlight w:val="none"/>
                    </w:rPr>
                    <w:t>环保设施运行维护费用、跟踪监测费用</w:t>
                  </w:r>
                  <w:r>
                    <w:rPr>
                      <w:rFonts w:hint="eastAsia" w:cs="Times New Roman"/>
                      <w:color w:val="000000"/>
                      <w:szCs w:val="21"/>
                      <w:highlight w:val="none"/>
                      <w:lang w:val="en-US" w:eastAsia="zh-CN"/>
                    </w:rPr>
                    <w:t>等</w:t>
                  </w:r>
                </w:p>
              </w:tc>
              <w:tc>
                <w:tcPr>
                  <w:tcW w:w="1029" w:type="dxa"/>
                  <w:tcBorders>
                    <w:tl2br w:val="nil"/>
                    <w:tr2bl w:val="nil"/>
                  </w:tcBorders>
                  <w:vAlign w:val="center"/>
                </w:tcPr>
                <w:p w14:paraId="262C0FB6">
                  <w:pPr>
                    <w:jc w:val="center"/>
                    <w:rPr>
                      <w:rFonts w:hint="default" w:ascii="Times New Roman" w:hAnsi="Times New Roman" w:eastAsia="宋体" w:cs="Times New Roman"/>
                      <w:color w:val="000000"/>
                      <w:kern w:val="2"/>
                      <w:sz w:val="21"/>
                      <w:szCs w:val="21"/>
                      <w:highlight w:val="none"/>
                      <w:lang w:val="en-US" w:eastAsia="zh-CN" w:bidi="ar-SA"/>
                    </w:rPr>
                  </w:pPr>
                  <w:r>
                    <w:rPr>
                      <w:rFonts w:hint="eastAsia" w:cs="Times New Roman"/>
                      <w:color w:val="000000"/>
                      <w:szCs w:val="21"/>
                      <w:highlight w:val="none"/>
                      <w:lang w:val="en-US" w:eastAsia="zh-CN"/>
                    </w:rPr>
                    <w:t>10.0</w:t>
                  </w:r>
                </w:p>
              </w:tc>
            </w:tr>
            <w:tr w14:paraId="557B7A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886" w:type="dxa"/>
                  <w:tcBorders>
                    <w:tl2br w:val="nil"/>
                    <w:tr2bl w:val="nil"/>
                  </w:tcBorders>
                  <w:vAlign w:val="center"/>
                </w:tcPr>
                <w:p w14:paraId="382BAC19">
                  <w:pPr>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合计</w:t>
                  </w:r>
                </w:p>
              </w:tc>
              <w:tc>
                <w:tcPr>
                  <w:tcW w:w="1183" w:type="dxa"/>
                  <w:tcBorders>
                    <w:tl2br w:val="nil"/>
                    <w:tr2bl w:val="nil"/>
                  </w:tcBorders>
                  <w:vAlign w:val="center"/>
                </w:tcPr>
                <w:p w14:paraId="5B8E576E">
                  <w:pPr>
                    <w:keepNext w:val="0"/>
                    <w:keepLines w:val="0"/>
                    <w:widowControl/>
                    <w:suppressLineNumbers w:val="0"/>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t>/</w:t>
                  </w:r>
                </w:p>
              </w:tc>
              <w:tc>
                <w:tcPr>
                  <w:tcW w:w="5041" w:type="dxa"/>
                  <w:tcBorders>
                    <w:tl2br w:val="nil"/>
                    <w:tr2bl w:val="nil"/>
                  </w:tcBorders>
                  <w:vAlign w:val="center"/>
                </w:tcPr>
                <w:p w14:paraId="291C04F7">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1029" w:type="dxa"/>
                  <w:tcBorders>
                    <w:tl2br w:val="nil"/>
                    <w:tr2bl w:val="nil"/>
                  </w:tcBorders>
                  <w:vAlign w:val="center"/>
                </w:tcPr>
                <w:p w14:paraId="336AA5BC">
                  <w:pPr>
                    <w:jc w:val="center"/>
                    <w:rPr>
                      <w:rFonts w:hint="default"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cs="Times New Roman"/>
                      <w:color w:val="000000" w:themeColor="text1"/>
                      <w:kern w:val="2"/>
                      <w:sz w:val="21"/>
                      <w:szCs w:val="21"/>
                      <w:highlight w:val="red"/>
                      <w:lang w:val="en-US" w:eastAsia="zh-CN" w:bidi="ar"/>
                      <w14:textFill>
                        <w14:solidFill>
                          <w14:schemeClr w14:val="tx1"/>
                        </w14:solidFill>
                      </w14:textFill>
                    </w:rPr>
                    <w:t>200.0</w:t>
                  </w:r>
                </w:p>
              </w:tc>
            </w:tr>
          </w:tbl>
          <w:p w14:paraId="326DE79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Cs/>
                <w:color w:val="000000" w:themeColor="text1"/>
                <w:sz w:val="24"/>
                <w:szCs w:val="24"/>
                <w:highlight w:val="none"/>
                <w:vertAlign w:val="baseline"/>
                <w:lang w:val="en-US" w:eastAsia="zh-CN"/>
                <w14:textFill>
                  <w14:solidFill>
                    <w14:schemeClr w14:val="tx1"/>
                  </w14:solidFill>
                </w14:textFill>
              </w:rPr>
            </w:pPr>
          </w:p>
        </w:tc>
      </w:tr>
      <w:tr w14:paraId="2A2888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47" w:hRule="atLeast"/>
          <w:jc w:val="center"/>
        </w:trPr>
        <w:tc>
          <w:tcPr>
            <w:tcW w:w="709" w:type="dxa"/>
            <w:noWrap w:val="0"/>
            <w:vAlign w:val="center"/>
          </w:tcPr>
          <w:p w14:paraId="2ED7A3F0">
            <w:pPr>
              <w:pStyle w:val="24"/>
              <w:adjustRightInd w:val="0"/>
              <w:snapToGrid w:val="0"/>
              <w:spacing w:before="0" w:beforeAutospacing="0" w:after="0" w:afterAutospacing="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工艺流程和产排污环节</w:t>
            </w:r>
          </w:p>
        </w:tc>
        <w:tc>
          <w:tcPr>
            <w:tcW w:w="8315" w:type="dxa"/>
            <w:noWrap w:val="0"/>
            <w:vAlign w:val="top"/>
          </w:tcPr>
          <w:p w14:paraId="26F33C6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工艺流程简述（图示）</w:t>
            </w:r>
          </w:p>
          <w:p w14:paraId="1C61E441">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施工期工艺流程</w:t>
            </w:r>
          </w:p>
          <w:p w14:paraId="28186E28">
            <w:pPr>
              <w:pStyle w:val="2"/>
              <w:keepNext w:val="0"/>
              <w:keepLines w:val="0"/>
              <w:pageBreakBefore w:val="0"/>
              <w:widowControl/>
              <w:numPr>
                <w:ilvl w:val="0"/>
                <w:numId w:val="0"/>
              </w:numPr>
              <w:kinsoku/>
              <w:wordWrap/>
              <w:overflowPunct/>
              <w:topLinePunct w:val="0"/>
              <w:autoSpaceDE/>
              <w:autoSpaceDN/>
              <w:bidi w:val="0"/>
              <w:adjustRightInd/>
              <w:snapToGrid w:val="0"/>
              <w:spacing w:before="0" w:after="0" w:line="360" w:lineRule="auto"/>
              <w:ind w:right="0" w:rightChars="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本项目为危废临时贮存周转项目，不涉及利用处置，危废</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贮存库</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利用租赁现有厂房进行防渗、防腐改造，增加</w:t>
            </w:r>
            <w:r>
              <w:rPr>
                <w:rFonts w:hint="eastAsia" w:cs="Times New Roman"/>
                <w:color w:val="000000" w:themeColor="text1"/>
                <w:sz w:val="24"/>
                <w:szCs w:val="24"/>
                <w:highlight w:val="none"/>
                <w:lang w:val="en-US" w:eastAsia="zh-CN"/>
                <w14:textFill>
                  <w14:solidFill>
                    <w14:schemeClr w14:val="tx1"/>
                  </w14:solidFill>
                </w14:textFill>
              </w:rPr>
              <w:t>导流渠</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、应急事故池、废气处理设备等设施，施工过程较简单。本项目施工期主要施工内容包括以下几个阶段：</w:t>
            </w:r>
          </w:p>
          <w:p w14:paraId="1B0F1F4D">
            <w:pPr>
              <w:pStyle w:val="2"/>
              <w:keepNext w:val="0"/>
              <w:keepLines w:val="0"/>
              <w:pageBreakBefore w:val="0"/>
              <w:widowControl/>
              <w:numPr>
                <w:ilvl w:val="0"/>
                <w:numId w:val="0"/>
              </w:numPr>
              <w:kinsoku/>
              <w:wordWrap/>
              <w:overflowPunct/>
              <w:topLinePunct w:val="0"/>
              <w:autoSpaceDE/>
              <w:autoSpaceDN/>
              <w:bidi w:val="0"/>
              <w:adjustRightInd/>
              <w:snapToGrid w:val="0"/>
              <w:spacing w:before="0" w:after="0" w:line="360" w:lineRule="auto"/>
              <w:ind w:right="0" w:rightChars="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改造工程：对租赁的现有厂房的地面、墙围进行防渗、防腐改造。危废贮存库按照要求设置防渗层，危废贮存库地面和裙脚按照要求设置防渗层，</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采用</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2mm厚HDPE膜+防渗混凝土防渗措施，表面平整无裂痕，承重良好，最上面采用防静电、耐腐蚀</w:t>
            </w:r>
            <w:r>
              <w:rPr>
                <w:rFonts w:hint="eastAsia" w:cs="Times New Roman"/>
                <w:color w:val="000000" w:themeColor="text1"/>
                <w:sz w:val="24"/>
                <w:szCs w:val="24"/>
                <w:highlight w:val="none"/>
                <w:lang w:val="en-US" w:eastAsia="zh-CN"/>
                <w14:textFill>
                  <w14:solidFill>
                    <w14:schemeClr w14:val="tx1"/>
                  </w14:solidFill>
                </w14:textFill>
              </w:rPr>
              <w:t>环氧防腐地坪漆</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，材料渗透系数K≤10</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-10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cm/s，建筑材料与危险废物相容，配备安全照明和观察窗口。</w:t>
            </w:r>
          </w:p>
          <w:p w14:paraId="38A13540">
            <w:pPr>
              <w:pStyle w:val="2"/>
              <w:keepNext w:val="0"/>
              <w:keepLines w:val="0"/>
              <w:pageBreakBefore w:val="0"/>
              <w:widowControl/>
              <w:numPr>
                <w:ilvl w:val="0"/>
                <w:numId w:val="0"/>
              </w:numPr>
              <w:kinsoku/>
              <w:wordWrap/>
              <w:overflowPunct/>
              <w:topLinePunct w:val="0"/>
              <w:autoSpaceDE/>
              <w:autoSpaceDN/>
              <w:bidi w:val="0"/>
              <w:adjustRightInd/>
              <w:snapToGrid w:val="0"/>
              <w:spacing w:before="0" w:after="0" w:line="360" w:lineRule="auto"/>
              <w:ind w:right="0" w:rightChars="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增建工程：在厂房</w:t>
            </w:r>
            <w:r>
              <w:rPr>
                <w:rFonts w:hint="eastAsia" w:cs="Times New Roman"/>
                <w:color w:val="000000" w:themeColor="text1"/>
                <w:sz w:val="24"/>
                <w:szCs w:val="24"/>
                <w:highlight w:val="none"/>
                <w:lang w:val="en-US" w:eastAsia="zh-CN"/>
                <w14:textFill>
                  <w14:solidFill>
                    <w14:schemeClr w14:val="tx1"/>
                  </w14:solidFill>
                </w14:textFill>
              </w:rPr>
              <w:t>内</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增建</w:t>
            </w:r>
            <w:r>
              <w:rPr>
                <w:rFonts w:hint="eastAsia" w:cs="Times New Roman"/>
                <w:color w:val="000000" w:themeColor="text1"/>
                <w:sz w:val="24"/>
                <w:szCs w:val="24"/>
                <w:highlight w:val="none"/>
                <w:lang w:val="en-US" w:eastAsia="zh-CN"/>
                <w14:textFill>
                  <w14:solidFill>
                    <w14:schemeClr w14:val="tx1"/>
                  </w14:solidFill>
                </w14:textFill>
              </w:rPr>
              <w:t>导流渠</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；增建废气收集处理设施、应急事故池。</w:t>
            </w:r>
          </w:p>
          <w:p w14:paraId="5883D006">
            <w:pPr>
              <w:pStyle w:val="2"/>
              <w:keepNext w:val="0"/>
              <w:keepLines w:val="0"/>
              <w:pageBreakBefore w:val="0"/>
              <w:widowControl/>
              <w:numPr>
                <w:ilvl w:val="0"/>
                <w:numId w:val="0"/>
              </w:numPr>
              <w:kinsoku/>
              <w:wordWrap/>
              <w:overflowPunct/>
              <w:topLinePunct w:val="0"/>
              <w:autoSpaceDE/>
              <w:autoSpaceDN/>
              <w:bidi w:val="0"/>
              <w:adjustRightInd/>
              <w:snapToGrid w:val="0"/>
              <w:spacing w:before="0" w:after="0" w:line="360" w:lineRule="auto"/>
              <w:ind w:right="0" w:rightChars="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项目施工期主要环境影响有：施工过程中产生的扬尘、施工废水和施工噪声</w:t>
            </w:r>
            <w:r>
              <w:rPr>
                <w:rFonts w:hint="eastAsia" w:cs="Times New Roman"/>
                <w:color w:val="000000" w:themeColor="text1"/>
                <w:sz w:val="24"/>
                <w:szCs w:val="24"/>
                <w:highlight w:val="none"/>
                <w:lang w:val="en-US" w:eastAsia="zh-CN"/>
                <w14:textFill>
                  <w14:solidFill>
                    <w14:schemeClr w14:val="tx1"/>
                  </w14:solidFill>
                </w14:textFill>
              </w:rPr>
              <w:t>、建筑垃圾</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等。施工期的环境影响是暂时的，随着施工期的结束而结束。</w:t>
            </w:r>
          </w:p>
          <w:p w14:paraId="668D3AFC">
            <w:pPr>
              <w:pStyle w:val="2"/>
              <w:keepNext w:val="0"/>
              <w:keepLines w:val="0"/>
              <w:pageBreakBefore w:val="0"/>
              <w:widowControl/>
              <w:numPr>
                <w:ilvl w:val="0"/>
                <w:numId w:val="0"/>
              </w:numPr>
              <w:kinsoku/>
              <w:wordWrap/>
              <w:overflowPunct/>
              <w:topLinePunct w:val="0"/>
              <w:autoSpaceDE/>
              <w:autoSpaceDN/>
              <w:bidi w:val="0"/>
              <w:adjustRightInd/>
              <w:snapToGrid w:val="0"/>
              <w:spacing w:before="0" w:after="0" w:line="360" w:lineRule="auto"/>
              <w:ind w:right="0" w:rightChars="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施工期工艺流程及产污</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节点</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图见</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下</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图所示。</w:t>
            </w:r>
          </w:p>
          <w:p w14:paraId="2092FC6D">
            <w:pPr>
              <w:pStyle w:val="2"/>
              <w:keepNext w:val="0"/>
              <w:keepLines w:val="0"/>
              <w:pageBreakBefore w:val="0"/>
              <w:widowControl/>
              <w:numPr>
                <w:ilvl w:val="0"/>
                <w:numId w:val="0"/>
              </w:numPr>
              <w:kinsoku/>
              <w:wordWrap/>
              <w:overflowPunct/>
              <w:topLinePunct w:val="0"/>
              <w:autoSpaceDE/>
              <w:autoSpaceDN/>
              <w:bidi w:val="0"/>
              <w:adjustRightInd/>
              <w:snapToGrid w:val="0"/>
              <w:spacing w:before="0" w:after="0" w:line="360" w:lineRule="auto"/>
              <w:ind w:right="0" w:righ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drawing>
                <wp:inline distT="0" distB="0" distL="114300" distR="114300">
                  <wp:extent cx="3649980" cy="1144270"/>
                  <wp:effectExtent l="0" t="0" r="7620" b="17780"/>
                  <wp:docPr id="27" name="图片 27" descr="工艺流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工艺流程"/>
                          <pic:cNvPicPr>
                            <a:picLocks noChangeAspect="1"/>
                          </pic:cNvPicPr>
                        </pic:nvPicPr>
                        <pic:blipFill>
                          <a:blip r:embed="rId15"/>
                          <a:stretch>
                            <a:fillRect/>
                          </a:stretch>
                        </pic:blipFill>
                        <pic:spPr>
                          <a:xfrm>
                            <a:off x="0" y="0"/>
                            <a:ext cx="3649980" cy="1144270"/>
                          </a:xfrm>
                          <a:prstGeom prst="rect">
                            <a:avLst/>
                          </a:prstGeom>
                        </pic:spPr>
                      </pic:pic>
                    </a:graphicData>
                  </a:graphic>
                </wp:inline>
              </w:drawing>
            </w:r>
          </w:p>
          <w:p w14:paraId="17CC1568">
            <w:pPr>
              <w:pStyle w:val="34"/>
              <w:ind w:left="0" w:leftChars="0" w:firstLine="0" w:firstLineChars="0"/>
              <w:jc w:val="cente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图2.</w:t>
            </w:r>
            <w:r>
              <w:rPr>
                <w:rFonts w:hint="eastAsia" w:hAnsi="Times New Roman" w:cs="Times New Roman"/>
                <w:b/>
                <w:bCs/>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施工期工艺流程及产污</w:t>
            </w:r>
            <w:r>
              <w:rPr>
                <w:rFonts w:hint="eastAsia" w:hAnsi="Times New Roman" w:cs="Times New Roman"/>
                <w:b/>
                <w:bCs/>
                <w:color w:val="000000" w:themeColor="text1"/>
                <w:sz w:val="24"/>
                <w:szCs w:val="24"/>
                <w:highlight w:val="none"/>
                <w:lang w:val="en-US" w:eastAsia="zh-CN"/>
                <w14:textFill>
                  <w14:solidFill>
                    <w14:schemeClr w14:val="tx1"/>
                  </w14:solidFill>
                </w14:textFill>
              </w:rPr>
              <w:t>节点</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图</w:t>
            </w:r>
          </w:p>
          <w:p w14:paraId="5286E231">
            <w:pPr>
              <w:pStyle w:val="2"/>
              <w:keepNext w:val="0"/>
              <w:keepLines w:val="0"/>
              <w:pageBreakBefore w:val="0"/>
              <w:widowControl/>
              <w:numPr>
                <w:ilvl w:val="0"/>
                <w:numId w:val="0"/>
              </w:numPr>
              <w:kinsoku/>
              <w:wordWrap/>
              <w:overflowPunct/>
              <w:topLinePunct w:val="0"/>
              <w:autoSpaceDE/>
              <w:autoSpaceDN/>
              <w:bidi w:val="0"/>
              <w:adjustRightInd/>
              <w:snapToGrid w:val="0"/>
              <w:spacing w:before="0" w:after="0" w:line="360" w:lineRule="auto"/>
              <w:ind w:right="0" w:rightChars="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（2）营运期工艺流程</w:t>
            </w:r>
          </w:p>
          <w:p w14:paraId="79B8B97E">
            <w:pPr>
              <w:pStyle w:val="34"/>
              <w:keepNext w:val="0"/>
              <w:keepLines w:val="0"/>
              <w:pageBreakBefore w:val="0"/>
              <w:widowControl w:val="0"/>
              <w:numPr>
                <w:ilvl w:val="0"/>
                <w:numId w:val="0"/>
              </w:numPr>
              <w:kinsoku/>
              <w:wordWrap/>
              <w:overflowPunct/>
              <w:topLinePunct w:val="0"/>
              <w:autoSpaceDE/>
              <w:autoSpaceDN/>
              <w:bidi w:val="0"/>
              <w:adjustRightInd/>
              <w:snapToGrid/>
              <w:ind w:leftChars="0" w:firstLine="482" w:firstLineChars="200"/>
              <w:jc w:val="left"/>
              <w:textAlignment w:val="auto"/>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①危险废物收集、运输、装车</w:t>
            </w:r>
          </w:p>
          <w:p w14:paraId="51B5DF74">
            <w:pPr>
              <w:pStyle w:val="34"/>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jc w:val="left"/>
              <w:textAlignment w:val="auto"/>
              <w:rPr>
                <w:rFonts w:hint="default" w:ascii="Times New Roman" w:hAnsi="Times New Roman" w:eastAsia="宋体" w:cs="Times New Roman"/>
                <w:color w:val="000000" w:themeColor="text1"/>
                <w:sz w:val="24"/>
                <w:szCs w:val="24"/>
                <w:highlight w:val="none"/>
                <w:lang w:val="en-US"/>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本项目委托具备危险废物运输资质的公司承担危险废物的收运任务，运输资质的公司根据《危险废物收集贮存运输技术规范》（HJ2025-2012）中规定：“从事危险废物收集、贮存、运输经营活动的单位应具有危险废物经营许可证”。</w:t>
            </w:r>
          </w:p>
          <w:p w14:paraId="020603F5">
            <w:pPr>
              <w:pStyle w:val="34"/>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jc w:val="left"/>
              <w:textAlignment w:val="auto"/>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危险废物由</w:t>
            </w:r>
            <w:r>
              <w:rPr>
                <w:rFonts w:hint="eastAsia" w:hAnsi="Times New Roman" w:cs="Times New Roman"/>
                <w:b w:val="0"/>
                <w:bCs/>
                <w:color w:val="000000" w:themeColor="text1"/>
                <w:sz w:val="24"/>
                <w:szCs w:val="24"/>
                <w:highlight w:val="none"/>
                <w:lang w:val="en-US" w:eastAsia="zh-CN"/>
                <w14:textFill>
                  <w14:solidFill>
                    <w14:schemeClr w14:val="tx1"/>
                  </w14:solidFill>
                </w14:textFill>
              </w:rPr>
              <w:t>有资质单位</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运至本单位集中暂存，定期交由有处置资质的单位统一处置，外运处置中的运输环节由</w:t>
            </w:r>
            <w:r>
              <w:rPr>
                <w:rFonts w:hint="eastAsia" w:hAnsi="Times New Roman" w:cs="Times New Roman"/>
                <w:b w:val="0"/>
                <w:bCs/>
                <w:color w:val="000000" w:themeColor="text1"/>
                <w:sz w:val="24"/>
                <w:szCs w:val="24"/>
                <w:highlight w:val="none"/>
                <w:lang w:val="en-US" w:eastAsia="zh-CN"/>
                <w14:textFill>
                  <w14:solidFill>
                    <w14:schemeClr w14:val="tx1"/>
                  </w14:solidFill>
                </w14:textFill>
              </w:rPr>
              <w:t>有资质单位</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承担运输，危废进出厂运输环节由运输单位承担主体责任。</w:t>
            </w:r>
          </w:p>
          <w:p w14:paraId="42B78334">
            <w:pPr>
              <w:pStyle w:val="34"/>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jc w:val="left"/>
              <w:textAlignment w:val="auto"/>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项目运营期主要对周围工业企业产生的危险废物进行收集，与各企业签订危险废物收集协议，各企业将生产过程产生的危险废物收集暂存，达到协议约定数量后通知本单位，本单位按照危险废物转移联单管理办法，委托运输公司派专用运输车辆按规定路线运送至本单位临时贮存，收集容器由产生企业自行提供，按照要求张贴相关标识，做到无渗漏。不收集未分类、未按相关要求包装和张贴标识的危险废物。</w:t>
            </w:r>
          </w:p>
          <w:p w14:paraId="761C24B0">
            <w:pPr>
              <w:pStyle w:val="34"/>
              <w:keepNext w:val="0"/>
              <w:keepLines w:val="0"/>
              <w:pageBreakBefore w:val="0"/>
              <w:widowControl w:val="0"/>
              <w:numPr>
                <w:ilvl w:val="0"/>
                <w:numId w:val="0"/>
              </w:numPr>
              <w:kinsoku/>
              <w:wordWrap/>
              <w:overflowPunct/>
              <w:topLinePunct w:val="0"/>
              <w:autoSpaceDE/>
              <w:autoSpaceDN/>
              <w:bidi w:val="0"/>
              <w:adjustRightInd/>
              <w:snapToGrid/>
              <w:ind w:leftChars="0" w:firstLine="482" w:firstLineChars="200"/>
              <w:jc w:val="left"/>
              <w:textAlignment w:val="auto"/>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②危险废物卸车</w:t>
            </w:r>
          </w:p>
          <w:p w14:paraId="24624637">
            <w:pPr>
              <w:pStyle w:val="34"/>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jc w:val="left"/>
              <w:textAlignment w:val="auto"/>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危险废物经专用车辆经过规定的运输路线运至本项目厂房大门口，用叉车直接卸入厂房内装卸区，不在厂房外进行装卸。卸车前进行危险废物登记，在厂房内卸车区域进行危废的转移，转移方式为直接将车上袋装的固体或半固体危废和桶装的液态危废转移至厂房内暂存区，危险废物均不在厂房内倒罐。</w:t>
            </w:r>
          </w:p>
          <w:p w14:paraId="3AB3E9F1">
            <w:pPr>
              <w:pStyle w:val="34"/>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jc w:val="left"/>
              <w:textAlignment w:val="auto"/>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本项目不涉及转运容器及运输车辆的清洗。</w:t>
            </w:r>
          </w:p>
          <w:p w14:paraId="46683CE7">
            <w:pPr>
              <w:pStyle w:val="34"/>
              <w:keepNext w:val="0"/>
              <w:keepLines w:val="0"/>
              <w:pageBreakBefore w:val="0"/>
              <w:widowControl w:val="0"/>
              <w:numPr>
                <w:ilvl w:val="0"/>
                <w:numId w:val="0"/>
              </w:numPr>
              <w:kinsoku/>
              <w:wordWrap/>
              <w:overflowPunct/>
              <w:topLinePunct w:val="0"/>
              <w:autoSpaceDE/>
              <w:autoSpaceDN/>
              <w:bidi w:val="0"/>
              <w:adjustRightInd/>
              <w:snapToGrid/>
              <w:ind w:leftChars="0" w:firstLine="482" w:firstLineChars="200"/>
              <w:jc w:val="left"/>
              <w:textAlignment w:val="auto"/>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③分区暂存</w:t>
            </w:r>
          </w:p>
          <w:p w14:paraId="7667A00A">
            <w:pPr>
              <w:pStyle w:val="34"/>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jc w:val="left"/>
              <w:textAlignment w:val="auto"/>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根据收集的危险废物类别，将危险废物分类暂存于厂房内相应的危废暂存区</w:t>
            </w:r>
            <w:r>
              <w:rPr>
                <w:rFonts w:hint="eastAsia" w:hAnsi="Times New Roman" w:cs="Times New Roman"/>
                <w:b w:val="0"/>
                <w:bCs/>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各暂存区均留有搬运通道，厂房平面布置见附图2。</w:t>
            </w:r>
          </w:p>
          <w:p w14:paraId="7104987B">
            <w:pPr>
              <w:pStyle w:val="34"/>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jc w:val="left"/>
              <w:textAlignment w:val="auto"/>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项目厂房地面采取防渗、防腐措施。危险废物储存过程中，半固态、液态类废物如发生泄漏，其泄漏出来的液体流入</w:t>
            </w:r>
            <w:r>
              <w:rPr>
                <w:rFonts w:hint="eastAsia" w:hAnsi="Times New Roman" w:cs="Times New Roman"/>
                <w:b w:val="0"/>
                <w:bCs/>
                <w:color w:val="000000" w:themeColor="text1"/>
                <w:sz w:val="24"/>
                <w:szCs w:val="24"/>
                <w:highlight w:val="none"/>
                <w:lang w:val="en-US" w:eastAsia="zh-CN"/>
                <w14:textFill>
                  <w14:solidFill>
                    <w14:schemeClr w14:val="tx1"/>
                  </w14:solidFill>
                </w14:textFill>
              </w:rPr>
              <w:t>导流渠</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，最终流入应急事故池中，应急事故池的废液作为危险废物在危险废物贮存库内进行暂存。</w:t>
            </w:r>
          </w:p>
          <w:p w14:paraId="6B938AB3">
            <w:pPr>
              <w:pStyle w:val="34"/>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jc w:val="left"/>
              <w:textAlignment w:val="auto"/>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eastAsia" w:hAnsi="Times New Roman" w:cs="Times New Roman"/>
                <w:b w:val="0"/>
                <w:bCs/>
                <w:color w:val="000000" w:themeColor="text1"/>
                <w:sz w:val="24"/>
                <w:szCs w:val="24"/>
                <w:highlight w:val="none"/>
                <w:lang w:val="en-US" w:eastAsia="zh-CN"/>
                <w14:textFill>
                  <w14:solidFill>
                    <w14:schemeClr w14:val="tx1"/>
                  </w14:solidFill>
                </w14:textFill>
              </w:rPr>
              <w:t>本</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项目</w:t>
            </w:r>
            <w:r>
              <w:rPr>
                <w:rFonts w:hint="eastAsia" w:hAnsi="Times New Roman" w:cs="Times New Roman"/>
                <w:b w:val="0"/>
                <w:bCs/>
                <w:color w:val="000000" w:themeColor="text1"/>
                <w:sz w:val="24"/>
                <w:szCs w:val="24"/>
                <w:highlight w:val="none"/>
                <w:lang w:val="en-US" w:eastAsia="zh-CN"/>
                <w14:textFill>
                  <w14:solidFill>
                    <w14:schemeClr w14:val="tx1"/>
                  </w14:solidFill>
                </w14:textFill>
              </w:rPr>
              <w:t>危险废物贮存库密闭，负压收集废气</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，经1套</w:t>
            </w:r>
            <w:r>
              <w:rPr>
                <w:rFonts w:hint="eastAsia" w:hAnsi="Times New Roman" w:cs="Times New Roman"/>
                <w:b w:val="0"/>
                <w:bCs/>
                <w:color w:val="000000" w:themeColor="text1"/>
                <w:sz w:val="24"/>
                <w:szCs w:val="24"/>
                <w:highlight w:val="none"/>
                <w:lang w:val="en-US" w:eastAsia="zh-CN"/>
                <w14:textFill>
                  <w14:solidFill>
                    <w14:schemeClr w14:val="tx1"/>
                  </w14:solidFill>
                </w14:textFill>
              </w:rPr>
              <w:t>碱喷淋收集装置+两级</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活性炭吸附装置</w:t>
            </w:r>
            <w:r>
              <w:rPr>
                <w:rFonts w:hint="eastAsia" w:hAnsi="Times New Roman" w:cs="Times New Roman"/>
                <w:b w:val="0"/>
                <w:bCs/>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15m高排气筒（DA001）高空排放。</w:t>
            </w:r>
          </w:p>
          <w:p w14:paraId="37077312">
            <w:pPr>
              <w:pStyle w:val="34"/>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jc w:val="left"/>
              <w:textAlignment w:val="auto"/>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本公司为危废暂存过程的责任主体，在危废暂存过程中应满足相应的环保要求。</w:t>
            </w:r>
          </w:p>
          <w:p w14:paraId="4771BB59">
            <w:pPr>
              <w:pStyle w:val="34"/>
              <w:keepNext w:val="0"/>
              <w:keepLines w:val="0"/>
              <w:pageBreakBefore w:val="0"/>
              <w:widowControl w:val="0"/>
              <w:numPr>
                <w:ilvl w:val="0"/>
                <w:numId w:val="0"/>
              </w:numPr>
              <w:kinsoku/>
              <w:wordWrap/>
              <w:overflowPunct/>
              <w:topLinePunct w:val="0"/>
              <w:autoSpaceDE/>
              <w:autoSpaceDN/>
              <w:bidi w:val="0"/>
              <w:adjustRightInd/>
              <w:snapToGrid/>
              <w:ind w:leftChars="0" w:firstLine="482" w:firstLineChars="200"/>
              <w:jc w:val="left"/>
              <w:textAlignment w:val="auto"/>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④危险废物最终处置</w:t>
            </w:r>
          </w:p>
          <w:p w14:paraId="547B47D3">
            <w:pPr>
              <w:pStyle w:val="34"/>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jc w:val="left"/>
              <w:textAlignment w:val="auto"/>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本项目暂存的危险废物定期由具备危险废物运输资质的公司运送至</w:t>
            </w:r>
            <w:r>
              <w:rPr>
                <w:rFonts w:hint="eastAsia" w:hAnsi="Times New Roman" w:cs="Times New Roman"/>
                <w:b w:val="0"/>
                <w:bCs/>
                <w:color w:val="000000" w:themeColor="text1"/>
                <w:sz w:val="24"/>
                <w:szCs w:val="24"/>
                <w:highlight w:val="none"/>
                <w:lang w:val="en-US" w:eastAsia="zh-CN"/>
                <w14:textFill>
                  <w14:solidFill>
                    <w14:schemeClr w14:val="tx1"/>
                  </w14:solidFill>
                </w14:textFill>
              </w:rPr>
              <w:t>有资质单位</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进行处置，因此项目危险废物的最终处置不在本次评价范围之内。</w:t>
            </w:r>
          </w:p>
          <w:p w14:paraId="441681E0">
            <w:pPr>
              <w:pStyle w:val="34"/>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jc w:val="left"/>
              <w:textAlignment w:val="auto"/>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工艺流程及产</w:t>
            </w:r>
            <w:r>
              <w:rPr>
                <w:rFonts w:hint="eastAsia" w:hAnsi="Times New Roman" w:cs="Times New Roman"/>
                <w:b w:val="0"/>
                <w:bCs/>
                <w:color w:val="000000" w:themeColor="text1"/>
                <w:sz w:val="24"/>
                <w:szCs w:val="24"/>
                <w:highlight w:val="none"/>
                <w:lang w:val="en-US" w:eastAsia="zh-CN"/>
                <w14:textFill>
                  <w14:solidFill>
                    <w14:schemeClr w14:val="tx1"/>
                  </w14:solidFill>
                </w14:textFill>
              </w:rPr>
              <w:t>污节点</w:t>
            </w: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图见下图2.2所示。</w:t>
            </w:r>
          </w:p>
          <w:p w14:paraId="4CE424A1">
            <w:pPr>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drawing>
                <wp:inline distT="0" distB="0" distL="114300" distR="114300">
                  <wp:extent cx="4629150" cy="1316990"/>
                  <wp:effectExtent l="0" t="0" r="0" b="0"/>
                  <wp:docPr id="94" name="ECB019B1-382A-4266-B25C-5B523AA43C14-1" descr="C:/Users/Administrator/AppData/Local/Temp/wps.dvmhB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ECB019B1-382A-4266-B25C-5B523AA43C14-1" descr="C:/Users/Administrator/AppData/Local/Temp/wps.dvmhBrwps"/>
                          <pic:cNvPicPr>
                            <a:picLocks noChangeAspect="1"/>
                          </pic:cNvPicPr>
                        </pic:nvPicPr>
                        <pic:blipFill>
                          <a:blip r:embed="rId16"/>
                          <a:srcRect l="-360" t="3029" r="360" b="14286"/>
                          <a:stretch>
                            <a:fillRect/>
                          </a:stretch>
                        </pic:blipFill>
                        <pic:spPr>
                          <a:xfrm>
                            <a:off x="0" y="0"/>
                            <a:ext cx="4629150" cy="1316990"/>
                          </a:xfrm>
                          <a:prstGeom prst="rect">
                            <a:avLst/>
                          </a:prstGeom>
                        </pic:spPr>
                      </pic:pic>
                    </a:graphicData>
                  </a:graphic>
                </wp:inline>
              </w:drawing>
            </w:r>
          </w:p>
          <w:p w14:paraId="05E763E2">
            <w:pPr>
              <w:pStyle w:val="34"/>
              <w:ind w:left="0" w:leftChars="0" w:firstLine="0" w:firstLineChars="0"/>
              <w:jc w:val="cente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图2.</w:t>
            </w:r>
            <w:r>
              <w:rPr>
                <w:rFonts w:hint="eastAsia" w:hAnsi="Times New Roman" w:cs="Times New Roman"/>
                <w:b/>
                <w:bCs/>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本项目工艺流程及产污</w:t>
            </w:r>
            <w:r>
              <w:rPr>
                <w:rFonts w:hint="eastAsia" w:hAnsi="Times New Roman" w:cs="Times New Roman"/>
                <w:b/>
                <w:bCs/>
                <w:color w:val="000000" w:themeColor="text1"/>
                <w:sz w:val="24"/>
                <w:szCs w:val="24"/>
                <w:highlight w:val="none"/>
                <w:lang w:val="en-US" w:eastAsia="zh-CN"/>
                <w14:textFill>
                  <w14:solidFill>
                    <w14:schemeClr w14:val="tx1"/>
                  </w14:solidFill>
                </w14:textFill>
              </w:rPr>
              <w:t>节点</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图</w:t>
            </w:r>
          </w:p>
          <w:p w14:paraId="0D74FAC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jc w:val="left"/>
              <w:textAlignment w:val="auto"/>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sz w:val="24"/>
                <w:szCs w:val="24"/>
                <w:highlight w:val="none"/>
                <w:u w:val="none" w:color="auto"/>
                <w:lang w:eastAsia="zh-CN"/>
                <w14:textFill>
                  <w14:solidFill>
                    <w14:schemeClr w14:val="tx1"/>
                  </w14:solidFill>
                </w14:textFill>
              </w:rPr>
              <w:t>本项目</w:t>
            </w:r>
            <w:r>
              <w:rPr>
                <w:rFonts w:hint="default" w:ascii="Times New Roman" w:hAnsi="Times New Roman" w:eastAsia="宋体" w:cs="Times New Roman"/>
                <w:b w:val="0"/>
                <w:bCs w:val="0"/>
                <w:i w:val="0"/>
                <w:iCs w:val="0"/>
                <w:color w:val="000000" w:themeColor="text1"/>
                <w:sz w:val="24"/>
                <w:szCs w:val="24"/>
                <w:highlight w:val="none"/>
                <w:u w:val="none" w:color="auto"/>
                <w14:textFill>
                  <w14:solidFill>
                    <w14:schemeClr w14:val="tx1"/>
                  </w14:solidFill>
                </w14:textFill>
              </w:rPr>
              <w:t>运行过程中的污染环节及因素</w:t>
            </w:r>
            <w:r>
              <w:rPr>
                <w:rFonts w:hint="default" w:ascii="Times New Roman" w:hAnsi="Times New Roman" w:eastAsia="宋体" w:cs="Times New Roman"/>
                <w:b w:val="0"/>
                <w:bCs w:val="0"/>
                <w:i w:val="0"/>
                <w:iCs w:val="0"/>
                <w:color w:val="000000" w:themeColor="text1"/>
                <w:sz w:val="24"/>
                <w:szCs w:val="24"/>
                <w:highlight w:val="none"/>
                <w:u w:val="none" w:color="auto"/>
                <w:lang w:eastAsia="zh-CN"/>
                <w14:textFill>
                  <w14:solidFill>
                    <w14:schemeClr w14:val="tx1"/>
                  </w14:solidFill>
                </w14:textFill>
              </w:rPr>
              <w:t>见下表。</w:t>
            </w:r>
          </w:p>
          <w:p w14:paraId="65F1DD5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表2.</w:t>
            </w:r>
            <w:r>
              <w:rPr>
                <w:rFonts w:hint="eastAsia" w:cs="Times New Roman"/>
                <w:b/>
                <w:bCs w:val="0"/>
                <w:color w:val="000000" w:themeColor="text1"/>
                <w:sz w:val="24"/>
                <w:szCs w:val="24"/>
                <w:highlight w:val="none"/>
                <w:lang w:val="en-US" w:eastAsia="zh-CN"/>
                <w14:textFill>
                  <w14:solidFill>
                    <w14:schemeClr w14:val="tx1"/>
                  </w14:solidFill>
                </w14:textFill>
              </w:rPr>
              <w:t>7</w:t>
            </w:r>
            <w:r>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 xml:space="preserve"> 产污环节表</w:t>
            </w:r>
          </w:p>
          <w:tbl>
            <w:tblPr>
              <w:tblStyle w:val="29"/>
              <w:tblW w:w="8138"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57"/>
              <w:gridCol w:w="1620"/>
              <w:gridCol w:w="1920"/>
              <w:gridCol w:w="3541"/>
            </w:tblGrid>
            <w:tr w14:paraId="247C77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1057" w:type="dxa"/>
                  <w:tcBorders>
                    <w:tl2br w:val="nil"/>
                    <w:tr2bl w:val="nil"/>
                  </w:tcBorders>
                  <w:noWrap w:val="0"/>
                  <w:vAlign w:val="center"/>
                </w:tcPr>
                <w:p w14:paraId="29CA38E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污染类别</w:t>
                  </w:r>
                </w:p>
              </w:tc>
              <w:tc>
                <w:tcPr>
                  <w:tcW w:w="1620" w:type="dxa"/>
                  <w:tcBorders>
                    <w:tl2br w:val="nil"/>
                    <w:tr2bl w:val="nil"/>
                  </w:tcBorders>
                  <w:noWrap w:val="0"/>
                  <w:vAlign w:val="center"/>
                </w:tcPr>
                <w:p w14:paraId="2414703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产污环节</w:t>
                  </w:r>
                </w:p>
              </w:tc>
              <w:tc>
                <w:tcPr>
                  <w:tcW w:w="1920" w:type="dxa"/>
                  <w:tcBorders>
                    <w:tl2br w:val="nil"/>
                    <w:tr2bl w:val="nil"/>
                  </w:tcBorders>
                  <w:noWrap w:val="0"/>
                  <w:vAlign w:val="center"/>
                </w:tcPr>
                <w:p w14:paraId="0CE23E6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主要污染因子</w:t>
                  </w:r>
                </w:p>
              </w:tc>
              <w:tc>
                <w:tcPr>
                  <w:tcW w:w="3541" w:type="dxa"/>
                  <w:tcBorders>
                    <w:tl2br w:val="nil"/>
                    <w:tr2bl w:val="nil"/>
                  </w:tcBorders>
                  <w:noWrap w:val="0"/>
                  <w:vAlign w:val="center"/>
                </w:tcPr>
                <w:p w14:paraId="7272A4A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治理措施</w:t>
                  </w:r>
                </w:p>
              </w:tc>
            </w:tr>
            <w:tr w14:paraId="4D635C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1057" w:type="dxa"/>
                  <w:tcBorders>
                    <w:tl2br w:val="nil"/>
                    <w:tr2bl w:val="nil"/>
                  </w:tcBorders>
                  <w:noWrap w:val="0"/>
                  <w:vAlign w:val="center"/>
                </w:tcPr>
                <w:p w14:paraId="7CDD2F9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废水</w:t>
                  </w:r>
                </w:p>
              </w:tc>
              <w:tc>
                <w:tcPr>
                  <w:tcW w:w="1620" w:type="dxa"/>
                  <w:tcBorders>
                    <w:tl2br w:val="nil"/>
                    <w:tr2bl w:val="nil"/>
                  </w:tcBorders>
                  <w:noWrap w:val="0"/>
                  <w:vAlign w:val="center"/>
                </w:tcPr>
                <w:p w14:paraId="45A9CC3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生活污水</w:t>
                  </w:r>
                </w:p>
              </w:tc>
              <w:tc>
                <w:tcPr>
                  <w:tcW w:w="1920" w:type="dxa"/>
                  <w:tcBorders>
                    <w:tl2br w:val="nil"/>
                    <w:tr2bl w:val="nil"/>
                  </w:tcBorders>
                  <w:noWrap w:val="0"/>
                  <w:vAlign w:val="center"/>
                </w:tcPr>
                <w:p w14:paraId="1D0DB62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化学需氧量、氨氮</w:t>
                  </w:r>
                </w:p>
              </w:tc>
              <w:tc>
                <w:tcPr>
                  <w:tcW w:w="3541" w:type="dxa"/>
                  <w:tcBorders>
                    <w:tl2br w:val="nil"/>
                    <w:tr2bl w:val="nil"/>
                  </w:tcBorders>
                  <w:noWrap w:val="0"/>
                  <w:vAlign w:val="center"/>
                </w:tcPr>
                <w:p w14:paraId="58D02915">
                  <w:pPr>
                    <w:pStyle w:val="2"/>
                    <w:keepNext w:val="0"/>
                    <w:keepLines w:val="0"/>
                    <w:pageBreakBefore w:val="0"/>
                    <w:kinsoku/>
                    <w:wordWrap/>
                    <w:overflowPunct/>
                    <w:topLinePunct w:val="0"/>
                    <w:autoSpaceDE/>
                    <w:autoSpaceDN/>
                    <w:bidi w:val="0"/>
                    <w:adjustRightInd/>
                    <w:spacing w:before="0" w:after="0" w:line="240" w:lineRule="auto"/>
                    <w:ind w:right="0" w:rightChars="0"/>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本项目无生产用水，无生产废水产生，生活污水依托</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伊春市林源家具有限公司，</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经市政管网</w:t>
                  </w:r>
                  <w:r>
                    <w:rPr>
                      <w:rFonts w:hint="default" w:ascii="Times New Roman" w:hAnsi="Times New Roman" w:eastAsia="宋体" w:cs="Times New Roman"/>
                      <w:color w:val="000000" w:themeColor="text1"/>
                      <w:kern w:val="2"/>
                      <w:sz w:val="21"/>
                      <w:szCs w:val="21"/>
                      <w:highlight w:val="none"/>
                      <w:lang w:eastAsia="zh-CN"/>
                      <w14:textFill>
                        <w14:solidFill>
                          <w14:schemeClr w14:val="tx1"/>
                        </w14:solidFill>
                      </w14:textFill>
                    </w:rPr>
                    <w:t>排入伊春市中心城污水处理厂处理。</w:t>
                  </w:r>
                  <w: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废气处理碱喷淋塔碱液循环使用，不外排，无废水产生。</w:t>
                  </w:r>
                </w:p>
              </w:tc>
            </w:tr>
            <w:tr w14:paraId="0F042B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1057" w:type="dxa"/>
                  <w:tcBorders>
                    <w:tl2br w:val="nil"/>
                    <w:tr2bl w:val="nil"/>
                  </w:tcBorders>
                  <w:noWrap w:val="0"/>
                  <w:vAlign w:val="center"/>
                </w:tcPr>
                <w:p w14:paraId="4F9076E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废气</w:t>
                  </w:r>
                </w:p>
              </w:tc>
              <w:tc>
                <w:tcPr>
                  <w:tcW w:w="1620" w:type="dxa"/>
                  <w:tcBorders>
                    <w:tl2br w:val="nil"/>
                    <w:tr2bl w:val="nil"/>
                  </w:tcBorders>
                  <w:noWrap w:val="0"/>
                  <w:vAlign w:val="center"/>
                </w:tcPr>
                <w:p w14:paraId="6A1A980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贮存阶段</w:t>
                  </w:r>
                </w:p>
              </w:tc>
              <w:tc>
                <w:tcPr>
                  <w:tcW w:w="1920" w:type="dxa"/>
                  <w:tcBorders>
                    <w:tl2br w:val="nil"/>
                    <w:tr2bl w:val="nil"/>
                  </w:tcBorders>
                  <w:noWrap w:val="0"/>
                  <w:vAlign w:val="center"/>
                </w:tcPr>
                <w:p w14:paraId="282DA6B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氨、硫化氢、臭气浓度、氯化氢、非甲烷总烃</w:t>
                  </w:r>
                </w:p>
              </w:tc>
              <w:tc>
                <w:tcPr>
                  <w:tcW w:w="3541" w:type="dxa"/>
                  <w:tcBorders>
                    <w:tl2br w:val="nil"/>
                    <w:tr2bl w:val="nil"/>
                  </w:tcBorders>
                  <w:noWrap w:val="0"/>
                  <w:vAlign w:val="center"/>
                </w:tcPr>
                <w:p w14:paraId="255C16E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经</w:t>
                  </w:r>
                  <w:r>
                    <w:rPr>
                      <w:rFonts w:hint="eastAsia" w:cs="Times New Roman"/>
                      <w:b w:val="0"/>
                      <w:bCs/>
                      <w:color w:val="000000" w:themeColor="text1"/>
                      <w:sz w:val="21"/>
                      <w:szCs w:val="21"/>
                      <w:highlight w:val="none"/>
                      <w:vertAlign w:val="baseline"/>
                      <w:lang w:val="en-US" w:eastAsia="zh-CN"/>
                      <w14:textFill>
                        <w14:solidFill>
                          <w14:schemeClr w14:val="tx1"/>
                        </w14:solidFill>
                      </w14:textFill>
                    </w:rPr>
                    <w:t>负压收集+</w:t>
                  </w: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碱液喷淋吸收装置+</w:t>
                  </w:r>
                  <w:r>
                    <w:rPr>
                      <w:rFonts w:hint="eastAsia" w:cs="Times New Roman"/>
                      <w:b w:val="0"/>
                      <w:bCs/>
                      <w:color w:val="000000" w:themeColor="text1"/>
                      <w:sz w:val="21"/>
                      <w:szCs w:val="21"/>
                      <w:highlight w:val="none"/>
                      <w:vertAlign w:val="baseline"/>
                      <w:lang w:val="en-US" w:eastAsia="zh-CN"/>
                      <w14:textFill>
                        <w14:solidFill>
                          <w14:schemeClr w14:val="tx1"/>
                        </w14:solidFill>
                      </w14:textFill>
                    </w:rPr>
                    <w:t>两级</w:t>
                  </w: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活性炭吸附装置</w:t>
                  </w:r>
                  <w:r>
                    <w:rPr>
                      <w:rFonts w:hint="eastAsia" w:cs="Times New Roman"/>
                      <w:b w:val="0"/>
                      <w:bCs/>
                      <w:color w:val="000000" w:themeColor="text1"/>
                      <w:sz w:val="21"/>
                      <w:szCs w:val="21"/>
                      <w:highlight w:val="none"/>
                      <w:vertAlign w:val="baseline"/>
                      <w:lang w:val="en-US" w:eastAsia="zh-CN"/>
                      <w14:textFill>
                        <w14:solidFill>
                          <w14:schemeClr w14:val="tx1"/>
                        </w14:solidFill>
                      </w14:textFill>
                    </w:rPr>
                    <w:t>+</w:t>
                  </w: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15m高排气筒（DA001）高空排放。</w:t>
                  </w:r>
                </w:p>
              </w:tc>
            </w:tr>
            <w:tr w14:paraId="1A1020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1057" w:type="dxa"/>
                  <w:tcBorders>
                    <w:tl2br w:val="nil"/>
                    <w:tr2bl w:val="nil"/>
                  </w:tcBorders>
                  <w:noWrap w:val="0"/>
                  <w:vAlign w:val="center"/>
                </w:tcPr>
                <w:p w14:paraId="5DDD85C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噪声</w:t>
                  </w:r>
                </w:p>
              </w:tc>
              <w:tc>
                <w:tcPr>
                  <w:tcW w:w="1620" w:type="dxa"/>
                  <w:tcBorders>
                    <w:tl2br w:val="nil"/>
                    <w:tr2bl w:val="nil"/>
                  </w:tcBorders>
                  <w:noWrap w:val="0"/>
                  <w:vAlign w:val="center"/>
                </w:tcPr>
                <w:p w14:paraId="0EF905E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z w:val="21"/>
                      <w:szCs w:val="21"/>
                      <w:highlight w:val="none"/>
                      <w:vertAlign w:val="baseline"/>
                      <w:lang w:val="en-US" w:eastAsia="zh-CN"/>
                      <w14:textFill>
                        <w14:solidFill>
                          <w14:schemeClr w14:val="tx1"/>
                        </w14:solidFill>
                      </w14:textFill>
                    </w:rPr>
                    <w:t>风机、</w:t>
                  </w: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叉车</w:t>
                  </w:r>
                  <w:r>
                    <w:rPr>
                      <w:rFonts w:hint="eastAsia" w:cs="Times New Roman"/>
                      <w:b w:val="0"/>
                      <w:bCs/>
                      <w:color w:val="000000" w:themeColor="text1"/>
                      <w:sz w:val="21"/>
                      <w:szCs w:val="21"/>
                      <w:highlight w:val="none"/>
                      <w:vertAlign w:val="baseline"/>
                      <w:lang w:val="en-US" w:eastAsia="zh-CN"/>
                      <w14:textFill>
                        <w14:solidFill>
                          <w14:schemeClr w14:val="tx1"/>
                        </w14:solidFill>
                      </w14:textFill>
                    </w:rPr>
                    <w:t>等</w:t>
                  </w:r>
                </w:p>
              </w:tc>
              <w:tc>
                <w:tcPr>
                  <w:tcW w:w="1920" w:type="dxa"/>
                  <w:tcBorders>
                    <w:tl2br w:val="nil"/>
                    <w:tr2bl w:val="nil"/>
                  </w:tcBorders>
                  <w:noWrap w:val="0"/>
                  <w:vAlign w:val="center"/>
                </w:tcPr>
                <w:p w14:paraId="7745B4D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设备噪声</w:t>
                  </w:r>
                </w:p>
              </w:tc>
              <w:tc>
                <w:tcPr>
                  <w:tcW w:w="3541" w:type="dxa"/>
                  <w:tcBorders>
                    <w:tl2br w:val="nil"/>
                    <w:tr2bl w:val="nil"/>
                  </w:tcBorders>
                  <w:noWrap w:val="0"/>
                  <w:vAlign w:val="center"/>
                </w:tcPr>
                <w:p w14:paraId="33E25D9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选用低噪声设备，隔声、减振、软连接、厂房隔声等措施</w:t>
                  </w:r>
                </w:p>
              </w:tc>
            </w:tr>
            <w:tr w14:paraId="13E8DF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1057" w:type="dxa"/>
                  <w:tcBorders>
                    <w:tl2br w:val="nil"/>
                    <w:tr2bl w:val="nil"/>
                  </w:tcBorders>
                  <w:noWrap w:val="0"/>
                  <w:vAlign w:val="center"/>
                </w:tcPr>
                <w:p w14:paraId="4F4BBD2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生活垃圾</w:t>
                  </w:r>
                </w:p>
              </w:tc>
              <w:tc>
                <w:tcPr>
                  <w:tcW w:w="1620" w:type="dxa"/>
                  <w:tcBorders>
                    <w:tl2br w:val="nil"/>
                    <w:tr2bl w:val="nil"/>
                  </w:tcBorders>
                  <w:noWrap w:val="0"/>
                  <w:vAlign w:val="center"/>
                </w:tcPr>
                <w:p w14:paraId="68F70FB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员工</w:t>
                  </w:r>
                </w:p>
              </w:tc>
              <w:tc>
                <w:tcPr>
                  <w:tcW w:w="1920" w:type="dxa"/>
                  <w:tcBorders>
                    <w:tl2br w:val="nil"/>
                    <w:tr2bl w:val="nil"/>
                  </w:tcBorders>
                  <w:noWrap w:val="0"/>
                  <w:vAlign w:val="center"/>
                </w:tcPr>
                <w:p w14:paraId="5B35553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生活垃圾</w:t>
                  </w:r>
                </w:p>
              </w:tc>
              <w:tc>
                <w:tcPr>
                  <w:tcW w:w="3541" w:type="dxa"/>
                  <w:tcBorders>
                    <w:tl2br w:val="nil"/>
                    <w:tr2bl w:val="nil"/>
                  </w:tcBorders>
                  <w:noWrap w:val="0"/>
                  <w:vAlign w:val="center"/>
                </w:tcPr>
                <w:p w14:paraId="3CF35E2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color w:val="000000" w:themeColor="text1"/>
                      <w:sz w:val="21"/>
                      <w:szCs w:val="21"/>
                      <w:highlight w:val="none"/>
                      <w:vertAlign w:val="baseline"/>
                      <w:lang w:val="en-US" w:eastAsia="zh-CN"/>
                      <w14:textFill>
                        <w14:solidFill>
                          <w14:schemeClr w14:val="tx1"/>
                        </w14:solidFill>
                      </w14:textFill>
                    </w:rPr>
                    <w:t>集中收集</w:t>
                  </w: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，定期交由环卫部门统一收集处理</w:t>
                  </w:r>
                </w:p>
              </w:tc>
            </w:tr>
            <w:tr w14:paraId="455667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1057" w:type="dxa"/>
                  <w:vMerge w:val="restart"/>
                  <w:tcBorders>
                    <w:tl2br w:val="nil"/>
                    <w:tr2bl w:val="nil"/>
                  </w:tcBorders>
                  <w:noWrap w:val="0"/>
                  <w:vAlign w:val="center"/>
                </w:tcPr>
                <w:p w14:paraId="19EBA2D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危险废物</w:t>
                  </w:r>
                </w:p>
              </w:tc>
              <w:tc>
                <w:tcPr>
                  <w:tcW w:w="1620" w:type="dxa"/>
                  <w:tcBorders>
                    <w:tl2br w:val="nil"/>
                    <w:tr2bl w:val="nil"/>
                  </w:tcBorders>
                  <w:noWrap w:val="0"/>
                  <w:vAlign w:val="center"/>
                </w:tcPr>
                <w:p w14:paraId="098592C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活性炭吸附</w:t>
                  </w:r>
                </w:p>
                <w:p w14:paraId="78BDA2A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装置</w:t>
                  </w:r>
                </w:p>
              </w:tc>
              <w:tc>
                <w:tcPr>
                  <w:tcW w:w="1920" w:type="dxa"/>
                  <w:tcBorders>
                    <w:tl2br w:val="nil"/>
                    <w:tr2bl w:val="nil"/>
                  </w:tcBorders>
                  <w:noWrap w:val="0"/>
                  <w:vAlign w:val="center"/>
                </w:tcPr>
                <w:p w14:paraId="4679EAF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废活性炭</w:t>
                  </w:r>
                </w:p>
              </w:tc>
              <w:tc>
                <w:tcPr>
                  <w:tcW w:w="3541" w:type="dxa"/>
                  <w:tcBorders>
                    <w:tl2br w:val="nil"/>
                    <w:tr2bl w:val="nil"/>
                  </w:tcBorders>
                  <w:noWrap w:val="0"/>
                  <w:vAlign w:val="center"/>
                </w:tcPr>
                <w:p w14:paraId="6CE6F5B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暂存于危险废物</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贮存库</w:t>
                  </w:r>
                  <w:r>
                    <w:rPr>
                      <w:rFonts w:hint="eastAsia" w:cs="Times New Roman"/>
                      <w:b w:val="0"/>
                      <w:bCs/>
                      <w:color w:val="000000" w:themeColor="text1"/>
                      <w:sz w:val="21"/>
                      <w:szCs w:val="21"/>
                      <w:highlight w:val="none"/>
                      <w:vertAlign w:val="baseline"/>
                      <w:lang w:val="en-US" w:eastAsia="zh-CN"/>
                      <w14:textFill>
                        <w14:solidFill>
                          <w14:schemeClr w14:val="tx1"/>
                        </w14:solidFill>
                      </w14:textFill>
                    </w:rPr>
                    <w:t>18</w:t>
                  </w: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w:t>
                  </w:r>
                  <w:r>
                    <w:rPr>
                      <w:rFonts w:hint="eastAsia" w:cs="Times New Roman"/>
                      <w:b w:val="0"/>
                      <w:bCs/>
                      <w:color w:val="000000" w:themeColor="text1"/>
                      <w:sz w:val="21"/>
                      <w:szCs w:val="21"/>
                      <w:highlight w:val="none"/>
                      <w:vertAlign w:val="baseline"/>
                      <w:lang w:val="en-US" w:eastAsia="zh-CN"/>
                      <w14:textFill>
                        <w14:solidFill>
                          <w14:schemeClr w14:val="tx1"/>
                        </w14:solidFill>
                      </w14:textFill>
                    </w:rPr>
                    <w:t>分区</w:t>
                  </w: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内，定期委托有资质单位收集处置</w:t>
                  </w:r>
                </w:p>
              </w:tc>
            </w:tr>
            <w:tr w14:paraId="5B66FF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1057" w:type="dxa"/>
                  <w:vMerge w:val="continue"/>
                  <w:tcBorders>
                    <w:tl2br w:val="nil"/>
                    <w:tr2bl w:val="nil"/>
                  </w:tcBorders>
                  <w:noWrap w:val="0"/>
                  <w:vAlign w:val="center"/>
                </w:tcPr>
                <w:p w14:paraId="4C11859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p>
              </w:tc>
              <w:tc>
                <w:tcPr>
                  <w:tcW w:w="1620" w:type="dxa"/>
                  <w:tcBorders>
                    <w:tl2br w:val="nil"/>
                    <w:tr2bl w:val="nil"/>
                  </w:tcBorders>
                  <w:noWrap w:val="0"/>
                  <w:vAlign w:val="center"/>
                </w:tcPr>
                <w:p w14:paraId="30D4115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碱液喷淋吸收装置</w:t>
                  </w:r>
                </w:p>
              </w:tc>
              <w:tc>
                <w:tcPr>
                  <w:tcW w:w="1920" w:type="dxa"/>
                  <w:tcBorders>
                    <w:tl2br w:val="nil"/>
                    <w:tr2bl w:val="nil"/>
                  </w:tcBorders>
                  <w:noWrap w:val="0"/>
                  <w:vAlign w:val="center"/>
                </w:tcPr>
                <w:p w14:paraId="043D4F5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废碱</w:t>
                  </w:r>
                </w:p>
              </w:tc>
              <w:tc>
                <w:tcPr>
                  <w:tcW w:w="3541" w:type="dxa"/>
                  <w:tcBorders>
                    <w:tl2br w:val="nil"/>
                    <w:tr2bl w:val="nil"/>
                  </w:tcBorders>
                  <w:noWrap w:val="0"/>
                  <w:vAlign w:val="center"/>
                </w:tcPr>
                <w:p w14:paraId="1A0FC95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暂存于危险废物</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贮存库</w:t>
                  </w:r>
                  <w:r>
                    <w:rPr>
                      <w:rFonts w:hint="eastAsia" w:cs="Times New Roman"/>
                      <w:b w:val="0"/>
                      <w:bCs/>
                      <w:color w:val="000000" w:themeColor="text1"/>
                      <w:sz w:val="21"/>
                      <w:szCs w:val="21"/>
                      <w:highlight w:val="none"/>
                      <w:vertAlign w:val="baseline"/>
                      <w:lang w:val="en-US" w:eastAsia="zh-CN"/>
                      <w14:textFill>
                        <w14:solidFill>
                          <w14:schemeClr w14:val="tx1"/>
                        </w14:solidFill>
                      </w14:textFill>
                    </w:rPr>
                    <w:t>6</w:t>
                  </w: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w:t>
                  </w:r>
                  <w:r>
                    <w:rPr>
                      <w:rFonts w:hint="eastAsia" w:cs="Times New Roman"/>
                      <w:b w:val="0"/>
                      <w:bCs/>
                      <w:color w:val="000000" w:themeColor="text1"/>
                      <w:sz w:val="21"/>
                      <w:szCs w:val="21"/>
                      <w:highlight w:val="none"/>
                      <w:vertAlign w:val="baseline"/>
                      <w:lang w:val="en-US" w:eastAsia="zh-CN"/>
                      <w14:textFill>
                        <w14:solidFill>
                          <w14:schemeClr w14:val="tx1"/>
                        </w14:solidFill>
                      </w14:textFill>
                    </w:rPr>
                    <w:t>分区</w:t>
                  </w:r>
                  <w:r>
                    <w:rPr>
                      <w:rFonts w:hint="default" w:ascii="Times New Roman" w:hAnsi="Times New Roman" w:eastAsia="宋体" w:cs="Times New Roman"/>
                      <w:b w:val="0"/>
                      <w:bCs/>
                      <w:color w:val="000000" w:themeColor="text1"/>
                      <w:sz w:val="21"/>
                      <w:szCs w:val="21"/>
                      <w:highlight w:val="none"/>
                      <w:vertAlign w:val="baseline"/>
                      <w:lang w:val="en-US" w:eastAsia="zh-CN"/>
                      <w14:textFill>
                        <w14:solidFill>
                          <w14:schemeClr w14:val="tx1"/>
                        </w14:solidFill>
                      </w14:textFill>
                    </w:rPr>
                    <w:t>内，定期委托有资质单位收集处置</w:t>
                  </w:r>
                </w:p>
              </w:tc>
            </w:tr>
          </w:tbl>
          <w:p w14:paraId="274A5CB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default" w:ascii="Times New Roman" w:hAnsi="Times New Roman" w:eastAsia="宋体" w:cs="Times New Roman"/>
                <w:b w:val="0"/>
                <w:bCs/>
                <w:color w:val="000000" w:themeColor="text1"/>
                <w:szCs w:val="21"/>
                <w:highlight w:val="none"/>
                <w:lang w:val="en-US" w:eastAsia="zh-CN"/>
                <w14:textFill>
                  <w14:solidFill>
                    <w14:schemeClr w14:val="tx1"/>
                  </w14:solidFill>
                </w14:textFill>
              </w:rPr>
            </w:pPr>
          </w:p>
        </w:tc>
      </w:tr>
      <w:tr w14:paraId="02E200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06" w:hRule="atLeast"/>
          <w:jc w:val="center"/>
        </w:trPr>
        <w:tc>
          <w:tcPr>
            <w:tcW w:w="709" w:type="dxa"/>
            <w:noWrap w:val="0"/>
            <w:vAlign w:val="center"/>
          </w:tcPr>
          <w:p w14:paraId="6C0499A1">
            <w:pPr>
              <w:pStyle w:val="24"/>
              <w:adjustRightInd w:val="0"/>
              <w:snapToGrid w:val="0"/>
              <w:spacing w:before="0" w:beforeAutospacing="0" w:after="0" w:afterAutospacing="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14:textFill>
                  <w14:solidFill>
                    <w14:schemeClr w14:val="tx1"/>
                  </w14:solidFill>
                </w14:textFill>
              </w:rPr>
              <w:t>与项目有关的原有环境污染问题</w:t>
            </w:r>
          </w:p>
        </w:tc>
        <w:tc>
          <w:tcPr>
            <w:tcW w:w="8315" w:type="dxa"/>
            <w:noWrap w:val="0"/>
            <w:vAlign w:val="center"/>
          </w:tcPr>
          <w:p w14:paraId="4EC467F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200"/>
              <w:jc w:val="both"/>
              <w:textAlignment w:val="auto"/>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本项目为新建项目，租赁伊春市林源家具有限公司闲置空厂房及周围场地</w:t>
            </w:r>
            <w:r>
              <w:rPr>
                <w:rFonts w:hint="eastAsia"/>
                <w:color w:val="000000" w:themeColor="text1"/>
                <w:highlight w:val="none"/>
                <w:lang w:val="en-US" w:eastAsia="zh-CN"/>
                <w14:textFill>
                  <w14:solidFill>
                    <w14:schemeClr w14:val="tx1"/>
                  </w14:solidFill>
                </w14:textFill>
              </w:rPr>
              <w:t>进行生产建设</w:t>
            </w:r>
            <w:r>
              <w:rPr>
                <w:rFonts w:hint="default"/>
                <w:color w:val="000000" w:themeColor="text1"/>
                <w:highlight w:val="none"/>
                <w:lang w:val="en-US" w:eastAsia="zh-CN"/>
                <w14:textFill>
                  <w14:solidFill>
                    <w14:schemeClr w14:val="tx1"/>
                  </w14:solidFill>
                </w14:textFill>
              </w:rPr>
              <w:t>，不存在原有环境污染问题。</w:t>
            </w:r>
          </w:p>
          <w:p w14:paraId="766A83F1">
            <w:pPr>
              <w:pStyle w:val="2"/>
              <w:rPr>
                <w:rFonts w:hint="default"/>
                <w:color w:val="000000" w:themeColor="text1"/>
                <w:highlight w:val="none"/>
                <w:lang w:val="en-US" w:eastAsia="zh-CN"/>
                <w14:textFill>
                  <w14:solidFill>
                    <w14:schemeClr w14:val="tx1"/>
                  </w14:solidFill>
                </w14:textFill>
              </w:rPr>
            </w:pPr>
          </w:p>
          <w:p w14:paraId="1FBEAC24">
            <w:pPr>
              <w:pStyle w:val="3"/>
              <w:rPr>
                <w:rFonts w:hint="default"/>
                <w:color w:val="000000" w:themeColor="text1"/>
                <w:highlight w:val="none"/>
                <w:lang w:val="en-US" w:eastAsia="zh-CN"/>
                <w14:textFill>
                  <w14:solidFill>
                    <w14:schemeClr w14:val="tx1"/>
                  </w14:solidFill>
                </w14:textFill>
              </w:rPr>
            </w:pPr>
          </w:p>
          <w:p w14:paraId="044B373B">
            <w:pPr>
              <w:pStyle w:val="4"/>
              <w:rPr>
                <w:rFonts w:hint="default"/>
                <w:color w:val="000000" w:themeColor="text1"/>
                <w:highlight w:val="none"/>
                <w:lang w:val="en-US" w:eastAsia="zh-CN"/>
                <w14:textFill>
                  <w14:solidFill>
                    <w14:schemeClr w14:val="tx1"/>
                  </w14:solidFill>
                </w14:textFill>
              </w:rPr>
            </w:pPr>
          </w:p>
          <w:p w14:paraId="31592B97">
            <w:pPr>
              <w:rPr>
                <w:rFonts w:hint="default"/>
                <w:color w:val="000000" w:themeColor="text1"/>
                <w:highlight w:val="none"/>
                <w:lang w:val="en-US" w:eastAsia="zh-CN"/>
                <w14:textFill>
                  <w14:solidFill>
                    <w14:schemeClr w14:val="tx1"/>
                  </w14:solidFill>
                </w14:textFill>
              </w:rPr>
            </w:pPr>
          </w:p>
          <w:p w14:paraId="161DB19A">
            <w:pPr>
              <w:pStyle w:val="2"/>
              <w:rPr>
                <w:rFonts w:hint="default"/>
                <w:color w:val="000000" w:themeColor="text1"/>
                <w:highlight w:val="none"/>
                <w:lang w:val="en-US" w:eastAsia="zh-CN"/>
                <w14:textFill>
                  <w14:solidFill>
                    <w14:schemeClr w14:val="tx1"/>
                  </w14:solidFill>
                </w14:textFill>
              </w:rPr>
            </w:pPr>
          </w:p>
          <w:p w14:paraId="482BA6C8">
            <w:pPr>
              <w:pStyle w:val="3"/>
              <w:rPr>
                <w:rFonts w:hint="default"/>
                <w:color w:val="000000" w:themeColor="text1"/>
                <w:highlight w:val="none"/>
                <w:lang w:val="en-US" w:eastAsia="zh-CN"/>
                <w14:textFill>
                  <w14:solidFill>
                    <w14:schemeClr w14:val="tx1"/>
                  </w14:solidFill>
                </w14:textFill>
              </w:rPr>
            </w:pPr>
          </w:p>
          <w:p w14:paraId="56944A0D">
            <w:pPr>
              <w:pStyle w:val="4"/>
              <w:rPr>
                <w:rFonts w:hint="default"/>
                <w:color w:val="000000" w:themeColor="text1"/>
                <w:highlight w:val="none"/>
                <w:lang w:val="en-US" w:eastAsia="zh-CN"/>
                <w14:textFill>
                  <w14:solidFill>
                    <w14:schemeClr w14:val="tx1"/>
                  </w14:solidFill>
                </w14:textFill>
              </w:rPr>
            </w:pPr>
          </w:p>
          <w:p w14:paraId="0FB5A1D9">
            <w:pPr>
              <w:rPr>
                <w:rFonts w:hint="default"/>
                <w:color w:val="000000" w:themeColor="text1"/>
                <w:highlight w:val="none"/>
                <w:lang w:val="en-US" w:eastAsia="zh-CN"/>
                <w14:textFill>
                  <w14:solidFill>
                    <w14:schemeClr w14:val="tx1"/>
                  </w14:solidFill>
                </w14:textFill>
              </w:rPr>
            </w:pPr>
          </w:p>
          <w:p w14:paraId="0180EAC4">
            <w:pPr>
              <w:pStyle w:val="2"/>
              <w:rPr>
                <w:rFonts w:hint="default"/>
                <w:color w:val="000000" w:themeColor="text1"/>
                <w:highlight w:val="none"/>
                <w:lang w:val="en-US" w:eastAsia="zh-CN"/>
                <w14:textFill>
                  <w14:solidFill>
                    <w14:schemeClr w14:val="tx1"/>
                  </w14:solidFill>
                </w14:textFill>
              </w:rPr>
            </w:pPr>
          </w:p>
          <w:p w14:paraId="40AD7EBC">
            <w:pPr>
              <w:pStyle w:val="3"/>
              <w:rPr>
                <w:rFonts w:hint="default"/>
                <w:color w:val="000000" w:themeColor="text1"/>
                <w:highlight w:val="none"/>
                <w:lang w:val="en-US" w:eastAsia="zh-CN"/>
                <w14:textFill>
                  <w14:solidFill>
                    <w14:schemeClr w14:val="tx1"/>
                  </w14:solidFill>
                </w14:textFill>
              </w:rPr>
            </w:pPr>
          </w:p>
          <w:p w14:paraId="77706C72">
            <w:pPr>
              <w:pStyle w:val="4"/>
              <w:rPr>
                <w:rFonts w:hint="default"/>
                <w:color w:val="000000" w:themeColor="text1"/>
                <w:highlight w:val="none"/>
                <w:lang w:val="en-US" w:eastAsia="zh-CN"/>
                <w14:textFill>
                  <w14:solidFill>
                    <w14:schemeClr w14:val="tx1"/>
                  </w14:solidFill>
                </w14:textFill>
              </w:rPr>
            </w:pPr>
          </w:p>
          <w:p w14:paraId="57882A7C">
            <w:pPr>
              <w:rPr>
                <w:rFonts w:hint="default"/>
                <w:color w:val="000000" w:themeColor="text1"/>
                <w:highlight w:val="none"/>
                <w:lang w:val="en-US" w:eastAsia="zh-CN"/>
                <w14:textFill>
                  <w14:solidFill>
                    <w14:schemeClr w14:val="tx1"/>
                  </w14:solidFill>
                </w14:textFill>
              </w:rPr>
            </w:pPr>
          </w:p>
          <w:p w14:paraId="7C0B3EF0">
            <w:pPr>
              <w:pStyle w:val="2"/>
              <w:rPr>
                <w:rFonts w:hint="default"/>
                <w:color w:val="000000" w:themeColor="text1"/>
                <w:highlight w:val="none"/>
                <w:lang w:val="en-US" w:eastAsia="zh-CN"/>
                <w14:textFill>
                  <w14:solidFill>
                    <w14:schemeClr w14:val="tx1"/>
                  </w14:solidFill>
                </w14:textFill>
              </w:rPr>
            </w:pPr>
          </w:p>
          <w:p w14:paraId="5B5CBA0D">
            <w:pPr>
              <w:pStyle w:val="3"/>
              <w:rPr>
                <w:rFonts w:hint="default"/>
                <w:color w:val="000000" w:themeColor="text1"/>
                <w:highlight w:val="none"/>
                <w:lang w:val="en-US" w:eastAsia="zh-CN"/>
                <w14:textFill>
                  <w14:solidFill>
                    <w14:schemeClr w14:val="tx1"/>
                  </w14:solidFill>
                </w14:textFill>
              </w:rPr>
            </w:pPr>
          </w:p>
          <w:p w14:paraId="32034CAB">
            <w:pPr>
              <w:pStyle w:val="4"/>
              <w:rPr>
                <w:rFonts w:hint="default"/>
                <w:color w:val="000000" w:themeColor="text1"/>
                <w:highlight w:val="none"/>
                <w:lang w:val="en-US" w:eastAsia="zh-CN"/>
                <w14:textFill>
                  <w14:solidFill>
                    <w14:schemeClr w14:val="tx1"/>
                  </w14:solidFill>
                </w14:textFill>
              </w:rPr>
            </w:pPr>
          </w:p>
          <w:p w14:paraId="0FE24CE9">
            <w:pPr>
              <w:rPr>
                <w:rFonts w:hint="default"/>
                <w:color w:val="000000" w:themeColor="text1"/>
                <w:highlight w:val="none"/>
                <w:lang w:val="en-US" w:eastAsia="zh-CN"/>
                <w14:textFill>
                  <w14:solidFill>
                    <w14:schemeClr w14:val="tx1"/>
                  </w14:solidFill>
                </w14:textFill>
              </w:rPr>
            </w:pPr>
          </w:p>
          <w:p w14:paraId="030EF9E9">
            <w:pPr>
              <w:pStyle w:val="2"/>
              <w:rPr>
                <w:rFonts w:hint="default"/>
                <w:color w:val="000000" w:themeColor="text1"/>
                <w:highlight w:val="none"/>
                <w:lang w:val="en-US" w:eastAsia="zh-CN"/>
                <w14:textFill>
                  <w14:solidFill>
                    <w14:schemeClr w14:val="tx1"/>
                  </w14:solidFill>
                </w14:textFill>
              </w:rPr>
            </w:pPr>
          </w:p>
          <w:p w14:paraId="2B519BA5">
            <w:pPr>
              <w:pStyle w:val="3"/>
              <w:rPr>
                <w:rFonts w:hint="default"/>
                <w:color w:val="000000" w:themeColor="text1"/>
                <w:highlight w:val="none"/>
                <w:lang w:val="en-US" w:eastAsia="zh-CN"/>
                <w14:textFill>
                  <w14:solidFill>
                    <w14:schemeClr w14:val="tx1"/>
                  </w14:solidFill>
                </w14:textFill>
              </w:rPr>
            </w:pPr>
          </w:p>
          <w:p w14:paraId="02229E27">
            <w:pPr>
              <w:pStyle w:val="4"/>
              <w:rPr>
                <w:rFonts w:hint="default"/>
                <w:color w:val="000000" w:themeColor="text1"/>
                <w:highlight w:val="none"/>
                <w:lang w:val="en-US" w:eastAsia="zh-CN"/>
                <w14:textFill>
                  <w14:solidFill>
                    <w14:schemeClr w14:val="tx1"/>
                  </w14:solidFill>
                </w14:textFill>
              </w:rPr>
            </w:pPr>
          </w:p>
          <w:p w14:paraId="40EC2A2D">
            <w:pPr>
              <w:rPr>
                <w:rFonts w:hint="default"/>
                <w:color w:val="000000" w:themeColor="text1"/>
                <w:highlight w:val="none"/>
                <w:lang w:val="en-US" w:eastAsia="zh-CN"/>
                <w14:textFill>
                  <w14:solidFill>
                    <w14:schemeClr w14:val="tx1"/>
                  </w14:solidFill>
                </w14:textFill>
              </w:rPr>
            </w:pPr>
          </w:p>
          <w:p w14:paraId="16BD7D74">
            <w:pPr>
              <w:pStyle w:val="2"/>
              <w:rPr>
                <w:rFonts w:hint="default"/>
                <w:color w:val="000000" w:themeColor="text1"/>
                <w:highlight w:val="none"/>
                <w:lang w:val="en-US" w:eastAsia="zh-CN"/>
                <w14:textFill>
                  <w14:solidFill>
                    <w14:schemeClr w14:val="tx1"/>
                  </w14:solidFill>
                </w14:textFill>
              </w:rPr>
            </w:pPr>
          </w:p>
          <w:p w14:paraId="4EB120AB">
            <w:pPr>
              <w:pStyle w:val="3"/>
              <w:rPr>
                <w:rFonts w:hint="default"/>
                <w:color w:val="000000" w:themeColor="text1"/>
                <w:highlight w:val="none"/>
                <w:lang w:val="en-US" w:eastAsia="zh-CN"/>
                <w14:textFill>
                  <w14:solidFill>
                    <w14:schemeClr w14:val="tx1"/>
                  </w14:solidFill>
                </w14:textFill>
              </w:rPr>
            </w:pPr>
          </w:p>
          <w:p w14:paraId="4DC713CA">
            <w:pPr>
              <w:pStyle w:val="4"/>
              <w:rPr>
                <w:rFonts w:hint="default"/>
                <w:color w:val="000000" w:themeColor="text1"/>
                <w:highlight w:val="none"/>
                <w:lang w:val="en-US" w:eastAsia="zh-CN"/>
                <w14:textFill>
                  <w14:solidFill>
                    <w14:schemeClr w14:val="tx1"/>
                  </w14:solidFill>
                </w14:textFill>
              </w:rPr>
            </w:pPr>
          </w:p>
          <w:p w14:paraId="262FA8A3">
            <w:pPr>
              <w:rPr>
                <w:rFonts w:hint="default"/>
                <w:color w:val="000000" w:themeColor="text1"/>
                <w:highlight w:val="none"/>
                <w:lang w:val="en-US" w:eastAsia="zh-CN"/>
                <w14:textFill>
                  <w14:solidFill>
                    <w14:schemeClr w14:val="tx1"/>
                  </w14:solidFill>
                </w14:textFill>
              </w:rPr>
            </w:pPr>
          </w:p>
          <w:p w14:paraId="7B1A48F5">
            <w:pPr>
              <w:pStyle w:val="2"/>
              <w:rPr>
                <w:rFonts w:hint="default"/>
                <w:color w:val="000000" w:themeColor="text1"/>
                <w:highlight w:val="none"/>
                <w:lang w:val="en-US" w:eastAsia="zh-CN"/>
                <w14:textFill>
                  <w14:solidFill>
                    <w14:schemeClr w14:val="tx1"/>
                  </w14:solidFill>
                </w14:textFill>
              </w:rPr>
            </w:pPr>
          </w:p>
          <w:p w14:paraId="64C1BDEF">
            <w:pPr>
              <w:pStyle w:val="3"/>
              <w:rPr>
                <w:rFonts w:hint="default"/>
                <w:color w:val="000000" w:themeColor="text1"/>
                <w:highlight w:val="none"/>
                <w:lang w:val="en-US" w:eastAsia="zh-CN"/>
                <w14:textFill>
                  <w14:solidFill>
                    <w14:schemeClr w14:val="tx1"/>
                  </w14:solidFill>
                </w14:textFill>
              </w:rPr>
            </w:pPr>
          </w:p>
          <w:p w14:paraId="1558261F">
            <w:pPr>
              <w:pStyle w:val="4"/>
              <w:rPr>
                <w:rFonts w:hint="default"/>
                <w:color w:val="000000" w:themeColor="text1"/>
                <w:highlight w:val="none"/>
                <w:lang w:val="en-US" w:eastAsia="zh-CN"/>
                <w14:textFill>
                  <w14:solidFill>
                    <w14:schemeClr w14:val="tx1"/>
                  </w14:solidFill>
                </w14:textFill>
              </w:rPr>
            </w:pPr>
          </w:p>
        </w:tc>
      </w:tr>
    </w:tbl>
    <w:p w14:paraId="39963ED6">
      <w:pPr>
        <w:pStyle w:val="24"/>
        <w:jc w:val="center"/>
        <w:rPr>
          <w:rFonts w:ascii="黑体" w:hAnsi="黑体" w:eastAsia="黑体"/>
          <w:snapToGrid w:val="0"/>
          <w:color w:val="000000" w:themeColor="text1"/>
          <w:sz w:val="36"/>
          <w:szCs w:val="36"/>
          <w:highlight w:val="none"/>
          <w14:textFill>
            <w14:solidFill>
              <w14:schemeClr w14:val="tx1"/>
            </w14:solidFill>
          </w14:textFill>
        </w:rPr>
        <w:sectPr>
          <w:pgSz w:w="11906" w:h="16838"/>
          <w:pgMar w:top="1167" w:right="1531" w:bottom="115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469655B3">
      <w:pPr>
        <w:pStyle w:val="24"/>
        <w:adjustRightInd w:val="0"/>
        <w:snapToGrid w:val="0"/>
        <w:spacing w:before="0" w:beforeAutospacing="0" w:after="0" w:afterAutospacing="0" w:line="14" w:lineRule="auto"/>
        <w:jc w:val="center"/>
        <w:outlineLvl w:val="9"/>
        <w:rPr>
          <w:rFonts w:hint="eastAsia" w:ascii="黑体" w:hAnsi="黑体" w:eastAsia="黑体"/>
          <w:snapToGrid w:val="0"/>
          <w:color w:val="000000" w:themeColor="text1"/>
          <w:sz w:val="30"/>
          <w:szCs w:val="30"/>
          <w:highlight w:val="none"/>
          <w14:textFill>
            <w14:solidFill>
              <w14:schemeClr w14:val="tx1"/>
            </w14:solidFill>
          </w14:textFill>
        </w:rPr>
      </w:pPr>
    </w:p>
    <w:p w14:paraId="4B2568B1">
      <w:pPr>
        <w:pStyle w:val="24"/>
        <w:keepNext w:val="0"/>
        <w:keepLines w:val="0"/>
        <w:pageBreakBefore w:val="0"/>
        <w:widowControl/>
        <w:kinsoku/>
        <w:wordWrap/>
        <w:overflowPunct/>
        <w:topLinePunct w:val="0"/>
        <w:autoSpaceDE/>
        <w:autoSpaceDN/>
        <w:bidi w:val="0"/>
        <w:adjustRightInd/>
        <w:snapToGrid/>
        <w:jc w:val="center"/>
        <w:textAlignment w:val="auto"/>
        <w:outlineLvl w:val="0"/>
        <w:rPr>
          <w:rFonts w:ascii="黑体" w:hAnsi="黑体" w:eastAsia="黑体"/>
          <w:snapToGrid w:val="0"/>
          <w:color w:val="000000" w:themeColor="text1"/>
          <w:sz w:val="30"/>
          <w:szCs w:val="30"/>
          <w:highlight w:val="none"/>
          <w14:textFill>
            <w14:solidFill>
              <w14:schemeClr w14:val="tx1"/>
            </w14:solidFill>
          </w14:textFill>
        </w:rPr>
      </w:pPr>
      <w:bookmarkStart w:id="36" w:name="_Toc26566"/>
      <w:r>
        <w:rPr>
          <w:rFonts w:hint="eastAsia" w:ascii="黑体" w:hAnsi="黑体" w:eastAsia="黑体"/>
          <w:snapToGrid w:val="0"/>
          <w:color w:val="000000" w:themeColor="text1"/>
          <w:sz w:val="30"/>
          <w:szCs w:val="30"/>
          <w:highlight w:val="none"/>
          <w14:textFill>
            <w14:solidFill>
              <w14:schemeClr w14:val="tx1"/>
            </w14:solidFill>
          </w14:textFill>
        </w:rPr>
        <w:t>三、区域环境质量现状、环境保护目标及评价标准</w:t>
      </w:r>
      <w:bookmarkEnd w:id="29"/>
      <w:bookmarkEnd w:id="30"/>
      <w:bookmarkEnd w:id="31"/>
      <w:bookmarkEnd w:id="32"/>
      <w:bookmarkEnd w:id="36"/>
    </w:p>
    <w:tbl>
      <w:tblPr>
        <w:tblStyle w:val="28"/>
        <w:tblpPr w:leftFromText="180" w:rightFromText="180" w:vertAnchor="text" w:tblpXSpec="center" w:tblpY="1"/>
        <w:tblOverlap w:val="never"/>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190"/>
      </w:tblGrid>
      <w:tr w14:paraId="2FE525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800" w:type="dxa"/>
            <w:noWrap w:val="0"/>
            <w:vAlign w:val="center"/>
          </w:tcPr>
          <w:p w14:paraId="58B9C443">
            <w:pPr>
              <w:adjustRightInd w:val="0"/>
              <w:snapToGrid w:val="0"/>
              <w:jc w:val="center"/>
              <w:rPr>
                <w:rFonts w:hint="eastAsia"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区域</w:t>
            </w:r>
          </w:p>
          <w:p w14:paraId="29A20950">
            <w:pPr>
              <w:adjustRightInd w:val="0"/>
              <w:snapToGrid w:val="0"/>
              <w:jc w:val="center"/>
              <w:rPr>
                <w:rFonts w:hint="eastAsia"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环境</w:t>
            </w:r>
          </w:p>
          <w:p w14:paraId="1B86CD2E">
            <w:pPr>
              <w:adjustRightInd w:val="0"/>
              <w:snapToGrid w:val="0"/>
              <w:jc w:val="center"/>
              <w:rPr>
                <w:rFonts w:hint="eastAsia"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质量</w:t>
            </w:r>
          </w:p>
          <w:p w14:paraId="61187012">
            <w:pPr>
              <w:adjustRightInd w:val="0"/>
              <w:snapToGrid w:val="0"/>
              <w:jc w:val="center"/>
              <w:rPr>
                <w:rFonts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现状</w:t>
            </w:r>
          </w:p>
        </w:tc>
        <w:tc>
          <w:tcPr>
            <w:tcW w:w="8190" w:type="dxa"/>
            <w:noWrap w:val="0"/>
            <w:vAlign w:val="top"/>
          </w:tcPr>
          <w:p w14:paraId="65D245D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pPr>
            <w:r>
              <w:rPr>
                <w:rFonts w:hint="eastAsia" w:cs="Times New Roman"/>
                <w:b/>
                <w:bCs/>
                <w:color w:val="000000" w:themeColor="text1"/>
                <w:kern w:val="0"/>
                <w:sz w:val="24"/>
                <w:szCs w:val="24"/>
                <w:highlight w:val="none"/>
                <w:lang w:val="en-US" w:eastAsia="zh-CN"/>
                <w14:textFill>
                  <w14:solidFill>
                    <w14:schemeClr w14:val="tx1"/>
                  </w14:solidFill>
                </w14:textFill>
              </w:rPr>
              <w:t>1、</w:t>
            </w:r>
            <w:r>
              <w:rPr>
                <w:b/>
                <w:bCs/>
                <w:color w:val="000000" w:themeColor="text1"/>
                <w:sz w:val="24"/>
                <w:highlight w:val="none"/>
                <w14:textFill>
                  <w14:solidFill>
                    <w14:schemeClr w14:val="tx1"/>
                  </w14:solidFill>
                </w14:textFill>
              </w:rPr>
              <w:t>环境空气</w:t>
            </w:r>
          </w:p>
          <w:p w14:paraId="79DB569F">
            <w:pPr>
              <w:spacing w:before="120" w:beforeLines="50" w:line="360" w:lineRule="auto"/>
              <w:ind w:firstLine="480" w:firstLineChars="200"/>
              <w:rPr>
                <w:b w:val="0"/>
                <w:bCs w:val="0"/>
                <w:color w:val="000000" w:themeColor="text1"/>
                <w:sz w:val="24"/>
                <w:highlight w:val="none"/>
                <w14:textFill>
                  <w14:solidFill>
                    <w14:schemeClr w14:val="tx1"/>
                  </w14:solidFill>
                </w14:textFill>
              </w:rPr>
            </w:pPr>
            <w:r>
              <w:rPr>
                <w:rFonts w:hint="eastAsia"/>
                <w:b w:val="0"/>
                <w:bCs w:val="0"/>
                <w:color w:val="000000" w:themeColor="text1"/>
                <w:sz w:val="24"/>
                <w:highlight w:val="none"/>
                <w:lang w:eastAsia="zh-CN"/>
                <w14:textFill>
                  <w14:solidFill>
                    <w14:schemeClr w14:val="tx1"/>
                  </w14:solidFill>
                </w14:textFill>
              </w:rPr>
              <w:t>（</w:t>
            </w:r>
            <w:r>
              <w:rPr>
                <w:rFonts w:hint="eastAsia"/>
                <w:b w:val="0"/>
                <w:bCs w:val="0"/>
                <w:color w:val="000000" w:themeColor="text1"/>
                <w:sz w:val="24"/>
                <w:highlight w:val="none"/>
                <w:lang w:val="en-US" w:eastAsia="zh-CN"/>
                <w14:textFill>
                  <w14:solidFill>
                    <w14:schemeClr w14:val="tx1"/>
                  </w14:solidFill>
                </w14:textFill>
              </w:rPr>
              <w:t>1</w:t>
            </w:r>
            <w:r>
              <w:rPr>
                <w:rFonts w:hint="eastAsia"/>
                <w:b w:val="0"/>
                <w:bCs w:val="0"/>
                <w:color w:val="000000" w:themeColor="text1"/>
                <w:sz w:val="24"/>
                <w:highlight w:val="none"/>
                <w:lang w:eastAsia="zh-CN"/>
                <w14:textFill>
                  <w14:solidFill>
                    <w14:schemeClr w14:val="tx1"/>
                  </w14:solidFill>
                </w14:textFill>
              </w:rPr>
              <w:t>）</w:t>
            </w:r>
            <w:r>
              <w:rPr>
                <w:b w:val="0"/>
                <w:bCs w:val="0"/>
                <w:color w:val="000000" w:themeColor="text1"/>
                <w:sz w:val="24"/>
                <w:highlight w:val="none"/>
                <w14:textFill>
                  <w14:solidFill>
                    <w14:schemeClr w14:val="tx1"/>
                  </w14:solidFill>
                </w14:textFill>
              </w:rPr>
              <w:t>环境空气质量现状</w:t>
            </w:r>
          </w:p>
          <w:p w14:paraId="7E6738FE">
            <w:pPr>
              <w:spacing w:line="360" w:lineRule="auto"/>
              <w:ind w:firstLine="480" w:firstLineChars="200"/>
              <w:rPr>
                <w:rFonts w:ascii="Times New Roman" w:hAnsi="Times New Roman" w:eastAsia="宋体" w:cs="Times New Roman"/>
                <w:color w:val="000000" w:themeColor="text1"/>
                <w:sz w:val="24"/>
                <w:highlight w:val="none"/>
                <w:lang w:val="zh-CN"/>
                <w14:textFill>
                  <w14:solidFill>
                    <w14:schemeClr w14:val="tx1"/>
                  </w14:solidFill>
                </w14:textFill>
              </w:rPr>
            </w:pPr>
            <w:r>
              <w:rPr>
                <w:rFonts w:hint="default" w:ascii="Times New Roman" w:hAnsi="Times New Roman" w:eastAsia="宋体" w:cs="Times New Roman"/>
                <w:color w:val="000000" w:themeColor="text1"/>
                <w:sz w:val="24"/>
                <w:highlight w:val="none"/>
                <w:lang w:val="zh-CN"/>
                <w14:textFill>
                  <w14:solidFill>
                    <w14:schemeClr w14:val="tx1"/>
                  </w14:solidFill>
                </w14:textFill>
              </w:rPr>
              <w:t>本项目引用</w:t>
            </w:r>
            <w:r>
              <w:rPr>
                <w:rFonts w:ascii="Times New Roman" w:hAnsi="Times New Roman" w:eastAsia="宋体" w:cs="Times New Roman"/>
                <w:color w:val="000000" w:themeColor="text1"/>
                <w:sz w:val="24"/>
                <w:highlight w:val="none"/>
                <w:lang w:val="zh-CN"/>
                <w14:textFill>
                  <w14:solidFill>
                    <w14:schemeClr w14:val="tx1"/>
                  </w14:solidFill>
                </w14:textFill>
              </w:rPr>
              <w:t>《202</w:t>
            </w:r>
            <w:r>
              <w:rPr>
                <w:rFonts w:hint="eastAsia" w:cs="Times New Roman"/>
                <w:color w:val="000000" w:themeColor="text1"/>
                <w:sz w:val="24"/>
                <w:highlight w:val="none"/>
                <w:lang w:val="en-US" w:eastAsia="zh-CN"/>
                <w14:textFill>
                  <w14:solidFill>
                    <w14:schemeClr w14:val="tx1"/>
                  </w14:solidFill>
                </w14:textFill>
              </w:rPr>
              <w:t>4</w:t>
            </w:r>
            <w:r>
              <w:rPr>
                <w:rFonts w:ascii="Times New Roman" w:hAnsi="Times New Roman" w:eastAsia="宋体" w:cs="Times New Roman"/>
                <w:color w:val="000000" w:themeColor="text1"/>
                <w:sz w:val="24"/>
                <w:highlight w:val="none"/>
                <w:lang w:val="zh-CN"/>
                <w14:textFill>
                  <w14:solidFill>
                    <w14:schemeClr w14:val="tx1"/>
                  </w14:solidFill>
                </w14:textFill>
              </w:rPr>
              <w:t>年</w:t>
            </w:r>
            <w:r>
              <w:rPr>
                <w:rFonts w:hint="eastAsia" w:cs="Times New Roman"/>
                <w:color w:val="000000" w:themeColor="text1"/>
                <w:sz w:val="24"/>
                <w:highlight w:val="none"/>
                <w:lang w:val="en-US" w:eastAsia="zh-CN"/>
                <w14:textFill>
                  <w14:solidFill>
                    <w14:schemeClr w14:val="tx1"/>
                  </w14:solidFill>
                </w14:textFill>
              </w:rPr>
              <w:t>伊春市生态环境质量公报</w:t>
            </w:r>
            <w:r>
              <w:rPr>
                <w:rFonts w:ascii="Times New Roman" w:hAnsi="Times New Roman" w:eastAsia="宋体" w:cs="Times New Roman"/>
                <w:color w:val="000000" w:themeColor="text1"/>
                <w:sz w:val="24"/>
                <w:highlight w:val="none"/>
                <w:lang w:val="zh-CN"/>
                <w14:textFill>
                  <w14:solidFill>
                    <w14:schemeClr w14:val="tx1"/>
                  </w14:solidFill>
                </w14:textFill>
              </w:rPr>
              <w:t>》中监测数据，</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2024年</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伊春市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大气污染物各项指标浓度值都符合《环境空气质量标准》（GB3095-2026）过渡阶段二级浓度限值</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，为达标区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。具体如下。</w:t>
            </w:r>
          </w:p>
          <w:p w14:paraId="041A0CFB">
            <w:pPr>
              <w:pStyle w:val="94"/>
              <w:bidi w:val="0"/>
              <w:spacing w:line="240" w:lineRule="auto"/>
              <w:ind w:left="0" w:leftChars="0" w:firstLine="0" w:firstLineChars="0"/>
              <w:jc w:val="center"/>
              <w:rPr>
                <w:rFonts w:hint="default" w:ascii="Times New Roman" w:hAnsi="Times New Roman" w:eastAsia="宋体" w:cs="Times New Roman"/>
                <w:b/>
                <w:color w:val="000000" w:themeColor="text1"/>
                <w:spacing w:val="0"/>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spacing w:val="0"/>
                <w:kern w:val="2"/>
                <w:sz w:val="24"/>
                <w:szCs w:val="24"/>
                <w:highlight w:val="none"/>
                <w:lang w:val="en-US" w:eastAsia="zh-CN" w:bidi="ar-SA"/>
                <w14:textFill>
                  <w14:solidFill>
                    <w14:schemeClr w14:val="tx1"/>
                  </w14:solidFill>
                </w14:textFill>
              </w:rPr>
              <w:t>表3-1</w:t>
            </w:r>
            <w:r>
              <w:rPr>
                <w:rFonts w:hint="eastAsia" w:eastAsia="宋体" w:cs="Times New Roman"/>
                <w:b/>
                <w:color w:val="000000" w:themeColor="text1"/>
                <w:spacing w:val="0"/>
                <w:kern w:val="2"/>
                <w:sz w:val="24"/>
                <w:szCs w:val="24"/>
                <w:highlight w:val="none"/>
                <w:lang w:val="en-US" w:eastAsia="zh-CN" w:bidi="ar-SA"/>
                <w14:textFill>
                  <w14:solidFill>
                    <w14:schemeClr w14:val="tx1"/>
                  </w14:solidFill>
                </w14:textFill>
              </w:rPr>
              <w:t xml:space="preserve"> </w:t>
            </w:r>
            <w:r>
              <w:rPr>
                <w:rFonts w:hint="default" w:ascii="Times New Roman" w:hAnsi="Times New Roman" w:eastAsia="宋体" w:cs="Times New Roman"/>
                <w:b/>
                <w:color w:val="000000" w:themeColor="text1"/>
                <w:spacing w:val="0"/>
                <w:kern w:val="2"/>
                <w:sz w:val="24"/>
                <w:szCs w:val="24"/>
                <w:highlight w:val="none"/>
                <w:lang w:val="en-US" w:eastAsia="zh-CN" w:bidi="ar-SA"/>
                <w14:textFill>
                  <w14:solidFill>
                    <w14:schemeClr w14:val="tx1"/>
                  </w14:solidFill>
                </w14:textFill>
              </w:rPr>
              <w:t>区域空气质量现状评价表</w:t>
            </w:r>
          </w:p>
          <w:tbl>
            <w:tblPr>
              <w:tblStyle w:val="79"/>
              <w:tblW w:w="4989" w:type="pct"/>
              <w:jc w:val="center"/>
              <w:tblBorders>
                <w:top w:val="single" w:color="auto" w:sz="12" w:space="0"/>
                <w:left w:val="none" w:color="auto" w:sz="0" w:space="0"/>
                <w:bottom w:val="single" w:color="auto" w:sz="12" w:space="0"/>
                <w:right w:val="none" w:color="auto" w:sz="0" w:space="0"/>
                <w:insideH w:val="single" w:color="000000" w:sz="4" w:space="0"/>
                <w:insideV w:val="single" w:color="000000" w:sz="2" w:space="0"/>
              </w:tblBorders>
              <w:tblLayout w:type="fixed"/>
              <w:tblCellMar>
                <w:top w:w="0" w:type="dxa"/>
                <w:left w:w="0" w:type="dxa"/>
                <w:bottom w:w="0" w:type="dxa"/>
                <w:right w:w="0" w:type="dxa"/>
              </w:tblCellMar>
            </w:tblPr>
            <w:tblGrid>
              <w:gridCol w:w="795"/>
              <w:gridCol w:w="2627"/>
              <w:gridCol w:w="1189"/>
              <w:gridCol w:w="1127"/>
              <w:gridCol w:w="1148"/>
              <w:gridCol w:w="1070"/>
            </w:tblGrid>
            <w:tr w14:paraId="25FA3F8F">
              <w:tblPrEx>
                <w:tblBorders>
                  <w:top w:val="single" w:color="auto" w:sz="12" w:space="0"/>
                  <w:left w:val="none" w:color="auto" w:sz="0" w:space="0"/>
                  <w:bottom w:val="single" w:color="auto" w:sz="12" w:space="0"/>
                  <w:right w:val="none" w:color="auto" w:sz="0" w:space="0"/>
                  <w:insideH w:val="single" w:color="000000" w:sz="4" w:space="0"/>
                  <w:insideV w:val="single" w:color="000000" w:sz="2" w:space="0"/>
                </w:tblBorders>
                <w:tblCellMar>
                  <w:top w:w="0" w:type="dxa"/>
                  <w:left w:w="0" w:type="dxa"/>
                  <w:bottom w:w="0" w:type="dxa"/>
                  <w:right w:w="0" w:type="dxa"/>
                </w:tblCellMar>
              </w:tblPrEx>
              <w:trPr>
                <w:trHeight w:val="782" w:hRule="atLeast"/>
                <w:jc w:val="center"/>
              </w:trPr>
              <w:tc>
                <w:tcPr>
                  <w:tcW w:w="809" w:type="dxa"/>
                  <w:tcBorders>
                    <w:tl2br w:val="nil"/>
                    <w:tr2bl w:val="nil"/>
                  </w:tcBorders>
                  <w:vAlign w:val="center"/>
                </w:tcPr>
                <w:p w14:paraId="7D756F41">
                  <w:pPr>
                    <w:pStyle w:val="95"/>
                    <w:autoSpaceDE w:val="0"/>
                    <w:autoSpaceDN w:val="0"/>
                    <w:bidi w:val="0"/>
                    <w:spacing w:line="24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污染物</w:t>
                  </w:r>
                </w:p>
              </w:tc>
              <w:tc>
                <w:tcPr>
                  <w:tcW w:w="2673" w:type="dxa"/>
                  <w:tcBorders>
                    <w:tl2br w:val="nil"/>
                    <w:tr2bl w:val="nil"/>
                  </w:tcBorders>
                  <w:vAlign w:val="center"/>
                </w:tcPr>
                <w:p w14:paraId="3AC4B1E7">
                  <w:pPr>
                    <w:pStyle w:val="95"/>
                    <w:autoSpaceDE w:val="0"/>
                    <w:autoSpaceDN w:val="0"/>
                    <w:bidi w:val="0"/>
                    <w:spacing w:line="240" w:lineRule="auto"/>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年度</w:t>
                  </w:r>
                  <w:r>
                    <w:rPr>
                      <w:color w:val="000000" w:themeColor="text1"/>
                      <w:highlight w:val="none"/>
                      <w14:textFill>
                        <w14:solidFill>
                          <w14:schemeClr w14:val="tx1"/>
                        </w14:solidFill>
                      </w14:textFill>
                    </w:rPr>
                    <w:t>评价指标</w:t>
                  </w:r>
                </w:p>
              </w:tc>
              <w:tc>
                <w:tcPr>
                  <w:tcW w:w="1210" w:type="dxa"/>
                  <w:tcBorders>
                    <w:tl2br w:val="nil"/>
                    <w:tr2bl w:val="nil"/>
                  </w:tcBorders>
                  <w:vAlign w:val="center"/>
                </w:tcPr>
                <w:p w14:paraId="0505537E">
                  <w:pPr>
                    <w:pStyle w:val="95"/>
                    <w:autoSpaceDE w:val="0"/>
                    <w:autoSpaceDN w:val="0"/>
                    <w:bidi w:val="0"/>
                    <w:spacing w:line="24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现状浓度（μg/m</w:t>
                  </w:r>
                  <w:r>
                    <w:rPr>
                      <w:color w:val="000000" w:themeColor="text1"/>
                      <w:highlight w:val="none"/>
                      <w:vertAlign w:val="superscript"/>
                      <w14:textFill>
                        <w14:solidFill>
                          <w14:schemeClr w14:val="tx1"/>
                        </w14:solidFill>
                      </w14:textFill>
                    </w:rPr>
                    <w:t>3</w:t>
                  </w:r>
                  <w:r>
                    <w:rPr>
                      <w:color w:val="000000" w:themeColor="text1"/>
                      <w:highlight w:val="none"/>
                      <w14:textFill>
                        <w14:solidFill>
                          <w14:schemeClr w14:val="tx1"/>
                        </w14:solidFill>
                      </w14:textFill>
                    </w:rPr>
                    <w:t>）</w:t>
                  </w:r>
                </w:p>
              </w:tc>
              <w:tc>
                <w:tcPr>
                  <w:tcW w:w="1147" w:type="dxa"/>
                  <w:tcBorders>
                    <w:tl2br w:val="nil"/>
                    <w:tr2bl w:val="nil"/>
                  </w:tcBorders>
                  <w:vAlign w:val="center"/>
                </w:tcPr>
                <w:p w14:paraId="2177CD24">
                  <w:pPr>
                    <w:pStyle w:val="95"/>
                    <w:autoSpaceDE w:val="0"/>
                    <w:autoSpaceDN w:val="0"/>
                    <w:bidi w:val="0"/>
                    <w:spacing w:line="24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标准值（μg/m</w:t>
                  </w:r>
                  <w:r>
                    <w:rPr>
                      <w:color w:val="000000" w:themeColor="text1"/>
                      <w:highlight w:val="none"/>
                      <w:vertAlign w:val="superscript"/>
                      <w14:textFill>
                        <w14:solidFill>
                          <w14:schemeClr w14:val="tx1"/>
                        </w14:solidFill>
                      </w14:textFill>
                    </w:rPr>
                    <w:t>3</w:t>
                  </w:r>
                  <w:r>
                    <w:rPr>
                      <w:color w:val="000000" w:themeColor="text1"/>
                      <w:highlight w:val="none"/>
                      <w14:textFill>
                        <w14:solidFill>
                          <w14:schemeClr w14:val="tx1"/>
                        </w14:solidFill>
                      </w14:textFill>
                    </w:rPr>
                    <w:t>）</w:t>
                  </w:r>
                </w:p>
              </w:tc>
              <w:tc>
                <w:tcPr>
                  <w:tcW w:w="1168" w:type="dxa"/>
                  <w:tcBorders>
                    <w:tl2br w:val="nil"/>
                    <w:tr2bl w:val="nil"/>
                  </w:tcBorders>
                  <w:vAlign w:val="center"/>
                </w:tcPr>
                <w:p w14:paraId="672E200E">
                  <w:pPr>
                    <w:pStyle w:val="95"/>
                    <w:autoSpaceDE w:val="0"/>
                    <w:autoSpaceDN w:val="0"/>
                    <w:bidi w:val="0"/>
                    <w:spacing w:line="24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占标率%</w:t>
                  </w:r>
                </w:p>
              </w:tc>
              <w:tc>
                <w:tcPr>
                  <w:tcW w:w="1089" w:type="dxa"/>
                  <w:tcBorders>
                    <w:tl2br w:val="nil"/>
                    <w:tr2bl w:val="nil"/>
                  </w:tcBorders>
                  <w:vAlign w:val="center"/>
                </w:tcPr>
                <w:p w14:paraId="5DEC74B5">
                  <w:pPr>
                    <w:pStyle w:val="95"/>
                    <w:autoSpaceDE w:val="0"/>
                    <w:autoSpaceDN w:val="0"/>
                    <w:bidi w:val="0"/>
                    <w:spacing w:line="24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达标情况</w:t>
                  </w:r>
                </w:p>
              </w:tc>
            </w:tr>
            <w:tr w14:paraId="11C28BCE">
              <w:tblPrEx>
                <w:tblBorders>
                  <w:top w:val="single" w:color="auto" w:sz="12" w:space="0"/>
                  <w:left w:val="none" w:color="auto" w:sz="0" w:space="0"/>
                  <w:bottom w:val="single" w:color="auto" w:sz="12" w:space="0"/>
                  <w:right w:val="none" w:color="auto" w:sz="0" w:space="0"/>
                  <w:insideH w:val="single" w:color="000000" w:sz="4" w:space="0"/>
                  <w:insideV w:val="single" w:color="000000" w:sz="2" w:space="0"/>
                </w:tblBorders>
                <w:tblCellMar>
                  <w:top w:w="0" w:type="dxa"/>
                  <w:left w:w="0" w:type="dxa"/>
                  <w:bottom w:w="0" w:type="dxa"/>
                  <w:right w:w="0" w:type="dxa"/>
                </w:tblCellMar>
              </w:tblPrEx>
              <w:trPr>
                <w:trHeight w:val="385" w:hRule="atLeast"/>
                <w:jc w:val="center"/>
              </w:trPr>
              <w:tc>
                <w:tcPr>
                  <w:tcW w:w="809" w:type="dxa"/>
                  <w:tcBorders>
                    <w:tl2br w:val="nil"/>
                    <w:tr2bl w:val="nil"/>
                  </w:tcBorders>
                  <w:vAlign w:val="center"/>
                </w:tcPr>
                <w:p w14:paraId="70544893">
                  <w:pPr>
                    <w:pStyle w:val="95"/>
                    <w:autoSpaceDE w:val="0"/>
                    <w:autoSpaceDN w:val="0"/>
                    <w:bidi w:val="0"/>
                    <w:spacing w:line="24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SO</w:t>
                  </w:r>
                  <w:r>
                    <w:rPr>
                      <w:color w:val="000000" w:themeColor="text1"/>
                      <w:highlight w:val="none"/>
                      <w:vertAlign w:val="subscript"/>
                      <w14:textFill>
                        <w14:solidFill>
                          <w14:schemeClr w14:val="tx1"/>
                        </w14:solidFill>
                      </w14:textFill>
                    </w:rPr>
                    <w:t>2</w:t>
                  </w:r>
                </w:p>
              </w:tc>
              <w:tc>
                <w:tcPr>
                  <w:tcW w:w="2673" w:type="dxa"/>
                  <w:tcBorders>
                    <w:tl2br w:val="nil"/>
                    <w:tr2bl w:val="nil"/>
                  </w:tcBorders>
                  <w:vAlign w:val="center"/>
                </w:tcPr>
                <w:p w14:paraId="7A04608B">
                  <w:pPr>
                    <w:pStyle w:val="95"/>
                    <w:autoSpaceDE w:val="0"/>
                    <w:autoSpaceDN w:val="0"/>
                    <w:bidi w:val="0"/>
                    <w:spacing w:line="24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年平均质量浓度</w:t>
                  </w:r>
                </w:p>
              </w:tc>
              <w:tc>
                <w:tcPr>
                  <w:tcW w:w="1210" w:type="dxa"/>
                  <w:tcBorders>
                    <w:tl2br w:val="nil"/>
                    <w:tr2bl w:val="nil"/>
                  </w:tcBorders>
                  <w:vAlign w:val="center"/>
                </w:tcPr>
                <w:p w14:paraId="14F05614">
                  <w:pPr>
                    <w:pStyle w:val="95"/>
                    <w:autoSpaceDE w:val="0"/>
                    <w:autoSpaceDN w:val="0"/>
                    <w:bidi w:val="0"/>
                    <w:spacing w:line="240" w:lineRule="auto"/>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p>
              </w:tc>
              <w:tc>
                <w:tcPr>
                  <w:tcW w:w="1147" w:type="dxa"/>
                  <w:tcBorders>
                    <w:tl2br w:val="nil"/>
                    <w:tr2bl w:val="nil"/>
                  </w:tcBorders>
                  <w:vAlign w:val="center"/>
                </w:tcPr>
                <w:p w14:paraId="7DE7014C">
                  <w:pPr>
                    <w:pStyle w:val="95"/>
                    <w:autoSpaceDE w:val="0"/>
                    <w:autoSpaceDN w:val="0"/>
                    <w:bidi w:val="0"/>
                    <w:spacing w:line="24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60</w:t>
                  </w:r>
                </w:p>
              </w:tc>
              <w:tc>
                <w:tcPr>
                  <w:tcW w:w="1168" w:type="dxa"/>
                  <w:tcBorders>
                    <w:tl2br w:val="nil"/>
                    <w:tr2bl w:val="nil"/>
                  </w:tcBorders>
                  <w:vAlign w:val="center"/>
                </w:tcPr>
                <w:p w14:paraId="4861741F">
                  <w:pPr>
                    <w:pStyle w:val="95"/>
                    <w:autoSpaceDE w:val="0"/>
                    <w:autoSpaceDN w:val="0"/>
                    <w:bidi w:val="0"/>
                    <w:spacing w:line="240" w:lineRule="auto"/>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11.7</w:t>
                  </w:r>
                </w:p>
              </w:tc>
              <w:tc>
                <w:tcPr>
                  <w:tcW w:w="1089" w:type="dxa"/>
                  <w:tcBorders>
                    <w:tl2br w:val="nil"/>
                    <w:tr2bl w:val="nil"/>
                  </w:tcBorders>
                  <w:vAlign w:val="center"/>
                </w:tcPr>
                <w:p w14:paraId="23C67693">
                  <w:pPr>
                    <w:pStyle w:val="95"/>
                    <w:autoSpaceDE w:val="0"/>
                    <w:autoSpaceDN w:val="0"/>
                    <w:bidi w:val="0"/>
                    <w:spacing w:line="24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达标</w:t>
                  </w:r>
                </w:p>
              </w:tc>
            </w:tr>
            <w:tr w14:paraId="3B1B71AF">
              <w:tblPrEx>
                <w:tblBorders>
                  <w:top w:val="single" w:color="auto" w:sz="12" w:space="0"/>
                  <w:left w:val="none" w:color="auto" w:sz="0" w:space="0"/>
                  <w:bottom w:val="single" w:color="auto" w:sz="12" w:space="0"/>
                  <w:right w:val="none" w:color="auto" w:sz="0" w:space="0"/>
                  <w:insideH w:val="single" w:color="000000" w:sz="4" w:space="0"/>
                  <w:insideV w:val="single" w:color="000000" w:sz="2" w:space="0"/>
                </w:tblBorders>
                <w:tblCellMar>
                  <w:top w:w="0" w:type="dxa"/>
                  <w:left w:w="0" w:type="dxa"/>
                  <w:bottom w:w="0" w:type="dxa"/>
                  <w:right w:w="0" w:type="dxa"/>
                </w:tblCellMar>
              </w:tblPrEx>
              <w:trPr>
                <w:trHeight w:val="385" w:hRule="atLeast"/>
                <w:jc w:val="center"/>
              </w:trPr>
              <w:tc>
                <w:tcPr>
                  <w:tcW w:w="809" w:type="dxa"/>
                  <w:tcBorders>
                    <w:tl2br w:val="nil"/>
                    <w:tr2bl w:val="nil"/>
                  </w:tcBorders>
                  <w:vAlign w:val="center"/>
                </w:tcPr>
                <w:p w14:paraId="50227E8E">
                  <w:pPr>
                    <w:pStyle w:val="95"/>
                    <w:autoSpaceDE w:val="0"/>
                    <w:autoSpaceDN w:val="0"/>
                    <w:bidi w:val="0"/>
                    <w:spacing w:line="24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NO</w:t>
                  </w:r>
                  <w:r>
                    <w:rPr>
                      <w:color w:val="000000" w:themeColor="text1"/>
                      <w:highlight w:val="none"/>
                      <w:vertAlign w:val="subscript"/>
                      <w14:textFill>
                        <w14:solidFill>
                          <w14:schemeClr w14:val="tx1"/>
                        </w14:solidFill>
                      </w14:textFill>
                    </w:rPr>
                    <w:t>2</w:t>
                  </w:r>
                </w:p>
              </w:tc>
              <w:tc>
                <w:tcPr>
                  <w:tcW w:w="2673" w:type="dxa"/>
                  <w:tcBorders>
                    <w:tl2br w:val="nil"/>
                    <w:tr2bl w:val="nil"/>
                  </w:tcBorders>
                  <w:vAlign w:val="center"/>
                </w:tcPr>
                <w:p w14:paraId="05ADE3D1">
                  <w:pPr>
                    <w:pStyle w:val="95"/>
                    <w:autoSpaceDE w:val="0"/>
                    <w:autoSpaceDN w:val="0"/>
                    <w:bidi w:val="0"/>
                    <w:spacing w:line="24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年平均质量浓度</w:t>
                  </w:r>
                </w:p>
              </w:tc>
              <w:tc>
                <w:tcPr>
                  <w:tcW w:w="1210" w:type="dxa"/>
                  <w:tcBorders>
                    <w:tl2br w:val="nil"/>
                    <w:tr2bl w:val="nil"/>
                  </w:tcBorders>
                  <w:vAlign w:val="center"/>
                </w:tcPr>
                <w:p w14:paraId="5819DC5F">
                  <w:pPr>
                    <w:pStyle w:val="95"/>
                    <w:autoSpaceDE w:val="0"/>
                    <w:autoSpaceDN w:val="0"/>
                    <w:bidi w:val="0"/>
                    <w:spacing w:line="240" w:lineRule="auto"/>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w:t>
                  </w:r>
                </w:p>
              </w:tc>
              <w:tc>
                <w:tcPr>
                  <w:tcW w:w="1147" w:type="dxa"/>
                  <w:tcBorders>
                    <w:tl2br w:val="nil"/>
                    <w:tr2bl w:val="nil"/>
                  </w:tcBorders>
                  <w:vAlign w:val="center"/>
                </w:tcPr>
                <w:p w14:paraId="21C89CED">
                  <w:pPr>
                    <w:pStyle w:val="95"/>
                    <w:autoSpaceDE w:val="0"/>
                    <w:autoSpaceDN w:val="0"/>
                    <w:bidi w:val="0"/>
                    <w:spacing w:line="24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40</w:t>
                  </w:r>
                </w:p>
              </w:tc>
              <w:tc>
                <w:tcPr>
                  <w:tcW w:w="1168" w:type="dxa"/>
                  <w:tcBorders>
                    <w:tl2br w:val="nil"/>
                    <w:tr2bl w:val="nil"/>
                  </w:tcBorders>
                  <w:vAlign w:val="center"/>
                </w:tcPr>
                <w:p w14:paraId="0595CC86">
                  <w:pPr>
                    <w:pStyle w:val="95"/>
                    <w:autoSpaceDE w:val="0"/>
                    <w:autoSpaceDN w:val="0"/>
                    <w:bidi w:val="0"/>
                    <w:spacing w:line="240" w:lineRule="auto"/>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32.5</w:t>
                  </w:r>
                </w:p>
              </w:tc>
              <w:tc>
                <w:tcPr>
                  <w:tcW w:w="1089" w:type="dxa"/>
                  <w:tcBorders>
                    <w:tl2br w:val="nil"/>
                    <w:tr2bl w:val="nil"/>
                  </w:tcBorders>
                  <w:vAlign w:val="center"/>
                </w:tcPr>
                <w:p w14:paraId="165B623E">
                  <w:pPr>
                    <w:pStyle w:val="95"/>
                    <w:autoSpaceDE w:val="0"/>
                    <w:autoSpaceDN w:val="0"/>
                    <w:bidi w:val="0"/>
                    <w:spacing w:line="24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达标</w:t>
                  </w:r>
                </w:p>
              </w:tc>
            </w:tr>
            <w:tr w14:paraId="20F1D694">
              <w:tblPrEx>
                <w:tblBorders>
                  <w:top w:val="single" w:color="auto" w:sz="12" w:space="0"/>
                  <w:left w:val="none" w:color="auto" w:sz="0" w:space="0"/>
                  <w:bottom w:val="single" w:color="auto" w:sz="12" w:space="0"/>
                  <w:right w:val="none" w:color="auto" w:sz="0" w:space="0"/>
                  <w:insideH w:val="single" w:color="000000" w:sz="4" w:space="0"/>
                  <w:insideV w:val="single" w:color="000000" w:sz="2" w:space="0"/>
                </w:tblBorders>
                <w:tblCellMar>
                  <w:top w:w="0" w:type="dxa"/>
                  <w:left w:w="0" w:type="dxa"/>
                  <w:bottom w:w="0" w:type="dxa"/>
                  <w:right w:w="0" w:type="dxa"/>
                </w:tblCellMar>
              </w:tblPrEx>
              <w:trPr>
                <w:trHeight w:val="385" w:hRule="atLeast"/>
                <w:jc w:val="center"/>
              </w:trPr>
              <w:tc>
                <w:tcPr>
                  <w:tcW w:w="809" w:type="dxa"/>
                  <w:tcBorders>
                    <w:tl2br w:val="nil"/>
                    <w:tr2bl w:val="nil"/>
                  </w:tcBorders>
                  <w:vAlign w:val="center"/>
                </w:tcPr>
                <w:p w14:paraId="27ED0083">
                  <w:pPr>
                    <w:pStyle w:val="95"/>
                    <w:autoSpaceDE w:val="0"/>
                    <w:autoSpaceDN w:val="0"/>
                    <w:bidi w:val="0"/>
                    <w:spacing w:line="24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PM</w:t>
                  </w:r>
                  <w:r>
                    <w:rPr>
                      <w:color w:val="000000" w:themeColor="text1"/>
                      <w:highlight w:val="none"/>
                      <w:vertAlign w:val="subscript"/>
                      <w14:textFill>
                        <w14:solidFill>
                          <w14:schemeClr w14:val="tx1"/>
                        </w14:solidFill>
                      </w14:textFill>
                    </w:rPr>
                    <w:t>10</w:t>
                  </w:r>
                </w:p>
              </w:tc>
              <w:tc>
                <w:tcPr>
                  <w:tcW w:w="2673" w:type="dxa"/>
                  <w:tcBorders>
                    <w:tl2br w:val="nil"/>
                    <w:tr2bl w:val="nil"/>
                  </w:tcBorders>
                  <w:vAlign w:val="center"/>
                </w:tcPr>
                <w:p w14:paraId="56B1A6B6">
                  <w:pPr>
                    <w:pStyle w:val="95"/>
                    <w:autoSpaceDE w:val="0"/>
                    <w:autoSpaceDN w:val="0"/>
                    <w:bidi w:val="0"/>
                    <w:spacing w:line="24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年平均质量浓度</w:t>
                  </w:r>
                </w:p>
              </w:tc>
              <w:tc>
                <w:tcPr>
                  <w:tcW w:w="1210" w:type="dxa"/>
                  <w:tcBorders>
                    <w:tl2br w:val="nil"/>
                    <w:tr2bl w:val="nil"/>
                  </w:tcBorders>
                  <w:vAlign w:val="center"/>
                </w:tcPr>
                <w:p w14:paraId="755AC6A9">
                  <w:pPr>
                    <w:pStyle w:val="95"/>
                    <w:autoSpaceDE w:val="0"/>
                    <w:autoSpaceDN w:val="0"/>
                    <w:bidi w:val="0"/>
                    <w:spacing w:line="240" w:lineRule="auto"/>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34</w:t>
                  </w:r>
                </w:p>
              </w:tc>
              <w:tc>
                <w:tcPr>
                  <w:tcW w:w="1147" w:type="dxa"/>
                  <w:tcBorders>
                    <w:tl2br w:val="nil"/>
                    <w:tr2bl w:val="nil"/>
                  </w:tcBorders>
                  <w:vAlign w:val="center"/>
                </w:tcPr>
                <w:p w14:paraId="5030DF1B">
                  <w:pPr>
                    <w:pStyle w:val="95"/>
                    <w:autoSpaceDE w:val="0"/>
                    <w:autoSpaceDN w:val="0"/>
                    <w:bidi w:val="0"/>
                    <w:spacing w:line="240" w:lineRule="auto"/>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60</w:t>
                  </w:r>
                </w:p>
              </w:tc>
              <w:tc>
                <w:tcPr>
                  <w:tcW w:w="1168" w:type="dxa"/>
                  <w:tcBorders>
                    <w:tl2br w:val="nil"/>
                    <w:tr2bl w:val="nil"/>
                  </w:tcBorders>
                  <w:vAlign w:val="center"/>
                </w:tcPr>
                <w:p w14:paraId="513748FE">
                  <w:pPr>
                    <w:pStyle w:val="95"/>
                    <w:autoSpaceDE w:val="0"/>
                    <w:autoSpaceDN w:val="0"/>
                    <w:bidi w:val="0"/>
                    <w:spacing w:line="240" w:lineRule="auto"/>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56.7</w:t>
                  </w:r>
                </w:p>
              </w:tc>
              <w:tc>
                <w:tcPr>
                  <w:tcW w:w="1089" w:type="dxa"/>
                  <w:tcBorders>
                    <w:tl2br w:val="nil"/>
                    <w:tr2bl w:val="nil"/>
                  </w:tcBorders>
                  <w:vAlign w:val="center"/>
                </w:tcPr>
                <w:p w14:paraId="6DBBDCB4">
                  <w:pPr>
                    <w:pStyle w:val="95"/>
                    <w:autoSpaceDE w:val="0"/>
                    <w:autoSpaceDN w:val="0"/>
                    <w:bidi w:val="0"/>
                    <w:spacing w:line="24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达标</w:t>
                  </w:r>
                </w:p>
              </w:tc>
            </w:tr>
            <w:tr w14:paraId="6BFBF2BD">
              <w:tblPrEx>
                <w:tblBorders>
                  <w:top w:val="single" w:color="auto" w:sz="12" w:space="0"/>
                  <w:left w:val="none" w:color="auto" w:sz="0" w:space="0"/>
                  <w:bottom w:val="single" w:color="auto" w:sz="12" w:space="0"/>
                  <w:right w:val="none" w:color="auto" w:sz="0" w:space="0"/>
                  <w:insideH w:val="single" w:color="000000" w:sz="4" w:space="0"/>
                  <w:insideV w:val="single" w:color="000000" w:sz="2" w:space="0"/>
                </w:tblBorders>
                <w:tblCellMar>
                  <w:top w:w="0" w:type="dxa"/>
                  <w:left w:w="0" w:type="dxa"/>
                  <w:bottom w:w="0" w:type="dxa"/>
                  <w:right w:w="0" w:type="dxa"/>
                </w:tblCellMar>
              </w:tblPrEx>
              <w:trPr>
                <w:trHeight w:val="385" w:hRule="atLeast"/>
                <w:jc w:val="center"/>
              </w:trPr>
              <w:tc>
                <w:tcPr>
                  <w:tcW w:w="809" w:type="dxa"/>
                  <w:tcBorders>
                    <w:tl2br w:val="nil"/>
                    <w:tr2bl w:val="nil"/>
                  </w:tcBorders>
                  <w:vAlign w:val="center"/>
                </w:tcPr>
                <w:p w14:paraId="63AF1678">
                  <w:pPr>
                    <w:pStyle w:val="95"/>
                    <w:autoSpaceDE w:val="0"/>
                    <w:autoSpaceDN w:val="0"/>
                    <w:bidi w:val="0"/>
                    <w:spacing w:line="24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PM</w:t>
                  </w:r>
                  <w:r>
                    <w:rPr>
                      <w:color w:val="000000" w:themeColor="text1"/>
                      <w:highlight w:val="none"/>
                      <w:vertAlign w:val="subscript"/>
                      <w14:textFill>
                        <w14:solidFill>
                          <w14:schemeClr w14:val="tx1"/>
                        </w14:solidFill>
                      </w14:textFill>
                    </w:rPr>
                    <w:t>2.5</w:t>
                  </w:r>
                </w:p>
              </w:tc>
              <w:tc>
                <w:tcPr>
                  <w:tcW w:w="2673" w:type="dxa"/>
                  <w:tcBorders>
                    <w:tl2br w:val="nil"/>
                    <w:tr2bl w:val="nil"/>
                  </w:tcBorders>
                  <w:vAlign w:val="center"/>
                </w:tcPr>
                <w:p w14:paraId="316AE318">
                  <w:pPr>
                    <w:pStyle w:val="95"/>
                    <w:autoSpaceDE w:val="0"/>
                    <w:autoSpaceDN w:val="0"/>
                    <w:bidi w:val="0"/>
                    <w:spacing w:line="24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年平均质量浓度</w:t>
                  </w:r>
                </w:p>
              </w:tc>
              <w:tc>
                <w:tcPr>
                  <w:tcW w:w="1210" w:type="dxa"/>
                  <w:tcBorders>
                    <w:tl2br w:val="nil"/>
                    <w:tr2bl w:val="nil"/>
                  </w:tcBorders>
                  <w:vAlign w:val="center"/>
                </w:tcPr>
                <w:p w14:paraId="5BD9E2B8">
                  <w:pPr>
                    <w:pStyle w:val="95"/>
                    <w:autoSpaceDE w:val="0"/>
                    <w:autoSpaceDN w:val="0"/>
                    <w:bidi w:val="0"/>
                    <w:spacing w:line="240" w:lineRule="auto"/>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24</w:t>
                  </w:r>
                </w:p>
              </w:tc>
              <w:tc>
                <w:tcPr>
                  <w:tcW w:w="1147" w:type="dxa"/>
                  <w:tcBorders>
                    <w:tl2br w:val="nil"/>
                    <w:tr2bl w:val="nil"/>
                  </w:tcBorders>
                  <w:vAlign w:val="center"/>
                </w:tcPr>
                <w:p w14:paraId="2AA822B7">
                  <w:pPr>
                    <w:pStyle w:val="95"/>
                    <w:autoSpaceDE w:val="0"/>
                    <w:autoSpaceDN w:val="0"/>
                    <w:bidi w:val="0"/>
                    <w:spacing w:line="240" w:lineRule="auto"/>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w:t>
                  </w:r>
                </w:p>
              </w:tc>
              <w:tc>
                <w:tcPr>
                  <w:tcW w:w="1168" w:type="dxa"/>
                  <w:tcBorders>
                    <w:tl2br w:val="nil"/>
                    <w:tr2bl w:val="nil"/>
                  </w:tcBorders>
                  <w:vAlign w:val="center"/>
                </w:tcPr>
                <w:p w14:paraId="2DE72B68">
                  <w:pPr>
                    <w:pStyle w:val="95"/>
                    <w:autoSpaceDE w:val="0"/>
                    <w:autoSpaceDN w:val="0"/>
                    <w:bidi w:val="0"/>
                    <w:spacing w:line="240" w:lineRule="auto"/>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80.0</w:t>
                  </w:r>
                </w:p>
              </w:tc>
              <w:tc>
                <w:tcPr>
                  <w:tcW w:w="1089" w:type="dxa"/>
                  <w:tcBorders>
                    <w:tl2br w:val="nil"/>
                    <w:tr2bl w:val="nil"/>
                  </w:tcBorders>
                  <w:vAlign w:val="center"/>
                </w:tcPr>
                <w:p w14:paraId="6315522A">
                  <w:pPr>
                    <w:pStyle w:val="95"/>
                    <w:autoSpaceDE w:val="0"/>
                    <w:autoSpaceDN w:val="0"/>
                    <w:bidi w:val="0"/>
                    <w:spacing w:line="24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达标</w:t>
                  </w:r>
                </w:p>
              </w:tc>
            </w:tr>
            <w:tr w14:paraId="2EBF7D3B">
              <w:tblPrEx>
                <w:tblBorders>
                  <w:top w:val="single" w:color="auto" w:sz="12" w:space="0"/>
                  <w:left w:val="none" w:color="auto" w:sz="0" w:space="0"/>
                  <w:bottom w:val="single" w:color="auto" w:sz="12" w:space="0"/>
                  <w:right w:val="none" w:color="auto" w:sz="0" w:space="0"/>
                  <w:insideH w:val="single" w:color="000000" w:sz="4" w:space="0"/>
                  <w:insideV w:val="single" w:color="000000" w:sz="2" w:space="0"/>
                </w:tblBorders>
                <w:tblCellMar>
                  <w:top w:w="0" w:type="dxa"/>
                  <w:left w:w="0" w:type="dxa"/>
                  <w:bottom w:w="0" w:type="dxa"/>
                  <w:right w:w="0" w:type="dxa"/>
                </w:tblCellMar>
              </w:tblPrEx>
              <w:trPr>
                <w:trHeight w:val="431" w:hRule="atLeast"/>
                <w:jc w:val="center"/>
              </w:trPr>
              <w:tc>
                <w:tcPr>
                  <w:tcW w:w="809" w:type="dxa"/>
                  <w:tcBorders>
                    <w:tl2br w:val="nil"/>
                    <w:tr2bl w:val="nil"/>
                  </w:tcBorders>
                  <w:vAlign w:val="center"/>
                </w:tcPr>
                <w:p w14:paraId="48359279">
                  <w:pPr>
                    <w:pStyle w:val="95"/>
                    <w:autoSpaceDE w:val="0"/>
                    <w:autoSpaceDN w:val="0"/>
                    <w:bidi w:val="0"/>
                    <w:spacing w:line="24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CO</w:t>
                  </w:r>
                </w:p>
              </w:tc>
              <w:tc>
                <w:tcPr>
                  <w:tcW w:w="2673" w:type="dxa"/>
                  <w:tcBorders>
                    <w:tl2br w:val="nil"/>
                    <w:tr2bl w:val="nil"/>
                  </w:tcBorders>
                  <w:vAlign w:val="center"/>
                </w:tcPr>
                <w:p w14:paraId="1D1ECD90">
                  <w:pPr>
                    <w:pStyle w:val="95"/>
                    <w:autoSpaceDE w:val="0"/>
                    <w:autoSpaceDN w:val="0"/>
                    <w:bidi w:val="0"/>
                    <w:spacing w:line="24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第95百分位数24小时平均质量浓度</w:t>
                  </w:r>
                </w:p>
              </w:tc>
              <w:tc>
                <w:tcPr>
                  <w:tcW w:w="1210" w:type="dxa"/>
                  <w:tcBorders>
                    <w:tl2br w:val="nil"/>
                    <w:tr2bl w:val="nil"/>
                  </w:tcBorders>
                  <w:vAlign w:val="center"/>
                </w:tcPr>
                <w:p w14:paraId="3205FA4C">
                  <w:pPr>
                    <w:pStyle w:val="95"/>
                    <w:autoSpaceDE w:val="0"/>
                    <w:autoSpaceDN w:val="0"/>
                    <w:bidi w:val="0"/>
                    <w:spacing w:line="240" w:lineRule="auto"/>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800</w:t>
                  </w:r>
                </w:p>
              </w:tc>
              <w:tc>
                <w:tcPr>
                  <w:tcW w:w="1147" w:type="dxa"/>
                  <w:tcBorders>
                    <w:tl2br w:val="nil"/>
                    <w:tr2bl w:val="nil"/>
                  </w:tcBorders>
                  <w:vAlign w:val="center"/>
                </w:tcPr>
                <w:p w14:paraId="0C302762">
                  <w:pPr>
                    <w:pStyle w:val="95"/>
                    <w:autoSpaceDE w:val="0"/>
                    <w:autoSpaceDN w:val="0"/>
                    <w:bidi w:val="0"/>
                    <w:spacing w:line="240" w:lineRule="auto"/>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4000</w:t>
                  </w:r>
                </w:p>
              </w:tc>
              <w:tc>
                <w:tcPr>
                  <w:tcW w:w="1168" w:type="dxa"/>
                  <w:tcBorders>
                    <w:tl2br w:val="nil"/>
                    <w:tr2bl w:val="nil"/>
                  </w:tcBorders>
                  <w:vAlign w:val="center"/>
                </w:tcPr>
                <w:p w14:paraId="218C92AB">
                  <w:pPr>
                    <w:pStyle w:val="95"/>
                    <w:autoSpaceDE w:val="0"/>
                    <w:autoSpaceDN w:val="0"/>
                    <w:bidi w:val="0"/>
                    <w:spacing w:line="240" w:lineRule="auto"/>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w:t>
                  </w:r>
                </w:p>
              </w:tc>
              <w:tc>
                <w:tcPr>
                  <w:tcW w:w="1089" w:type="dxa"/>
                  <w:tcBorders>
                    <w:tl2br w:val="nil"/>
                    <w:tr2bl w:val="nil"/>
                  </w:tcBorders>
                  <w:vAlign w:val="center"/>
                </w:tcPr>
                <w:p w14:paraId="4AB4D416">
                  <w:pPr>
                    <w:pStyle w:val="95"/>
                    <w:autoSpaceDE w:val="0"/>
                    <w:autoSpaceDN w:val="0"/>
                    <w:bidi w:val="0"/>
                    <w:spacing w:line="24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达标</w:t>
                  </w:r>
                </w:p>
              </w:tc>
            </w:tr>
            <w:tr w14:paraId="2100CABB">
              <w:tblPrEx>
                <w:tblBorders>
                  <w:top w:val="single" w:color="auto" w:sz="12" w:space="0"/>
                  <w:left w:val="none" w:color="auto" w:sz="0" w:space="0"/>
                  <w:bottom w:val="single" w:color="auto" w:sz="12" w:space="0"/>
                  <w:right w:val="none" w:color="auto" w:sz="0" w:space="0"/>
                  <w:insideH w:val="single" w:color="000000" w:sz="4" w:space="0"/>
                  <w:insideV w:val="single" w:color="000000" w:sz="2" w:space="0"/>
                </w:tblBorders>
                <w:tblCellMar>
                  <w:top w:w="0" w:type="dxa"/>
                  <w:left w:w="0" w:type="dxa"/>
                  <w:bottom w:w="0" w:type="dxa"/>
                  <w:right w:w="0" w:type="dxa"/>
                </w:tblCellMar>
              </w:tblPrEx>
              <w:trPr>
                <w:trHeight w:val="578" w:hRule="atLeast"/>
                <w:jc w:val="center"/>
              </w:trPr>
              <w:tc>
                <w:tcPr>
                  <w:tcW w:w="809" w:type="dxa"/>
                  <w:tcBorders>
                    <w:tl2br w:val="nil"/>
                    <w:tr2bl w:val="nil"/>
                  </w:tcBorders>
                  <w:vAlign w:val="center"/>
                </w:tcPr>
                <w:p w14:paraId="4F9D0C63">
                  <w:pPr>
                    <w:pStyle w:val="95"/>
                    <w:autoSpaceDE w:val="0"/>
                    <w:autoSpaceDN w:val="0"/>
                    <w:bidi w:val="0"/>
                    <w:spacing w:line="24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O</w:t>
                  </w:r>
                  <w:r>
                    <w:rPr>
                      <w:color w:val="000000" w:themeColor="text1"/>
                      <w:highlight w:val="none"/>
                      <w:vertAlign w:val="subscript"/>
                      <w14:textFill>
                        <w14:solidFill>
                          <w14:schemeClr w14:val="tx1"/>
                        </w14:solidFill>
                      </w14:textFill>
                    </w:rPr>
                    <w:t>3</w:t>
                  </w:r>
                </w:p>
              </w:tc>
              <w:tc>
                <w:tcPr>
                  <w:tcW w:w="2673" w:type="dxa"/>
                  <w:tcBorders>
                    <w:tl2br w:val="nil"/>
                    <w:tr2bl w:val="nil"/>
                  </w:tcBorders>
                  <w:vAlign w:val="center"/>
                </w:tcPr>
                <w:p w14:paraId="49393B73">
                  <w:pPr>
                    <w:pStyle w:val="95"/>
                    <w:autoSpaceDE w:val="0"/>
                    <w:autoSpaceDN w:val="0"/>
                    <w:bidi w:val="0"/>
                    <w:spacing w:line="24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第90百分位数日最大8小时平均质量浓度</w:t>
                  </w:r>
                </w:p>
              </w:tc>
              <w:tc>
                <w:tcPr>
                  <w:tcW w:w="1210" w:type="dxa"/>
                  <w:tcBorders>
                    <w:tl2br w:val="nil"/>
                    <w:tr2bl w:val="nil"/>
                  </w:tcBorders>
                  <w:vAlign w:val="center"/>
                </w:tcPr>
                <w:p w14:paraId="5C5EF7C6">
                  <w:pPr>
                    <w:pStyle w:val="95"/>
                    <w:autoSpaceDE w:val="0"/>
                    <w:autoSpaceDN w:val="0"/>
                    <w:bidi w:val="0"/>
                    <w:spacing w:line="240" w:lineRule="auto"/>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104</w:t>
                  </w:r>
                </w:p>
              </w:tc>
              <w:tc>
                <w:tcPr>
                  <w:tcW w:w="1147" w:type="dxa"/>
                  <w:tcBorders>
                    <w:tl2br w:val="nil"/>
                    <w:tr2bl w:val="nil"/>
                  </w:tcBorders>
                  <w:vAlign w:val="center"/>
                </w:tcPr>
                <w:p w14:paraId="57034C94">
                  <w:pPr>
                    <w:pStyle w:val="95"/>
                    <w:autoSpaceDE w:val="0"/>
                    <w:autoSpaceDN w:val="0"/>
                    <w:bidi w:val="0"/>
                    <w:spacing w:line="24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160</w:t>
                  </w:r>
                </w:p>
              </w:tc>
              <w:tc>
                <w:tcPr>
                  <w:tcW w:w="1168" w:type="dxa"/>
                  <w:tcBorders>
                    <w:tl2br w:val="nil"/>
                    <w:tr2bl w:val="nil"/>
                  </w:tcBorders>
                  <w:vAlign w:val="center"/>
                </w:tcPr>
                <w:p w14:paraId="254767D7">
                  <w:pPr>
                    <w:pStyle w:val="95"/>
                    <w:autoSpaceDE w:val="0"/>
                    <w:autoSpaceDN w:val="0"/>
                    <w:bidi w:val="0"/>
                    <w:spacing w:line="240" w:lineRule="auto"/>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65</w:t>
                  </w:r>
                </w:p>
              </w:tc>
              <w:tc>
                <w:tcPr>
                  <w:tcW w:w="1089" w:type="dxa"/>
                  <w:tcBorders>
                    <w:tl2br w:val="nil"/>
                    <w:tr2bl w:val="nil"/>
                  </w:tcBorders>
                  <w:vAlign w:val="center"/>
                </w:tcPr>
                <w:p w14:paraId="71B5F5F0">
                  <w:pPr>
                    <w:pStyle w:val="95"/>
                    <w:autoSpaceDE w:val="0"/>
                    <w:autoSpaceDN w:val="0"/>
                    <w:bidi w:val="0"/>
                    <w:spacing w:line="24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达标</w:t>
                  </w:r>
                </w:p>
              </w:tc>
            </w:tr>
          </w:tbl>
          <w:p w14:paraId="2634E095">
            <w:pPr>
              <w:pStyle w:val="96"/>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由上表可知，2024</w:t>
            </w:r>
            <w:r>
              <w:rPr>
                <w:rFonts w:hint="eastAsia" w:cs="Times New Roman"/>
                <w:color w:val="000000" w:themeColor="text1"/>
                <w:sz w:val="24"/>
                <w:szCs w:val="24"/>
                <w:highlight w:val="none"/>
                <w:lang w:val="en-US" w:eastAsia="zh-CN"/>
                <w14:textFill>
                  <w14:solidFill>
                    <w14:schemeClr w14:val="tx1"/>
                  </w14:solidFill>
                </w14:textFill>
              </w:rPr>
              <w:t>年</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伊春市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大气污染物各项指标浓度值都能满足《环境空气质量标准》（GB3095-2026）表1中过渡阶段二级浓度限值要求。环境空气质量良好。</w:t>
            </w:r>
          </w:p>
          <w:p w14:paraId="4FE16072">
            <w:pPr>
              <w:pStyle w:val="96"/>
              <w:keepNext w:val="0"/>
              <w:keepLines w:val="0"/>
              <w:pageBreakBefore w:val="0"/>
              <w:widowControl w:val="0"/>
              <w:numPr>
                <w:ilvl w:val="0"/>
                <w:numId w:val="7"/>
              </w:numPr>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其他污染物</w:t>
            </w:r>
          </w:p>
          <w:p w14:paraId="7277851F">
            <w:pPr>
              <w:keepNext w:val="0"/>
              <w:keepLines w:val="0"/>
              <w:pageBreakBefore w:val="0"/>
              <w:widowControl w:val="0"/>
              <w:numPr>
                <w:ilvl w:val="0"/>
                <w:numId w:val="0"/>
              </w:numPr>
              <w:kinsoku/>
              <w:wordWrap/>
              <w:overflowPunct/>
              <w:topLinePunct w:val="0"/>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highlight w:val="none"/>
                <w:u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1、二类区特征污染物环境质量现状监测</w:t>
            </w:r>
          </w:p>
          <w:p w14:paraId="43BA2323">
            <w:pPr>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本工程的特征污染物</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为</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氨、硫化氢、氯化氢、臭气浓度、非甲烷总烃</w:t>
            </w:r>
            <w:r>
              <w:rPr>
                <w:rFonts w:hint="default" w:ascii="Times New Roman" w:hAnsi="Times New Roman" w:eastAsia="宋体" w:cs="Times New Roman"/>
                <w:color w:val="000000" w:themeColor="text1"/>
                <w:sz w:val="24"/>
                <w:szCs w:val="24"/>
                <w:highlight w:val="none"/>
                <w14:textFill>
                  <w14:solidFill>
                    <w14:schemeClr w14:val="tx1"/>
                  </w14:solidFill>
                </w14:textFill>
              </w:rPr>
              <w:t>，本次评价引用《</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伊春中科环保电力有限公司协同处理项目（</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重新报批</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环境影响报告书》中的</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监测数据。根据黑龙江康和检测有限公司在2024年1月18日~1月24日检测报告</w:t>
            </w:r>
            <w:r>
              <w:rPr>
                <w:rFonts w:hint="default" w:ascii="Times New Roman" w:hAnsi="Times New Roman" w:eastAsia="宋体" w:cs="Times New Roman"/>
                <w:color w:val="000000" w:themeColor="text1"/>
                <w:sz w:val="24"/>
                <w:szCs w:val="24"/>
                <w:highlight w:val="none"/>
                <w14:textFill>
                  <w14:solidFill>
                    <w14:schemeClr w14:val="tx1"/>
                  </w14:solidFill>
                </w14:textFill>
              </w:rPr>
              <w:t>（报告编号</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XZ24003）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：距离本项目最远的检测点位</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距离</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为590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m，位于本项目评价范围内，引用时间在三年内，引用合理。</w:t>
            </w:r>
          </w:p>
          <w:p w14:paraId="3815C85A">
            <w:pPr>
              <w:pStyle w:val="97"/>
              <w:snapToGrid w:val="0"/>
              <w:spacing w:line="240" w:lineRule="auto"/>
              <w:ind w:firstLine="0" w:firstLineChars="0"/>
              <w:jc w:val="center"/>
              <w:rPr>
                <w:rFonts w:hint="default" w:ascii="Times New Roman" w:hAnsi="Times New Roman" w:eastAsia="宋体" w:cs="Times New Roman"/>
                <w:b/>
                <w:color w:val="000000" w:themeColor="text1"/>
                <w:spacing w:val="0"/>
                <w:highlight w:val="none"/>
                <w14:textFill>
                  <w14:solidFill>
                    <w14:schemeClr w14:val="tx1"/>
                  </w14:solidFill>
                </w14:textFill>
              </w:rPr>
            </w:pPr>
            <w:r>
              <w:rPr>
                <w:rFonts w:hint="default" w:ascii="Times New Roman" w:hAnsi="Times New Roman" w:eastAsia="宋体" w:cs="Times New Roman"/>
                <w:b/>
                <w:color w:val="000000" w:themeColor="text1"/>
                <w:spacing w:val="0"/>
                <w:highlight w:val="none"/>
                <w14:textFill>
                  <w14:solidFill>
                    <w14:schemeClr w14:val="tx1"/>
                  </w14:solidFill>
                </w14:textFill>
              </w:rPr>
              <w:t>表3-</w:t>
            </w:r>
            <w:r>
              <w:rPr>
                <w:rFonts w:hint="default" w:ascii="Times New Roman" w:hAnsi="Times New Roman" w:eastAsia="宋体" w:cs="Times New Roman"/>
                <w:b/>
                <w:color w:val="000000" w:themeColor="text1"/>
                <w:spacing w:val="0"/>
                <w:highlight w:val="none"/>
                <w:lang w:val="en-US" w:eastAsia="zh-CN"/>
                <w14:textFill>
                  <w14:solidFill>
                    <w14:schemeClr w14:val="tx1"/>
                  </w14:solidFill>
                </w14:textFill>
              </w:rPr>
              <w:t>2</w:t>
            </w:r>
            <w:r>
              <w:rPr>
                <w:rFonts w:hint="eastAsia" w:cs="Times New Roman"/>
                <w:b/>
                <w:color w:val="000000" w:themeColor="text1"/>
                <w:spacing w:val="0"/>
                <w:highlight w:val="none"/>
                <w:lang w:val="en-US" w:eastAsia="zh-CN"/>
                <w14:textFill>
                  <w14:solidFill>
                    <w14:schemeClr w14:val="tx1"/>
                  </w14:solidFill>
                </w14:textFill>
              </w:rPr>
              <w:t xml:space="preserve"> 引用</w:t>
            </w:r>
            <w:r>
              <w:rPr>
                <w:rFonts w:hint="default" w:ascii="Times New Roman" w:hAnsi="Times New Roman" w:eastAsia="宋体" w:cs="Times New Roman"/>
                <w:b/>
                <w:color w:val="000000" w:themeColor="text1"/>
                <w:spacing w:val="0"/>
                <w:highlight w:val="none"/>
                <w14:textFill>
                  <w14:solidFill>
                    <w14:schemeClr w14:val="tx1"/>
                  </w14:solidFill>
                </w14:textFill>
              </w:rPr>
              <w:t>特征污染物监测点位基本信息表</w:t>
            </w:r>
          </w:p>
          <w:tbl>
            <w:tblPr>
              <w:tblStyle w:val="28"/>
              <w:tblW w:w="7858" w:type="dxa"/>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527"/>
              <w:gridCol w:w="1012"/>
              <w:gridCol w:w="1013"/>
              <w:gridCol w:w="1905"/>
              <w:gridCol w:w="789"/>
              <w:gridCol w:w="804"/>
              <w:gridCol w:w="808"/>
            </w:tblGrid>
            <w:tr w14:paraId="053F6F7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527" w:type="dxa"/>
                  <w:vMerge w:val="restart"/>
                  <w:shd w:val="clear" w:color="000000" w:fill="auto"/>
                  <w:noWrap w:val="0"/>
                  <w:vAlign w:val="center"/>
                </w:tcPr>
                <w:p w14:paraId="229FC494">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监测点名称</w:t>
                  </w:r>
                </w:p>
              </w:tc>
              <w:tc>
                <w:tcPr>
                  <w:tcW w:w="2025" w:type="dxa"/>
                  <w:gridSpan w:val="2"/>
                  <w:shd w:val="clear" w:color="000000" w:fill="auto"/>
                  <w:noWrap w:val="0"/>
                  <w:vAlign w:val="center"/>
                </w:tcPr>
                <w:p w14:paraId="4E94D954">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监测点位经纬度</w:t>
                  </w:r>
                </w:p>
              </w:tc>
              <w:tc>
                <w:tcPr>
                  <w:tcW w:w="1905" w:type="dxa"/>
                  <w:vMerge w:val="restart"/>
                  <w:shd w:val="clear" w:color="000000" w:fill="auto"/>
                  <w:noWrap w:val="0"/>
                  <w:vAlign w:val="center"/>
                </w:tcPr>
                <w:p w14:paraId="15C8041C">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监测因子</w:t>
                  </w:r>
                </w:p>
              </w:tc>
              <w:tc>
                <w:tcPr>
                  <w:tcW w:w="789" w:type="dxa"/>
                  <w:vMerge w:val="restart"/>
                  <w:shd w:val="clear" w:color="000000" w:fill="auto"/>
                  <w:noWrap w:val="0"/>
                  <w:vAlign w:val="center"/>
                </w:tcPr>
                <w:p w14:paraId="454F90A1">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监测时段</w:t>
                  </w:r>
                </w:p>
              </w:tc>
              <w:tc>
                <w:tcPr>
                  <w:tcW w:w="804" w:type="dxa"/>
                  <w:vMerge w:val="restart"/>
                  <w:shd w:val="clear" w:color="000000" w:fill="auto"/>
                  <w:noWrap w:val="0"/>
                  <w:vAlign w:val="center"/>
                </w:tcPr>
                <w:p w14:paraId="5427E192">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相对厂址方位</w:t>
                  </w:r>
                </w:p>
              </w:tc>
              <w:tc>
                <w:tcPr>
                  <w:tcW w:w="808" w:type="dxa"/>
                  <w:vMerge w:val="restart"/>
                  <w:shd w:val="clear" w:color="000000" w:fill="auto"/>
                  <w:noWrap w:val="0"/>
                  <w:vAlign w:val="center"/>
                </w:tcPr>
                <w:p w14:paraId="7E10F1FE">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相对</w:t>
                  </w:r>
                </w:p>
                <w:p w14:paraId="1AC5B2BD">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距离/m</w:t>
                  </w:r>
                </w:p>
              </w:tc>
            </w:tr>
            <w:tr w14:paraId="7383A65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527" w:type="dxa"/>
                  <w:vMerge w:val="continue"/>
                  <w:shd w:val="clear" w:color="auto" w:fill="auto"/>
                  <w:noWrap w:val="0"/>
                  <w:vAlign w:val="center"/>
                </w:tcPr>
                <w:p w14:paraId="52F2ED45">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12" w:type="dxa"/>
                  <w:shd w:val="clear" w:color="000000" w:fill="auto"/>
                  <w:noWrap w:val="0"/>
                  <w:vAlign w:val="center"/>
                </w:tcPr>
                <w:p w14:paraId="3464E2A4">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E</w:t>
                  </w:r>
                </w:p>
              </w:tc>
              <w:tc>
                <w:tcPr>
                  <w:tcW w:w="1013" w:type="dxa"/>
                  <w:shd w:val="clear" w:color="000000" w:fill="auto"/>
                  <w:noWrap w:val="0"/>
                  <w:vAlign w:val="center"/>
                </w:tcPr>
                <w:p w14:paraId="51D90B88">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N</w:t>
                  </w:r>
                </w:p>
              </w:tc>
              <w:tc>
                <w:tcPr>
                  <w:tcW w:w="1905" w:type="dxa"/>
                  <w:vMerge w:val="continue"/>
                  <w:noWrap w:val="0"/>
                  <w:vAlign w:val="center"/>
                </w:tcPr>
                <w:p w14:paraId="0ACC6F00">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89" w:type="dxa"/>
                  <w:vMerge w:val="continue"/>
                  <w:noWrap w:val="0"/>
                  <w:vAlign w:val="center"/>
                </w:tcPr>
                <w:p w14:paraId="0B70586A">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04" w:type="dxa"/>
                  <w:vMerge w:val="continue"/>
                  <w:noWrap w:val="0"/>
                  <w:vAlign w:val="center"/>
                </w:tcPr>
                <w:p w14:paraId="4E57AE0B">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08" w:type="dxa"/>
                  <w:vMerge w:val="continue"/>
                  <w:noWrap w:val="0"/>
                  <w:vAlign w:val="center"/>
                </w:tcPr>
                <w:p w14:paraId="33B62DD4">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6E1FDD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527" w:type="dxa"/>
                  <w:shd w:val="clear" w:color="auto" w:fill="auto"/>
                  <w:noWrap w:val="0"/>
                  <w:vAlign w:val="center"/>
                </w:tcPr>
                <w:p w14:paraId="3A27C522">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厂址1#</w:t>
                  </w:r>
                </w:p>
              </w:tc>
              <w:tc>
                <w:tcPr>
                  <w:tcW w:w="1012" w:type="dxa"/>
                  <w:shd w:val="clear" w:color="000000" w:fill="auto"/>
                  <w:noWrap w:val="0"/>
                  <w:vAlign w:val="center"/>
                </w:tcPr>
                <w:p w14:paraId="2C1E38B3">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128.921502225</w:t>
                  </w:r>
                </w:p>
              </w:tc>
              <w:tc>
                <w:tcPr>
                  <w:tcW w:w="1013" w:type="dxa"/>
                  <w:shd w:val="clear" w:color="000000" w:fill="auto"/>
                  <w:noWrap w:val="0"/>
                  <w:vAlign w:val="center"/>
                </w:tcPr>
                <w:p w14:paraId="462D8495">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47.732999986</w:t>
                  </w:r>
                </w:p>
              </w:tc>
              <w:tc>
                <w:tcPr>
                  <w:tcW w:w="1905" w:type="dxa"/>
                  <w:noWrap w:val="0"/>
                  <w:vAlign w:val="center"/>
                </w:tcPr>
                <w:p w14:paraId="0BE74C8B">
                  <w:pPr>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氨、硫化氢、氯化氢、臭气浓度</w:t>
                  </w:r>
                  <w:r>
                    <w:rPr>
                      <w:rFonts w:hint="eastAsia" w:ascii="Times New Roman" w:hAnsi="Times New Roman" w:cs="Times New Roman"/>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非甲烷总烃</w:t>
                  </w:r>
                </w:p>
              </w:tc>
              <w:tc>
                <w:tcPr>
                  <w:tcW w:w="789" w:type="dxa"/>
                  <w:noWrap w:val="0"/>
                  <w:vAlign w:val="center"/>
                </w:tcPr>
                <w:p w14:paraId="41255C73">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7天</w:t>
                  </w:r>
                </w:p>
              </w:tc>
              <w:tc>
                <w:tcPr>
                  <w:tcW w:w="804" w:type="dxa"/>
                  <w:noWrap w:val="0"/>
                  <w:vAlign w:val="center"/>
                </w:tcPr>
                <w:p w14:paraId="3ED06D39">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SE</w:t>
                  </w:r>
                </w:p>
              </w:tc>
              <w:tc>
                <w:tcPr>
                  <w:tcW w:w="808" w:type="dxa"/>
                  <w:noWrap w:val="0"/>
                  <w:vAlign w:val="center"/>
                </w:tcPr>
                <w:p w14:paraId="64E6C89F">
                  <w:pPr>
                    <w:pStyle w:val="9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320</w:t>
                  </w:r>
                </w:p>
              </w:tc>
            </w:tr>
            <w:tr w14:paraId="61F3159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527" w:type="dxa"/>
                  <w:noWrap w:val="0"/>
                  <w:vAlign w:val="center"/>
                </w:tcPr>
                <w:p w14:paraId="215EE3E5">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厂址下风向2#</w:t>
                  </w:r>
                </w:p>
              </w:tc>
              <w:tc>
                <w:tcPr>
                  <w:tcW w:w="1012" w:type="dxa"/>
                  <w:noWrap w:val="0"/>
                  <w:vAlign w:val="center"/>
                </w:tcPr>
                <w:p w14:paraId="1C6C312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128.925541631</w:t>
                  </w:r>
                </w:p>
              </w:tc>
              <w:tc>
                <w:tcPr>
                  <w:tcW w:w="1013" w:type="dxa"/>
                  <w:tcBorders>
                    <w:top w:val="single" w:color="auto" w:sz="4" w:space="0"/>
                    <w:bottom w:val="single" w:color="auto" w:sz="4" w:space="0"/>
                  </w:tcBorders>
                  <w:noWrap w:val="0"/>
                  <w:vAlign w:val="center"/>
                </w:tcPr>
                <w:p w14:paraId="04E5DCB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47.731943195</w:t>
                  </w:r>
                </w:p>
              </w:tc>
              <w:tc>
                <w:tcPr>
                  <w:tcW w:w="1905" w:type="dxa"/>
                  <w:tcBorders>
                    <w:top w:val="single" w:color="auto" w:sz="4" w:space="0"/>
                    <w:bottom w:val="single" w:color="auto" w:sz="4" w:space="0"/>
                  </w:tcBorders>
                  <w:noWrap w:val="0"/>
                  <w:vAlign w:val="center"/>
                </w:tcPr>
                <w:p w14:paraId="17249BDC">
                  <w:pPr>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氨、硫化氢、氯化氢、臭气浓度</w:t>
                  </w:r>
                  <w:r>
                    <w:rPr>
                      <w:rFonts w:hint="eastAsia" w:ascii="Times New Roman" w:hAnsi="Times New Roman" w:cs="Times New Roman"/>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非甲烷总烃</w:t>
                  </w:r>
                </w:p>
              </w:tc>
              <w:tc>
                <w:tcPr>
                  <w:tcW w:w="789" w:type="dxa"/>
                  <w:noWrap w:val="0"/>
                  <w:vAlign w:val="center"/>
                </w:tcPr>
                <w:p w14:paraId="192A7AC1">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7天</w:t>
                  </w:r>
                </w:p>
              </w:tc>
              <w:tc>
                <w:tcPr>
                  <w:tcW w:w="804" w:type="dxa"/>
                  <w:noWrap w:val="0"/>
                  <w:vAlign w:val="center"/>
                </w:tcPr>
                <w:p w14:paraId="2B9CD5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00" w:themeColor="text1"/>
                      <w:kern w:val="24"/>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SE</w:t>
                  </w:r>
                </w:p>
              </w:tc>
              <w:tc>
                <w:tcPr>
                  <w:tcW w:w="808" w:type="dxa"/>
                  <w:noWrap w:val="0"/>
                  <w:vAlign w:val="center"/>
                </w:tcPr>
                <w:p w14:paraId="7E07C63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4"/>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4"/>
                      <w:sz w:val="21"/>
                      <w:szCs w:val="21"/>
                      <w:highlight w:val="none"/>
                      <w:lang w:val="en-US" w:eastAsia="zh-CN"/>
                      <w14:textFill>
                        <w14:solidFill>
                          <w14:schemeClr w14:val="tx1"/>
                        </w14:solidFill>
                      </w14:textFill>
                    </w:rPr>
                    <w:t>590</w:t>
                  </w:r>
                </w:p>
              </w:tc>
            </w:tr>
          </w:tbl>
          <w:p w14:paraId="67F9B428">
            <w:pPr>
              <w:rPr>
                <w:rFonts w:hint="default" w:eastAsia="宋体"/>
                <w:color w:val="000000" w:themeColor="text1"/>
                <w:highlight w:val="none"/>
                <w:lang w:val="en-US" w:eastAsia="zh-CN"/>
                <w14:textFill>
                  <w14:solidFill>
                    <w14:schemeClr w14:val="tx1"/>
                  </w14:solidFill>
                </w14:textFill>
              </w:rPr>
            </w:pPr>
          </w:p>
          <w:p w14:paraId="4D71CA5E">
            <w:pPr>
              <w:adjustRightInd w:val="0"/>
              <w:spacing w:line="360" w:lineRule="auto"/>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5062220" cy="2935605"/>
                  <wp:effectExtent l="0" t="0" r="5080" b="17145"/>
                  <wp:docPr id="142"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50"/>
                          <pic:cNvPicPr>
                            <a:picLocks noChangeAspect="1"/>
                          </pic:cNvPicPr>
                        </pic:nvPicPr>
                        <pic:blipFill>
                          <a:blip r:embed="rId17"/>
                          <a:stretch>
                            <a:fillRect/>
                          </a:stretch>
                        </pic:blipFill>
                        <pic:spPr>
                          <a:xfrm>
                            <a:off x="0" y="0"/>
                            <a:ext cx="5062220" cy="2935605"/>
                          </a:xfrm>
                          <a:prstGeom prst="rect">
                            <a:avLst/>
                          </a:prstGeom>
                          <a:noFill/>
                          <a:ln>
                            <a:noFill/>
                          </a:ln>
                        </pic:spPr>
                      </pic:pic>
                    </a:graphicData>
                  </a:graphic>
                </wp:inline>
              </w:drawing>
            </w:r>
          </w:p>
          <w:p w14:paraId="52BE6833">
            <w:pPr>
              <w:adjustRightInd w:val="0"/>
              <w:spacing w:line="360" w:lineRule="auto"/>
              <w:jc w:val="center"/>
              <w:rPr>
                <w:rFonts w:hint="default" w:ascii="Times New Roman" w:hAnsi="Times New Roman" w:eastAsia="宋体" w:cs="Times New Roman"/>
                <w:b/>
                <w:color w:val="000000" w:themeColor="text1"/>
                <w:sz w:val="24"/>
                <w:highlight w:val="none"/>
                <w14:textFill>
                  <w14:solidFill>
                    <w14:schemeClr w14:val="tx1"/>
                  </w14:solidFill>
                </w14:textFill>
              </w:rPr>
            </w:pPr>
            <w:r>
              <w:rPr>
                <w:rFonts w:hint="default" w:ascii="Times New Roman" w:hAnsi="Times New Roman" w:eastAsia="宋体" w:cs="Times New Roman"/>
                <w:b/>
                <w:color w:val="000000" w:themeColor="text1"/>
                <w:sz w:val="24"/>
                <w:highlight w:val="none"/>
                <w14:textFill>
                  <w14:solidFill>
                    <w14:schemeClr w14:val="tx1"/>
                  </w14:solidFill>
                </w14:textFill>
              </w:rPr>
              <w:t>图3-</w:t>
            </w: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t>1</w:t>
            </w:r>
            <w:r>
              <w:rPr>
                <w:rFonts w:hint="default" w:ascii="Times New Roman" w:hAnsi="Times New Roman" w:eastAsia="宋体" w:cs="Times New Roman"/>
                <w:b/>
                <w:color w:val="000000" w:themeColor="text1"/>
                <w:sz w:val="24"/>
                <w:highlight w:val="none"/>
                <w14:textFill>
                  <w14:solidFill>
                    <w14:schemeClr w14:val="tx1"/>
                  </w14:solidFill>
                </w14:textFill>
              </w:rPr>
              <w:t>引用项目的检测点位与本项目位置关系图</w:t>
            </w:r>
          </w:p>
          <w:p w14:paraId="0139166C">
            <w:pPr>
              <w:spacing w:line="360" w:lineRule="auto"/>
              <w:ind w:firstLine="480" w:firstLineChars="200"/>
              <w:jc w:val="left"/>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②监测时间及频次</w:t>
            </w:r>
          </w:p>
          <w:p w14:paraId="0CE4E07B">
            <w:pPr>
              <w:spacing w:line="360" w:lineRule="auto"/>
              <w:ind w:firstLine="480" w:firstLineChars="200"/>
              <w:jc w:val="left"/>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2024年1月18日~1月24日</w:t>
            </w:r>
            <w:r>
              <w:rPr>
                <w:rFonts w:hint="default" w:ascii="Times New Roman" w:hAnsi="Times New Roman" w:eastAsia="宋体" w:cs="Times New Roman"/>
                <w:color w:val="000000" w:themeColor="text1"/>
                <w:spacing w:val="0"/>
                <w:kern w:val="21"/>
                <w:sz w:val="24"/>
                <w:szCs w:val="24"/>
                <w:highlight w:val="none"/>
                <w:lang w:val="en-US" w:eastAsia="zh-CN"/>
                <w14:textFill>
                  <w14:solidFill>
                    <w14:schemeClr w14:val="tx1"/>
                  </w14:solidFill>
                </w14:textFill>
              </w:rPr>
              <w:t>，连续监测</w:t>
            </w:r>
            <w:r>
              <w:rPr>
                <w:rFonts w:hint="eastAsia" w:ascii="Times New Roman" w:hAnsi="Times New Roman" w:eastAsia="宋体" w:cs="Times New Roman"/>
                <w:color w:val="000000" w:themeColor="text1"/>
                <w:spacing w:val="0"/>
                <w:kern w:val="21"/>
                <w:sz w:val="24"/>
                <w:szCs w:val="24"/>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pacing w:val="0"/>
                <w:kern w:val="21"/>
                <w:sz w:val="24"/>
                <w:szCs w:val="24"/>
                <w:highlight w:val="none"/>
                <w:lang w:val="en-US" w:eastAsia="zh-CN"/>
                <w14:textFill>
                  <w14:solidFill>
                    <w14:schemeClr w14:val="tx1"/>
                  </w14:solidFill>
                </w14:textFill>
              </w:rPr>
              <w:t>天。</w:t>
            </w:r>
          </w:p>
          <w:p w14:paraId="5D169051">
            <w:pPr>
              <w:spacing w:line="360" w:lineRule="auto"/>
              <w:ind w:firstLine="480" w:firstLineChars="200"/>
              <w:jc w:val="left"/>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（3）现状监测结果</w:t>
            </w:r>
          </w:p>
          <w:p w14:paraId="63035081">
            <w:pPr>
              <w:spacing w:line="360" w:lineRule="auto"/>
              <w:ind w:firstLine="480" w:firstLineChars="200"/>
              <w:jc w:val="left"/>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u w:val="none"/>
                <w:lang w:eastAsia="zh-CN"/>
                <w14:textFill>
                  <w14:solidFill>
                    <w14:schemeClr w14:val="tx1"/>
                  </w14:solidFill>
                </w14:textFill>
              </w:rPr>
              <w:t>本项目二类区特征污染物环境空气质量现状监测结果及评价结果见</w:t>
            </w:r>
            <w:r>
              <w:rPr>
                <w:rFonts w:hint="eastAsia" w:ascii="Times New Roman" w:hAnsi="Times New Roman" w:cs="Times New Roman"/>
                <w:color w:val="000000" w:themeColor="text1"/>
                <w:sz w:val="24"/>
                <w:szCs w:val="24"/>
                <w:highlight w:val="none"/>
                <w:u w:val="none"/>
                <w:lang w:val="en-US" w:eastAsia="zh-CN"/>
                <w14:textFill>
                  <w14:solidFill>
                    <w14:schemeClr w14:val="tx1"/>
                  </w14:solidFill>
                </w14:textFill>
              </w:rPr>
              <w:t>下</w:t>
            </w:r>
            <w:r>
              <w:rPr>
                <w:rFonts w:hint="default" w:ascii="Times New Roman" w:hAnsi="Times New Roman" w:cs="Times New Roman"/>
                <w:color w:val="000000" w:themeColor="text1"/>
                <w:sz w:val="24"/>
                <w:szCs w:val="24"/>
                <w:highlight w:val="none"/>
                <w:u w:val="none"/>
                <w:lang w:eastAsia="zh-CN"/>
                <w14:textFill>
                  <w14:solidFill>
                    <w14:schemeClr w14:val="tx1"/>
                  </w14:solidFill>
                </w14:textFill>
              </w:rPr>
              <w:t>表</w:t>
            </w:r>
            <w:r>
              <w:rPr>
                <w:rFonts w:hint="default" w:ascii="Times New Roman" w:hAnsi="Times New Roman" w:cs="Times New Roman"/>
                <w:color w:val="000000" w:themeColor="text1"/>
                <w:sz w:val="24"/>
                <w:szCs w:val="24"/>
                <w:highlight w:val="none"/>
                <w:u w:val="none"/>
                <w:lang w:val="en-US" w:eastAsia="zh-CN"/>
                <w14:textFill>
                  <w14:solidFill>
                    <w14:schemeClr w14:val="tx1"/>
                  </w14:solidFill>
                </w14:textFill>
              </w:rPr>
              <w:t>。</w:t>
            </w:r>
          </w:p>
          <w:p w14:paraId="4A55BCFC">
            <w:pPr>
              <w:pStyle w:val="97"/>
              <w:snapToGrid w:val="0"/>
              <w:spacing w:line="240" w:lineRule="auto"/>
              <w:ind w:firstLine="0" w:firstLineChars="0"/>
              <w:jc w:val="center"/>
              <w:rPr>
                <w:rFonts w:hint="default" w:ascii="Times New Roman" w:hAnsi="Times New Roman" w:eastAsia="宋体" w:cs="Times New Roman"/>
                <w:b/>
                <w:color w:val="000000" w:themeColor="text1"/>
                <w:spacing w:val="0"/>
                <w:highlight w:val="none"/>
                <w14:textFill>
                  <w14:solidFill>
                    <w14:schemeClr w14:val="tx1"/>
                  </w14:solidFill>
                </w14:textFill>
              </w:rPr>
            </w:pPr>
            <w:r>
              <w:rPr>
                <w:rFonts w:hint="default" w:ascii="Times New Roman" w:hAnsi="Times New Roman" w:eastAsia="宋体" w:cs="Times New Roman"/>
                <w:b/>
                <w:color w:val="000000" w:themeColor="text1"/>
                <w:spacing w:val="0"/>
                <w:highlight w:val="none"/>
                <w14:textFill>
                  <w14:solidFill>
                    <w14:schemeClr w14:val="tx1"/>
                  </w14:solidFill>
                </w14:textFill>
              </w:rPr>
              <w:t>表3-</w:t>
            </w:r>
            <w:r>
              <w:rPr>
                <w:rFonts w:hint="default" w:ascii="Times New Roman" w:hAnsi="Times New Roman" w:eastAsia="宋体" w:cs="Times New Roman"/>
                <w:b/>
                <w:color w:val="000000" w:themeColor="text1"/>
                <w:spacing w:val="0"/>
                <w:highlight w:val="none"/>
                <w:lang w:val="en-US" w:eastAsia="zh-CN"/>
                <w14:textFill>
                  <w14:solidFill>
                    <w14:schemeClr w14:val="tx1"/>
                  </w14:solidFill>
                </w14:textFill>
              </w:rPr>
              <w:t>3</w:t>
            </w:r>
            <w:r>
              <w:rPr>
                <w:rFonts w:hint="eastAsia" w:cs="Times New Roman"/>
                <w:b/>
                <w:color w:val="000000" w:themeColor="text1"/>
                <w:spacing w:val="0"/>
                <w:highlight w:val="none"/>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spacing w:val="0"/>
                <w:highlight w:val="none"/>
                <w14:textFill>
                  <w14:solidFill>
                    <w14:schemeClr w14:val="tx1"/>
                  </w14:solidFill>
                </w14:textFill>
              </w:rPr>
              <w:t>其他污染物环境质量现状监测结果一览表</w:t>
            </w:r>
          </w:p>
          <w:tbl>
            <w:tblPr>
              <w:tblStyle w:val="28"/>
              <w:tblW w:w="7735"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929"/>
              <w:gridCol w:w="490"/>
              <w:gridCol w:w="586"/>
              <w:gridCol w:w="1022"/>
              <w:gridCol w:w="895"/>
              <w:gridCol w:w="832"/>
              <w:gridCol w:w="1120"/>
              <w:gridCol w:w="763"/>
              <w:gridCol w:w="514"/>
              <w:gridCol w:w="584"/>
            </w:tblGrid>
            <w:tr w14:paraId="42832E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566" w:hRule="atLeast"/>
              </w:trPr>
              <w:tc>
                <w:tcPr>
                  <w:tcW w:w="929" w:type="dxa"/>
                  <w:vMerge w:val="restart"/>
                  <w:tcBorders>
                    <w:tl2br w:val="nil"/>
                    <w:tr2bl w:val="nil"/>
                  </w:tcBorders>
                  <w:noWrap w:val="0"/>
                  <w:vAlign w:val="center"/>
                </w:tcPr>
                <w:p w14:paraId="5E53FA44">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点位名称</w:t>
                  </w:r>
                </w:p>
              </w:tc>
              <w:tc>
                <w:tcPr>
                  <w:tcW w:w="1076" w:type="dxa"/>
                  <w:gridSpan w:val="2"/>
                  <w:tcBorders>
                    <w:tl2br w:val="nil"/>
                    <w:tr2bl w:val="nil"/>
                  </w:tcBorders>
                  <w:noWrap w:val="0"/>
                  <w:vAlign w:val="center"/>
                </w:tcPr>
                <w:p w14:paraId="4FAFA9BB">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监测点位经纬度</w:t>
                  </w:r>
                </w:p>
              </w:tc>
              <w:tc>
                <w:tcPr>
                  <w:tcW w:w="1022" w:type="dxa"/>
                  <w:vMerge w:val="restart"/>
                  <w:tcBorders>
                    <w:tl2br w:val="nil"/>
                    <w:tr2bl w:val="nil"/>
                  </w:tcBorders>
                  <w:noWrap w:val="0"/>
                  <w:vAlign w:val="center"/>
                </w:tcPr>
                <w:p w14:paraId="71D0EA80">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污染物</w:t>
                  </w:r>
                </w:p>
              </w:tc>
              <w:tc>
                <w:tcPr>
                  <w:tcW w:w="895" w:type="dxa"/>
                  <w:vMerge w:val="restart"/>
                  <w:tcBorders>
                    <w:tl2br w:val="nil"/>
                    <w:tr2bl w:val="nil"/>
                  </w:tcBorders>
                  <w:noWrap w:val="0"/>
                  <w:vAlign w:val="center"/>
                </w:tcPr>
                <w:p w14:paraId="0760ED1F">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平均时间</w:t>
                  </w:r>
                </w:p>
              </w:tc>
              <w:tc>
                <w:tcPr>
                  <w:tcW w:w="832" w:type="dxa"/>
                  <w:vMerge w:val="restart"/>
                  <w:tcBorders>
                    <w:tl2br w:val="nil"/>
                    <w:tr2bl w:val="nil"/>
                  </w:tcBorders>
                  <w:noWrap w:val="0"/>
                  <w:vAlign w:val="center"/>
                </w:tcPr>
                <w:p w14:paraId="7A1E4EC1">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评价标准</w:t>
                  </w:r>
                </w:p>
                <w:p w14:paraId="2DC9C786">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/（μg/m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1120" w:type="dxa"/>
                  <w:vMerge w:val="restart"/>
                  <w:tcBorders>
                    <w:tl2br w:val="nil"/>
                    <w:tr2bl w:val="nil"/>
                  </w:tcBorders>
                  <w:noWrap w:val="0"/>
                  <w:vAlign w:val="center"/>
                </w:tcPr>
                <w:p w14:paraId="38940C9C">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监测浓度范围/（μg/m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763" w:type="dxa"/>
                  <w:vMerge w:val="restart"/>
                  <w:tcBorders>
                    <w:tl2br w:val="nil"/>
                    <w:tr2bl w:val="nil"/>
                  </w:tcBorders>
                  <w:noWrap w:val="0"/>
                  <w:vAlign w:val="center"/>
                </w:tcPr>
                <w:p w14:paraId="02AED343">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最大浓度占标率/%</w:t>
                  </w:r>
                </w:p>
              </w:tc>
              <w:tc>
                <w:tcPr>
                  <w:tcW w:w="514" w:type="dxa"/>
                  <w:vMerge w:val="restart"/>
                  <w:tcBorders>
                    <w:tl2br w:val="nil"/>
                    <w:tr2bl w:val="nil"/>
                  </w:tcBorders>
                  <w:noWrap w:val="0"/>
                  <w:vAlign w:val="center"/>
                </w:tcPr>
                <w:p w14:paraId="3448CB80">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超标概率/</w:t>
                  </w:r>
                </w:p>
                <w:p w14:paraId="6CF70BB0">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584" w:type="dxa"/>
                  <w:vMerge w:val="restart"/>
                  <w:tcBorders>
                    <w:tl2br w:val="nil"/>
                    <w:tr2bl w:val="nil"/>
                  </w:tcBorders>
                  <w:noWrap w:val="0"/>
                  <w:vAlign w:val="center"/>
                </w:tcPr>
                <w:p w14:paraId="53A60EFF">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达标情况</w:t>
                  </w:r>
                </w:p>
              </w:tc>
            </w:tr>
            <w:tr w14:paraId="72B9DB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91" w:hRule="atLeast"/>
              </w:trPr>
              <w:tc>
                <w:tcPr>
                  <w:tcW w:w="929" w:type="dxa"/>
                  <w:vMerge w:val="continue"/>
                  <w:tcBorders>
                    <w:tl2br w:val="nil"/>
                    <w:tr2bl w:val="nil"/>
                  </w:tcBorders>
                  <w:noWrap w:val="0"/>
                  <w:vAlign w:val="center"/>
                </w:tcPr>
                <w:p w14:paraId="2C9841DB">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90" w:type="dxa"/>
                  <w:tcBorders>
                    <w:tl2br w:val="nil"/>
                    <w:tr2bl w:val="nil"/>
                  </w:tcBorders>
                  <w:noWrap w:val="0"/>
                  <w:vAlign w:val="center"/>
                </w:tcPr>
                <w:p w14:paraId="2119DFB3">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E</w:t>
                  </w:r>
                </w:p>
              </w:tc>
              <w:tc>
                <w:tcPr>
                  <w:tcW w:w="586" w:type="dxa"/>
                  <w:tcBorders>
                    <w:tl2br w:val="nil"/>
                    <w:tr2bl w:val="nil"/>
                  </w:tcBorders>
                  <w:noWrap w:val="0"/>
                  <w:vAlign w:val="center"/>
                </w:tcPr>
                <w:p w14:paraId="1F4B3D80">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N</w:t>
                  </w:r>
                </w:p>
              </w:tc>
              <w:tc>
                <w:tcPr>
                  <w:tcW w:w="1022" w:type="dxa"/>
                  <w:vMerge w:val="continue"/>
                  <w:tcBorders>
                    <w:tl2br w:val="nil"/>
                    <w:tr2bl w:val="nil"/>
                  </w:tcBorders>
                  <w:noWrap w:val="0"/>
                  <w:vAlign w:val="center"/>
                </w:tcPr>
                <w:p w14:paraId="3A638CF5">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95" w:type="dxa"/>
                  <w:vMerge w:val="continue"/>
                  <w:tcBorders>
                    <w:tl2br w:val="nil"/>
                    <w:tr2bl w:val="nil"/>
                  </w:tcBorders>
                  <w:noWrap w:val="0"/>
                  <w:vAlign w:val="center"/>
                </w:tcPr>
                <w:p w14:paraId="4336900E">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32" w:type="dxa"/>
                  <w:vMerge w:val="continue"/>
                  <w:tcBorders>
                    <w:tl2br w:val="nil"/>
                    <w:tr2bl w:val="nil"/>
                  </w:tcBorders>
                  <w:noWrap w:val="0"/>
                  <w:vAlign w:val="center"/>
                </w:tcPr>
                <w:p w14:paraId="1D08AC69">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20" w:type="dxa"/>
                  <w:vMerge w:val="continue"/>
                  <w:tcBorders>
                    <w:tl2br w:val="nil"/>
                    <w:tr2bl w:val="nil"/>
                  </w:tcBorders>
                  <w:noWrap w:val="0"/>
                  <w:vAlign w:val="center"/>
                </w:tcPr>
                <w:p w14:paraId="5883E12B">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63" w:type="dxa"/>
                  <w:vMerge w:val="continue"/>
                  <w:tcBorders>
                    <w:tl2br w:val="nil"/>
                    <w:tr2bl w:val="nil"/>
                  </w:tcBorders>
                  <w:noWrap w:val="0"/>
                  <w:vAlign w:val="center"/>
                </w:tcPr>
                <w:p w14:paraId="06946E88">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14" w:type="dxa"/>
                  <w:vMerge w:val="continue"/>
                  <w:tcBorders>
                    <w:tl2br w:val="nil"/>
                    <w:tr2bl w:val="nil"/>
                  </w:tcBorders>
                  <w:noWrap w:val="0"/>
                  <w:vAlign w:val="center"/>
                </w:tcPr>
                <w:p w14:paraId="3EF049A7">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84" w:type="dxa"/>
                  <w:vMerge w:val="continue"/>
                  <w:tcBorders>
                    <w:tl2br w:val="nil"/>
                    <w:tr2bl w:val="nil"/>
                  </w:tcBorders>
                  <w:noWrap w:val="0"/>
                  <w:vAlign w:val="center"/>
                </w:tcPr>
                <w:p w14:paraId="57AF59D0">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0F3ECE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91" w:hRule="atLeast"/>
              </w:trPr>
              <w:tc>
                <w:tcPr>
                  <w:tcW w:w="929" w:type="dxa"/>
                  <w:vMerge w:val="restart"/>
                  <w:tcBorders>
                    <w:tl2br w:val="nil"/>
                    <w:tr2bl w:val="nil"/>
                  </w:tcBorders>
                  <w:noWrap w:val="0"/>
                  <w:vAlign w:val="center"/>
                </w:tcPr>
                <w:p w14:paraId="4C707690">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厂址1#</w:t>
                  </w:r>
                </w:p>
              </w:tc>
              <w:tc>
                <w:tcPr>
                  <w:tcW w:w="490" w:type="dxa"/>
                  <w:vMerge w:val="restart"/>
                  <w:tcBorders>
                    <w:tl2br w:val="nil"/>
                    <w:tr2bl w:val="nil"/>
                  </w:tcBorders>
                  <w:noWrap w:val="0"/>
                  <w:vAlign w:val="center"/>
                </w:tcPr>
                <w:p w14:paraId="1BC20F79">
                  <w:pPr>
                    <w:pStyle w:val="99"/>
                    <w:keepNext w:val="0"/>
                    <w:keepLines w:val="0"/>
                    <w:pageBreakBefore w:val="0"/>
                    <w:widowControl/>
                    <w:kinsoku/>
                    <w:wordWrap/>
                    <w:overflowPunct/>
                    <w:topLinePunct w:val="0"/>
                    <w:autoSpaceDE/>
                    <w:autoSpaceDN/>
                    <w:bidi w:val="0"/>
                    <w:adjustRightInd/>
                    <w:snapToGrid/>
                    <w:spacing w:line="240" w:lineRule="auto"/>
                    <w:ind w:right="113" w:rightChars="0"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128.921502225</w:t>
                  </w:r>
                </w:p>
              </w:tc>
              <w:tc>
                <w:tcPr>
                  <w:tcW w:w="586" w:type="dxa"/>
                  <w:vMerge w:val="restart"/>
                  <w:tcBorders>
                    <w:tl2br w:val="nil"/>
                    <w:tr2bl w:val="nil"/>
                  </w:tcBorders>
                  <w:noWrap w:val="0"/>
                  <w:vAlign w:val="center"/>
                </w:tcPr>
                <w:p w14:paraId="338A4251">
                  <w:pPr>
                    <w:pStyle w:val="99"/>
                    <w:keepNext w:val="0"/>
                    <w:keepLines w:val="0"/>
                    <w:pageBreakBefore w:val="0"/>
                    <w:widowControl/>
                    <w:kinsoku/>
                    <w:wordWrap/>
                    <w:overflowPunct/>
                    <w:topLinePunct w:val="0"/>
                    <w:autoSpaceDE/>
                    <w:autoSpaceDN/>
                    <w:bidi w:val="0"/>
                    <w:adjustRightInd/>
                    <w:snapToGrid/>
                    <w:spacing w:line="240" w:lineRule="auto"/>
                    <w:ind w:right="113" w:rightChars="0"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47.732999986</w:t>
                  </w:r>
                </w:p>
              </w:tc>
              <w:tc>
                <w:tcPr>
                  <w:tcW w:w="1022" w:type="dxa"/>
                  <w:tcBorders>
                    <w:tl2br w:val="nil"/>
                    <w:tr2bl w:val="nil"/>
                  </w:tcBorders>
                  <w:noWrap w:val="0"/>
                  <w:vAlign w:val="center"/>
                </w:tcPr>
                <w:p w14:paraId="75DC31D5">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臭气浓度</w:t>
                  </w:r>
                </w:p>
              </w:tc>
              <w:tc>
                <w:tcPr>
                  <w:tcW w:w="895" w:type="dxa"/>
                  <w:tcBorders>
                    <w:tl2br w:val="nil"/>
                    <w:tr2bl w:val="nil"/>
                  </w:tcBorders>
                  <w:noWrap w:val="0"/>
                  <w:vAlign w:val="center"/>
                </w:tcPr>
                <w:p w14:paraId="42646254">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1h平均</w:t>
                  </w:r>
                </w:p>
              </w:tc>
              <w:tc>
                <w:tcPr>
                  <w:tcW w:w="832" w:type="dxa"/>
                  <w:tcBorders>
                    <w:tl2br w:val="nil"/>
                    <w:tr2bl w:val="nil"/>
                  </w:tcBorders>
                  <w:noWrap w:val="0"/>
                  <w:vAlign w:val="center"/>
                </w:tcPr>
                <w:p w14:paraId="0F532E14">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1120" w:type="dxa"/>
                  <w:tcBorders>
                    <w:tl2br w:val="nil"/>
                    <w:tr2bl w:val="nil"/>
                  </w:tcBorders>
                  <w:noWrap w:val="0"/>
                  <w:vAlign w:val="center"/>
                </w:tcPr>
                <w:p w14:paraId="2C5C5379">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10L</w:t>
                  </w:r>
                </w:p>
              </w:tc>
              <w:tc>
                <w:tcPr>
                  <w:tcW w:w="763" w:type="dxa"/>
                  <w:tcBorders>
                    <w:tl2br w:val="nil"/>
                    <w:tr2bl w:val="nil"/>
                  </w:tcBorders>
                  <w:noWrap w:val="0"/>
                  <w:vAlign w:val="center"/>
                </w:tcPr>
                <w:p w14:paraId="3286D058">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514" w:type="dxa"/>
                  <w:tcBorders>
                    <w:tl2br w:val="nil"/>
                    <w:tr2bl w:val="nil"/>
                  </w:tcBorders>
                  <w:noWrap w:val="0"/>
                  <w:vAlign w:val="center"/>
                </w:tcPr>
                <w:p w14:paraId="4536ACFB">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w:t>
                  </w:r>
                </w:p>
              </w:tc>
              <w:tc>
                <w:tcPr>
                  <w:tcW w:w="584" w:type="dxa"/>
                  <w:tcBorders>
                    <w:tl2br w:val="nil"/>
                    <w:tr2bl w:val="nil"/>
                  </w:tcBorders>
                  <w:noWrap w:val="0"/>
                  <w:vAlign w:val="center"/>
                </w:tcPr>
                <w:p w14:paraId="3EB8EF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3A8625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78" w:hRule="atLeast"/>
              </w:trPr>
              <w:tc>
                <w:tcPr>
                  <w:tcW w:w="929" w:type="dxa"/>
                  <w:vMerge w:val="continue"/>
                  <w:tcBorders>
                    <w:tl2br w:val="nil"/>
                    <w:tr2bl w:val="nil"/>
                  </w:tcBorders>
                  <w:noWrap w:val="0"/>
                  <w:vAlign w:val="center"/>
                </w:tcPr>
                <w:p w14:paraId="03547DAA">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90" w:type="dxa"/>
                  <w:vMerge w:val="continue"/>
                  <w:tcBorders>
                    <w:tl2br w:val="nil"/>
                    <w:tr2bl w:val="nil"/>
                  </w:tcBorders>
                  <w:noWrap w:val="0"/>
                  <w:vAlign w:val="center"/>
                </w:tcPr>
                <w:p w14:paraId="78398F98">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86" w:type="dxa"/>
                  <w:vMerge w:val="continue"/>
                  <w:tcBorders>
                    <w:tl2br w:val="nil"/>
                    <w:tr2bl w:val="nil"/>
                  </w:tcBorders>
                  <w:noWrap w:val="0"/>
                  <w:vAlign w:val="center"/>
                </w:tcPr>
                <w:p w14:paraId="1FAB5FEE">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22" w:type="dxa"/>
                  <w:tcBorders>
                    <w:tl2br w:val="nil"/>
                    <w:tr2bl w:val="nil"/>
                  </w:tcBorders>
                  <w:noWrap w:val="0"/>
                  <w:vAlign w:val="center"/>
                </w:tcPr>
                <w:p w14:paraId="76C76069">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氨</w:t>
                  </w:r>
                </w:p>
              </w:tc>
              <w:tc>
                <w:tcPr>
                  <w:tcW w:w="895" w:type="dxa"/>
                  <w:tcBorders>
                    <w:tl2br w:val="nil"/>
                    <w:tr2bl w:val="nil"/>
                  </w:tcBorders>
                  <w:noWrap w:val="0"/>
                  <w:vAlign w:val="center"/>
                </w:tcPr>
                <w:p w14:paraId="56517E67">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1h平均</w:t>
                  </w:r>
                </w:p>
              </w:tc>
              <w:tc>
                <w:tcPr>
                  <w:tcW w:w="832" w:type="dxa"/>
                  <w:tcBorders>
                    <w:tl2br w:val="nil"/>
                    <w:tr2bl w:val="nil"/>
                  </w:tcBorders>
                  <w:noWrap w:val="0"/>
                  <w:vAlign w:val="center"/>
                </w:tcPr>
                <w:p w14:paraId="783CB9A9">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200</w:t>
                  </w:r>
                </w:p>
              </w:tc>
              <w:tc>
                <w:tcPr>
                  <w:tcW w:w="1120" w:type="dxa"/>
                  <w:tcBorders>
                    <w:tl2br w:val="nil"/>
                    <w:tr2bl w:val="nil"/>
                  </w:tcBorders>
                  <w:noWrap w:val="0"/>
                  <w:vAlign w:val="center"/>
                </w:tcPr>
                <w:p w14:paraId="59E1909E">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40</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14:textFill>
                        <w14:solidFill>
                          <w14:schemeClr w14:val="tx1"/>
                        </w14:solidFill>
                      </w14:textFill>
                    </w:rPr>
                    <w:t>0</w:t>
                  </w:r>
                </w:p>
              </w:tc>
              <w:tc>
                <w:tcPr>
                  <w:tcW w:w="763" w:type="dxa"/>
                  <w:tcBorders>
                    <w:tl2br w:val="nil"/>
                    <w:tr2bl w:val="nil"/>
                  </w:tcBorders>
                  <w:noWrap w:val="0"/>
                  <w:vAlign w:val="center"/>
                </w:tcPr>
                <w:p w14:paraId="2D46D526">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25</w:t>
                  </w:r>
                </w:p>
              </w:tc>
              <w:tc>
                <w:tcPr>
                  <w:tcW w:w="514" w:type="dxa"/>
                  <w:tcBorders>
                    <w:tl2br w:val="nil"/>
                    <w:tr2bl w:val="nil"/>
                  </w:tcBorders>
                  <w:noWrap w:val="0"/>
                  <w:vAlign w:val="center"/>
                </w:tcPr>
                <w:p w14:paraId="194D0982">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w:t>
                  </w:r>
                </w:p>
              </w:tc>
              <w:tc>
                <w:tcPr>
                  <w:tcW w:w="584" w:type="dxa"/>
                  <w:tcBorders>
                    <w:tl2br w:val="nil"/>
                    <w:tr2bl w:val="nil"/>
                  </w:tcBorders>
                  <w:noWrap w:val="0"/>
                  <w:vAlign w:val="center"/>
                </w:tcPr>
                <w:p w14:paraId="101E1A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45C68F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78" w:hRule="atLeast"/>
              </w:trPr>
              <w:tc>
                <w:tcPr>
                  <w:tcW w:w="929" w:type="dxa"/>
                  <w:vMerge w:val="continue"/>
                  <w:tcBorders>
                    <w:tl2br w:val="nil"/>
                    <w:tr2bl w:val="nil"/>
                  </w:tcBorders>
                  <w:noWrap w:val="0"/>
                  <w:vAlign w:val="center"/>
                </w:tcPr>
                <w:p w14:paraId="5EB1E166">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90" w:type="dxa"/>
                  <w:vMerge w:val="continue"/>
                  <w:tcBorders>
                    <w:tl2br w:val="nil"/>
                    <w:tr2bl w:val="nil"/>
                  </w:tcBorders>
                  <w:noWrap w:val="0"/>
                  <w:vAlign w:val="center"/>
                </w:tcPr>
                <w:p w14:paraId="704125D9">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86" w:type="dxa"/>
                  <w:vMerge w:val="continue"/>
                  <w:tcBorders>
                    <w:tl2br w:val="nil"/>
                    <w:tr2bl w:val="nil"/>
                  </w:tcBorders>
                  <w:noWrap w:val="0"/>
                  <w:vAlign w:val="center"/>
                </w:tcPr>
                <w:p w14:paraId="7DAD5025">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22" w:type="dxa"/>
                  <w:tcBorders>
                    <w:tl2br w:val="nil"/>
                    <w:tr2bl w:val="nil"/>
                  </w:tcBorders>
                  <w:noWrap w:val="0"/>
                  <w:vAlign w:val="center"/>
                </w:tcPr>
                <w:p w14:paraId="6998A5DE">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硫化氢</w:t>
                  </w:r>
                </w:p>
              </w:tc>
              <w:tc>
                <w:tcPr>
                  <w:tcW w:w="895" w:type="dxa"/>
                  <w:tcBorders>
                    <w:tl2br w:val="nil"/>
                    <w:tr2bl w:val="nil"/>
                  </w:tcBorders>
                  <w:noWrap w:val="0"/>
                  <w:vAlign w:val="center"/>
                </w:tcPr>
                <w:p w14:paraId="5D60FBE4">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1h平均</w:t>
                  </w:r>
                </w:p>
              </w:tc>
              <w:tc>
                <w:tcPr>
                  <w:tcW w:w="832" w:type="dxa"/>
                  <w:tcBorders>
                    <w:tl2br w:val="nil"/>
                    <w:tr2bl w:val="nil"/>
                  </w:tcBorders>
                  <w:noWrap w:val="0"/>
                  <w:vAlign w:val="center"/>
                </w:tcPr>
                <w:p w14:paraId="749F9C21">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10</w:t>
                  </w:r>
                </w:p>
              </w:tc>
              <w:tc>
                <w:tcPr>
                  <w:tcW w:w="1120" w:type="dxa"/>
                  <w:tcBorders>
                    <w:tl2br w:val="nil"/>
                    <w:tr2bl w:val="nil"/>
                  </w:tcBorders>
                  <w:noWrap w:val="0"/>
                  <w:vAlign w:val="center"/>
                </w:tcPr>
                <w:p w14:paraId="4E4933CC">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1L</w:t>
                  </w:r>
                </w:p>
              </w:tc>
              <w:tc>
                <w:tcPr>
                  <w:tcW w:w="763" w:type="dxa"/>
                  <w:tcBorders>
                    <w:tl2br w:val="nil"/>
                    <w:tr2bl w:val="nil"/>
                  </w:tcBorders>
                  <w:noWrap w:val="0"/>
                  <w:vAlign w:val="center"/>
                </w:tcPr>
                <w:p w14:paraId="0C10DBA0">
                  <w:pPr>
                    <w:keepNext w:val="0"/>
                    <w:keepLines w:val="0"/>
                    <w:pageBreakBefore w:val="0"/>
                    <w:kinsoku/>
                    <w:wordWrap/>
                    <w:topLinePunct w:val="0"/>
                    <w:autoSpaceDE/>
                    <w:autoSpaceDN/>
                    <w:bidi w:val="0"/>
                    <w:spacing w:line="240" w:lineRule="auto"/>
                    <w:ind w:firstLine="0" w:firstLineChars="0"/>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514" w:type="dxa"/>
                  <w:tcBorders>
                    <w:tl2br w:val="nil"/>
                    <w:tr2bl w:val="nil"/>
                  </w:tcBorders>
                  <w:noWrap w:val="0"/>
                  <w:vAlign w:val="center"/>
                </w:tcPr>
                <w:p w14:paraId="462FBED1">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w:t>
                  </w:r>
                </w:p>
              </w:tc>
              <w:tc>
                <w:tcPr>
                  <w:tcW w:w="584" w:type="dxa"/>
                  <w:tcBorders>
                    <w:tl2br w:val="nil"/>
                    <w:tr2bl w:val="nil"/>
                  </w:tcBorders>
                  <w:noWrap w:val="0"/>
                  <w:vAlign w:val="center"/>
                </w:tcPr>
                <w:p w14:paraId="2DC2AE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2A7204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52" w:hRule="atLeast"/>
              </w:trPr>
              <w:tc>
                <w:tcPr>
                  <w:tcW w:w="929" w:type="dxa"/>
                  <w:vMerge w:val="continue"/>
                  <w:tcBorders>
                    <w:tl2br w:val="nil"/>
                    <w:tr2bl w:val="nil"/>
                  </w:tcBorders>
                  <w:noWrap w:val="0"/>
                  <w:vAlign w:val="center"/>
                </w:tcPr>
                <w:p w14:paraId="6F0F17F4">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90" w:type="dxa"/>
                  <w:vMerge w:val="continue"/>
                  <w:tcBorders>
                    <w:tl2br w:val="nil"/>
                    <w:tr2bl w:val="nil"/>
                  </w:tcBorders>
                  <w:noWrap w:val="0"/>
                  <w:vAlign w:val="center"/>
                </w:tcPr>
                <w:p w14:paraId="5730FB9F">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86" w:type="dxa"/>
                  <w:vMerge w:val="continue"/>
                  <w:tcBorders>
                    <w:tl2br w:val="nil"/>
                    <w:tr2bl w:val="nil"/>
                  </w:tcBorders>
                  <w:noWrap w:val="0"/>
                  <w:vAlign w:val="center"/>
                </w:tcPr>
                <w:p w14:paraId="5AE3B7EB">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22" w:type="dxa"/>
                  <w:vMerge w:val="restart"/>
                  <w:tcBorders>
                    <w:tl2br w:val="nil"/>
                    <w:tr2bl w:val="nil"/>
                  </w:tcBorders>
                  <w:noWrap w:val="0"/>
                  <w:vAlign w:val="center"/>
                </w:tcPr>
                <w:p w14:paraId="14BB41B9">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氯化氢</w:t>
                  </w:r>
                </w:p>
              </w:tc>
              <w:tc>
                <w:tcPr>
                  <w:tcW w:w="895" w:type="dxa"/>
                  <w:tcBorders>
                    <w:tl2br w:val="nil"/>
                    <w:tr2bl w:val="nil"/>
                  </w:tcBorders>
                  <w:noWrap w:val="0"/>
                  <w:vAlign w:val="center"/>
                </w:tcPr>
                <w:p w14:paraId="4AD6A2E1">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1h平均</w:t>
                  </w:r>
                </w:p>
              </w:tc>
              <w:tc>
                <w:tcPr>
                  <w:tcW w:w="832" w:type="dxa"/>
                  <w:tcBorders>
                    <w:tl2br w:val="nil"/>
                    <w:tr2bl w:val="nil"/>
                  </w:tcBorders>
                  <w:noWrap w:val="0"/>
                  <w:vAlign w:val="center"/>
                </w:tcPr>
                <w:p w14:paraId="529937B6">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50</w:t>
                  </w:r>
                </w:p>
              </w:tc>
              <w:tc>
                <w:tcPr>
                  <w:tcW w:w="1120" w:type="dxa"/>
                  <w:tcBorders>
                    <w:tl2br w:val="nil"/>
                    <w:tr2bl w:val="nil"/>
                  </w:tcBorders>
                  <w:noWrap w:val="0"/>
                  <w:vAlign w:val="center"/>
                </w:tcPr>
                <w:p w14:paraId="601A2086">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20L</w:t>
                  </w:r>
                </w:p>
              </w:tc>
              <w:tc>
                <w:tcPr>
                  <w:tcW w:w="763" w:type="dxa"/>
                  <w:tcBorders>
                    <w:tl2br w:val="nil"/>
                    <w:tr2bl w:val="nil"/>
                  </w:tcBorders>
                  <w:noWrap w:val="0"/>
                  <w:vAlign w:val="center"/>
                </w:tcPr>
                <w:p w14:paraId="65253DA3">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514" w:type="dxa"/>
                  <w:tcBorders>
                    <w:tl2br w:val="nil"/>
                    <w:tr2bl w:val="nil"/>
                  </w:tcBorders>
                  <w:noWrap w:val="0"/>
                  <w:vAlign w:val="center"/>
                </w:tcPr>
                <w:p w14:paraId="4C050F43">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w:t>
                  </w:r>
                </w:p>
              </w:tc>
              <w:tc>
                <w:tcPr>
                  <w:tcW w:w="584" w:type="dxa"/>
                  <w:tcBorders>
                    <w:tl2br w:val="nil"/>
                    <w:tr2bl w:val="nil"/>
                  </w:tcBorders>
                  <w:noWrap w:val="0"/>
                  <w:vAlign w:val="center"/>
                </w:tcPr>
                <w:p w14:paraId="553DC8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0A9159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52" w:hRule="atLeast"/>
              </w:trPr>
              <w:tc>
                <w:tcPr>
                  <w:tcW w:w="929" w:type="dxa"/>
                  <w:vMerge w:val="continue"/>
                  <w:tcBorders>
                    <w:tl2br w:val="nil"/>
                    <w:tr2bl w:val="nil"/>
                  </w:tcBorders>
                  <w:noWrap w:val="0"/>
                  <w:vAlign w:val="center"/>
                </w:tcPr>
                <w:p w14:paraId="4D9962AB">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90" w:type="dxa"/>
                  <w:vMerge w:val="continue"/>
                  <w:tcBorders>
                    <w:tl2br w:val="nil"/>
                    <w:tr2bl w:val="nil"/>
                  </w:tcBorders>
                  <w:noWrap w:val="0"/>
                  <w:vAlign w:val="center"/>
                </w:tcPr>
                <w:p w14:paraId="4712624E">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86" w:type="dxa"/>
                  <w:vMerge w:val="continue"/>
                  <w:tcBorders>
                    <w:tl2br w:val="nil"/>
                    <w:tr2bl w:val="nil"/>
                  </w:tcBorders>
                  <w:noWrap w:val="0"/>
                  <w:vAlign w:val="center"/>
                </w:tcPr>
                <w:p w14:paraId="7A03B137">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22" w:type="dxa"/>
                  <w:vMerge w:val="continue"/>
                  <w:tcBorders>
                    <w:tl2br w:val="nil"/>
                    <w:tr2bl w:val="nil"/>
                  </w:tcBorders>
                  <w:noWrap w:val="0"/>
                  <w:vAlign w:val="center"/>
                </w:tcPr>
                <w:p w14:paraId="505DE855">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95" w:type="dxa"/>
                  <w:tcBorders>
                    <w:tl2br w:val="nil"/>
                    <w:tr2bl w:val="nil"/>
                  </w:tcBorders>
                  <w:noWrap w:val="0"/>
                  <w:vAlign w:val="center"/>
                </w:tcPr>
                <w:p w14:paraId="5C5AB51D">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日平均</w:t>
                  </w:r>
                </w:p>
              </w:tc>
              <w:tc>
                <w:tcPr>
                  <w:tcW w:w="832" w:type="dxa"/>
                  <w:tcBorders>
                    <w:tl2br w:val="nil"/>
                    <w:tr2bl w:val="nil"/>
                  </w:tcBorders>
                  <w:noWrap w:val="0"/>
                  <w:vAlign w:val="center"/>
                </w:tcPr>
                <w:p w14:paraId="7B5D8706">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15</w:t>
                  </w:r>
                </w:p>
              </w:tc>
              <w:tc>
                <w:tcPr>
                  <w:tcW w:w="1120" w:type="dxa"/>
                  <w:tcBorders>
                    <w:tl2br w:val="nil"/>
                    <w:tr2bl w:val="nil"/>
                  </w:tcBorders>
                  <w:noWrap w:val="0"/>
                  <w:vAlign w:val="center"/>
                </w:tcPr>
                <w:p w14:paraId="4AD5B68B">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20L</w:t>
                  </w:r>
                </w:p>
              </w:tc>
              <w:tc>
                <w:tcPr>
                  <w:tcW w:w="763" w:type="dxa"/>
                  <w:tcBorders>
                    <w:tl2br w:val="nil"/>
                    <w:tr2bl w:val="nil"/>
                  </w:tcBorders>
                  <w:noWrap w:val="0"/>
                  <w:vAlign w:val="center"/>
                </w:tcPr>
                <w:p w14:paraId="5DF76AD4">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514" w:type="dxa"/>
                  <w:tcBorders>
                    <w:tl2br w:val="nil"/>
                    <w:tr2bl w:val="nil"/>
                  </w:tcBorders>
                  <w:noWrap w:val="0"/>
                  <w:vAlign w:val="center"/>
                </w:tcPr>
                <w:p w14:paraId="71BA3D32">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w:t>
                  </w:r>
                </w:p>
              </w:tc>
              <w:tc>
                <w:tcPr>
                  <w:tcW w:w="584" w:type="dxa"/>
                  <w:tcBorders>
                    <w:tl2br w:val="nil"/>
                    <w:tr2bl w:val="nil"/>
                  </w:tcBorders>
                  <w:noWrap w:val="0"/>
                  <w:vAlign w:val="center"/>
                </w:tcPr>
                <w:p w14:paraId="45C8BA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7C0C82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91" w:hRule="atLeast"/>
              </w:trPr>
              <w:tc>
                <w:tcPr>
                  <w:tcW w:w="929" w:type="dxa"/>
                  <w:vMerge w:val="continue"/>
                  <w:tcBorders>
                    <w:tl2br w:val="nil"/>
                    <w:tr2bl w:val="nil"/>
                  </w:tcBorders>
                  <w:noWrap w:val="0"/>
                  <w:vAlign w:val="center"/>
                </w:tcPr>
                <w:p w14:paraId="628CF92F">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90" w:type="dxa"/>
                  <w:vMerge w:val="continue"/>
                  <w:tcBorders>
                    <w:tl2br w:val="nil"/>
                    <w:tr2bl w:val="nil"/>
                  </w:tcBorders>
                  <w:noWrap w:val="0"/>
                  <w:vAlign w:val="center"/>
                </w:tcPr>
                <w:p w14:paraId="79B2AF29">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86" w:type="dxa"/>
                  <w:vMerge w:val="continue"/>
                  <w:tcBorders>
                    <w:tl2br w:val="nil"/>
                    <w:tr2bl w:val="nil"/>
                  </w:tcBorders>
                  <w:noWrap w:val="0"/>
                  <w:vAlign w:val="center"/>
                </w:tcPr>
                <w:p w14:paraId="0AC9A4E1">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22" w:type="dxa"/>
                  <w:tcBorders>
                    <w:tl2br w:val="nil"/>
                    <w:tr2bl w:val="nil"/>
                  </w:tcBorders>
                  <w:noWrap w:val="0"/>
                  <w:vAlign w:val="center"/>
                </w:tcPr>
                <w:p w14:paraId="45E618EF">
                  <w:pPr>
                    <w:keepNext w:val="0"/>
                    <w:keepLines w:val="0"/>
                    <w:pageBreakBefore w:val="0"/>
                    <w:kinsoku/>
                    <w:wordWrap/>
                    <w:topLinePunct w:val="0"/>
                    <w:autoSpaceDE/>
                    <w:autoSpaceDN/>
                    <w:bidi w:val="0"/>
                    <w:spacing w:line="240" w:lineRule="auto"/>
                    <w:ind w:firstLine="0" w:firstLineChars="0"/>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cs="Times New Roman"/>
                      <w:color w:val="000000" w:themeColor="text1"/>
                      <w:sz w:val="21"/>
                      <w:szCs w:val="21"/>
                      <w:highlight w:val="none"/>
                      <w:lang w:eastAsia="zh-CN"/>
                      <w14:textFill>
                        <w14:solidFill>
                          <w14:schemeClr w14:val="tx1"/>
                        </w14:solidFill>
                      </w14:textFill>
                    </w:rPr>
                    <w:t>非甲烷总烃</w:t>
                  </w:r>
                </w:p>
              </w:tc>
              <w:tc>
                <w:tcPr>
                  <w:tcW w:w="895" w:type="dxa"/>
                  <w:tcBorders>
                    <w:tl2br w:val="nil"/>
                    <w:tr2bl w:val="nil"/>
                  </w:tcBorders>
                  <w:noWrap w:val="0"/>
                  <w:vAlign w:val="center"/>
                </w:tcPr>
                <w:p w14:paraId="486B3384">
                  <w:pPr>
                    <w:keepNext w:val="0"/>
                    <w:keepLines w:val="0"/>
                    <w:pageBreakBefore w:val="0"/>
                    <w:kinsoku/>
                    <w:wordWrap/>
                    <w:topLinePunct w:val="0"/>
                    <w:autoSpaceDE/>
                    <w:autoSpaceDN/>
                    <w:bidi w:val="0"/>
                    <w:spacing w:line="240" w:lineRule="auto"/>
                    <w:ind w:firstLine="0" w:firstLineChars="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日平均</w:t>
                  </w:r>
                </w:p>
              </w:tc>
              <w:tc>
                <w:tcPr>
                  <w:tcW w:w="832" w:type="dxa"/>
                  <w:tcBorders>
                    <w:tl2br w:val="nil"/>
                    <w:tr2bl w:val="nil"/>
                  </w:tcBorders>
                  <w:noWrap w:val="0"/>
                  <w:vAlign w:val="center"/>
                </w:tcPr>
                <w:p w14:paraId="2C571529">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2000</w:t>
                  </w:r>
                </w:p>
              </w:tc>
              <w:tc>
                <w:tcPr>
                  <w:tcW w:w="1120" w:type="dxa"/>
                  <w:tcBorders>
                    <w:tl2br w:val="nil"/>
                    <w:tr2bl w:val="nil"/>
                  </w:tcBorders>
                  <w:noWrap w:val="0"/>
                  <w:vAlign w:val="center"/>
                </w:tcPr>
                <w:p w14:paraId="14A5BAB1">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600-790</w:t>
                  </w:r>
                </w:p>
              </w:tc>
              <w:tc>
                <w:tcPr>
                  <w:tcW w:w="763" w:type="dxa"/>
                  <w:tcBorders>
                    <w:tl2br w:val="nil"/>
                    <w:tr2bl w:val="nil"/>
                  </w:tcBorders>
                  <w:noWrap w:val="0"/>
                  <w:vAlign w:val="center"/>
                </w:tcPr>
                <w:p w14:paraId="27699D4A">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39.5</w:t>
                  </w:r>
                </w:p>
              </w:tc>
              <w:tc>
                <w:tcPr>
                  <w:tcW w:w="514" w:type="dxa"/>
                  <w:tcBorders>
                    <w:tl2br w:val="nil"/>
                    <w:tr2bl w:val="nil"/>
                  </w:tcBorders>
                  <w:noWrap w:val="0"/>
                  <w:vAlign w:val="center"/>
                </w:tcPr>
                <w:p w14:paraId="5A94DEAD">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0</w:t>
                  </w:r>
                </w:p>
              </w:tc>
              <w:tc>
                <w:tcPr>
                  <w:tcW w:w="584" w:type="dxa"/>
                  <w:tcBorders>
                    <w:tl2br w:val="nil"/>
                    <w:tr2bl w:val="nil"/>
                  </w:tcBorders>
                  <w:noWrap w:val="0"/>
                  <w:vAlign w:val="center"/>
                </w:tcPr>
                <w:p w14:paraId="57B67E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1AC61C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91" w:hRule="atLeast"/>
              </w:trPr>
              <w:tc>
                <w:tcPr>
                  <w:tcW w:w="929" w:type="dxa"/>
                  <w:vMerge w:val="restart"/>
                  <w:tcBorders>
                    <w:tl2br w:val="nil"/>
                    <w:tr2bl w:val="nil"/>
                  </w:tcBorders>
                  <w:noWrap w:val="0"/>
                  <w:vAlign w:val="center"/>
                </w:tcPr>
                <w:p w14:paraId="2BB265DF">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厂址下风向2#</w:t>
                  </w:r>
                </w:p>
              </w:tc>
              <w:tc>
                <w:tcPr>
                  <w:tcW w:w="490" w:type="dxa"/>
                  <w:vMerge w:val="restart"/>
                  <w:tcBorders>
                    <w:tl2br w:val="nil"/>
                    <w:tr2bl w:val="nil"/>
                  </w:tcBorders>
                  <w:noWrap w:val="0"/>
                  <w:vAlign w:val="center"/>
                </w:tcPr>
                <w:p w14:paraId="0502AF5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128.925541631</w:t>
                  </w:r>
                </w:p>
              </w:tc>
              <w:tc>
                <w:tcPr>
                  <w:tcW w:w="586" w:type="dxa"/>
                  <w:vMerge w:val="restart"/>
                  <w:tcBorders>
                    <w:tl2br w:val="nil"/>
                    <w:tr2bl w:val="nil"/>
                  </w:tcBorders>
                  <w:noWrap w:val="0"/>
                  <w:vAlign w:val="center"/>
                </w:tcPr>
                <w:p w14:paraId="4627FA8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47.731943195</w:t>
                  </w:r>
                </w:p>
              </w:tc>
              <w:tc>
                <w:tcPr>
                  <w:tcW w:w="1022" w:type="dxa"/>
                  <w:tcBorders>
                    <w:tl2br w:val="nil"/>
                    <w:tr2bl w:val="nil"/>
                  </w:tcBorders>
                  <w:noWrap w:val="0"/>
                  <w:vAlign w:val="center"/>
                </w:tcPr>
                <w:p w14:paraId="49FA8BBA">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臭气浓度</w:t>
                  </w:r>
                </w:p>
              </w:tc>
              <w:tc>
                <w:tcPr>
                  <w:tcW w:w="895" w:type="dxa"/>
                  <w:tcBorders>
                    <w:tl2br w:val="nil"/>
                    <w:tr2bl w:val="nil"/>
                  </w:tcBorders>
                  <w:noWrap w:val="0"/>
                  <w:vAlign w:val="center"/>
                </w:tcPr>
                <w:p w14:paraId="055E7114">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1h平均</w:t>
                  </w:r>
                </w:p>
              </w:tc>
              <w:tc>
                <w:tcPr>
                  <w:tcW w:w="832" w:type="dxa"/>
                  <w:tcBorders>
                    <w:tl2br w:val="nil"/>
                    <w:tr2bl w:val="nil"/>
                  </w:tcBorders>
                  <w:noWrap w:val="0"/>
                  <w:vAlign w:val="center"/>
                </w:tcPr>
                <w:p w14:paraId="022B62E6">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1120" w:type="dxa"/>
                  <w:tcBorders>
                    <w:tl2br w:val="nil"/>
                    <w:tr2bl w:val="nil"/>
                  </w:tcBorders>
                  <w:noWrap w:val="0"/>
                  <w:vAlign w:val="center"/>
                </w:tcPr>
                <w:p w14:paraId="42EF6978">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10L</w:t>
                  </w:r>
                </w:p>
              </w:tc>
              <w:tc>
                <w:tcPr>
                  <w:tcW w:w="763" w:type="dxa"/>
                  <w:tcBorders>
                    <w:tl2br w:val="nil"/>
                    <w:tr2bl w:val="nil"/>
                  </w:tcBorders>
                  <w:noWrap w:val="0"/>
                  <w:vAlign w:val="center"/>
                </w:tcPr>
                <w:p w14:paraId="5087A36C">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514" w:type="dxa"/>
                  <w:tcBorders>
                    <w:tl2br w:val="nil"/>
                    <w:tr2bl w:val="nil"/>
                  </w:tcBorders>
                  <w:noWrap w:val="0"/>
                  <w:vAlign w:val="center"/>
                </w:tcPr>
                <w:p w14:paraId="5CE25E2F">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w:t>
                  </w:r>
                </w:p>
              </w:tc>
              <w:tc>
                <w:tcPr>
                  <w:tcW w:w="584" w:type="dxa"/>
                  <w:tcBorders>
                    <w:tl2br w:val="nil"/>
                    <w:tr2bl w:val="nil"/>
                  </w:tcBorders>
                  <w:noWrap w:val="0"/>
                  <w:vAlign w:val="center"/>
                </w:tcPr>
                <w:p w14:paraId="66BCD3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34972F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78" w:hRule="atLeast"/>
              </w:trPr>
              <w:tc>
                <w:tcPr>
                  <w:tcW w:w="929" w:type="dxa"/>
                  <w:vMerge w:val="continue"/>
                  <w:tcBorders>
                    <w:tl2br w:val="nil"/>
                    <w:tr2bl w:val="nil"/>
                  </w:tcBorders>
                  <w:noWrap w:val="0"/>
                  <w:vAlign w:val="center"/>
                </w:tcPr>
                <w:p w14:paraId="3CEB34D5">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90" w:type="dxa"/>
                  <w:vMerge w:val="continue"/>
                  <w:tcBorders>
                    <w:tl2br w:val="nil"/>
                    <w:tr2bl w:val="nil"/>
                  </w:tcBorders>
                  <w:noWrap w:val="0"/>
                  <w:vAlign w:val="center"/>
                </w:tcPr>
                <w:p w14:paraId="39564D47">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86" w:type="dxa"/>
                  <w:vMerge w:val="continue"/>
                  <w:tcBorders>
                    <w:tl2br w:val="nil"/>
                    <w:tr2bl w:val="nil"/>
                  </w:tcBorders>
                  <w:noWrap w:val="0"/>
                  <w:vAlign w:val="center"/>
                </w:tcPr>
                <w:p w14:paraId="6AA7C213">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22" w:type="dxa"/>
                  <w:tcBorders>
                    <w:tl2br w:val="nil"/>
                    <w:tr2bl w:val="nil"/>
                  </w:tcBorders>
                  <w:noWrap w:val="0"/>
                  <w:vAlign w:val="center"/>
                </w:tcPr>
                <w:p w14:paraId="5521705E">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氨</w:t>
                  </w:r>
                </w:p>
              </w:tc>
              <w:tc>
                <w:tcPr>
                  <w:tcW w:w="895" w:type="dxa"/>
                  <w:tcBorders>
                    <w:tl2br w:val="nil"/>
                    <w:tr2bl w:val="nil"/>
                  </w:tcBorders>
                  <w:noWrap w:val="0"/>
                  <w:vAlign w:val="center"/>
                </w:tcPr>
                <w:p w14:paraId="5A0694B1">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1h平均</w:t>
                  </w:r>
                </w:p>
              </w:tc>
              <w:tc>
                <w:tcPr>
                  <w:tcW w:w="832" w:type="dxa"/>
                  <w:tcBorders>
                    <w:tl2br w:val="nil"/>
                    <w:tr2bl w:val="nil"/>
                  </w:tcBorders>
                  <w:noWrap w:val="0"/>
                  <w:vAlign w:val="center"/>
                </w:tcPr>
                <w:p w14:paraId="308A2FBA">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200</w:t>
                  </w:r>
                </w:p>
              </w:tc>
              <w:tc>
                <w:tcPr>
                  <w:tcW w:w="1120" w:type="dxa"/>
                  <w:tcBorders>
                    <w:tl2br w:val="nil"/>
                    <w:tr2bl w:val="nil"/>
                  </w:tcBorders>
                  <w:noWrap w:val="0"/>
                  <w:vAlign w:val="center"/>
                </w:tcPr>
                <w:p w14:paraId="35696D5D">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30</w:t>
                  </w:r>
                </w:p>
              </w:tc>
              <w:tc>
                <w:tcPr>
                  <w:tcW w:w="763" w:type="dxa"/>
                  <w:tcBorders>
                    <w:tl2br w:val="nil"/>
                    <w:tr2bl w:val="nil"/>
                  </w:tcBorders>
                  <w:noWrap w:val="0"/>
                  <w:vAlign w:val="center"/>
                </w:tcPr>
                <w:p w14:paraId="2F54A872">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15</w:t>
                  </w:r>
                </w:p>
              </w:tc>
              <w:tc>
                <w:tcPr>
                  <w:tcW w:w="514" w:type="dxa"/>
                  <w:tcBorders>
                    <w:tl2br w:val="nil"/>
                    <w:tr2bl w:val="nil"/>
                  </w:tcBorders>
                  <w:noWrap w:val="0"/>
                  <w:vAlign w:val="center"/>
                </w:tcPr>
                <w:p w14:paraId="37C56DC0">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w:t>
                  </w:r>
                </w:p>
              </w:tc>
              <w:tc>
                <w:tcPr>
                  <w:tcW w:w="584" w:type="dxa"/>
                  <w:tcBorders>
                    <w:tl2br w:val="nil"/>
                    <w:tr2bl w:val="nil"/>
                  </w:tcBorders>
                  <w:noWrap w:val="0"/>
                  <w:vAlign w:val="center"/>
                </w:tcPr>
                <w:p w14:paraId="5CDA415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0D7ADE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91" w:hRule="atLeast"/>
              </w:trPr>
              <w:tc>
                <w:tcPr>
                  <w:tcW w:w="929" w:type="dxa"/>
                  <w:vMerge w:val="continue"/>
                  <w:tcBorders>
                    <w:tl2br w:val="nil"/>
                    <w:tr2bl w:val="nil"/>
                  </w:tcBorders>
                  <w:noWrap w:val="0"/>
                  <w:vAlign w:val="center"/>
                </w:tcPr>
                <w:p w14:paraId="39D9F0CD">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90" w:type="dxa"/>
                  <w:vMerge w:val="continue"/>
                  <w:tcBorders>
                    <w:tl2br w:val="nil"/>
                    <w:tr2bl w:val="nil"/>
                  </w:tcBorders>
                  <w:noWrap w:val="0"/>
                  <w:vAlign w:val="center"/>
                </w:tcPr>
                <w:p w14:paraId="6AE30339">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86" w:type="dxa"/>
                  <w:vMerge w:val="continue"/>
                  <w:tcBorders>
                    <w:tl2br w:val="nil"/>
                    <w:tr2bl w:val="nil"/>
                  </w:tcBorders>
                  <w:noWrap w:val="0"/>
                  <w:vAlign w:val="center"/>
                </w:tcPr>
                <w:p w14:paraId="7D6F7A5D">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22" w:type="dxa"/>
                  <w:tcBorders>
                    <w:tl2br w:val="nil"/>
                    <w:tr2bl w:val="nil"/>
                  </w:tcBorders>
                  <w:noWrap w:val="0"/>
                  <w:vAlign w:val="center"/>
                </w:tcPr>
                <w:p w14:paraId="0CA86E0E">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硫化氢</w:t>
                  </w:r>
                </w:p>
              </w:tc>
              <w:tc>
                <w:tcPr>
                  <w:tcW w:w="895" w:type="dxa"/>
                  <w:tcBorders>
                    <w:tl2br w:val="nil"/>
                    <w:tr2bl w:val="nil"/>
                  </w:tcBorders>
                  <w:noWrap w:val="0"/>
                  <w:vAlign w:val="center"/>
                </w:tcPr>
                <w:p w14:paraId="0E484713">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1h平均</w:t>
                  </w:r>
                </w:p>
              </w:tc>
              <w:tc>
                <w:tcPr>
                  <w:tcW w:w="832" w:type="dxa"/>
                  <w:tcBorders>
                    <w:tl2br w:val="nil"/>
                    <w:tr2bl w:val="nil"/>
                  </w:tcBorders>
                  <w:noWrap w:val="0"/>
                  <w:vAlign w:val="center"/>
                </w:tcPr>
                <w:p w14:paraId="39B76E45">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10</w:t>
                  </w:r>
                </w:p>
              </w:tc>
              <w:tc>
                <w:tcPr>
                  <w:tcW w:w="1120" w:type="dxa"/>
                  <w:tcBorders>
                    <w:tl2br w:val="nil"/>
                    <w:tr2bl w:val="nil"/>
                  </w:tcBorders>
                  <w:noWrap w:val="0"/>
                  <w:vAlign w:val="center"/>
                </w:tcPr>
                <w:p w14:paraId="02AB81F0">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1L</w:t>
                  </w:r>
                </w:p>
              </w:tc>
              <w:tc>
                <w:tcPr>
                  <w:tcW w:w="763" w:type="dxa"/>
                  <w:tcBorders>
                    <w:tl2br w:val="nil"/>
                    <w:tr2bl w:val="nil"/>
                  </w:tcBorders>
                  <w:noWrap w:val="0"/>
                  <w:vAlign w:val="center"/>
                </w:tcPr>
                <w:p w14:paraId="387F46C7">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514" w:type="dxa"/>
                  <w:tcBorders>
                    <w:tl2br w:val="nil"/>
                    <w:tr2bl w:val="nil"/>
                  </w:tcBorders>
                  <w:noWrap w:val="0"/>
                  <w:vAlign w:val="center"/>
                </w:tcPr>
                <w:p w14:paraId="642F3FFF">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w:t>
                  </w:r>
                </w:p>
              </w:tc>
              <w:tc>
                <w:tcPr>
                  <w:tcW w:w="584" w:type="dxa"/>
                  <w:tcBorders>
                    <w:tl2br w:val="nil"/>
                    <w:tr2bl w:val="nil"/>
                  </w:tcBorders>
                  <w:noWrap w:val="0"/>
                  <w:vAlign w:val="center"/>
                </w:tcPr>
                <w:p w14:paraId="1506A6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75C473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91" w:hRule="atLeast"/>
              </w:trPr>
              <w:tc>
                <w:tcPr>
                  <w:tcW w:w="929" w:type="dxa"/>
                  <w:vMerge w:val="continue"/>
                  <w:tcBorders>
                    <w:tl2br w:val="nil"/>
                    <w:tr2bl w:val="nil"/>
                  </w:tcBorders>
                  <w:noWrap w:val="0"/>
                  <w:vAlign w:val="center"/>
                </w:tcPr>
                <w:p w14:paraId="538FB166">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90" w:type="dxa"/>
                  <w:vMerge w:val="continue"/>
                  <w:tcBorders>
                    <w:tl2br w:val="nil"/>
                    <w:tr2bl w:val="nil"/>
                  </w:tcBorders>
                  <w:noWrap w:val="0"/>
                  <w:vAlign w:val="center"/>
                </w:tcPr>
                <w:p w14:paraId="2EAA1485">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86" w:type="dxa"/>
                  <w:vMerge w:val="continue"/>
                  <w:tcBorders>
                    <w:tl2br w:val="nil"/>
                    <w:tr2bl w:val="nil"/>
                  </w:tcBorders>
                  <w:noWrap w:val="0"/>
                  <w:vAlign w:val="center"/>
                </w:tcPr>
                <w:p w14:paraId="2DA8DC08">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22" w:type="dxa"/>
                  <w:vMerge w:val="restart"/>
                  <w:tcBorders>
                    <w:tl2br w:val="nil"/>
                    <w:tr2bl w:val="nil"/>
                  </w:tcBorders>
                  <w:noWrap w:val="0"/>
                  <w:vAlign w:val="center"/>
                </w:tcPr>
                <w:p w14:paraId="40A791AA">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氯化氢</w:t>
                  </w:r>
                </w:p>
              </w:tc>
              <w:tc>
                <w:tcPr>
                  <w:tcW w:w="895" w:type="dxa"/>
                  <w:tcBorders>
                    <w:tl2br w:val="nil"/>
                    <w:tr2bl w:val="nil"/>
                  </w:tcBorders>
                  <w:noWrap w:val="0"/>
                  <w:vAlign w:val="center"/>
                </w:tcPr>
                <w:p w14:paraId="1E267E21">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1h平均</w:t>
                  </w:r>
                </w:p>
              </w:tc>
              <w:tc>
                <w:tcPr>
                  <w:tcW w:w="832" w:type="dxa"/>
                  <w:tcBorders>
                    <w:tl2br w:val="nil"/>
                    <w:tr2bl w:val="nil"/>
                  </w:tcBorders>
                  <w:noWrap w:val="0"/>
                  <w:vAlign w:val="center"/>
                </w:tcPr>
                <w:p w14:paraId="039AAF92">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50</w:t>
                  </w:r>
                </w:p>
              </w:tc>
              <w:tc>
                <w:tcPr>
                  <w:tcW w:w="1120" w:type="dxa"/>
                  <w:tcBorders>
                    <w:tl2br w:val="nil"/>
                    <w:tr2bl w:val="nil"/>
                  </w:tcBorders>
                  <w:noWrap w:val="0"/>
                  <w:vAlign w:val="center"/>
                </w:tcPr>
                <w:p w14:paraId="25782A33">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20L</w:t>
                  </w:r>
                </w:p>
              </w:tc>
              <w:tc>
                <w:tcPr>
                  <w:tcW w:w="763" w:type="dxa"/>
                  <w:tcBorders>
                    <w:tl2br w:val="nil"/>
                    <w:tr2bl w:val="nil"/>
                  </w:tcBorders>
                  <w:noWrap w:val="0"/>
                  <w:vAlign w:val="center"/>
                </w:tcPr>
                <w:p w14:paraId="53E4EC6B">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514" w:type="dxa"/>
                  <w:tcBorders>
                    <w:tl2br w:val="nil"/>
                    <w:tr2bl w:val="nil"/>
                  </w:tcBorders>
                  <w:noWrap w:val="0"/>
                  <w:vAlign w:val="center"/>
                </w:tcPr>
                <w:p w14:paraId="62393E02">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w:t>
                  </w:r>
                </w:p>
              </w:tc>
              <w:tc>
                <w:tcPr>
                  <w:tcW w:w="584" w:type="dxa"/>
                  <w:tcBorders>
                    <w:tl2br w:val="nil"/>
                    <w:tr2bl w:val="nil"/>
                  </w:tcBorders>
                  <w:noWrap w:val="0"/>
                  <w:vAlign w:val="center"/>
                </w:tcPr>
                <w:p w14:paraId="665726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02AF2E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91" w:hRule="atLeast"/>
              </w:trPr>
              <w:tc>
                <w:tcPr>
                  <w:tcW w:w="929" w:type="dxa"/>
                  <w:vMerge w:val="continue"/>
                  <w:tcBorders>
                    <w:tl2br w:val="nil"/>
                    <w:tr2bl w:val="nil"/>
                  </w:tcBorders>
                  <w:noWrap w:val="0"/>
                  <w:vAlign w:val="center"/>
                </w:tcPr>
                <w:p w14:paraId="4406A7E2">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90" w:type="dxa"/>
                  <w:vMerge w:val="continue"/>
                  <w:tcBorders>
                    <w:tl2br w:val="nil"/>
                    <w:tr2bl w:val="nil"/>
                  </w:tcBorders>
                  <w:noWrap w:val="0"/>
                  <w:vAlign w:val="center"/>
                </w:tcPr>
                <w:p w14:paraId="58D1A862">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86" w:type="dxa"/>
                  <w:vMerge w:val="continue"/>
                  <w:tcBorders>
                    <w:tl2br w:val="nil"/>
                    <w:tr2bl w:val="nil"/>
                  </w:tcBorders>
                  <w:noWrap w:val="0"/>
                  <w:vAlign w:val="center"/>
                </w:tcPr>
                <w:p w14:paraId="470975ED">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22" w:type="dxa"/>
                  <w:vMerge w:val="continue"/>
                  <w:tcBorders>
                    <w:tl2br w:val="nil"/>
                    <w:tr2bl w:val="nil"/>
                  </w:tcBorders>
                  <w:noWrap w:val="0"/>
                  <w:vAlign w:val="center"/>
                </w:tcPr>
                <w:p w14:paraId="4EC24640">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95" w:type="dxa"/>
                  <w:tcBorders>
                    <w:tl2br w:val="nil"/>
                    <w:tr2bl w:val="nil"/>
                  </w:tcBorders>
                  <w:noWrap w:val="0"/>
                  <w:vAlign w:val="center"/>
                </w:tcPr>
                <w:p w14:paraId="1F06D7A7">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日平均</w:t>
                  </w:r>
                </w:p>
              </w:tc>
              <w:tc>
                <w:tcPr>
                  <w:tcW w:w="832" w:type="dxa"/>
                  <w:tcBorders>
                    <w:tl2br w:val="nil"/>
                    <w:tr2bl w:val="nil"/>
                  </w:tcBorders>
                  <w:noWrap w:val="0"/>
                  <w:vAlign w:val="center"/>
                </w:tcPr>
                <w:p w14:paraId="6F2BEA18">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15</w:t>
                  </w:r>
                </w:p>
              </w:tc>
              <w:tc>
                <w:tcPr>
                  <w:tcW w:w="1120" w:type="dxa"/>
                  <w:tcBorders>
                    <w:tl2br w:val="nil"/>
                    <w:tr2bl w:val="nil"/>
                  </w:tcBorders>
                  <w:noWrap w:val="0"/>
                  <w:vAlign w:val="center"/>
                </w:tcPr>
                <w:p w14:paraId="54599AE8">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20L</w:t>
                  </w:r>
                </w:p>
              </w:tc>
              <w:tc>
                <w:tcPr>
                  <w:tcW w:w="763" w:type="dxa"/>
                  <w:tcBorders>
                    <w:tl2br w:val="nil"/>
                    <w:tr2bl w:val="nil"/>
                  </w:tcBorders>
                  <w:noWrap w:val="0"/>
                  <w:vAlign w:val="center"/>
                </w:tcPr>
                <w:p w14:paraId="48E8FC9A">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514" w:type="dxa"/>
                  <w:tcBorders>
                    <w:tl2br w:val="nil"/>
                    <w:tr2bl w:val="nil"/>
                  </w:tcBorders>
                  <w:noWrap w:val="0"/>
                  <w:vAlign w:val="center"/>
                </w:tcPr>
                <w:p w14:paraId="546CE1DF">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w:t>
                  </w:r>
                </w:p>
              </w:tc>
              <w:tc>
                <w:tcPr>
                  <w:tcW w:w="584" w:type="dxa"/>
                  <w:tcBorders>
                    <w:tl2br w:val="nil"/>
                    <w:tr2bl w:val="nil"/>
                  </w:tcBorders>
                  <w:noWrap w:val="0"/>
                  <w:vAlign w:val="center"/>
                </w:tcPr>
                <w:p w14:paraId="5903B65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5EAEE3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91" w:hRule="atLeast"/>
              </w:trPr>
              <w:tc>
                <w:tcPr>
                  <w:tcW w:w="929" w:type="dxa"/>
                  <w:vMerge w:val="continue"/>
                  <w:tcBorders>
                    <w:tl2br w:val="nil"/>
                    <w:tr2bl w:val="nil"/>
                  </w:tcBorders>
                  <w:noWrap w:val="0"/>
                  <w:vAlign w:val="center"/>
                </w:tcPr>
                <w:p w14:paraId="1EA98A8A">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90" w:type="dxa"/>
                  <w:vMerge w:val="continue"/>
                  <w:tcBorders>
                    <w:tl2br w:val="nil"/>
                    <w:tr2bl w:val="nil"/>
                  </w:tcBorders>
                  <w:noWrap w:val="0"/>
                  <w:vAlign w:val="center"/>
                </w:tcPr>
                <w:p w14:paraId="5C47AF41">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86" w:type="dxa"/>
                  <w:vMerge w:val="continue"/>
                  <w:tcBorders>
                    <w:tl2br w:val="nil"/>
                    <w:tr2bl w:val="nil"/>
                  </w:tcBorders>
                  <w:noWrap w:val="0"/>
                  <w:vAlign w:val="center"/>
                </w:tcPr>
                <w:p w14:paraId="07133676">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22" w:type="dxa"/>
                  <w:tcBorders>
                    <w:tl2br w:val="nil"/>
                    <w:tr2bl w:val="nil"/>
                  </w:tcBorders>
                  <w:noWrap w:val="0"/>
                  <w:vAlign w:val="center"/>
                </w:tcPr>
                <w:p w14:paraId="723BF818">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cs="Times New Roman"/>
                      <w:color w:val="000000" w:themeColor="text1"/>
                      <w:sz w:val="21"/>
                      <w:szCs w:val="21"/>
                      <w:highlight w:val="none"/>
                      <w:lang w:eastAsia="zh-CN"/>
                      <w14:textFill>
                        <w14:solidFill>
                          <w14:schemeClr w14:val="tx1"/>
                        </w14:solidFill>
                      </w14:textFill>
                    </w:rPr>
                    <w:t>非甲烷总烃</w:t>
                  </w:r>
                </w:p>
              </w:tc>
              <w:tc>
                <w:tcPr>
                  <w:tcW w:w="895" w:type="dxa"/>
                  <w:tcBorders>
                    <w:tl2br w:val="nil"/>
                    <w:tr2bl w:val="nil"/>
                  </w:tcBorders>
                  <w:noWrap w:val="0"/>
                  <w:vAlign w:val="center"/>
                </w:tcPr>
                <w:p w14:paraId="08E3AFFC">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日平均</w:t>
                  </w:r>
                </w:p>
              </w:tc>
              <w:tc>
                <w:tcPr>
                  <w:tcW w:w="832" w:type="dxa"/>
                  <w:tcBorders>
                    <w:tl2br w:val="nil"/>
                    <w:tr2bl w:val="nil"/>
                  </w:tcBorders>
                  <w:noWrap w:val="0"/>
                  <w:vAlign w:val="center"/>
                </w:tcPr>
                <w:p w14:paraId="1AD3B348">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2000</w:t>
                  </w:r>
                </w:p>
              </w:tc>
              <w:tc>
                <w:tcPr>
                  <w:tcW w:w="1120" w:type="dxa"/>
                  <w:tcBorders>
                    <w:tl2br w:val="nil"/>
                    <w:tr2bl w:val="nil"/>
                  </w:tcBorders>
                  <w:noWrap w:val="0"/>
                  <w:vAlign w:val="center"/>
                </w:tcPr>
                <w:p w14:paraId="2D223B08">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600-790</w:t>
                  </w:r>
                </w:p>
              </w:tc>
              <w:tc>
                <w:tcPr>
                  <w:tcW w:w="763" w:type="dxa"/>
                  <w:tcBorders>
                    <w:tl2br w:val="nil"/>
                    <w:tr2bl w:val="nil"/>
                  </w:tcBorders>
                  <w:noWrap w:val="0"/>
                  <w:vAlign w:val="center"/>
                </w:tcPr>
                <w:p w14:paraId="1FF8FC04">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39.5</w:t>
                  </w:r>
                </w:p>
              </w:tc>
              <w:tc>
                <w:tcPr>
                  <w:tcW w:w="514" w:type="dxa"/>
                  <w:tcBorders>
                    <w:tl2br w:val="nil"/>
                    <w:tr2bl w:val="nil"/>
                  </w:tcBorders>
                  <w:noWrap w:val="0"/>
                  <w:vAlign w:val="center"/>
                </w:tcPr>
                <w:p w14:paraId="255F7A24">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cs="Times New Roman"/>
                      <w:color w:val="000000" w:themeColor="text1"/>
                      <w:sz w:val="21"/>
                      <w:szCs w:val="21"/>
                      <w:highlight w:val="none"/>
                      <w:lang w:eastAsia="zh-CN"/>
                      <w14:textFill>
                        <w14:solidFill>
                          <w14:schemeClr w14:val="tx1"/>
                        </w14:solidFill>
                      </w14:textFill>
                    </w:rPr>
                    <w:t>0</w:t>
                  </w:r>
                </w:p>
              </w:tc>
              <w:tc>
                <w:tcPr>
                  <w:tcW w:w="584" w:type="dxa"/>
                  <w:tcBorders>
                    <w:tl2br w:val="nil"/>
                    <w:tr2bl w:val="nil"/>
                  </w:tcBorders>
                  <w:noWrap w:val="0"/>
                  <w:vAlign w:val="center"/>
                </w:tcPr>
                <w:p w14:paraId="0EC609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39559F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91" w:hRule="atLeast"/>
              </w:trPr>
              <w:tc>
                <w:tcPr>
                  <w:tcW w:w="929" w:type="dxa"/>
                  <w:vMerge w:val="restart"/>
                  <w:tcBorders>
                    <w:tl2br w:val="nil"/>
                    <w:tr2bl w:val="nil"/>
                  </w:tcBorders>
                  <w:noWrap w:val="0"/>
                  <w:vAlign w:val="center"/>
                </w:tcPr>
                <w:p w14:paraId="07835518">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u w:val="none"/>
                      <w:lang w:eastAsia="zh-CN"/>
                      <w14:textFill>
                        <w14:solidFill>
                          <w14:schemeClr w14:val="tx1"/>
                        </w14:solidFill>
                      </w14:textFill>
                    </w:rPr>
                    <w:t>各点位平均值中最大值</w:t>
                  </w:r>
                </w:p>
              </w:tc>
              <w:tc>
                <w:tcPr>
                  <w:tcW w:w="490" w:type="dxa"/>
                  <w:vMerge w:val="restart"/>
                  <w:tcBorders>
                    <w:tl2br w:val="nil"/>
                    <w:tr2bl w:val="nil"/>
                  </w:tcBorders>
                  <w:noWrap w:val="0"/>
                  <w:vAlign w:val="center"/>
                </w:tcPr>
                <w:p w14:paraId="3DD2C80E">
                  <w:pPr>
                    <w:keepNext w:val="0"/>
                    <w:keepLines w:val="0"/>
                    <w:pageBreakBefore w:val="0"/>
                    <w:kinsoku/>
                    <w:wordWrap/>
                    <w:topLinePunct w:val="0"/>
                    <w:autoSpaceDE/>
                    <w:autoSpaceDN/>
                    <w:bidi w:val="0"/>
                    <w:spacing w:line="240" w:lineRule="auto"/>
                    <w:ind w:firstLine="0" w:firstLineChars="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586" w:type="dxa"/>
                  <w:vMerge w:val="restart"/>
                  <w:tcBorders>
                    <w:tl2br w:val="nil"/>
                    <w:tr2bl w:val="nil"/>
                  </w:tcBorders>
                  <w:noWrap w:val="0"/>
                  <w:vAlign w:val="center"/>
                </w:tcPr>
                <w:p w14:paraId="2FFAD0AD">
                  <w:pPr>
                    <w:keepNext w:val="0"/>
                    <w:keepLines w:val="0"/>
                    <w:pageBreakBefore w:val="0"/>
                    <w:kinsoku/>
                    <w:wordWrap/>
                    <w:topLinePunct w:val="0"/>
                    <w:autoSpaceDE/>
                    <w:autoSpaceDN/>
                    <w:bidi w:val="0"/>
                    <w:spacing w:line="240" w:lineRule="auto"/>
                    <w:ind w:firstLine="0" w:firstLineChars="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1022" w:type="dxa"/>
                  <w:tcBorders>
                    <w:tl2br w:val="nil"/>
                    <w:tr2bl w:val="nil"/>
                  </w:tcBorders>
                  <w:noWrap w:val="0"/>
                  <w:vAlign w:val="center"/>
                </w:tcPr>
                <w:p w14:paraId="2DD11311">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臭气浓度</w:t>
                  </w:r>
                </w:p>
              </w:tc>
              <w:tc>
                <w:tcPr>
                  <w:tcW w:w="895" w:type="dxa"/>
                  <w:tcBorders>
                    <w:tl2br w:val="nil"/>
                    <w:tr2bl w:val="nil"/>
                  </w:tcBorders>
                  <w:noWrap w:val="0"/>
                  <w:vAlign w:val="center"/>
                </w:tcPr>
                <w:p w14:paraId="231876B8">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1h平均</w:t>
                  </w:r>
                </w:p>
              </w:tc>
              <w:tc>
                <w:tcPr>
                  <w:tcW w:w="832" w:type="dxa"/>
                  <w:tcBorders>
                    <w:tl2br w:val="nil"/>
                    <w:tr2bl w:val="nil"/>
                  </w:tcBorders>
                  <w:noWrap w:val="0"/>
                  <w:vAlign w:val="center"/>
                </w:tcPr>
                <w:p w14:paraId="63C34050">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1120" w:type="dxa"/>
                  <w:tcBorders>
                    <w:tl2br w:val="nil"/>
                    <w:tr2bl w:val="nil"/>
                  </w:tcBorders>
                  <w:noWrap w:val="0"/>
                  <w:vAlign w:val="center"/>
                </w:tcPr>
                <w:p w14:paraId="01C6495D">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10L</w:t>
                  </w:r>
                </w:p>
              </w:tc>
              <w:tc>
                <w:tcPr>
                  <w:tcW w:w="763" w:type="dxa"/>
                  <w:tcBorders>
                    <w:tl2br w:val="nil"/>
                    <w:tr2bl w:val="nil"/>
                  </w:tcBorders>
                  <w:noWrap w:val="0"/>
                  <w:vAlign w:val="center"/>
                </w:tcPr>
                <w:p w14:paraId="34448FFF">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514" w:type="dxa"/>
                  <w:tcBorders>
                    <w:tl2br w:val="nil"/>
                    <w:tr2bl w:val="nil"/>
                  </w:tcBorders>
                  <w:noWrap w:val="0"/>
                  <w:vAlign w:val="center"/>
                </w:tcPr>
                <w:p w14:paraId="379216C3">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w:t>
                  </w:r>
                </w:p>
              </w:tc>
              <w:tc>
                <w:tcPr>
                  <w:tcW w:w="584" w:type="dxa"/>
                  <w:tcBorders>
                    <w:tl2br w:val="nil"/>
                    <w:tr2bl w:val="nil"/>
                  </w:tcBorders>
                  <w:noWrap w:val="0"/>
                  <w:vAlign w:val="center"/>
                </w:tcPr>
                <w:p w14:paraId="0B4F46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52F258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78" w:hRule="atLeast"/>
              </w:trPr>
              <w:tc>
                <w:tcPr>
                  <w:tcW w:w="929" w:type="dxa"/>
                  <w:vMerge w:val="continue"/>
                  <w:tcBorders>
                    <w:tl2br w:val="nil"/>
                    <w:tr2bl w:val="nil"/>
                  </w:tcBorders>
                  <w:noWrap w:val="0"/>
                  <w:vAlign w:val="center"/>
                </w:tcPr>
                <w:p w14:paraId="07F772C4">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90" w:type="dxa"/>
                  <w:vMerge w:val="continue"/>
                  <w:tcBorders>
                    <w:tl2br w:val="nil"/>
                    <w:tr2bl w:val="nil"/>
                  </w:tcBorders>
                  <w:noWrap w:val="0"/>
                  <w:vAlign w:val="center"/>
                </w:tcPr>
                <w:p w14:paraId="18450A0C">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86" w:type="dxa"/>
                  <w:vMerge w:val="continue"/>
                  <w:tcBorders>
                    <w:tl2br w:val="nil"/>
                    <w:tr2bl w:val="nil"/>
                  </w:tcBorders>
                  <w:noWrap w:val="0"/>
                  <w:vAlign w:val="center"/>
                </w:tcPr>
                <w:p w14:paraId="406095A9">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22" w:type="dxa"/>
                  <w:tcBorders>
                    <w:tl2br w:val="nil"/>
                    <w:tr2bl w:val="nil"/>
                  </w:tcBorders>
                  <w:noWrap w:val="0"/>
                  <w:vAlign w:val="center"/>
                </w:tcPr>
                <w:p w14:paraId="1FB2702D">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氨</w:t>
                  </w:r>
                </w:p>
              </w:tc>
              <w:tc>
                <w:tcPr>
                  <w:tcW w:w="895" w:type="dxa"/>
                  <w:tcBorders>
                    <w:tl2br w:val="nil"/>
                    <w:tr2bl w:val="nil"/>
                  </w:tcBorders>
                  <w:noWrap w:val="0"/>
                  <w:vAlign w:val="center"/>
                </w:tcPr>
                <w:p w14:paraId="1E2DBBDA">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1h平均</w:t>
                  </w:r>
                </w:p>
              </w:tc>
              <w:tc>
                <w:tcPr>
                  <w:tcW w:w="832" w:type="dxa"/>
                  <w:tcBorders>
                    <w:tl2br w:val="nil"/>
                    <w:tr2bl w:val="nil"/>
                  </w:tcBorders>
                  <w:noWrap w:val="0"/>
                  <w:vAlign w:val="center"/>
                </w:tcPr>
                <w:p w14:paraId="78D55DEA">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200</w:t>
                  </w:r>
                </w:p>
              </w:tc>
              <w:tc>
                <w:tcPr>
                  <w:tcW w:w="1120" w:type="dxa"/>
                  <w:tcBorders>
                    <w:tl2br w:val="nil"/>
                    <w:tr2bl w:val="nil"/>
                  </w:tcBorders>
                  <w:noWrap w:val="0"/>
                  <w:vAlign w:val="center"/>
                </w:tcPr>
                <w:p w14:paraId="47D04B79">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40</w:t>
                  </w:r>
                </w:p>
              </w:tc>
              <w:tc>
                <w:tcPr>
                  <w:tcW w:w="763" w:type="dxa"/>
                  <w:tcBorders>
                    <w:tl2br w:val="nil"/>
                    <w:tr2bl w:val="nil"/>
                  </w:tcBorders>
                  <w:noWrap w:val="0"/>
                  <w:vAlign w:val="center"/>
                </w:tcPr>
                <w:p w14:paraId="6A3088A0">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20</w:t>
                  </w:r>
                </w:p>
              </w:tc>
              <w:tc>
                <w:tcPr>
                  <w:tcW w:w="514" w:type="dxa"/>
                  <w:tcBorders>
                    <w:tl2br w:val="nil"/>
                    <w:tr2bl w:val="nil"/>
                  </w:tcBorders>
                  <w:noWrap w:val="0"/>
                  <w:vAlign w:val="center"/>
                </w:tcPr>
                <w:p w14:paraId="001C15DA">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w:t>
                  </w:r>
                </w:p>
              </w:tc>
              <w:tc>
                <w:tcPr>
                  <w:tcW w:w="584" w:type="dxa"/>
                  <w:tcBorders>
                    <w:tl2br w:val="nil"/>
                    <w:tr2bl w:val="nil"/>
                  </w:tcBorders>
                  <w:noWrap w:val="0"/>
                  <w:vAlign w:val="center"/>
                </w:tcPr>
                <w:p w14:paraId="2FCBAA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6CF899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929" w:type="dxa"/>
                  <w:vMerge w:val="continue"/>
                  <w:tcBorders>
                    <w:tl2br w:val="nil"/>
                    <w:tr2bl w:val="nil"/>
                  </w:tcBorders>
                  <w:noWrap w:val="0"/>
                  <w:vAlign w:val="center"/>
                </w:tcPr>
                <w:p w14:paraId="5FAA79AA">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90" w:type="dxa"/>
                  <w:vMerge w:val="continue"/>
                  <w:tcBorders>
                    <w:tl2br w:val="nil"/>
                    <w:tr2bl w:val="nil"/>
                  </w:tcBorders>
                  <w:noWrap w:val="0"/>
                  <w:vAlign w:val="center"/>
                </w:tcPr>
                <w:p w14:paraId="43CDDC3C">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86" w:type="dxa"/>
                  <w:vMerge w:val="continue"/>
                  <w:tcBorders>
                    <w:tl2br w:val="nil"/>
                    <w:tr2bl w:val="nil"/>
                  </w:tcBorders>
                  <w:noWrap w:val="0"/>
                  <w:vAlign w:val="center"/>
                </w:tcPr>
                <w:p w14:paraId="2C177B47">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22" w:type="dxa"/>
                  <w:tcBorders>
                    <w:tl2br w:val="nil"/>
                    <w:tr2bl w:val="nil"/>
                  </w:tcBorders>
                  <w:noWrap w:val="0"/>
                  <w:vAlign w:val="center"/>
                </w:tcPr>
                <w:p w14:paraId="403CCB80">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硫化氢</w:t>
                  </w:r>
                </w:p>
              </w:tc>
              <w:tc>
                <w:tcPr>
                  <w:tcW w:w="895" w:type="dxa"/>
                  <w:tcBorders>
                    <w:tl2br w:val="nil"/>
                    <w:tr2bl w:val="nil"/>
                  </w:tcBorders>
                  <w:noWrap w:val="0"/>
                  <w:vAlign w:val="center"/>
                </w:tcPr>
                <w:p w14:paraId="004BF802">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1h平均</w:t>
                  </w:r>
                </w:p>
              </w:tc>
              <w:tc>
                <w:tcPr>
                  <w:tcW w:w="832" w:type="dxa"/>
                  <w:tcBorders>
                    <w:tl2br w:val="nil"/>
                    <w:tr2bl w:val="nil"/>
                  </w:tcBorders>
                  <w:noWrap w:val="0"/>
                  <w:vAlign w:val="center"/>
                </w:tcPr>
                <w:p w14:paraId="6FD9F2B1">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10</w:t>
                  </w:r>
                </w:p>
              </w:tc>
              <w:tc>
                <w:tcPr>
                  <w:tcW w:w="1120" w:type="dxa"/>
                  <w:tcBorders>
                    <w:tl2br w:val="nil"/>
                    <w:tr2bl w:val="nil"/>
                  </w:tcBorders>
                  <w:noWrap w:val="0"/>
                  <w:vAlign w:val="center"/>
                </w:tcPr>
                <w:p w14:paraId="53F7E48C">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1L</w:t>
                  </w:r>
                </w:p>
              </w:tc>
              <w:tc>
                <w:tcPr>
                  <w:tcW w:w="763" w:type="dxa"/>
                  <w:tcBorders>
                    <w:tl2br w:val="nil"/>
                    <w:tr2bl w:val="nil"/>
                  </w:tcBorders>
                  <w:noWrap w:val="0"/>
                  <w:vAlign w:val="center"/>
                </w:tcPr>
                <w:p w14:paraId="7888651B">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514" w:type="dxa"/>
                  <w:tcBorders>
                    <w:tl2br w:val="nil"/>
                    <w:tr2bl w:val="nil"/>
                  </w:tcBorders>
                  <w:noWrap w:val="0"/>
                  <w:vAlign w:val="center"/>
                </w:tcPr>
                <w:p w14:paraId="6C3E57D5">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w:t>
                  </w:r>
                </w:p>
              </w:tc>
              <w:tc>
                <w:tcPr>
                  <w:tcW w:w="584" w:type="dxa"/>
                  <w:tcBorders>
                    <w:tl2br w:val="nil"/>
                    <w:tr2bl w:val="nil"/>
                  </w:tcBorders>
                  <w:noWrap w:val="0"/>
                  <w:vAlign w:val="center"/>
                </w:tcPr>
                <w:p w14:paraId="062ECA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7F269D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91" w:hRule="atLeast"/>
              </w:trPr>
              <w:tc>
                <w:tcPr>
                  <w:tcW w:w="929" w:type="dxa"/>
                  <w:vMerge w:val="continue"/>
                  <w:tcBorders>
                    <w:tl2br w:val="nil"/>
                    <w:tr2bl w:val="nil"/>
                  </w:tcBorders>
                  <w:noWrap w:val="0"/>
                  <w:vAlign w:val="center"/>
                </w:tcPr>
                <w:p w14:paraId="4000CC70">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90" w:type="dxa"/>
                  <w:vMerge w:val="continue"/>
                  <w:tcBorders>
                    <w:tl2br w:val="nil"/>
                    <w:tr2bl w:val="nil"/>
                  </w:tcBorders>
                  <w:noWrap w:val="0"/>
                  <w:vAlign w:val="center"/>
                </w:tcPr>
                <w:p w14:paraId="3504C8F4">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86" w:type="dxa"/>
                  <w:vMerge w:val="continue"/>
                  <w:tcBorders>
                    <w:tl2br w:val="nil"/>
                    <w:tr2bl w:val="nil"/>
                  </w:tcBorders>
                  <w:noWrap w:val="0"/>
                  <w:vAlign w:val="center"/>
                </w:tcPr>
                <w:p w14:paraId="00E20BB2">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22" w:type="dxa"/>
                  <w:vMerge w:val="restart"/>
                  <w:tcBorders>
                    <w:tl2br w:val="nil"/>
                    <w:tr2bl w:val="nil"/>
                  </w:tcBorders>
                  <w:noWrap w:val="0"/>
                  <w:vAlign w:val="center"/>
                </w:tcPr>
                <w:p w14:paraId="2F5E2829">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氯化氢</w:t>
                  </w:r>
                </w:p>
              </w:tc>
              <w:tc>
                <w:tcPr>
                  <w:tcW w:w="895" w:type="dxa"/>
                  <w:tcBorders>
                    <w:tl2br w:val="nil"/>
                    <w:tr2bl w:val="nil"/>
                  </w:tcBorders>
                  <w:noWrap w:val="0"/>
                  <w:vAlign w:val="center"/>
                </w:tcPr>
                <w:p w14:paraId="36466EB0">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1h平均</w:t>
                  </w:r>
                </w:p>
              </w:tc>
              <w:tc>
                <w:tcPr>
                  <w:tcW w:w="832" w:type="dxa"/>
                  <w:tcBorders>
                    <w:tl2br w:val="nil"/>
                    <w:tr2bl w:val="nil"/>
                  </w:tcBorders>
                  <w:noWrap w:val="0"/>
                  <w:vAlign w:val="center"/>
                </w:tcPr>
                <w:p w14:paraId="4F8B94F3">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50</w:t>
                  </w:r>
                </w:p>
              </w:tc>
              <w:tc>
                <w:tcPr>
                  <w:tcW w:w="1120" w:type="dxa"/>
                  <w:tcBorders>
                    <w:tl2br w:val="nil"/>
                    <w:tr2bl w:val="nil"/>
                  </w:tcBorders>
                  <w:noWrap w:val="0"/>
                  <w:vAlign w:val="center"/>
                </w:tcPr>
                <w:p w14:paraId="6384DB1A">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20L</w:t>
                  </w:r>
                </w:p>
              </w:tc>
              <w:tc>
                <w:tcPr>
                  <w:tcW w:w="763" w:type="dxa"/>
                  <w:tcBorders>
                    <w:tl2br w:val="nil"/>
                    <w:tr2bl w:val="nil"/>
                  </w:tcBorders>
                  <w:noWrap w:val="0"/>
                  <w:vAlign w:val="center"/>
                </w:tcPr>
                <w:p w14:paraId="2F681CB2">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514" w:type="dxa"/>
                  <w:tcBorders>
                    <w:tl2br w:val="nil"/>
                    <w:tr2bl w:val="nil"/>
                  </w:tcBorders>
                  <w:noWrap w:val="0"/>
                  <w:vAlign w:val="center"/>
                </w:tcPr>
                <w:p w14:paraId="29E8363B">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w:t>
                  </w:r>
                </w:p>
              </w:tc>
              <w:tc>
                <w:tcPr>
                  <w:tcW w:w="584" w:type="dxa"/>
                  <w:tcBorders>
                    <w:tl2br w:val="nil"/>
                    <w:tr2bl w:val="nil"/>
                  </w:tcBorders>
                  <w:noWrap w:val="0"/>
                  <w:vAlign w:val="center"/>
                </w:tcPr>
                <w:p w14:paraId="35D925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7E3A80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91" w:hRule="atLeast"/>
              </w:trPr>
              <w:tc>
                <w:tcPr>
                  <w:tcW w:w="929" w:type="dxa"/>
                  <w:vMerge w:val="continue"/>
                  <w:tcBorders>
                    <w:tl2br w:val="nil"/>
                    <w:tr2bl w:val="nil"/>
                  </w:tcBorders>
                  <w:noWrap w:val="0"/>
                  <w:vAlign w:val="center"/>
                </w:tcPr>
                <w:p w14:paraId="631A73B8">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90" w:type="dxa"/>
                  <w:vMerge w:val="continue"/>
                  <w:tcBorders>
                    <w:tl2br w:val="nil"/>
                    <w:tr2bl w:val="nil"/>
                  </w:tcBorders>
                  <w:noWrap w:val="0"/>
                  <w:vAlign w:val="center"/>
                </w:tcPr>
                <w:p w14:paraId="04446C5B">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86" w:type="dxa"/>
                  <w:vMerge w:val="continue"/>
                  <w:tcBorders>
                    <w:tl2br w:val="nil"/>
                    <w:tr2bl w:val="nil"/>
                  </w:tcBorders>
                  <w:noWrap w:val="0"/>
                  <w:vAlign w:val="center"/>
                </w:tcPr>
                <w:p w14:paraId="05460267">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22" w:type="dxa"/>
                  <w:vMerge w:val="continue"/>
                  <w:tcBorders>
                    <w:tl2br w:val="nil"/>
                    <w:tr2bl w:val="nil"/>
                  </w:tcBorders>
                  <w:noWrap w:val="0"/>
                  <w:vAlign w:val="center"/>
                </w:tcPr>
                <w:p w14:paraId="51F31EC9">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95" w:type="dxa"/>
                  <w:tcBorders>
                    <w:tl2br w:val="nil"/>
                    <w:tr2bl w:val="nil"/>
                  </w:tcBorders>
                  <w:noWrap w:val="0"/>
                  <w:vAlign w:val="center"/>
                </w:tcPr>
                <w:p w14:paraId="1DF999BB">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日平均</w:t>
                  </w:r>
                </w:p>
              </w:tc>
              <w:tc>
                <w:tcPr>
                  <w:tcW w:w="832" w:type="dxa"/>
                  <w:tcBorders>
                    <w:tl2br w:val="nil"/>
                    <w:tr2bl w:val="nil"/>
                  </w:tcBorders>
                  <w:noWrap w:val="0"/>
                  <w:vAlign w:val="center"/>
                </w:tcPr>
                <w:p w14:paraId="631E7FDA">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15</w:t>
                  </w:r>
                </w:p>
              </w:tc>
              <w:tc>
                <w:tcPr>
                  <w:tcW w:w="1120" w:type="dxa"/>
                  <w:tcBorders>
                    <w:tl2br w:val="nil"/>
                    <w:tr2bl w:val="nil"/>
                  </w:tcBorders>
                  <w:noWrap w:val="0"/>
                  <w:vAlign w:val="center"/>
                </w:tcPr>
                <w:p w14:paraId="48C81DCF">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20L</w:t>
                  </w:r>
                </w:p>
              </w:tc>
              <w:tc>
                <w:tcPr>
                  <w:tcW w:w="763" w:type="dxa"/>
                  <w:tcBorders>
                    <w:tl2br w:val="nil"/>
                    <w:tr2bl w:val="nil"/>
                  </w:tcBorders>
                  <w:noWrap w:val="0"/>
                  <w:vAlign w:val="center"/>
                </w:tcPr>
                <w:p w14:paraId="3DCAD3EF">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514" w:type="dxa"/>
                  <w:tcBorders>
                    <w:tl2br w:val="nil"/>
                    <w:tr2bl w:val="nil"/>
                  </w:tcBorders>
                  <w:noWrap w:val="0"/>
                  <w:vAlign w:val="center"/>
                </w:tcPr>
                <w:p w14:paraId="1B769869">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w:t>
                  </w:r>
                </w:p>
              </w:tc>
              <w:tc>
                <w:tcPr>
                  <w:tcW w:w="584" w:type="dxa"/>
                  <w:tcBorders>
                    <w:tl2br w:val="nil"/>
                    <w:tr2bl w:val="nil"/>
                  </w:tcBorders>
                  <w:noWrap w:val="0"/>
                  <w:vAlign w:val="center"/>
                </w:tcPr>
                <w:p w14:paraId="37BF55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2A444E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91" w:hRule="atLeast"/>
              </w:trPr>
              <w:tc>
                <w:tcPr>
                  <w:tcW w:w="929" w:type="dxa"/>
                  <w:vMerge w:val="continue"/>
                  <w:tcBorders>
                    <w:tl2br w:val="nil"/>
                    <w:tr2bl w:val="nil"/>
                  </w:tcBorders>
                  <w:noWrap w:val="0"/>
                  <w:vAlign w:val="center"/>
                </w:tcPr>
                <w:p w14:paraId="6D1BCBB5">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90" w:type="dxa"/>
                  <w:vMerge w:val="continue"/>
                  <w:tcBorders>
                    <w:tl2br w:val="nil"/>
                    <w:tr2bl w:val="nil"/>
                  </w:tcBorders>
                  <w:noWrap w:val="0"/>
                  <w:vAlign w:val="center"/>
                </w:tcPr>
                <w:p w14:paraId="06DA0D4A">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86" w:type="dxa"/>
                  <w:vMerge w:val="continue"/>
                  <w:tcBorders>
                    <w:tl2br w:val="nil"/>
                    <w:tr2bl w:val="nil"/>
                  </w:tcBorders>
                  <w:noWrap w:val="0"/>
                  <w:vAlign w:val="center"/>
                </w:tcPr>
                <w:p w14:paraId="54B62EFD">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22" w:type="dxa"/>
                  <w:tcBorders>
                    <w:tl2br w:val="nil"/>
                    <w:tr2bl w:val="nil"/>
                  </w:tcBorders>
                  <w:noWrap w:val="0"/>
                  <w:vAlign w:val="center"/>
                </w:tcPr>
                <w:p w14:paraId="5F0D04EC">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cs="Times New Roman"/>
                      <w:color w:val="000000" w:themeColor="text1"/>
                      <w:sz w:val="21"/>
                      <w:szCs w:val="21"/>
                      <w:highlight w:val="none"/>
                      <w:lang w:eastAsia="zh-CN"/>
                      <w14:textFill>
                        <w14:solidFill>
                          <w14:schemeClr w14:val="tx1"/>
                        </w14:solidFill>
                      </w14:textFill>
                    </w:rPr>
                    <w:t>非甲烷总烃</w:t>
                  </w:r>
                </w:p>
              </w:tc>
              <w:tc>
                <w:tcPr>
                  <w:tcW w:w="895" w:type="dxa"/>
                  <w:tcBorders>
                    <w:tl2br w:val="nil"/>
                    <w:tr2bl w:val="nil"/>
                  </w:tcBorders>
                  <w:noWrap w:val="0"/>
                  <w:vAlign w:val="center"/>
                </w:tcPr>
                <w:p w14:paraId="54D27967">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日平均</w:t>
                  </w:r>
                </w:p>
              </w:tc>
              <w:tc>
                <w:tcPr>
                  <w:tcW w:w="832" w:type="dxa"/>
                  <w:tcBorders>
                    <w:tl2br w:val="nil"/>
                    <w:tr2bl w:val="nil"/>
                  </w:tcBorders>
                  <w:noWrap w:val="0"/>
                  <w:vAlign w:val="center"/>
                </w:tcPr>
                <w:p w14:paraId="6CAC5053">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2000</w:t>
                  </w:r>
                </w:p>
              </w:tc>
              <w:tc>
                <w:tcPr>
                  <w:tcW w:w="1120" w:type="dxa"/>
                  <w:tcBorders>
                    <w:tl2br w:val="nil"/>
                    <w:tr2bl w:val="nil"/>
                  </w:tcBorders>
                  <w:noWrap w:val="0"/>
                  <w:vAlign w:val="center"/>
                </w:tcPr>
                <w:p w14:paraId="43542743">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790</w:t>
                  </w:r>
                </w:p>
              </w:tc>
              <w:tc>
                <w:tcPr>
                  <w:tcW w:w="763" w:type="dxa"/>
                  <w:tcBorders>
                    <w:tl2br w:val="nil"/>
                    <w:tr2bl w:val="nil"/>
                  </w:tcBorders>
                  <w:noWrap w:val="0"/>
                  <w:vAlign w:val="center"/>
                </w:tcPr>
                <w:p w14:paraId="330886FC">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cs="Times New Roman"/>
                      <w:color w:val="000000" w:themeColor="text1"/>
                      <w:sz w:val="21"/>
                      <w:szCs w:val="21"/>
                      <w:highlight w:val="none"/>
                      <w:lang w:val="en-US" w:eastAsia="zh-CN"/>
                      <w14:textFill>
                        <w14:solidFill>
                          <w14:schemeClr w14:val="tx1"/>
                        </w14:solidFill>
                      </w14:textFill>
                    </w:rPr>
                    <w:t>39.5</w:t>
                  </w:r>
                </w:p>
              </w:tc>
              <w:tc>
                <w:tcPr>
                  <w:tcW w:w="514" w:type="dxa"/>
                  <w:tcBorders>
                    <w:tl2br w:val="nil"/>
                    <w:tr2bl w:val="nil"/>
                  </w:tcBorders>
                  <w:noWrap w:val="0"/>
                  <w:vAlign w:val="center"/>
                </w:tcPr>
                <w:p w14:paraId="78227A96">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cs="Times New Roman"/>
                      <w:color w:val="000000" w:themeColor="text1"/>
                      <w:sz w:val="21"/>
                      <w:szCs w:val="21"/>
                      <w:highlight w:val="none"/>
                      <w:lang w:eastAsia="zh-CN"/>
                      <w14:textFill>
                        <w14:solidFill>
                          <w14:schemeClr w14:val="tx1"/>
                        </w14:solidFill>
                      </w14:textFill>
                    </w:rPr>
                    <w:t>0</w:t>
                  </w:r>
                </w:p>
              </w:tc>
              <w:tc>
                <w:tcPr>
                  <w:tcW w:w="584" w:type="dxa"/>
                  <w:tcBorders>
                    <w:tl2br w:val="nil"/>
                    <w:tr2bl w:val="nil"/>
                  </w:tcBorders>
                  <w:noWrap w:val="0"/>
                  <w:vAlign w:val="center"/>
                </w:tcPr>
                <w:p w14:paraId="33D4BA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bl>
          <w:p w14:paraId="67895838">
            <w:pPr>
              <w:keepNext w:val="0"/>
              <w:keepLines w:val="0"/>
              <w:pageBreakBefore w:val="0"/>
              <w:widowControl w:val="0"/>
              <w:numPr>
                <w:ilvl w:val="0"/>
                <w:numId w:val="0"/>
              </w:numPr>
              <w:kinsoku/>
              <w:wordWrap/>
              <w:overflowPunct/>
              <w:topLinePunct w:val="0"/>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highlight w:val="none"/>
                <w:u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2、一类区环境质量现状补充监测</w:t>
            </w:r>
          </w:p>
          <w:p w14:paraId="3C19D926">
            <w:pPr>
              <w:keepNext w:val="0"/>
              <w:keepLines w:val="0"/>
              <w:pageBreakBefore w:val="0"/>
              <w:widowControl w:val="0"/>
              <w:numPr>
                <w:ilvl w:val="0"/>
                <w:numId w:val="0"/>
              </w:numPr>
              <w:kinsoku/>
              <w:wordWrap/>
              <w:overflowPunct/>
              <w:topLinePunct w:val="0"/>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highlight w:val="none"/>
                <w:u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u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u w:val="none"/>
                <w:lang w:eastAsia="zh-CN"/>
                <w14:textFill>
                  <w14:solidFill>
                    <w14:schemeClr w14:val="tx1"/>
                  </w14:solidFill>
                </w14:textFill>
              </w:rPr>
              <w:t>）监测因子</w:t>
            </w:r>
          </w:p>
          <w:p w14:paraId="492EDFEF">
            <w:pPr>
              <w:keepNext w:val="0"/>
              <w:keepLines w:val="0"/>
              <w:pageBreakBefore w:val="0"/>
              <w:widowControl w:val="0"/>
              <w:numPr>
                <w:ilvl w:val="0"/>
                <w:numId w:val="0"/>
              </w:numPr>
              <w:kinsoku/>
              <w:wordWrap/>
              <w:overflowPunct/>
              <w:topLinePunct w:val="0"/>
              <w:bidi w:val="0"/>
              <w:adjustRightInd/>
              <w:snapToGrid/>
              <w:spacing w:line="360" w:lineRule="auto"/>
              <w:ind w:firstLine="480" w:firstLineChars="200"/>
              <w:jc w:val="both"/>
              <w:textAlignment w:val="auto"/>
              <w:rPr>
                <w:rFonts w:hint="default" w:ascii="Times New Roman" w:hAnsi="Times New Roman" w:eastAsia="宋体" w:cs="Times New Roman"/>
                <w:snapToGrid w:val="0"/>
                <w:color w:val="000000" w:themeColor="text1"/>
                <w:highlight w:val="none"/>
                <w:u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u w:val="none"/>
                <w:lang w:eastAsia="zh-CN"/>
                <w14:textFill>
                  <w14:solidFill>
                    <w14:schemeClr w14:val="tx1"/>
                  </w14:solidFill>
                </w14:textFill>
              </w:rPr>
              <w:t>特征污染物有</w:t>
            </w:r>
            <w:r>
              <w:rPr>
                <w:rFonts w:hint="default" w:ascii="Times New Roman" w:hAnsi="Times New Roman" w:cs="Times New Roman"/>
                <w:color w:val="000000" w:themeColor="text1"/>
                <w:sz w:val="24"/>
                <w:highlight w:val="none"/>
                <w:lang w:val="en-US" w:eastAsia="zh-CN"/>
                <w14:textFill>
                  <w14:solidFill>
                    <w14:schemeClr w14:val="tx1"/>
                  </w14:solidFill>
                </w14:textFill>
              </w:rPr>
              <w:t>氨、硫化氢、氯化氢、臭气浓度、</w:t>
            </w:r>
            <w:r>
              <w:rPr>
                <w:rFonts w:hint="eastAsia" w:ascii="Times New Roman"/>
                <w:color w:val="000000" w:themeColor="text1"/>
                <w:szCs w:val="24"/>
                <w:highlight w:val="none"/>
                <w14:textFill>
                  <w14:solidFill>
                    <w14:schemeClr w14:val="tx1"/>
                  </w14:solidFill>
                </w14:textFill>
              </w:rPr>
              <w:t>非甲烷总烃</w:t>
            </w:r>
            <w:r>
              <w:rPr>
                <w:rFonts w:hint="eastAsia" w:ascii="Times New Roman"/>
                <w:color w:val="000000" w:themeColor="text1"/>
                <w:szCs w:val="24"/>
                <w:highlight w:val="none"/>
                <w:lang w:eastAsia="zh-CN"/>
                <w14:textFill>
                  <w14:solidFill>
                    <w14:schemeClr w14:val="tx1"/>
                  </w14:solidFill>
                </w14:textFill>
              </w:rPr>
              <w:t>，</w:t>
            </w:r>
            <w:r>
              <w:rPr>
                <w:rFonts w:hint="eastAsia" w:ascii="Times New Roman"/>
                <w:color w:val="000000" w:themeColor="text1"/>
                <w:szCs w:val="24"/>
                <w:highlight w:val="none"/>
                <w:lang w:val="en-US" w:eastAsia="zh-CN"/>
                <w14:textFill>
                  <w14:solidFill>
                    <w14:schemeClr w14:val="tx1"/>
                  </w14:solidFill>
                </w14:textFill>
              </w:rPr>
              <w:t>基本监测因子</w:t>
            </w:r>
            <w:r>
              <w:rPr>
                <w:rFonts w:hint="default" w:ascii="Times New Roman" w:hAnsi="Times New Roman" w:cs="Times New Roman"/>
                <w:color w:val="000000" w:themeColor="text1"/>
                <w:sz w:val="24"/>
                <w:szCs w:val="24"/>
                <w:highlight w:val="none"/>
                <w:u w:val="none"/>
                <w14:textFill>
                  <w14:solidFill>
                    <w14:schemeClr w14:val="tx1"/>
                  </w14:solidFill>
                </w14:textFill>
              </w:rPr>
              <w:t>SO</w:t>
            </w:r>
            <w:r>
              <w:rPr>
                <w:rFonts w:hint="default" w:ascii="Times New Roman" w:hAnsi="Times New Roman" w:cs="Times New Roman"/>
                <w:color w:val="000000" w:themeColor="text1"/>
                <w:sz w:val="24"/>
                <w:szCs w:val="24"/>
                <w:highlight w:val="none"/>
                <w:u w:val="none"/>
                <w:vertAlign w:val="subscript"/>
                <w14:textFill>
                  <w14:solidFill>
                    <w14:schemeClr w14:val="tx1"/>
                  </w14:solidFill>
                </w14:textFill>
              </w:rPr>
              <w:t>2</w:t>
            </w:r>
            <w:r>
              <w:rPr>
                <w:rFonts w:hint="default" w:ascii="Times New Roman" w:hAnsi="Times New Roman" w:cs="Times New Roman"/>
                <w:color w:val="000000" w:themeColor="text1"/>
                <w:sz w:val="24"/>
                <w:szCs w:val="24"/>
                <w:highlight w:val="none"/>
                <w:u w:val="none"/>
                <w14:textFill>
                  <w14:solidFill>
                    <w14:schemeClr w14:val="tx1"/>
                  </w14:solidFill>
                </w14:textFill>
              </w:rPr>
              <w:t>、NO</w:t>
            </w:r>
            <w:r>
              <w:rPr>
                <w:rFonts w:hint="default" w:ascii="Times New Roman" w:hAnsi="Times New Roman" w:cs="Times New Roman"/>
                <w:color w:val="000000" w:themeColor="text1"/>
                <w:sz w:val="24"/>
                <w:szCs w:val="24"/>
                <w:highlight w:val="none"/>
                <w:u w:val="none"/>
                <w:vertAlign w:val="subscript"/>
                <w14:textFill>
                  <w14:solidFill>
                    <w14:schemeClr w14:val="tx1"/>
                  </w14:solidFill>
                </w14:textFill>
              </w:rPr>
              <w:t>2</w:t>
            </w:r>
            <w:r>
              <w:rPr>
                <w:rFonts w:hint="default" w:ascii="Times New Roman" w:hAnsi="Times New Roman" w:cs="Times New Roman"/>
                <w:color w:val="000000" w:themeColor="text1"/>
                <w:sz w:val="24"/>
                <w:szCs w:val="24"/>
                <w:highlight w:val="none"/>
                <w:u w:val="none"/>
                <w14:textFill>
                  <w14:solidFill>
                    <w14:schemeClr w14:val="tx1"/>
                  </w14:solidFill>
                </w14:textFill>
              </w:rPr>
              <w:t>、PM</w:t>
            </w:r>
            <w:r>
              <w:rPr>
                <w:rFonts w:hint="default" w:ascii="Times New Roman" w:hAnsi="Times New Roman" w:cs="Times New Roman"/>
                <w:color w:val="000000" w:themeColor="text1"/>
                <w:sz w:val="24"/>
                <w:szCs w:val="24"/>
                <w:highlight w:val="none"/>
                <w:u w:val="none"/>
                <w:vertAlign w:val="subscript"/>
                <w14:textFill>
                  <w14:solidFill>
                    <w14:schemeClr w14:val="tx1"/>
                  </w14:solidFill>
                </w14:textFill>
              </w:rPr>
              <w:t>2.5</w:t>
            </w:r>
            <w:r>
              <w:rPr>
                <w:rFonts w:hint="default" w:ascii="Times New Roman" w:hAnsi="Times New Roman" w:cs="Times New Roman"/>
                <w:color w:val="000000" w:themeColor="text1"/>
                <w:sz w:val="24"/>
                <w:szCs w:val="24"/>
                <w:highlight w:val="none"/>
                <w:u w:val="none"/>
                <w14:textFill>
                  <w14:solidFill>
                    <w14:schemeClr w14:val="tx1"/>
                  </w14:solidFill>
                </w14:textFill>
              </w:rPr>
              <w:t>、PM</w:t>
            </w:r>
            <w:r>
              <w:rPr>
                <w:rFonts w:hint="default" w:ascii="Times New Roman" w:hAnsi="Times New Roman" w:cs="Times New Roman"/>
                <w:color w:val="000000" w:themeColor="text1"/>
                <w:sz w:val="24"/>
                <w:szCs w:val="24"/>
                <w:highlight w:val="none"/>
                <w:u w:val="none"/>
                <w:vertAlign w:val="subscript"/>
                <w14:textFill>
                  <w14:solidFill>
                    <w14:schemeClr w14:val="tx1"/>
                  </w14:solidFill>
                </w14:textFill>
              </w:rPr>
              <w:t>10</w:t>
            </w:r>
            <w:r>
              <w:rPr>
                <w:rFonts w:hint="default" w:ascii="Times New Roman" w:hAnsi="Times New Roman" w:cs="Times New Roman"/>
                <w:color w:val="000000" w:themeColor="text1"/>
                <w:sz w:val="24"/>
                <w:szCs w:val="24"/>
                <w:highlight w:val="none"/>
                <w:u w:val="none"/>
                <w14:textFill>
                  <w14:solidFill>
                    <w14:schemeClr w14:val="tx1"/>
                  </w14:solidFill>
                </w14:textFill>
              </w:rPr>
              <w:t>、CO、O</w:t>
            </w:r>
            <w:r>
              <w:rPr>
                <w:rFonts w:hint="default" w:ascii="Times New Roman" w:hAnsi="Times New Roman" w:cs="Times New Roman"/>
                <w:color w:val="000000" w:themeColor="text1"/>
                <w:sz w:val="24"/>
                <w:szCs w:val="24"/>
                <w:highlight w:val="none"/>
                <w:u w:val="none"/>
                <w:vertAlign w:val="subscript"/>
                <w14:textFill>
                  <w14:solidFill>
                    <w14:schemeClr w14:val="tx1"/>
                  </w14:solidFill>
                </w14:textFill>
              </w:rPr>
              <w:t>3</w:t>
            </w:r>
            <w:r>
              <w:rPr>
                <w:rFonts w:hint="default" w:ascii="Times New Roman" w:hAnsi="Times New Roman" w:eastAsia="宋体" w:cs="Times New Roman"/>
                <w:snapToGrid w:val="0"/>
                <w:color w:val="000000" w:themeColor="text1"/>
                <w:highlight w:val="none"/>
                <w:u w:val="none"/>
                <w:lang w:eastAsia="zh-CN"/>
                <w14:textFill>
                  <w14:solidFill>
                    <w14:schemeClr w14:val="tx1"/>
                  </w14:solidFill>
                </w14:textFill>
              </w:rPr>
              <w:t>。</w:t>
            </w:r>
          </w:p>
          <w:p w14:paraId="1D42BC86">
            <w:pPr>
              <w:pStyle w:val="35"/>
              <w:keepNext w:val="0"/>
              <w:keepLines w:val="0"/>
              <w:pageBreakBefore w:val="0"/>
              <w:widowControl w:val="0"/>
              <w:kinsoku/>
              <w:wordWrap/>
              <w:overflowPunct/>
              <w:topLinePunct w:val="0"/>
              <w:bidi w:val="0"/>
              <w:adjustRightInd/>
              <w:snapToGrid/>
              <w:spacing w:beforeLines="0" w:afterLines="0" w:line="360" w:lineRule="auto"/>
              <w:ind w:firstLine="480" w:firstLineChars="200"/>
              <w:textAlignment w:val="auto"/>
              <w:rPr>
                <w:rFonts w:hint="default" w:ascii="Times New Roman" w:hAnsi="Times New Roman" w:eastAsia="宋体" w:cs="Times New Roman"/>
                <w:snapToGrid w:val="0"/>
                <w:color w:val="000000" w:themeColor="text1"/>
                <w:highlight w:val="none"/>
                <w:u w:val="none"/>
                <w:lang w:eastAsia="zh-CN"/>
                <w14:textFill>
                  <w14:solidFill>
                    <w14:schemeClr w14:val="tx1"/>
                  </w14:solidFill>
                </w14:textFill>
              </w:rPr>
            </w:pPr>
            <w:r>
              <w:rPr>
                <w:rFonts w:hint="default" w:ascii="Times New Roman" w:hAnsi="Times New Roman" w:eastAsia="宋体" w:cs="Times New Roman"/>
                <w:snapToGrid w:val="0"/>
                <w:color w:val="000000" w:themeColor="text1"/>
                <w:highlight w:val="none"/>
                <w:u w:val="none"/>
                <w:lang w:eastAsia="zh-CN"/>
                <w14:textFill>
                  <w14:solidFill>
                    <w14:schemeClr w14:val="tx1"/>
                  </w14:solidFill>
                </w14:textFill>
              </w:rPr>
              <w:t>（</w:t>
            </w:r>
            <w:r>
              <w:rPr>
                <w:rFonts w:hint="default" w:ascii="Times New Roman" w:hAnsi="Times New Roman" w:eastAsia="宋体" w:cs="Times New Roman"/>
                <w:snapToGrid w:val="0"/>
                <w:color w:val="000000" w:themeColor="text1"/>
                <w:highlight w:val="none"/>
                <w:u w:val="none"/>
                <w:lang w:val="en-US" w:eastAsia="zh-CN"/>
                <w14:textFill>
                  <w14:solidFill>
                    <w14:schemeClr w14:val="tx1"/>
                  </w14:solidFill>
                </w14:textFill>
              </w:rPr>
              <w:t>2</w:t>
            </w:r>
            <w:r>
              <w:rPr>
                <w:rFonts w:hint="default" w:ascii="Times New Roman" w:hAnsi="Times New Roman" w:eastAsia="宋体" w:cs="Times New Roman"/>
                <w:snapToGrid w:val="0"/>
                <w:color w:val="000000" w:themeColor="text1"/>
                <w:highlight w:val="none"/>
                <w:u w:val="none"/>
                <w:lang w:eastAsia="zh-CN"/>
                <w14:textFill>
                  <w14:solidFill>
                    <w14:schemeClr w14:val="tx1"/>
                  </w14:solidFill>
                </w14:textFill>
              </w:rPr>
              <w:t>）监测点位</w:t>
            </w:r>
          </w:p>
          <w:p w14:paraId="3BCA9A7A">
            <w:pPr>
              <w:pStyle w:val="35"/>
              <w:keepNext w:val="0"/>
              <w:keepLines w:val="0"/>
              <w:pageBreakBefore w:val="0"/>
              <w:widowControl w:val="0"/>
              <w:kinsoku/>
              <w:wordWrap/>
              <w:overflowPunct/>
              <w:topLinePunct w:val="0"/>
              <w:bidi w:val="0"/>
              <w:adjustRightInd/>
              <w:snapToGrid/>
              <w:spacing w:beforeLines="0" w:afterLines="0" w:line="360" w:lineRule="auto"/>
              <w:ind w:firstLine="480" w:firstLineChars="200"/>
              <w:jc w:val="both"/>
              <w:textAlignment w:val="auto"/>
              <w:rPr>
                <w:rFonts w:hint="default" w:ascii="Times New Roman" w:hAnsi="Times New Roman" w:eastAsia="仿宋_GB2312" w:cs="Times New Roman"/>
                <w:color w:val="000000" w:themeColor="text1"/>
                <w:sz w:val="24"/>
                <w:szCs w:val="24"/>
                <w:highlight w:val="none"/>
                <w:u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u w:val="none"/>
                <w:lang w:eastAsia="zh-CN"/>
                <w14:textFill>
                  <w14:solidFill>
                    <w14:schemeClr w14:val="tx1"/>
                  </w14:solidFill>
                </w14:textFill>
              </w:rPr>
              <w:t>根据</w:t>
            </w:r>
            <w:r>
              <w:rPr>
                <w:rFonts w:hint="default" w:ascii="Times New Roman" w:hAnsi="Times New Roman" w:eastAsia="宋体" w:cs="Times New Roman"/>
                <w:color w:val="000000" w:themeColor="text1"/>
                <w:sz w:val="24"/>
                <w:szCs w:val="24"/>
                <w:highlight w:val="none"/>
                <w:u w:val="none"/>
                <w14:textFill>
                  <w14:solidFill>
                    <w14:schemeClr w14:val="tx1"/>
                  </w14:solidFill>
                </w14:textFill>
              </w:rPr>
              <w:t>《环境影响评价技术导则 大气环境》（HJ2.2-20</w:t>
            </w:r>
            <w:r>
              <w:rPr>
                <w:rFonts w:hint="default"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18</w:t>
            </w:r>
            <w:r>
              <w:rPr>
                <w:rFonts w:hint="default" w:ascii="Times New Roman" w:hAnsi="Times New Roman" w:eastAsia="宋体" w:cs="Times New Roman"/>
                <w:color w:val="000000" w:themeColor="text1"/>
                <w:sz w:val="24"/>
                <w:szCs w:val="24"/>
                <w:highlight w:val="none"/>
                <w:u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u w:val="none"/>
                <w:lang w:eastAsia="zh-CN"/>
                <w14:textFill>
                  <w14:solidFill>
                    <w14:schemeClr w14:val="tx1"/>
                  </w14:solidFill>
                </w14:textFill>
              </w:rPr>
              <w:t>要求，如需在一类区进行补充监测，监测点应设置在不受人为活动影响的区域，本次评价在</w:t>
            </w:r>
            <w:r>
              <w:rPr>
                <w:rFonts w:hint="eastAsia"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黑龙江伊春兴安国家森林公园</w:t>
            </w:r>
            <w:r>
              <w:rPr>
                <w:rFonts w:hint="default" w:ascii="Times New Roman" w:hAnsi="Times New Roman" w:eastAsia="宋体" w:cs="Times New Roman"/>
                <w:color w:val="000000" w:themeColor="text1"/>
                <w:sz w:val="24"/>
                <w:szCs w:val="24"/>
                <w:highlight w:val="none"/>
                <w:u w:val="none"/>
                <w:lang w:eastAsia="zh-CN"/>
                <w14:textFill>
                  <w14:solidFill>
                    <w14:schemeClr w14:val="tx1"/>
                  </w14:solidFill>
                </w14:textFill>
              </w:rPr>
              <w:t>设1个特征污染物的环境质量现状监测点位。</w:t>
            </w:r>
          </w:p>
          <w:p w14:paraId="5A7DC11C">
            <w:pPr>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本次评价引用《</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伊春中科环保电力有限公司协同处理项目（</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重新报批</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环境影响报告书》中的</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监测数据。根据黑龙江康和检测有限公司在2024年1月18日~1月24日检测报告</w:t>
            </w:r>
            <w:r>
              <w:rPr>
                <w:rFonts w:hint="default" w:ascii="Times New Roman" w:hAnsi="Times New Roman" w:eastAsia="宋体" w:cs="Times New Roman"/>
                <w:color w:val="000000" w:themeColor="text1"/>
                <w:sz w:val="24"/>
                <w:szCs w:val="24"/>
                <w:highlight w:val="none"/>
                <w14:textFill>
                  <w14:solidFill>
                    <w14:schemeClr w14:val="tx1"/>
                  </w14:solidFill>
                </w14:textFill>
              </w:rPr>
              <w:t>（报告编号</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XZ24003）</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黑龙江天福环保监测有限公司</w:t>
            </w:r>
            <w:r>
              <w:rPr>
                <w:rFonts w:hint="default"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2024年9月26日~10月2日</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检测报告</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报告编号：HTH20240924</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检测点位</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位于本项目侧下方向，</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距离</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本项目1300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m，位于本项目评价范围内，引用时间在三年内，引用合理。</w:t>
            </w:r>
          </w:p>
          <w:p w14:paraId="494A2FA1">
            <w:pPr>
              <w:pStyle w:val="35"/>
              <w:keepNext w:val="0"/>
              <w:keepLines w:val="0"/>
              <w:pageBreakBefore w:val="0"/>
              <w:widowControl w:val="0"/>
              <w:kinsoku/>
              <w:wordWrap/>
              <w:overflowPunct/>
              <w:topLinePunct w:val="0"/>
              <w:bidi w:val="0"/>
              <w:adjustRightInd/>
              <w:snapToGrid/>
              <w:spacing w:beforeLines="0" w:afterLines="0" w:line="360" w:lineRule="auto"/>
              <w:ind w:firstLine="480"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u w:val="none"/>
                <w:lang w:eastAsia="zh-CN"/>
                <w14:textFill>
                  <w14:solidFill>
                    <w14:schemeClr w14:val="tx1"/>
                  </w14:solidFill>
                </w14:textFill>
              </w:rPr>
              <w:t>本项目一类区监测点位情况见</w:t>
            </w:r>
            <w:r>
              <w:rPr>
                <w:rFonts w:hint="eastAsia"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下</w:t>
            </w:r>
            <w:r>
              <w:rPr>
                <w:rFonts w:hint="default" w:ascii="Times New Roman" w:hAnsi="Times New Roman" w:eastAsia="宋体" w:cs="Times New Roman"/>
                <w:color w:val="000000" w:themeColor="text1"/>
                <w:sz w:val="24"/>
                <w:szCs w:val="24"/>
                <w:highlight w:val="none"/>
                <w:u w:val="none"/>
                <w:lang w:eastAsia="zh-CN"/>
                <w14:textFill>
                  <w14:solidFill>
                    <w14:schemeClr w14:val="tx1"/>
                  </w14:solidFill>
                </w14:textFill>
              </w:rPr>
              <w:t>表</w:t>
            </w:r>
            <w:r>
              <w:rPr>
                <w:rFonts w:hint="default"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w:t>
            </w:r>
          </w:p>
          <w:p w14:paraId="6017D02F">
            <w:pPr>
              <w:pStyle w:val="97"/>
              <w:snapToGrid w:val="0"/>
              <w:spacing w:line="240" w:lineRule="auto"/>
              <w:ind w:firstLine="0" w:firstLineChars="0"/>
              <w:jc w:val="center"/>
              <w:rPr>
                <w:rFonts w:hint="default" w:ascii="Times New Roman" w:hAnsi="Times New Roman" w:eastAsia="宋体" w:cs="Times New Roman"/>
                <w:b/>
                <w:color w:val="000000" w:themeColor="text1"/>
                <w:spacing w:val="0"/>
                <w:highlight w:val="none"/>
                <w14:textFill>
                  <w14:solidFill>
                    <w14:schemeClr w14:val="tx1"/>
                  </w14:solidFill>
                </w14:textFill>
              </w:rPr>
            </w:pPr>
            <w:r>
              <w:rPr>
                <w:rFonts w:hint="default" w:ascii="Times New Roman" w:hAnsi="Times New Roman" w:eastAsia="宋体" w:cs="Times New Roman"/>
                <w:b/>
                <w:bCs/>
                <w:color w:val="000000" w:themeColor="text1"/>
                <w:highlight w:val="none"/>
                <w:u w:val="none"/>
                <w:lang w:val="en-US" w:eastAsia="zh-CN"/>
                <w14:textFill>
                  <w14:solidFill>
                    <w14:schemeClr w14:val="tx1"/>
                  </w14:solidFill>
                </w14:textFill>
              </w:rPr>
              <w:t>表</w:t>
            </w:r>
            <w:r>
              <w:rPr>
                <w:rFonts w:hint="eastAsia" w:ascii="Times New Roman" w:hAnsi="Times New Roman" w:eastAsia="宋体" w:cs="Times New Roman"/>
                <w:b/>
                <w:bCs/>
                <w:color w:val="000000" w:themeColor="text1"/>
                <w:highlight w:val="none"/>
                <w:u w:val="none"/>
                <w:lang w:val="en-US" w:eastAsia="zh-CN"/>
                <w14:textFill>
                  <w14:solidFill>
                    <w14:schemeClr w14:val="tx1"/>
                  </w14:solidFill>
                </w14:textFill>
              </w:rPr>
              <w:t xml:space="preserve">3-4 </w:t>
            </w:r>
            <w:r>
              <w:rPr>
                <w:rFonts w:hint="eastAsia" w:cs="Times New Roman"/>
                <w:b/>
                <w:color w:val="000000" w:themeColor="text1"/>
                <w:spacing w:val="0"/>
                <w:highlight w:val="none"/>
                <w:lang w:val="en-US" w:eastAsia="zh-CN"/>
                <w14:textFill>
                  <w14:solidFill>
                    <w14:schemeClr w14:val="tx1"/>
                  </w14:solidFill>
                </w14:textFill>
              </w:rPr>
              <w:t>引用</w:t>
            </w:r>
            <w:r>
              <w:rPr>
                <w:rFonts w:hint="default" w:ascii="Times New Roman" w:hAnsi="Times New Roman" w:eastAsia="宋体" w:cs="Times New Roman"/>
                <w:b/>
                <w:color w:val="000000" w:themeColor="text1"/>
                <w:spacing w:val="0"/>
                <w:highlight w:val="none"/>
                <w14:textFill>
                  <w14:solidFill>
                    <w14:schemeClr w14:val="tx1"/>
                  </w14:solidFill>
                </w14:textFill>
              </w:rPr>
              <w:t>监测点位基本信息表</w:t>
            </w:r>
          </w:p>
          <w:tbl>
            <w:tblPr>
              <w:tblStyle w:val="28"/>
              <w:tblW w:w="0" w:type="auto"/>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055"/>
              <w:gridCol w:w="993"/>
              <w:gridCol w:w="1138"/>
              <w:gridCol w:w="2024"/>
              <w:gridCol w:w="928"/>
              <w:gridCol w:w="847"/>
              <w:gridCol w:w="812"/>
            </w:tblGrid>
            <w:tr w14:paraId="49C0678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0" w:hRule="atLeast"/>
              </w:trPr>
              <w:tc>
                <w:tcPr>
                  <w:tcW w:w="1055" w:type="dxa"/>
                  <w:vMerge w:val="restart"/>
                  <w:tcBorders>
                    <w:tl2br w:val="nil"/>
                    <w:tr2bl w:val="nil"/>
                  </w:tcBorders>
                  <w:shd w:val="clear" w:color="000000" w:fill="auto"/>
                  <w:noWrap w:val="0"/>
                  <w:vAlign w:val="center"/>
                </w:tcPr>
                <w:p w14:paraId="3EB4D4E1">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监测点名称</w:t>
                  </w:r>
                </w:p>
              </w:tc>
              <w:tc>
                <w:tcPr>
                  <w:tcW w:w="2131" w:type="dxa"/>
                  <w:gridSpan w:val="2"/>
                  <w:tcBorders>
                    <w:tl2br w:val="nil"/>
                    <w:tr2bl w:val="nil"/>
                  </w:tcBorders>
                  <w:shd w:val="clear" w:color="000000" w:fill="auto"/>
                  <w:noWrap w:val="0"/>
                  <w:vAlign w:val="center"/>
                </w:tcPr>
                <w:p w14:paraId="10D7A727">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监测点位经纬度</w:t>
                  </w:r>
                </w:p>
              </w:tc>
              <w:tc>
                <w:tcPr>
                  <w:tcW w:w="2024" w:type="dxa"/>
                  <w:vMerge w:val="restart"/>
                  <w:tcBorders>
                    <w:tl2br w:val="nil"/>
                    <w:tr2bl w:val="nil"/>
                  </w:tcBorders>
                  <w:shd w:val="clear" w:color="000000" w:fill="auto"/>
                  <w:noWrap w:val="0"/>
                  <w:vAlign w:val="center"/>
                </w:tcPr>
                <w:p w14:paraId="32773A1B">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监测因子</w:t>
                  </w:r>
                </w:p>
              </w:tc>
              <w:tc>
                <w:tcPr>
                  <w:tcW w:w="928" w:type="dxa"/>
                  <w:vMerge w:val="restart"/>
                  <w:tcBorders>
                    <w:tl2br w:val="nil"/>
                    <w:tr2bl w:val="nil"/>
                  </w:tcBorders>
                  <w:shd w:val="clear" w:color="000000" w:fill="auto"/>
                  <w:noWrap w:val="0"/>
                  <w:vAlign w:val="center"/>
                </w:tcPr>
                <w:p w14:paraId="2C7B88FB">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监测时段</w:t>
                  </w:r>
                </w:p>
              </w:tc>
              <w:tc>
                <w:tcPr>
                  <w:tcW w:w="847" w:type="dxa"/>
                  <w:vMerge w:val="restart"/>
                  <w:tcBorders>
                    <w:tl2br w:val="nil"/>
                    <w:tr2bl w:val="nil"/>
                  </w:tcBorders>
                  <w:shd w:val="clear" w:color="000000" w:fill="auto"/>
                  <w:noWrap w:val="0"/>
                  <w:vAlign w:val="center"/>
                </w:tcPr>
                <w:p w14:paraId="1A08493F">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相对厂址方位</w:t>
                  </w:r>
                </w:p>
              </w:tc>
              <w:tc>
                <w:tcPr>
                  <w:tcW w:w="812" w:type="dxa"/>
                  <w:vMerge w:val="restart"/>
                  <w:tcBorders>
                    <w:tl2br w:val="nil"/>
                    <w:tr2bl w:val="nil"/>
                  </w:tcBorders>
                  <w:shd w:val="clear" w:color="000000" w:fill="auto"/>
                  <w:noWrap w:val="0"/>
                  <w:vAlign w:val="center"/>
                </w:tcPr>
                <w:p w14:paraId="4BC3A83A">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相对</w:t>
                  </w:r>
                </w:p>
                <w:p w14:paraId="5F9D409E">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距离/m</w:t>
                  </w:r>
                </w:p>
              </w:tc>
            </w:tr>
            <w:tr w14:paraId="5D94982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5" w:hRule="atLeast"/>
              </w:trPr>
              <w:tc>
                <w:tcPr>
                  <w:tcW w:w="1055" w:type="dxa"/>
                  <w:vMerge w:val="continue"/>
                  <w:tcBorders>
                    <w:tl2br w:val="nil"/>
                    <w:tr2bl w:val="nil"/>
                  </w:tcBorders>
                  <w:shd w:val="clear" w:color="auto" w:fill="auto"/>
                  <w:noWrap w:val="0"/>
                  <w:vAlign w:val="center"/>
                </w:tcPr>
                <w:p w14:paraId="04EECAA1">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993" w:type="dxa"/>
                  <w:tcBorders>
                    <w:tl2br w:val="nil"/>
                    <w:tr2bl w:val="nil"/>
                  </w:tcBorders>
                  <w:shd w:val="clear" w:color="000000" w:fill="auto"/>
                  <w:noWrap w:val="0"/>
                  <w:vAlign w:val="center"/>
                </w:tcPr>
                <w:p w14:paraId="413BCCEC">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E</w:t>
                  </w:r>
                </w:p>
              </w:tc>
              <w:tc>
                <w:tcPr>
                  <w:tcW w:w="1138" w:type="dxa"/>
                  <w:tcBorders>
                    <w:tl2br w:val="nil"/>
                    <w:tr2bl w:val="nil"/>
                  </w:tcBorders>
                  <w:shd w:val="clear" w:color="000000" w:fill="auto"/>
                  <w:noWrap w:val="0"/>
                  <w:vAlign w:val="center"/>
                </w:tcPr>
                <w:p w14:paraId="00E7C3C9">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N</w:t>
                  </w:r>
                </w:p>
              </w:tc>
              <w:tc>
                <w:tcPr>
                  <w:tcW w:w="2024" w:type="dxa"/>
                  <w:vMerge w:val="continue"/>
                  <w:tcBorders>
                    <w:tl2br w:val="nil"/>
                    <w:tr2bl w:val="nil"/>
                  </w:tcBorders>
                  <w:noWrap w:val="0"/>
                  <w:vAlign w:val="center"/>
                </w:tcPr>
                <w:p w14:paraId="6AB4BF6E">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928" w:type="dxa"/>
                  <w:vMerge w:val="continue"/>
                  <w:tcBorders>
                    <w:tl2br w:val="nil"/>
                    <w:tr2bl w:val="nil"/>
                  </w:tcBorders>
                  <w:noWrap w:val="0"/>
                  <w:vAlign w:val="center"/>
                </w:tcPr>
                <w:p w14:paraId="527137FD">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47" w:type="dxa"/>
                  <w:vMerge w:val="continue"/>
                  <w:tcBorders>
                    <w:tl2br w:val="nil"/>
                    <w:tr2bl w:val="nil"/>
                  </w:tcBorders>
                  <w:noWrap w:val="0"/>
                  <w:vAlign w:val="center"/>
                </w:tcPr>
                <w:p w14:paraId="0C41D94F">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12" w:type="dxa"/>
                  <w:vMerge w:val="continue"/>
                  <w:tcBorders>
                    <w:tl2br w:val="nil"/>
                    <w:tr2bl w:val="nil"/>
                  </w:tcBorders>
                  <w:noWrap w:val="0"/>
                  <w:vAlign w:val="center"/>
                </w:tcPr>
                <w:p w14:paraId="6E545841">
                  <w:pPr>
                    <w:pStyle w:val="99"/>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5A2BC7F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42" w:hRule="atLeast"/>
              </w:trPr>
              <w:tc>
                <w:tcPr>
                  <w:tcW w:w="1055" w:type="dxa"/>
                  <w:vMerge w:val="restart"/>
                  <w:tcBorders>
                    <w:tl2br w:val="nil"/>
                    <w:tr2bl w:val="nil"/>
                  </w:tcBorders>
                  <w:noWrap w:val="0"/>
                  <w:vAlign w:val="center"/>
                </w:tcPr>
                <w:p w14:paraId="163E73D0">
                  <w:pPr>
                    <w:pStyle w:val="99"/>
                    <w:keepNext w:val="0"/>
                    <w:keepLines w:val="0"/>
                    <w:pageBreakBefore w:val="0"/>
                    <w:widowControl/>
                    <w:kinsoku/>
                    <w:wordWrap/>
                    <w:overflowPunct/>
                    <w:topLinePunct w:val="0"/>
                    <w:autoSpaceDE/>
                    <w:autoSpaceDN/>
                    <w:bidi w:val="0"/>
                    <w:adjustRightInd/>
                    <w:snapToGrid/>
                    <w:spacing w:line="240" w:lineRule="auto"/>
                    <w:ind w:right="113" w:rightChars="0"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bookmarkStart w:id="37" w:name="OLE_LINK8"/>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黑龙江伊春兴安国家森林公园</w:t>
                  </w:r>
                  <w:bookmarkEnd w:id="37"/>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993" w:type="dxa"/>
                  <w:vMerge w:val="restart"/>
                  <w:tcBorders>
                    <w:tl2br w:val="nil"/>
                    <w:tr2bl w:val="nil"/>
                  </w:tcBorders>
                  <w:noWrap w:val="0"/>
                  <w:vAlign w:val="center"/>
                </w:tcPr>
                <w:p w14:paraId="7A3E0F22">
                  <w:pPr>
                    <w:pStyle w:val="99"/>
                    <w:keepNext w:val="0"/>
                    <w:keepLines w:val="0"/>
                    <w:pageBreakBefore w:val="0"/>
                    <w:widowControl/>
                    <w:kinsoku/>
                    <w:wordWrap/>
                    <w:overflowPunct/>
                    <w:topLinePunct w:val="0"/>
                    <w:autoSpaceDE/>
                    <w:autoSpaceDN/>
                    <w:bidi w:val="0"/>
                    <w:adjustRightInd/>
                    <w:snapToGrid/>
                    <w:spacing w:line="240" w:lineRule="auto"/>
                    <w:ind w:right="113" w:rightChars="0"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128.920770524</w:t>
                  </w:r>
                </w:p>
              </w:tc>
              <w:tc>
                <w:tcPr>
                  <w:tcW w:w="1138" w:type="dxa"/>
                  <w:vMerge w:val="restart"/>
                  <w:tcBorders>
                    <w:tl2br w:val="nil"/>
                    <w:tr2bl w:val="nil"/>
                  </w:tcBorders>
                  <w:noWrap w:val="0"/>
                  <w:vAlign w:val="center"/>
                </w:tcPr>
                <w:p w14:paraId="4EF97CE8">
                  <w:pPr>
                    <w:pStyle w:val="99"/>
                    <w:keepNext w:val="0"/>
                    <w:keepLines w:val="0"/>
                    <w:pageBreakBefore w:val="0"/>
                    <w:widowControl/>
                    <w:kinsoku/>
                    <w:wordWrap/>
                    <w:overflowPunct/>
                    <w:topLinePunct w:val="0"/>
                    <w:autoSpaceDE/>
                    <w:autoSpaceDN/>
                    <w:bidi w:val="0"/>
                    <w:adjustRightInd/>
                    <w:snapToGrid/>
                    <w:spacing w:line="240" w:lineRule="auto"/>
                    <w:ind w:right="113" w:rightChars="0"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47.723422618</w:t>
                  </w:r>
                </w:p>
              </w:tc>
              <w:tc>
                <w:tcPr>
                  <w:tcW w:w="2024" w:type="dxa"/>
                  <w:tcBorders>
                    <w:tl2br w:val="nil"/>
                    <w:tr2bl w:val="nil"/>
                  </w:tcBorders>
                  <w:noWrap w:val="0"/>
                  <w:vAlign w:val="center"/>
                </w:tcPr>
                <w:p w14:paraId="4BE5FBE8">
                  <w:pPr>
                    <w:pStyle w:val="99"/>
                    <w:keepNext w:val="0"/>
                    <w:keepLines w:val="0"/>
                    <w:pageBreakBefore w:val="0"/>
                    <w:widowControl/>
                    <w:kinsoku/>
                    <w:wordWrap/>
                    <w:overflowPunct/>
                    <w:topLinePunct w:val="0"/>
                    <w:autoSpaceDE/>
                    <w:autoSpaceDN/>
                    <w:bidi w:val="0"/>
                    <w:adjustRightInd/>
                    <w:snapToGrid/>
                    <w:spacing w:line="240" w:lineRule="auto"/>
                    <w:ind w:right="113" w:rightChars="0" w:firstLine="0" w:firstLineChars="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氨、硫化氢、氯化氢、臭气浓度</w:t>
                  </w: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非甲烷总烃</w:t>
                  </w:r>
                </w:p>
              </w:tc>
              <w:tc>
                <w:tcPr>
                  <w:tcW w:w="928" w:type="dxa"/>
                  <w:vMerge w:val="restart"/>
                  <w:tcBorders>
                    <w:tl2br w:val="nil"/>
                    <w:tr2bl w:val="nil"/>
                  </w:tcBorders>
                  <w:noWrap w:val="0"/>
                  <w:vAlign w:val="center"/>
                </w:tcPr>
                <w:p w14:paraId="62F52379">
                  <w:pPr>
                    <w:pStyle w:val="99"/>
                    <w:keepNext w:val="0"/>
                    <w:keepLines w:val="0"/>
                    <w:pageBreakBefore w:val="0"/>
                    <w:widowControl/>
                    <w:kinsoku/>
                    <w:wordWrap/>
                    <w:overflowPunct/>
                    <w:topLinePunct w:val="0"/>
                    <w:autoSpaceDE/>
                    <w:autoSpaceDN/>
                    <w:bidi w:val="0"/>
                    <w:adjustRightInd/>
                    <w:snapToGrid/>
                    <w:spacing w:line="240" w:lineRule="auto"/>
                    <w:ind w:right="113" w:rightChars="0"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7天</w:t>
                  </w:r>
                </w:p>
              </w:tc>
              <w:tc>
                <w:tcPr>
                  <w:tcW w:w="847" w:type="dxa"/>
                  <w:vMerge w:val="restart"/>
                  <w:tcBorders>
                    <w:tl2br w:val="nil"/>
                    <w:tr2bl w:val="nil"/>
                  </w:tcBorders>
                  <w:noWrap w:val="0"/>
                  <w:vAlign w:val="center"/>
                </w:tcPr>
                <w:p w14:paraId="0D4D9A1E">
                  <w:pPr>
                    <w:pStyle w:val="99"/>
                    <w:keepNext w:val="0"/>
                    <w:keepLines w:val="0"/>
                    <w:pageBreakBefore w:val="0"/>
                    <w:widowControl/>
                    <w:kinsoku/>
                    <w:wordWrap/>
                    <w:overflowPunct/>
                    <w:topLinePunct w:val="0"/>
                    <w:autoSpaceDE/>
                    <w:autoSpaceDN/>
                    <w:bidi w:val="0"/>
                    <w:adjustRightInd/>
                    <w:snapToGrid/>
                    <w:spacing w:line="240" w:lineRule="auto"/>
                    <w:ind w:right="113" w:rightChars="0" w:firstLine="0" w:firstLineChars="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S</w:t>
                  </w:r>
                </w:p>
              </w:tc>
              <w:tc>
                <w:tcPr>
                  <w:tcW w:w="812" w:type="dxa"/>
                  <w:vMerge w:val="restart"/>
                  <w:tcBorders>
                    <w:tl2br w:val="nil"/>
                    <w:tr2bl w:val="nil"/>
                  </w:tcBorders>
                  <w:noWrap w:val="0"/>
                  <w:vAlign w:val="center"/>
                </w:tcPr>
                <w:p w14:paraId="251406A8">
                  <w:pPr>
                    <w:pStyle w:val="99"/>
                    <w:keepNext w:val="0"/>
                    <w:keepLines w:val="0"/>
                    <w:pageBreakBefore w:val="0"/>
                    <w:widowControl/>
                    <w:kinsoku/>
                    <w:wordWrap/>
                    <w:overflowPunct/>
                    <w:topLinePunct w:val="0"/>
                    <w:autoSpaceDE/>
                    <w:autoSpaceDN/>
                    <w:bidi w:val="0"/>
                    <w:adjustRightInd/>
                    <w:snapToGrid/>
                    <w:spacing w:line="240" w:lineRule="auto"/>
                    <w:ind w:right="113"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1300</w:t>
                  </w:r>
                </w:p>
              </w:tc>
            </w:tr>
            <w:tr w14:paraId="200CCD4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07" w:hRule="atLeast"/>
              </w:trPr>
              <w:tc>
                <w:tcPr>
                  <w:tcW w:w="1055" w:type="dxa"/>
                  <w:vMerge w:val="continue"/>
                  <w:tcBorders>
                    <w:tl2br w:val="nil"/>
                    <w:tr2bl w:val="nil"/>
                  </w:tcBorders>
                  <w:noWrap w:val="0"/>
                  <w:vAlign w:val="center"/>
                </w:tcPr>
                <w:p w14:paraId="0CD2C7AE">
                  <w:pPr>
                    <w:pStyle w:val="99"/>
                    <w:keepNext w:val="0"/>
                    <w:keepLines w:val="0"/>
                    <w:pageBreakBefore w:val="0"/>
                    <w:widowControl/>
                    <w:kinsoku/>
                    <w:wordWrap/>
                    <w:overflowPunct/>
                    <w:topLinePunct w:val="0"/>
                    <w:autoSpaceDE/>
                    <w:autoSpaceDN/>
                    <w:bidi w:val="0"/>
                    <w:adjustRightInd/>
                    <w:snapToGrid/>
                    <w:spacing w:line="240" w:lineRule="auto"/>
                    <w:ind w:right="113" w:rightChars="0" w:firstLine="0" w:firstLineChars="0"/>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993" w:type="dxa"/>
                  <w:vMerge w:val="continue"/>
                  <w:tcBorders>
                    <w:tl2br w:val="nil"/>
                    <w:tr2bl w:val="nil"/>
                  </w:tcBorders>
                  <w:noWrap w:val="0"/>
                  <w:vAlign w:val="center"/>
                </w:tcPr>
                <w:p w14:paraId="75B6D9B1">
                  <w:pPr>
                    <w:pStyle w:val="99"/>
                    <w:keepNext w:val="0"/>
                    <w:keepLines w:val="0"/>
                    <w:pageBreakBefore w:val="0"/>
                    <w:widowControl/>
                    <w:kinsoku/>
                    <w:wordWrap/>
                    <w:overflowPunct/>
                    <w:topLinePunct w:val="0"/>
                    <w:autoSpaceDE/>
                    <w:autoSpaceDN/>
                    <w:bidi w:val="0"/>
                    <w:adjustRightInd/>
                    <w:snapToGrid/>
                    <w:spacing w:line="240" w:lineRule="auto"/>
                    <w:ind w:right="113" w:rightChars="0"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38" w:type="dxa"/>
                  <w:vMerge w:val="continue"/>
                  <w:tcBorders>
                    <w:tl2br w:val="nil"/>
                    <w:tr2bl w:val="nil"/>
                  </w:tcBorders>
                  <w:noWrap w:val="0"/>
                  <w:vAlign w:val="center"/>
                </w:tcPr>
                <w:p w14:paraId="7465997D">
                  <w:pPr>
                    <w:pStyle w:val="99"/>
                    <w:keepNext w:val="0"/>
                    <w:keepLines w:val="0"/>
                    <w:pageBreakBefore w:val="0"/>
                    <w:widowControl/>
                    <w:kinsoku/>
                    <w:wordWrap/>
                    <w:overflowPunct/>
                    <w:topLinePunct w:val="0"/>
                    <w:autoSpaceDE/>
                    <w:autoSpaceDN/>
                    <w:bidi w:val="0"/>
                    <w:adjustRightInd/>
                    <w:snapToGrid/>
                    <w:spacing w:line="240" w:lineRule="auto"/>
                    <w:ind w:right="113" w:rightChars="0"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024" w:type="dxa"/>
                  <w:tcBorders>
                    <w:tl2br w:val="nil"/>
                    <w:tr2bl w:val="nil"/>
                  </w:tcBorders>
                  <w:noWrap w:val="0"/>
                  <w:vAlign w:val="center"/>
                </w:tcPr>
                <w:p w14:paraId="09E81080">
                  <w:pPr>
                    <w:pStyle w:val="99"/>
                    <w:keepNext w:val="0"/>
                    <w:keepLines w:val="0"/>
                    <w:pageBreakBefore w:val="0"/>
                    <w:widowControl/>
                    <w:kinsoku/>
                    <w:wordWrap/>
                    <w:overflowPunct/>
                    <w:topLinePunct w:val="0"/>
                    <w:autoSpaceDE/>
                    <w:autoSpaceDN/>
                    <w:bidi w:val="0"/>
                    <w:adjustRightInd/>
                    <w:snapToGrid/>
                    <w:spacing w:line="240" w:lineRule="auto"/>
                    <w:ind w:right="113" w:rightChars="0" w:firstLine="0" w:firstLineChars="0"/>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SO</w:t>
                  </w:r>
                  <w:r>
                    <w:rPr>
                      <w:rFonts w:hint="default" w:ascii="Times New Roman" w:hAnsi="Times New Roman" w:eastAsia="宋体" w:cs="Times New Roman"/>
                      <w:color w:val="000000" w:themeColor="text1"/>
                      <w:sz w:val="21"/>
                      <w:szCs w:val="21"/>
                      <w:highlight w:val="none"/>
                      <w:u w:val="none"/>
                      <w:vertAlign w:val="subscript"/>
                      <w14:textFill>
                        <w14:solidFill>
                          <w14:schemeClr w14:val="tx1"/>
                        </w14:solidFill>
                      </w14:textFill>
                    </w:rPr>
                    <w:t>2</w:t>
                  </w: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、NO</w:t>
                  </w:r>
                  <w:r>
                    <w:rPr>
                      <w:rFonts w:hint="default" w:ascii="Times New Roman" w:hAnsi="Times New Roman" w:eastAsia="宋体" w:cs="Times New Roman"/>
                      <w:color w:val="000000" w:themeColor="text1"/>
                      <w:sz w:val="21"/>
                      <w:szCs w:val="21"/>
                      <w:highlight w:val="none"/>
                      <w:u w:val="none"/>
                      <w:vertAlign w:val="subscript"/>
                      <w14:textFill>
                        <w14:solidFill>
                          <w14:schemeClr w14:val="tx1"/>
                        </w14:solidFill>
                      </w14:textFill>
                    </w:rPr>
                    <w:t>2</w:t>
                  </w: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、PM</w:t>
                  </w:r>
                  <w:r>
                    <w:rPr>
                      <w:rFonts w:hint="default" w:ascii="Times New Roman" w:hAnsi="Times New Roman" w:eastAsia="宋体" w:cs="Times New Roman"/>
                      <w:color w:val="000000" w:themeColor="text1"/>
                      <w:sz w:val="21"/>
                      <w:szCs w:val="21"/>
                      <w:highlight w:val="none"/>
                      <w:u w:val="none"/>
                      <w:vertAlign w:val="subscript"/>
                      <w14:textFill>
                        <w14:solidFill>
                          <w14:schemeClr w14:val="tx1"/>
                        </w14:solidFill>
                      </w14:textFill>
                    </w:rPr>
                    <w:t>2.5</w:t>
                  </w: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、PM</w:t>
                  </w:r>
                  <w:r>
                    <w:rPr>
                      <w:rFonts w:hint="default" w:ascii="Times New Roman" w:hAnsi="Times New Roman" w:eastAsia="宋体" w:cs="Times New Roman"/>
                      <w:color w:val="000000" w:themeColor="text1"/>
                      <w:sz w:val="21"/>
                      <w:szCs w:val="21"/>
                      <w:highlight w:val="none"/>
                      <w:u w:val="none"/>
                      <w:vertAlign w:val="subscript"/>
                      <w14:textFill>
                        <w14:solidFill>
                          <w14:schemeClr w14:val="tx1"/>
                        </w14:solidFill>
                      </w14:textFill>
                    </w:rPr>
                    <w:t>10</w:t>
                  </w: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、CO、O</w:t>
                  </w:r>
                  <w:r>
                    <w:rPr>
                      <w:rFonts w:hint="default" w:ascii="Times New Roman" w:hAnsi="Times New Roman" w:eastAsia="宋体" w:cs="Times New Roman"/>
                      <w:color w:val="000000" w:themeColor="text1"/>
                      <w:sz w:val="21"/>
                      <w:szCs w:val="21"/>
                      <w:highlight w:val="none"/>
                      <w:u w:val="none"/>
                      <w:vertAlign w:val="subscript"/>
                      <w14:textFill>
                        <w14:solidFill>
                          <w14:schemeClr w14:val="tx1"/>
                        </w14:solidFill>
                      </w14:textFill>
                    </w:rPr>
                    <w:t>3</w:t>
                  </w:r>
                </w:p>
              </w:tc>
              <w:tc>
                <w:tcPr>
                  <w:tcW w:w="928" w:type="dxa"/>
                  <w:vMerge w:val="continue"/>
                  <w:tcBorders>
                    <w:tl2br w:val="nil"/>
                    <w:tr2bl w:val="nil"/>
                  </w:tcBorders>
                  <w:noWrap w:val="0"/>
                  <w:vAlign w:val="center"/>
                </w:tcPr>
                <w:p w14:paraId="78D2937B">
                  <w:pPr>
                    <w:pStyle w:val="99"/>
                    <w:keepNext w:val="0"/>
                    <w:keepLines w:val="0"/>
                    <w:pageBreakBefore w:val="0"/>
                    <w:widowControl/>
                    <w:kinsoku/>
                    <w:wordWrap/>
                    <w:overflowPunct/>
                    <w:topLinePunct w:val="0"/>
                    <w:autoSpaceDE/>
                    <w:autoSpaceDN/>
                    <w:bidi w:val="0"/>
                    <w:adjustRightInd/>
                    <w:snapToGrid/>
                    <w:spacing w:line="240" w:lineRule="auto"/>
                    <w:ind w:right="113" w:rightChars="0" w:firstLine="0" w:firstLineChars="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47" w:type="dxa"/>
                  <w:vMerge w:val="continue"/>
                  <w:tcBorders>
                    <w:tl2br w:val="nil"/>
                    <w:tr2bl w:val="nil"/>
                  </w:tcBorders>
                  <w:noWrap w:val="0"/>
                  <w:vAlign w:val="center"/>
                </w:tcPr>
                <w:p w14:paraId="60792A7B">
                  <w:pPr>
                    <w:pStyle w:val="99"/>
                    <w:keepNext w:val="0"/>
                    <w:keepLines w:val="0"/>
                    <w:pageBreakBefore w:val="0"/>
                    <w:widowControl/>
                    <w:kinsoku/>
                    <w:wordWrap/>
                    <w:overflowPunct/>
                    <w:topLinePunct w:val="0"/>
                    <w:autoSpaceDE/>
                    <w:autoSpaceDN/>
                    <w:bidi w:val="0"/>
                    <w:adjustRightInd/>
                    <w:snapToGrid/>
                    <w:spacing w:line="240" w:lineRule="auto"/>
                    <w:ind w:right="113" w:rightChars="0" w:firstLine="0" w:firstLineChars="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812" w:type="dxa"/>
                  <w:vMerge w:val="continue"/>
                  <w:tcBorders>
                    <w:tl2br w:val="nil"/>
                    <w:tr2bl w:val="nil"/>
                  </w:tcBorders>
                  <w:noWrap w:val="0"/>
                  <w:vAlign w:val="center"/>
                </w:tcPr>
                <w:p w14:paraId="1FDD75FE">
                  <w:pPr>
                    <w:pStyle w:val="99"/>
                    <w:keepNext w:val="0"/>
                    <w:keepLines w:val="0"/>
                    <w:pageBreakBefore w:val="0"/>
                    <w:widowControl/>
                    <w:kinsoku/>
                    <w:wordWrap/>
                    <w:overflowPunct/>
                    <w:topLinePunct w:val="0"/>
                    <w:autoSpaceDE/>
                    <w:autoSpaceDN/>
                    <w:bidi w:val="0"/>
                    <w:adjustRightInd/>
                    <w:snapToGrid/>
                    <w:spacing w:line="240" w:lineRule="auto"/>
                    <w:ind w:right="113" w:rightChars="0" w:firstLine="0" w:firstLineChars="0"/>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bl>
          <w:p w14:paraId="756262DA">
            <w:pPr>
              <w:pStyle w:val="35"/>
              <w:keepNext w:val="0"/>
              <w:keepLines w:val="0"/>
              <w:pageBreakBefore w:val="0"/>
              <w:widowControl w:val="0"/>
              <w:kinsoku/>
              <w:wordWrap/>
              <w:overflowPunct/>
              <w:topLinePunct w:val="0"/>
              <w:bidi w:val="0"/>
              <w:snapToGrid/>
              <w:spacing w:beforeLines="0" w:afterLines="0" w:line="480" w:lineRule="exact"/>
              <w:ind w:firstLine="480" w:firstLineChars="200"/>
              <w:jc w:val="both"/>
              <w:textAlignment w:val="auto"/>
              <w:rPr>
                <w:rFonts w:hint="default" w:ascii="Times New Roman" w:hAnsi="Times New Roman" w:eastAsia="宋体" w:cs="Times New Roman"/>
                <w:snapToGrid w:val="0"/>
                <w:color w:val="000000" w:themeColor="text1"/>
                <w:highlight w:val="none"/>
                <w:u w:val="none"/>
                <w:lang w:eastAsia="zh-CN"/>
                <w14:textFill>
                  <w14:solidFill>
                    <w14:schemeClr w14:val="tx1"/>
                  </w14:solidFill>
                </w14:textFill>
              </w:rPr>
            </w:pPr>
          </w:p>
          <w:p w14:paraId="445A13E3">
            <w:pPr>
              <w:adjustRightInd w:val="0"/>
              <w:spacing w:line="360" w:lineRule="auto"/>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5062220" cy="2935605"/>
                  <wp:effectExtent l="0" t="0" r="5080" b="17145"/>
                  <wp:docPr id="3"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0"/>
                          <pic:cNvPicPr>
                            <a:picLocks noChangeAspect="1"/>
                          </pic:cNvPicPr>
                        </pic:nvPicPr>
                        <pic:blipFill>
                          <a:blip r:embed="rId17"/>
                          <a:stretch>
                            <a:fillRect/>
                          </a:stretch>
                        </pic:blipFill>
                        <pic:spPr>
                          <a:xfrm>
                            <a:off x="0" y="0"/>
                            <a:ext cx="5062220" cy="2935605"/>
                          </a:xfrm>
                          <a:prstGeom prst="rect">
                            <a:avLst/>
                          </a:prstGeom>
                          <a:noFill/>
                          <a:ln>
                            <a:noFill/>
                          </a:ln>
                        </pic:spPr>
                      </pic:pic>
                    </a:graphicData>
                  </a:graphic>
                </wp:inline>
              </w:drawing>
            </w:r>
          </w:p>
          <w:p w14:paraId="25AEF1EE">
            <w:pPr>
              <w:adjustRightInd w:val="0"/>
              <w:spacing w:line="360" w:lineRule="auto"/>
              <w:jc w:val="center"/>
              <w:rPr>
                <w:rFonts w:hint="default" w:ascii="Times New Roman" w:hAnsi="Times New Roman" w:eastAsia="宋体" w:cs="Times New Roman"/>
                <w:b/>
                <w:color w:val="000000" w:themeColor="text1"/>
                <w:sz w:val="24"/>
                <w:highlight w:val="none"/>
                <w14:textFill>
                  <w14:solidFill>
                    <w14:schemeClr w14:val="tx1"/>
                  </w14:solidFill>
                </w14:textFill>
              </w:rPr>
            </w:pPr>
            <w:r>
              <w:rPr>
                <w:rFonts w:hint="default" w:ascii="Times New Roman" w:hAnsi="Times New Roman" w:eastAsia="宋体" w:cs="Times New Roman"/>
                <w:b/>
                <w:color w:val="000000" w:themeColor="text1"/>
                <w:sz w:val="24"/>
                <w:highlight w:val="none"/>
                <w14:textFill>
                  <w14:solidFill>
                    <w14:schemeClr w14:val="tx1"/>
                  </w14:solidFill>
                </w14:textFill>
              </w:rPr>
              <w:t>图3-</w:t>
            </w:r>
            <w:r>
              <w:rPr>
                <w:rFonts w:hint="eastAsia" w:ascii="Times New Roman" w:hAnsi="Times New Roman" w:eastAsia="宋体" w:cs="Times New Roman"/>
                <w:b/>
                <w:color w:val="000000" w:themeColor="text1"/>
                <w:sz w:val="24"/>
                <w:highlight w:val="none"/>
                <w:lang w:val="en-US" w:eastAsia="zh-CN"/>
                <w14:textFill>
                  <w14:solidFill>
                    <w14:schemeClr w14:val="tx1"/>
                  </w14:solidFill>
                </w14:textFill>
              </w:rPr>
              <w:t>2</w:t>
            </w:r>
            <w:r>
              <w:rPr>
                <w:rFonts w:hint="default" w:ascii="Times New Roman" w:hAnsi="Times New Roman" w:eastAsia="宋体" w:cs="Times New Roman"/>
                <w:b/>
                <w:color w:val="000000" w:themeColor="text1"/>
                <w:sz w:val="24"/>
                <w:highlight w:val="none"/>
                <w14:textFill>
                  <w14:solidFill>
                    <w14:schemeClr w14:val="tx1"/>
                  </w14:solidFill>
                </w14:textFill>
              </w:rPr>
              <w:t>引用项目的检测点位与本项目位置关系图</w:t>
            </w:r>
          </w:p>
          <w:p w14:paraId="1C51C268">
            <w:pPr>
              <w:pStyle w:val="35"/>
              <w:keepNext w:val="0"/>
              <w:keepLines w:val="0"/>
              <w:pageBreakBefore w:val="0"/>
              <w:widowControl w:val="0"/>
              <w:kinsoku/>
              <w:wordWrap/>
              <w:overflowPunct/>
              <w:topLinePunct w:val="0"/>
              <w:bidi w:val="0"/>
              <w:snapToGrid/>
              <w:spacing w:beforeLines="0" w:afterLines="0" w:line="480" w:lineRule="exact"/>
              <w:ind w:firstLine="480" w:firstLineChars="200"/>
              <w:jc w:val="both"/>
              <w:textAlignment w:val="auto"/>
              <w:rPr>
                <w:rFonts w:hint="default" w:ascii="Times New Roman" w:hAnsi="Times New Roman" w:eastAsia="宋体" w:cs="Times New Roman"/>
                <w:color w:val="000000" w:themeColor="text1"/>
                <w:highlight w:val="none"/>
                <w:u w:val="none"/>
                <w:lang w:eastAsia="zh-CN"/>
                <w14:textFill>
                  <w14:solidFill>
                    <w14:schemeClr w14:val="tx1"/>
                  </w14:solidFill>
                </w14:textFill>
              </w:rPr>
            </w:pPr>
            <w:r>
              <w:rPr>
                <w:rFonts w:hint="default" w:ascii="Times New Roman" w:hAnsi="Times New Roman" w:eastAsia="宋体" w:cs="Times New Roman"/>
                <w:snapToGrid w:val="0"/>
                <w:color w:val="000000" w:themeColor="text1"/>
                <w:highlight w:val="none"/>
                <w:u w:val="none"/>
                <w:lang w:eastAsia="zh-CN"/>
                <w14:textFill>
                  <w14:solidFill>
                    <w14:schemeClr w14:val="tx1"/>
                  </w14:solidFill>
                </w14:textFill>
              </w:rPr>
              <w:t>（</w:t>
            </w:r>
            <w:r>
              <w:rPr>
                <w:rFonts w:hint="default" w:ascii="Times New Roman" w:hAnsi="Times New Roman" w:eastAsia="宋体" w:cs="Times New Roman"/>
                <w:snapToGrid w:val="0"/>
                <w:color w:val="000000" w:themeColor="text1"/>
                <w:highlight w:val="none"/>
                <w:u w:val="none"/>
                <w:lang w:val="en-US" w:eastAsia="zh-CN"/>
                <w14:textFill>
                  <w14:solidFill>
                    <w14:schemeClr w14:val="tx1"/>
                  </w14:solidFill>
                </w14:textFill>
              </w:rPr>
              <w:t>3</w:t>
            </w:r>
            <w:r>
              <w:rPr>
                <w:rFonts w:hint="default" w:ascii="Times New Roman" w:hAnsi="Times New Roman" w:eastAsia="宋体" w:cs="Times New Roman"/>
                <w:snapToGrid w:val="0"/>
                <w:color w:val="000000" w:themeColor="text1"/>
                <w:highlight w:val="none"/>
                <w:u w:val="none"/>
                <w:lang w:eastAsia="zh-CN"/>
                <w14:textFill>
                  <w14:solidFill>
                    <w14:schemeClr w14:val="tx1"/>
                  </w14:solidFill>
                </w14:textFill>
              </w:rPr>
              <w:t>）监测时间</w:t>
            </w:r>
          </w:p>
          <w:p w14:paraId="295756DE">
            <w:pPr>
              <w:keepNext w:val="0"/>
              <w:keepLines w:val="0"/>
              <w:pageBreakBefore w:val="0"/>
              <w:widowControl w:val="0"/>
              <w:kinsoku/>
              <w:wordWrap/>
              <w:overflowPunct/>
              <w:topLinePunct w:val="0"/>
              <w:bidi w:val="0"/>
              <w:snapToGrid/>
              <w:spacing w:line="480" w:lineRule="exact"/>
              <w:ind w:firstLine="480" w:firstLineChars="200"/>
              <w:jc w:val="both"/>
              <w:textAlignment w:val="auto"/>
              <w:rPr>
                <w:rFonts w:hint="default" w:ascii="Times New Roman" w:hAnsi="Times New Roman" w:eastAsia="宋体" w:cs="Times New Roman"/>
                <w:color w:val="000000" w:themeColor="text1"/>
                <w:sz w:val="24"/>
                <w:szCs w:val="24"/>
                <w:highlight w:val="none"/>
                <w:u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氨、硫化氢、氯化氢、臭气浓度、非甲烷总烃</w:t>
            </w:r>
            <w:r>
              <w:rPr>
                <w:rFonts w:hint="default" w:ascii="Times New Roman" w:hAnsi="Times New Roman" w:eastAsia="宋体" w:cs="Times New Roman"/>
                <w:snapToGrid w:val="0"/>
                <w:color w:val="000000" w:themeColor="text1"/>
                <w:sz w:val="24"/>
                <w:szCs w:val="24"/>
                <w:highlight w:val="none"/>
                <w:u w:val="none"/>
                <w:lang w:eastAsia="zh-CN"/>
                <w14:textFill>
                  <w14:solidFill>
                    <w14:schemeClr w14:val="tx1"/>
                  </w14:solidFill>
                </w14:textFill>
              </w:rPr>
              <w:t>监测时间为</w:t>
            </w:r>
            <w:r>
              <w:rPr>
                <w:rFonts w:hint="default"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2024年1月18日~1月24日，监测时间为</w:t>
            </w:r>
            <w:r>
              <w:rPr>
                <w:rFonts w:hint="default" w:ascii="Times New Roman" w:hAnsi="Times New Roman" w:eastAsia="宋体" w:cs="Times New Roman"/>
                <w:snapToGrid w:val="0"/>
                <w:color w:val="000000" w:themeColor="text1"/>
                <w:sz w:val="24"/>
                <w:szCs w:val="24"/>
                <w:highlight w:val="none"/>
                <w:u w:val="none"/>
                <w:lang w:val="en-US" w:eastAsia="zh-CN"/>
                <w14:textFill>
                  <w14:solidFill>
                    <w14:schemeClr w14:val="tx1"/>
                  </w14:solidFill>
                </w14:textFill>
              </w:rPr>
              <w:t>7天，</w:t>
            </w:r>
            <w:r>
              <w:rPr>
                <w:rFonts w:hint="default" w:ascii="Times New Roman" w:hAnsi="Times New Roman" w:eastAsia="宋体" w:cs="Times New Roman"/>
                <w:color w:val="000000" w:themeColor="text1"/>
                <w:sz w:val="24"/>
                <w:szCs w:val="24"/>
                <w:highlight w:val="none"/>
                <w:u w:val="none"/>
                <w14:textFill>
                  <w14:solidFill>
                    <w14:schemeClr w14:val="tx1"/>
                  </w14:solidFill>
                </w14:textFill>
              </w:rPr>
              <w:t>SO</w:t>
            </w:r>
            <w:r>
              <w:rPr>
                <w:rFonts w:hint="default" w:ascii="Times New Roman" w:hAnsi="Times New Roman" w:eastAsia="宋体" w:cs="Times New Roman"/>
                <w:color w:val="000000" w:themeColor="text1"/>
                <w:sz w:val="24"/>
                <w:szCs w:val="24"/>
                <w:highlight w:val="none"/>
                <w:u w:val="none"/>
                <w:vertAlign w:val="subscript"/>
                <w14:textFill>
                  <w14:solidFill>
                    <w14:schemeClr w14:val="tx1"/>
                  </w14:solidFill>
                </w14:textFill>
              </w:rPr>
              <w:t>2</w:t>
            </w:r>
            <w:r>
              <w:rPr>
                <w:rFonts w:hint="default" w:ascii="Times New Roman" w:hAnsi="Times New Roman" w:eastAsia="宋体" w:cs="Times New Roman"/>
                <w:color w:val="000000" w:themeColor="text1"/>
                <w:sz w:val="24"/>
                <w:szCs w:val="24"/>
                <w:highlight w:val="none"/>
                <w:u w:val="none"/>
                <w14:textFill>
                  <w14:solidFill>
                    <w14:schemeClr w14:val="tx1"/>
                  </w14:solidFill>
                </w14:textFill>
              </w:rPr>
              <w:t>、NO</w:t>
            </w:r>
            <w:r>
              <w:rPr>
                <w:rFonts w:hint="default" w:ascii="Times New Roman" w:hAnsi="Times New Roman" w:eastAsia="宋体" w:cs="Times New Roman"/>
                <w:color w:val="000000" w:themeColor="text1"/>
                <w:sz w:val="24"/>
                <w:szCs w:val="24"/>
                <w:highlight w:val="none"/>
                <w:u w:val="none"/>
                <w:vertAlign w:val="subscript"/>
                <w14:textFill>
                  <w14:solidFill>
                    <w14:schemeClr w14:val="tx1"/>
                  </w14:solidFill>
                </w14:textFill>
              </w:rPr>
              <w:t>2</w:t>
            </w:r>
            <w:r>
              <w:rPr>
                <w:rFonts w:hint="default" w:ascii="Times New Roman" w:hAnsi="Times New Roman" w:eastAsia="宋体" w:cs="Times New Roman"/>
                <w:color w:val="000000" w:themeColor="text1"/>
                <w:sz w:val="24"/>
                <w:szCs w:val="24"/>
                <w:highlight w:val="none"/>
                <w:u w:val="none"/>
                <w14:textFill>
                  <w14:solidFill>
                    <w14:schemeClr w14:val="tx1"/>
                  </w14:solidFill>
                </w14:textFill>
              </w:rPr>
              <w:t>、PM</w:t>
            </w:r>
            <w:r>
              <w:rPr>
                <w:rFonts w:hint="default" w:ascii="Times New Roman" w:hAnsi="Times New Roman" w:eastAsia="宋体" w:cs="Times New Roman"/>
                <w:color w:val="000000" w:themeColor="text1"/>
                <w:sz w:val="24"/>
                <w:szCs w:val="24"/>
                <w:highlight w:val="none"/>
                <w:u w:val="none"/>
                <w:vertAlign w:val="subscript"/>
                <w14:textFill>
                  <w14:solidFill>
                    <w14:schemeClr w14:val="tx1"/>
                  </w14:solidFill>
                </w14:textFill>
              </w:rPr>
              <w:t>2.5</w:t>
            </w:r>
            <w:r>
              <w:rPr>
                <w:rFonts w:hint="default" w:ascii="Times New Roman" w:hAnsi="Times New Roman" w:eastAsia="宋体" w:cs="Times New Roman"/>
                <w:color w:val="000000" w:themeColor="text1"/>
                <w:sz w:val="24"/>
                <w:szCs w:val="24"/>
                <w:highlight w:val="none"/>
                <w:u w:val="none"/>
                <w14:textFill>
                  <w14:solidFill>
                    <w14:schemeClr w14:val="tx1"/>
                  </w14:solidFill>
                </w14:textFill>
              </w:rPr>
              <w:t>、PM</w:t>
            </w:r>
            <w:r>
              <w:rPr>
                <w:rFonts w:hint="default" w:ascii="Times New Roman" w:hAnsi="Times New Roman" w:eastAsia="宋体" w:cs="Times New Roman"/>
                <w:color w:val="000000" w:themeColor="text1"/>
                <w:sz w:val="24"/>
                <w:szCs w:val="24"/>
                <w:highlight w:val="none"/>
                <w:u w:val="none"/>
                <w:vertAlign w:val="subscript"/>
                <w14:textFill>
                  <w14:solidFill>
                    <w14:schemeClr w14:val="tx1"/>
                  </w14:solidFill>
                </w14:textFill>
              </w:rPr>
              <w:t>10</w:t>
            </w:r>
            <w:r>
              <w:rPr>
                <w:rFonts w:hint="default" w:ascii="Times New Roman" w:hAnsi="Times New Roman" w:eastAsia="宋体" w:cs="Times New Roman"/>
                <w:color w:val="000000" w:themeColor="text1"/>
                <w:sz w:val="24"/>
                <w:szCs w:val="24"/>
                <w:highlight w:val="none"/>
                <w:u w:val="none"/>
                <w14:textFill>
                  <w14:solidFill>
                    <w14:schemeClr w14:val="tx1"/>
                  </w14:solidFill>
                </w14:textFill>
              </w:rPr>
              <w:t>、CO、O</w:t>
            </w:r>
            <w:r>
              <w:rPr>
                <w:rFonts w:hint="default" w:ascii="Times New Roman" w:hAnsi="Times New Roman" w:eastAsia="宋体" w:cs="Times New Roman"/>
                <w:color w:val="000000" w:themeColor="text1"/>
                <w:sz w:val="24"/>
                <w:szCs w:val="24"/>
                <w:highlight w:val="none"/>
                <w:u w:val="none"/>
                <w:vertAlign w:val="subscript"/>
                <w14:textFill>
                  <w14:solidFill>
                    <w14:schemeClr w14:val="tx1"/>
                  </w14:solidFill>
                </w14:textFill>
              </w:rPr>
              <w:t>3</w:t>
            </w:r>
            <w:r>
              <w:rPr>
                <w:rFonts w:hint="default" w:ascii="Times New Roman" w:hAnsi="Times New Roman" w:eastAsia="宋体" w:cs="Times New Roman"/>
                <w:color w:val="000000" w:themeColor="text1"/>
                <w:sz w:val="24"/>
                <w:szCs w:val="24"/>
                <w:highlight w:val="none"/>
                <w:u w:val="none"/>
                <w:vertAlign w:val="baseline"/>
                <w:lang w:val="en-US" w:eastAsia="zh-CN"/>
                <w14:textFill>
                  <w14:solidFill>
                    <w14:schemeClr w14:val="tx1"/>
                  </w14:solidFill>
                </w14:textFill>
              </w:rPr>
              <w:t>监测时间为</w:t>
            </w:r>
            <w:r>
              <w:rPr>
                <w:rFonts w:hint="default"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2024年9月26日~10月2日，监测时间为7天。</w:t>
            </w:r>
          </w:p>
          <w:p w14:paraId="0DFA0B2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cs="Times New Roman"/>
                <w:color w:val="000000" w:themeColor="text1"/>
                <w:sz w:val="24"/>
                <w:szCs w:val="24"/>
                <w:highlight w:val="none"/>
                <w:u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4</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u w:val="none"/>
                <w:lang w:eastAsia="zh-CN"/>
                <w14:textFill>
                  <w14:solidFill>
                    <w14:schemeClr w14:val="tx1"/>
                  </w14:solidFill>
                </w14:textFill>
              </w:rPr>
              <w:t>监测统计结果</w:t>
            </w:r>
          </w:p>
          <w:p w14:paraId="59F829F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cs="Times New Roman"/>
                <w:color w:val="000000" w:themeColor="text1"/>
                <w:sz w:val="24"/>
                <w:szCs w:val="24"/>
                <w:highlight w:val="none"/>
                <w:u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u w:val="none"/>
                <w:lang w:eastAsia="zh-CN"/>
                <w14:textFill>
                  <w14:solidFill>
                    <w14:schemeClr w14:val="tx1"/>
                  </w14:solidFill>
                </w14:textFill>
              </w:rPr>
              <w:t>本项目</w:t>
            </w:r>
            <w:r>
              <w:rPr>
                <w:rFonts w:hint="default" w:ascii="Times New Roman" w:hAnsi="Times New Roman" w:cs="Times New Roman"/>
                <w:color w:val="000000" w:themeColor="text1"/>
                <w:sz w:val="24"/>
                <w:szCs w:val="24"/>
                <w:highlight w:val="none"/>
                <w:u w:val="none"/>
                <w:lang w:val="en-US" w:eastAsia="zh-CN"/>
                <w14:textFill>
                  <w14:solidFill>
                    <w14:schemeClr w14:val="tx1"/>
                  </w14:solidFill>
                </w14:textFill>
              </w:rPr>
              <w:t>一类区各</w:t>
            </w:r>
            <w:r>
              <w:rPr>
                <w:rFonts w:hint="default" w:ascii="Times New Roman" w:hAnsi="Times New Roman" w:cs="Times New Roman"/>
                <w:color w:val="000000" w:themeColor="text1"/>
                <w:sz w:val="24"/>
                <w:szCs w:val="24"/>
                <w:highlight w:val="none"/>
                <w:u w:val="none"/>
                <w:lang w:eastAsia="zh-CN"/>
                <w14:textFill>
                  <w14:solidFill>
                    <w14:schemeClr w14:val="tx1"/>
                  </w14:solidFill>
                </w14:textFill>
              </w:rPr>
              <w:t>污染物环境空气质量现状监测结果及评价结果见</w:t>
            </w:r>
            <w:r>
              <w:rPr>
                <w:rFonts w:hint="eastAsia" w:ascii="Times New Roman" w:hAnsi="Times New Roman" w:cs="Times New Roman"/>
                <w:color w:val="000000" w:themeColor="text1"/>
                <w:sz w:val="24"/>
                <w:szCs w:val="24"/>
                <w:highlight w:val="none"/>
                <w:u w:val="none"/>
                <w:lang w:val="en-US" w:eastAsia="zh-CN"/>
                <w14:textFill>
                  <w14:solidFill>
                    <w14:schemeClr w14:val="tx1"/>
                  </w14:solidFill>
                </w14:textFill>
              </w:rPr>
              <w:t>下</w:t>
            </w:r>
            <w:r>
              <w:rPr>
                <w:rFonts w:hint="default" w:ascii="Times New Roman" w:hAnsi="Times New Roman" w:cs="Times New Roman"/>
                <w:color w:val="000000" w:themeColor="text1"/>
                <w:sz w:val="24"/>
                <w:szCs w:val="24"/>
                <w:highlight w:val="none"/>
                <w:u w:val="none"/>
                <w:lang w:val="en-US" w:eastAsia="zh-CN"/>
                <w14:textFill>
                  <w14:solidFill>
                    <w14:schemeClr w14:val="tx1"/>
                  </w14:solidFill>
                </w14:textFill>
              </w:rPr>
              <w:t>表。</w:t>
            </w:r>
          </w:p>
          <w:p w14:paraId="74D660E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000000" w:themeColor="text1"/>
                <w:sz w:val="24"/>
                <w:szCs w:val="24"/>
                <w:highlight w:val="none"/>
                <w:u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u w:val="none"/>
                <w:lang w:val="en-US" w:eastAsia="zh-CN"/>
                <w14:textFill>
                  <w14:solidFill>
                    <w14:schemeClr w14:val="tx1"/>
                  </w14:solidFill>
                </w14:textFill>
              </w:rPr>
              <w:t>表</w:t>
            </w:r>
            <w:r>
              <w:rPr>
                <w:rFonts w:hint="eastAsia" w:ascii="Times New Roman" w:hAnsi="Times New Roman" w:eastAsia="宋体" w:cs="Times New Roman"/>
                <w:b/>
                <w:bCs/>
                <w:color w:val="000000" w:themeColor="text1"/>
                <w:sz w:val="24"/>
                <w:szCs w:val="24"/>
                <w:highlight w:val="none"/>
                <w:u w:val="none"/>
                <w:lang w:val="en-US" w:eastAsia="zh-CN"/>
                <w14:textFill>
                  <w14:solidFill>
                    <w14:schemeClr w14:val="tx1"/>
                  </w14:solidFill>
                </w14:textFill>
              </w:rPr>
              <w:t xml:space="preserve">3-5 </w:t>
            </w:r>
            <w:r>
              <w:rPr>
                <w:rFonts w:hint="default" w:ascii="Times New Roman" w:hAnsi="Times New Roman" w:eastAsia="宋体" w:cs="Times New Roman"/>
                <w:b/>
                <w:bCs/>
                <w:color w:val="000000" w:themeColor="text1"/>
                <w:sz w:val="24"/>
                <w:szCs w:val="24"/>
                <w:highlight w:val="none"/>
                <w:u w:val="none"/>
                <w:lang w:val="en-US" w:eastAsia="zh-CN"/>
                <w14:textFill>
                  <w14:solidFill>
                    <w14:schemeClr w14:val="tx1"/>
                  </w14:solidFill>
                </w14:textFill>
              </w:rPr>
              <w:t>环境空气质量现状监测结果</w:t>
            </w:r>
          </w:p>
          <w:tbl>
            <w:tblPr>
              <w:tblStyle w:val="28"/>
              <w:tblW w:w="7876"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946"/>
              <w:gridCol w:w="499"/>
              <w:gridCol w:w="597"/>
              <w:gridCol w:w="1041"/>
              <w:gridCol w:w="912"/>
              <w:gridCol w:w="847"/>
              <w:gridCol w:w="1140"/>
              <w:gridCol w:w="777"/>
              <w:gridCol w:w="523"/>
              <w:gridCol w:w="594"/>
            </w:tblGrid>
            <w:tr w14:paraId="1C00E5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550" w:hRule="atLeast"/>
              </w:trPr>
              <w:tc>
                <w:tcPr>
                  <w:tcW w:w="946" w:type="dxa"/>
                  <w:vMerge w:val="restart"/>
                  <w:tcBorders>
                    <w:tl2br w:val="nil"/>
                    <w:tr2bl w:val="nil"/>
                  </w:tcBorders>
                  <w:noWrap w:val="0"/>
                  <w:vAlign w:val="center"/>
                </w:tcPr>
                <w:p w14:paraId="49F97E11">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点位名称</w:t>
                  </w:r>
                </w:p>
              </w:tc>
              <w:tc>
                <w:tcPr>
                  <w:tcW w:w="1096" w:type="dxa"/>
                  <w:gridSpan w:val="2"/>
                  <w:tcBorders>
                    <w:tl2br w:val="nil"/>
                    <w:tr2bl w:val="nil"/>
                  </w:tcBorders>
                  <w:noWrap w:val="0"/>
                  <w:vAlign w:val="center"/>
                </w:tcPr>
                <w:p w14:paraId="0FDCD0E7">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监测点位经纬度</w:t>
                  </w:r>
                </w:p>
              </w:tc>
              <w:tc>
                <w:tcPr>
                  <w:tcW w:w="1041" w:type="dxa"/>
                  <w:vMerge w:val="restart"/>
                  <w:tcBorders>
                    <w:tl2br w:val="nil"/>
                    <w:tr2bl w:val="nil"/>
                  </w:tcBorders>
                  <w:noWrap w:val="0"/>
                  <w:vAlign w:val="center"/>
                </w:tcPr>
                <w:p w14:paraId="16F727F2">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污染物</w:t>
                  </w:r>
                </w:p>
              </w:tc>
              <w:tc>
                <w:tcPr>
                  <w:tcW w:w="912" w:type="dxa"/>
                  <w:vMerge w:val="restart"/>
                  <w:tcBorders>
                    <w:tl2br w:val="nil"/>
                    <w:tr2bl w:val="nil"/>
                  </w:tcBorders>
                  <w:noWrap w:val="0"/>
                  <w:vAlign w:val="center"/>
                </w:tcPr>
                <w:p w14:paraId="16565CCD">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平均时间</w:t>
                  </w:r>
                </w:p>
              </w:tc>
              <w:tc>
                <w:tcPr>
                  <w:tcW w:w="847" w:type="dxa"/>
                  <w:vMerge w:val="restart"/>
                  <w:tcBorders>
                    <w:tl2br w:val="nil"/>
                    <w:tr2bl w:val="nil"/>
                  </w:tcBorders>
                  <w:noWrap w:val="0"/>
                  <w:vAlign w:val="center"/>
                </w:tcPr>
                <w:p w14:paraId="1D9143B7">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评价标准</w:t>
                  </w:r>
                </w:p>
                <w:p w14:paraId="4007BC1A">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/（μg/m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1140" w:type="dxa"/>
                  <w:vMerge w:val="restart"/>
                  <w:tcBorders>
                    <w:tl2br w:val="nil"/>
                    <w:tr2bl w:val="nil"/>
                  </w:tcBorders>
                  <w:noWrap w:val="0"/>
                  <w:vAlign w:val="center"/>
                </w:tcPr>
                <w:p w14:paraId="3893E8CA">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监测浓度范围/（μg/m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777" w:type="dxa"/>
                  <w:vMerge w:val="restart"/>
                  <w:tcBorders>
                    <w:tl2br w:val="nil"/>
                    <w:tr2bl w:val="nil"/>
                  </w:tcBorders>
                  <w:noWrap w:val="0"/>
                  <w:vAlign w:val="center"/>
                </w:tcPr>
                <w:p w14:paraId="3A724778">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最大浓度占标率/%</w:t>
                  </w:r>
                </w:p>
              </w:tc>
              <w:tc>
                <w:tcPr>
                  <w:tcW w:w="523" w:type="dxa"/>
                  <w:vMerge w:val="restart"/>
                  <w:tcBorders>
                    <w:tl2br w:val="nil"/>
                    <w:tr2bl w:val="nil"/>
                  </w:tcBorders>
                  <w:noWrap w:val="0"/>
                  <w:vAlign w:val="center"/>
                </w:tcPr>
                <w:p w14:paraId="2A97AD40">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超标概率/</w:t>
                  </w:r>
                </w:p>
                <w:p w14:paraId="68E67F80">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594" w:type="dxa"/>
                  <w:vMerge w:val="restart"/>
                  <w:tcBorders>
                    <w:tl2br w:val="nil"/>
                    <w:tr2bl w:val="nil"/>
                  </w:tcBorders>
                  <w:noWrap w:val="0"/>
                  <w:vAlign w:val="center"/>
                </w:tcPr>
                <w:p w14:paraId="299D52D7">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达标情况</w:t>
                  </w:r>
                </w:p>
              </w:tc>
            </w:tr>
            <w:tr w14:paraId="563B73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946" w:type="dxa"/>
                  <w:vMerge w:val="continue"/>
                  <w:tcBorders>
                    <w:tl2br w:val="nil"/>
                    <w:tr2bl w:val="nil"/>
                  </w:tcBorders>
                  <w:noWrap w:val="0"/>
                  <w:vAlign w:val="center"/>
                </w:tcPr>
                <w:p w14:paraId="73383324">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99" w:type="dxa"/>
                  <w:tcBorders>
                    <w:tl2br w:val="nil"/>
                    <w:tr2bl w:val="nil"/>
                  </w:tcBorders>
                  <w:noWrap w:val="0"/>
                  <w:vAlign w:val="center"/>
                </w:tcPr>
                <w:p w14:paraId="49F9EA73">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E</w:t>
                  </w:r>
                </w:p>
              </w:tc>
              <w:tc>
                <w:tcPr>
                  <w:tcW w:w="597" w:type="dxa"/>
                  <w:tcBorders>
                    <w:tl2br w:val="nil"/>
                    <w:tr2bl w:val="nil"/>
                  </w:tcBorders>
                  <w:noWrap w:val="0"/>
                  <w:vAlign w:val="center"/>
                </w:tcPr>
                <w:p w14:paraId="42EC3213">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N</w:t>
                  </w:r>
                </w:p>
              </w:tc>
              <w:tc>
                <w:tcPr>
                  <w:tcW w:w="1041" w:type="dxa"/>
                  <w:vMerge w:val="continue"/>
                  <w:tcBorders>
                    <w:tl2br w:val="nil"/>
                    <w:tr2bl w:val="nil"/>
                  </w:tcBorders>
                  <w:noWrap w:val="0"/>
                  <w:vAlign w:val="center"/>
                </w:tcPr>
                <w:p w14:paraId="5B2A1204">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912" w:type="dxa"/>
                  <w:vMerge w:val="continue"/>
                  <w:tcBorders>
                    <w:tl2br w:val="nil"/>
                    <w:tr2bl w:val="nil"/>
                  </w:tcBorders>
                  <w:noWrap w:val="0"/>
                  <w:vAlign w:val="center"/>
                </w:tcPr>
                <w:p w14:paraId="2B17CAA5">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47" w:type="dxa"/>
                  <w:vMerge w:val="continue"/>
                  <w:tcBorders>
                    <w:tl2br w:val="nil"/>
                    <w:tr2bl w:val="nil"/>
                  </w:tcBorders>
                  <w:noWrap w:val="0"/>
                  <w:vAlign w:val="center"/>
                </w:tcPr>
                <w:p w14:paraId="61C61B55">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40" w:type="dxa"/>
                  <w:vMerge w:val="continue"/>
                  <w:tcBorders>
                    <w:tl2br w:val="nil"/>
                    <w:tr2bl w:val="nil"/>
                  </w:tcBorders>
                  <w:noWrap w:val="0"/>
                  <w:vAlign w:val="center"/>
                </w:tcPr>
                <w:p w14:paraId="60B41F66">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77" w:type="dxa"/>
                  <w:vMerge w:val="continue"/>
                  <w:tcBorders>
                    <w:tl2br w:val="nil"/>
                    <w:tr2bl w:val="nil"/>
                  </w:tcBorders>
                  <w:noWrap w:val="0"/>
                  <w:vAlign w:val="center"/>
                </w:tcPr>
                <w:p w14:paraId="5126C6EC">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3" w:type="dxa"/>
                  <w:vMerge w:val="continue"/>
                  <w:tcBorders>
                    <w:tl2br w:val="nil"/>
                    <w:tr2bl w:val="nil"/>
                  </w:tcBorders>
                  <w:noWrap w:val="0"/>
                  <w:vAlign w:val="center"/>
                </w:tcPr>
                <w:p w14:paraId="1BEBF80F">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94" w:type="dxa"/>
                  <w:vMerge w:val="continue"/>
                  <w:tcBorders>
                    <w:tl2br w:val="nil"/>
                    <w:tr2bl w:val="nil"/>
                  </w:tcBorders>
                  <w:noWrap w:val="0"/>
                  <w:vAlign w:val="center"/>
                </w:tcPr>
                <w:p w14:paraId="2110B06C">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6CF620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946" w:type="dxa"/>
                  <w:vMerge w:val="restart"/>
                  <w:tcBorders>
                    <w:tl2br w:val="nil"/>
                    <w:tr2bl w:val="nil"/>
                  </w:tcBorders>
                  <w:noWrap w:val="0"/>
                  <w:vAlign w:val="center"/>
                </w:tcPr>
                <w:p w14:paraId="7FE26D22">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黑龙江伊春兴安国家森林公园</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499" w:type="dxa"/>
                  <w:vMerge w:val="restart"/>
                  <w:tcBorders>
                    <w:tl2br w:val="nil"/>
                    <w:tr2bl w:val="nil"/>
                  </w:tcBorders>
                  <w:noWrap w:val="0"/>
                  <w:vAlign w:val="center"/>
                </w:tcPr>
                <w:p w14:paraId="53379EDA">
                  <w:pPr>
                    <w:pStyle w:val="99"/>
                    <w:keepNext w:val="0"/>
                    <w:keepLines w:val="0"/>
                    <w:pageBreakBefore w:val="0"/>
                    <w:widowControl/>
                    <w:kinsoku/>
                    <w:wordWrap/>
                    <w:overflowPunct/>
                    <w:topLinePunct w:val="0"/>
                    <w:autoSpaceDE/>
                    <w:autoSpaceDN/>
                    <w:bidi w:val="0"/>
                    <w:adjustRightInd/>
                    <w:snapToGrid/>
                    <w:spacing w:line="240" w:lineRule="auto"/>
                    <w:ind w:right="113" w:rightChars="0"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128.920770524</w:t>
                  </w:r>
                </w:p>
              </w:tc>
              <w:tc>
                <w:tcPr>
                  <w:tcW w:w="597" w:type="dxa"/>
                  <w:vMerge w:val="restart"/>
                  <w:tcBorders>
                    <w:tl2br w:val="nil"/>
                    <w:tr2bl w:val="nil"/>
                  </w:tcBorders>
                  <w:noWrap w:val="0"/>
                  <w:vAlign w:val="center"/>
                </w:tcPr>
                <w:p w14:paraId="552D234D">
                  <w:pPr>
                    <w:pStyle w:val="99"/>
                    <w:keepNext w:val="0"/>
                    <w:keepLines w:val="0"/>
                    <w:pageBreakBefore w:val="0"/>
                    <w:widowControl/>
                    <w:kinsoku/>
                    <w:wordWrap/>
                    <w:overflowPunct/>
                    <w:topLinePunct w:val="0"/>
                    <w:autoSpaceDE/>
                    <w:autoSpaceDN/>
                    <w:bidi w:val="0"/>
                    <w:adjustRightInd/>
                    <w:snapToGrid/>
                    <w:spacing w:line="240" w:lineRule="auto"/>
                    <w:ind w:right="113" w:rightChars="0" w:firstLine="0" w:firstLineChars="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47.723422618</w:t>
                  </w:r>
                </w:p>
              </w:tc>
              <w:tc>
                <w:tcPr>
                  <w:tcW w:w="1041" w:type="dxa"/>
                  <w:tcBorders>
                    <w:tl2br w:val="nil"/>
                    <w:tr2bl w:val="nil"/>
                  </w:tcBorders>
                  <w:noWrap w:val="0"/>
                  <w:vAlign w:val="center"/>
                </w:tcPr>
                <w:p w14:paraId="7E38030A">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臭气浓度</w:t>
                  </w:r>
                </w:p>
              </w:tc>
              <w:tc>
                <w:tcPr>
                  <w:tcW w:w="912" w:type="dxa"/>
                  <w:tcBorders>
                    <w:tl2br w:val="nil"/>
                    <w:tr2bl w:val="nil"/>
                  </w:tcBorders>
                  <w:noWrap w:val="0"/>
                  <w:vAlign w:val="center"/>
                </w:tcPr>
                <w:p w14:paraId="5BF22F9B">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1h平均</w:t>
                  </w:r>
                </w:p>
              </w:tc>
              <w:tc>
                <w:tcPr>
                  <w:tcW w:w="847" w:type="dxa"/>
                  <w:tcBorders>
                    <w:tl2br w:val="nil"/>
                    <w:tr2bl w:val="nil"/>
                  </w:tcBorders>
                  <w:noWrap w:val="0"/>
                  <w:vAlign w:val="center"/>
                </w:tcPr>
                <w:p w14:paraId="3B49E9A5">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1140" w:type="dxa"/>
                  <w:tcBorders>
                    <w:tl2br w:val="nil"/>
                    <w:tr2bl w:val="nil"/>
                  </w:tcBorders>
                  <w:noWrap w:val="0"/>
                  <w:vAlign w:val="center"/>
                </w:tcPr>
                <w:p w14:paraId="59486B5F">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10L</w:t>
                  </w:r>
                </w:p>
              </w:tc>
              <w:tc>
                <w:tcPr>
                  <w:tcW w:w="777" w:type="dxa"/>
                  <w:tcBorders>
                    <w:tl2br w:val="nil"/>
                    <w:tr2bl w:val="nil"/>
                  </w:tcBorders>
                  <w:noWrap w:val="0"/>
                  <w:vAlign w:val="center"/>
                </w:tcPr>
                <w:p w14:paraId="2CDD6875">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523" w:type="dxa"/>
                  <w:tcBorders>
                    <w:tl2br w:val="nil"/>
                    <w:tr2bl w:val="nil"/>
                  </w:tcBorders>
                  <w:noWrap w:val="0"/>
                  <w:vAlign w:val="center"/>
                </w:tcPr>
                <w:p w14:paraId="0CB70BE5">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w:t>
                  </w:r>
                </w:p>
              </w:tc>
              <w:tc>
                <w:tcPr>
                  <w:tcW w:w="594" w:type="dxa"/>
                  <w:tcBorders>
                    <w:tl2br w:val="nil"/>
                    <w:tr2bl w:val="nil"/>
                  </w:tcBorders>
                  <w:noWrap w:val="0"/>
                  <w:vAlign w:val="center"/>
                </w:tcPr>
                <w:p w14:paraId="2F6474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52F56B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70" w:hRule="atLeast"/>
              </w:trPr>
              <w:tc>
                <w:tcPr>
                  <w:tcW w:w="946" w:type="dxa"/>
                  <w:vMerge w:val="continue"/>
                  <w:tcBorders>
                    <w:tl2br w:val="nil"/>
                    <w:tr2bl w:val="nil"/>
                  </w:tcBorders>
                  <w:noWrap w:val="0"/>
                  <w:vAlign w:val="center"/>
                </w:tcPr>
                <w:p w14:paraId="4CCB0618">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99" w:type="dxa"/>
                  <w:vMerge w:val="continue"/>
                  <w:tcBorders>
                    <w:tl2br w:val="nil"/>
                    <w:tr2bl w:val="nil"/>
                  </w:tcBorders>
                  <w:noWrap w:val="0"/>
                  <w:vAlign w:val="center"/>
                </w:tcPr>
                <w:p w14:paraId="6A276934">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97" w:type="dxa"/>
                  <w:vMerge w:val="continue"/>
                  <w:tcBorders>
                    <w:tl2br w:val="nil"/>
                    <w:tr2bl w:val="nil"/>
                  </w:tcBorders>
                  <w:noWrap w:val="0"/>
                  <w:vAlign w:val="center"/>
                </w:tcPr>
                <w:p w14:paraId="1D56058B">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41" w:type="dxa"/>
                  <w:tcBorders>
                    <w:tl2br w:val="nil"/>
                    <w:tr2bl w:val="nil"/>
                  </w:tcBorders>
                  <w:noWrap w:val="0"/>
                  <w:vAlign w:val="center"/>
                </w:tcPr>
                <w:p w14:paraId="2BBDFF34">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氨</w:t>
                  </w:r>
                </w:p>
              </w:tc>
              <w:tc>
                <w:tcPr>
                  <w:tcW w:w="912" w:type="dxa"/>
                  <w:tcBorders>
                    <w:tl2br w:val="nil"/>
                    <w:tr2bl w:val="nil"/>
                  </w:tcBorders>
                  <w:noWrap w:val="0"/>
                  <w:vAlign w:val="center"/>
                </w:tcPr>
                <w:p w14:paraId="1AB96E48">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1h平均</w:t>
                  </w:r>
                </w:p>
              </w:tc>
              <w:tc>
                <w:tcPr>
                  <w:tcW w:w="847" w:type="dxa"/>
                  <w:tcBorders>
                    <w:tl2br w:val="nil"/>
                    <w:tr2bl w:val="nil"/>
                  </w:tcBorders>
                  <w:noWrap w:val="0"/>
                  <w:vAlign w:val="center"/>
                </w:tcPr>
                <w:p w14:paraId="4E45C96C">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200</w:t>
                  </w:r>
                </w:p>
              </w:tc>
              <w:tc>
                <w:tcPr>
                  <w:tcW w:w="1140" w:type="dxa"/>
                  <w:tcBorders>
                    <w:tl2br w:val="nil"/>
                    <w:tr2bl w:val="nil"/>
                  </w:tcBorders>
                  <w:noWrap w:val="0"/>
                  <w:vAlign w:val="center"/>
                </w:tcPr>
                <w:p w14:paraId="1F72836D">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10L</w:t>
                  </w:r>
                </w:p>
              </w:tc>
              <w:tc>
                <w:tcPr>
                  <w:tcW w:w="777" w:type="dxa"/>
                  <w:tcBorders>
                    <w:tl2br w:val="nil"/>
                    <w:tr2bl w:val="nil"/>
                  </w:tcBorders>
                  <w:noWrap w:val="0"/>
                  <w:vAlign w:val="center"/>
                </w:tcPr>
                <w:p w14:paraId="7AA77D60">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523" w:type="dxa"/>
                  <w:tcBorders>
                    <w:tl2br w:val="nil"/>
                    <w:tr2bl w:val="nil"/>
                  </w:tcBorders>
                  <w:noWrap w:val="0"/>
                  <w:vAlign w:val="center"/>
                </w:tcPr>
                <w:p w14:paraId="4F7F041B">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w:t>
                  </w:r>
                </w:p>
              </w:tc>
              <w:tc>
                <w:tcPr>
                  <w:tcW w:w="594" w:type="dxa"/>
                  <w:tcBorders>
                    <w:tl2br w:val="nil"/>
                    <w:tr2bl w:val="nil"/>
                  </w:tcBorders>
                  <w:noWrap w:val="0"/>
                  <w:vAlign w:val="center"/>
                </w:tcPr>
                <w:p w14:paraId="6097A5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7CBD5D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70" w:hRule="atLeast"/>
              </w:trPr>
              <w:tc>
                <w:tcPr>
                  <w:tcW w:w="946" w:type="dxa"/>
                  <w:vMerge w:val="continue"/>
                  <w:tcBorders>
                    <w:tl2br w:val="nil"/>
                    <w:tr2bl w:val="nil"/>
                  </w:tcBorders>
                  <w:noWrap w:val="0"/>
                  <w:vAlign w:val="center"/>
                </w:tcPr>
                <w:p w14:paraId="04F6CC0A">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99" w:type="dxa"/>
                  <w:vMerge w:val="continue"/>
                  <w:tcBorders>
                    <w:tl2br w:val="nil"/>
                    <w:tr2bl w:val="nil"/>
                  </w:tcBorders>
                  <w:noWrap w:val="0"/>
                  <w:vAlign w:val="center"/>
                </w:tcPr>
                <w:p w14:paraId="647A192D">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97" w:type="dxa"/>
                  <w:vMerge w:val="continue"/>
                  <w:tcBorders>
                    <w:tl2br w:val="nil"/>
                    <w:tr2bl w:val="nil"/>
                  </w:tcBorders>
                  <w:noWrap w:val="0"/>
                  <w:vAlign w:val="center"/>
                </w:tcPr>
                <w:p w14:paraId="41ECD404">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41" w:type="dxa"/>
                  <w:tcBorders>
                    <w:tl2br w:val="nil"/>
                    <w:tr2bl w:val="nil"/>
                  </w:tcBorders>
                  <w:noWrap w:val="0"/>
                  <w:vAlign w:val="center"/>
                </w:tcPr>
                <w:p w14:paraId="4BE40E71">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硫化氢</w:t>
                  </w:r>
                </w:p>
              </w:tc>
              <w:tc>
                <w:tcPr>
                  <w:tcW w:w="912" w:type="dxa"/>
                  <w:tcBorders>
                    <w:tl2br w:val="nil"/>
                    <w:tr2bl w:val="nil"/>
                  </w:tcBorders>
                  <w:noWrap w:val="0"/>
                  <w:vAlign w:val="center"/>
                </w:tcPr>
                <w:p w14:paraId="6F869A21">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1h平均</w:t>
                  </w:r>
                </w:p>
              </w:tc>
              <w:tc>
                <w:tcPr>
                  <w:tcW w:w="847" w:type="dxa"/>
                  <w:tcBorders>
                    <w:tl2br w:val="nil"/>
                    <w:tr2bl w:val="nil"/>
                  </w:tcBorders>
                  <w:noWrap w:val="0"/>
                  <w:vAlign w:val="center"/>
                </w:tcPr>
                <w:p w14:paraId="31363FF6">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10</w:t>
                  </w:r>
                </w:p>
              </w:tc>
              <w:tc>
                <w:tcPr>
                  <w:tcW w:w="1140" w:type="dxa"/>
                  <w:tcBorders>
                    <w:tl2br w:val="nil"/>
                    <w:tr2bl w:val="nil"/>
                  </w:tcBorders>
                  <w:noWrap w:val="0"/>
                  <w:vAlign w:val="center"/>
                </w:tcPr>
                <w:p w14:paraId="51FD94A9">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1L</w:t>
                  </w:r>
                </w:p>
              </w:tc>
              <w:tc>
                <w:tcPr>
                  <w:tcW w:w="777" w:type="dxa"/>
                  <w:tcBorders>
                    <w:tl2br w:val="nil"/>
                    <w:tr2bl w:val="nil"/>
                  </w:tcBorders>
                  <w:noWrap w:val="0"/>
                  <w:vAlign w:val="center"/>
                </w:tcPr>
                <w:p w14:paraId="45E4937F">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523" w:type="dxa"/>
                  <w:tcBorders>
                    <w:tl2br w:val="nil"/>
                    <w:tr2bl w:val="nil"/>
                  </w:tcBorders>
                  <w:noWrap w:val="0"/>
                  <w:vAlign w:val="center"/>
                </w:tcPr>
                <w:p w14:paraId="46072627">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w:t>
                  </w:r>
                </w:p>
              </w:tc>
              <w:tc>
                <w:tcPr>
                  <w:tcW w:w="594" w:type="dxa"/>
                  <w:tcBorders>
                    <w:tl2br w:val="nil"/>
                    <w:tr2bl w:val="nil"/>
                  </w:tcBorders>
                  <w:noWrap w:val="0"/>
                  <w:vAlign w:val="center"/>
                </w:tcPr>
                <w:p w14:paraId="00C908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20004C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2" w:hRule="atLeast"/>
              </w:trPr>
              <w:tc>
                <w:tcPr>
                  <w:tcW w:w="946" w:type="dxa"/>
                  <w:vMerge w:val="continue"/>
                  <w:tcBorders>
                    <w:tl2br w:val="nil"/>
                    <w:tr2bl w:val="nil"/>
                  </w:tcBorders>
                  <w:noWrap w:val="0"/>
                  <w:vAlign w:val="center"/>
                </w:tcPr>
                <w:p w14:paraId="0F4CE642">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99" w:type="dxa"/>
                  <w:vMerge w:val="continue"/>
                  <w:tcBorders>
                    <w:tl2br w:val="nil"/>
                    <w:tr2bl w:val="nil"/>
                  </w:tcBorders>
                  <w:noWrap w:val="0"/>
                  <w:vAlign w:val="center"/>
                </w:tcPr>
                <w:p w14:paraId="644E16BC">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97" w:type="dxa"/>
                  <w:vMerge w:val="continue"/>
                  <w:tcBorders>
                    <w:tl2br w:val="nil"/>
                    <w:tr2bl w:val="nil"/>
                  </w:tcBorders>
                  <w:noWrap w:val="0"/>
                  <w:vAlign w:val="center"/>
                </w:tcPr>
                <w:p w14:paraId="64F3D234">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41" w:type="dxa"/>
                  <w:vMerge w:val="restart"/>
                  <w:tcBorders>
                    <w:tl2br w:val="nil"/>
                    <w:tr2bl w:val="nil"/>
                  </w:tcBorders>
                  <w:noWrap w:val="0"/>
                  <w:vAlign w:val="center"/>
                </w:tcPr>
                <w:p w14:paraId="40842468">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氯化氢</w:t>
                  </w:r>
                </w:p>
              </w:tc>
              <w:tc>
                <w:tcPr>
                  <w:tcW w:w="912" w:type="dxa"/>
                  <w:tcBorders>
                    <w:tl2br w:val="nil"/>
                    <w:tr2bl w:val="nil"/>
                  </w:tcBorders>
                  <w:noWrap w:val="0"/>
                  <w:vAlign w:val="center"/>
                </w:tcPr>
                <w:p w14:paraId="59AC6767">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1h平均</w:t>
                  </w:r>
                </w:p>
              </w:tc>
              <w:tc>
                <w:tcPr>
                  <w:tcW w:w="847" w:type="dxa"/>
                  <w:tcBorders>
                    <w:tl2br w:val="nil"/>
                    <w:tr2bl w:val="nil"/>
                  </w:tcBorders>
                  <w:noWrap w:val="0"/>
                  <w:vAlign w:val="center"/>
                </w:tcPr>
                <w:p w14:paraId="04EB1FA1">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50</w:t>
                  </w:r>
                </w:p>
              </w:tc>
              <w:tc>
                <w:tcPr>
                  <w:tcW w:w="1140" w:type="dxa"/>
                  <w:tcBorders>
                    <w:tl2br w:val="nil"/>
                    <w:tr2bl w:val="nil"/>
                  </w:tcBorders>
                  <w:noWrap w:val="0"/>
                  <w:vAlign w:val="center"/>
                </w:tcPr>
                <w:p w14:paraId="354BCAA6">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20L</w:t>
                  </w:r>
                </w:p>
              </w:tc>
              <w:tc>
                <w:tcPr>
                  <w:tcW w:w="777" w:type="dxa"/>
                  <w:tcBorders>
                    <w:tl2br w:val="nil"/>
                    <w:tr2bl w:val="nil"/>
                  </w:tcBorders>
                  <w:noWrap w:val="0"/>
                  <w:vAlign w:val="center"/>
                </w:tcPr>
                <w:p w14:paraId="29DF7B4D">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523" w:type="dxa"/>
                  <w:tcBorders>
                    <w:tl2br w:val="nil"/>
                    <w:tr2bl w:val="nil"/>
                  </w:tcBorders>
                  <w:noWrap w:val="0"/>
                  <w:vAlign w:val="center"/>
                </w:tcPr>
                <w:p w14:paraId="4EF7DC73">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w:t>
                  </w:r>
                </w:p>
              </w:tc>
              <w:tc>
                <w:tcPr>
                  <w:tcW w:w="594" w:type="dxa"/>
                  <w:tcBorders>
                    <w:tl2br w:val="nil"/>
                    <w:tr2bl w:val="nil"/>
                  </w:tcBorders>
                  <w:noWrap w:val="0"/>
                  <w:vAlign w:val="center"/>
                </w:tcPr>
                <w:p w14:paraId="774202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1E943B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61" w:hRule="atLeast"/>
              </w:trPr>
              <w:tc>
                <w:tcPr>
                  <w:tcW w:w="946" w:type="dxa"/>
                  <w:vMerge w:val="continue"/>
                  <w:tcBorders>
                    <w:tl2br w:val="nil"/>
                    <w:tr2bl w:val="nil"/>
                  </w:tcBorders>
                  <w:noWrap w:val="0"/>
                  <w:vAlign w:val="center"/>
                </w:tcPr>
                <w:p w14:paraId="3F04D552">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99" w:type="dxa"/>
                  <w:vMerge w:val="continue"/>
                  <w:tcBorders>
                    <w:tl2br w:val="nil"/>
                    <w:tr2bl w:val="nil"/>
                  </w:tcBorders>
                  <w:noWrap w:val="0"/>
                  <w:vAlign w:val="center"/>
                </w:tcPr>
                <w:p w14:paraId="04808183">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97" w:type="dxa"/>
                  <w:vMerge w:val="continue"/>
                  <w:tcBorders>
                    <w:tl2br w:val="nil"/>
                    <w:tr2bl w:val="nil"/>
                  </w:tcBorders>
                  <w:noWrap w:val="0"/>
                  <w:vAlign w:val="center"/>
                </w:tcPr>
                <w:p w14:paraId="2FE6F160">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41" w:type="dxa"/>
                  <w:vMerge w:val="continue"/>
                  <w:tcBorders>
                    <w:tl2br w:val="nil"/>
                    <w:tr2bl w:val="nil"/>
                  </w:tcBorders>
                  <w:noWrap w:val="0"/>
                  <w:vAlign w:val="center"/>
                </w:tcPr>
                <w:p w14:paraId="634287C4">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912" w:type="dxa"/>
                  <w:tcBorders>
                    <w:tl2br w:val="nil"/>
                    <w:tr2bl w:val="nil"/>
                  </w:tcBorders>
                  <w:noWrap w:val="0"/>
                  <w:vAlign w:val="center"/>
                </w:tcPr>
                <w:p w14:paraId="32412536">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日平均</w:t>
                  </w:r>
                </w:p>
              </w:tc>
              <w:tc>
                <w:tcPr>
                  <w:tcW w:w="847" w:type="dxa"/>
                  <w:tcBorders>
                    <w:tl2br w:val="nil"/>
                    <w:tr2bl w:val="nil"/>
                  </w:tcBorders>
                  <w:noWrap w:val="0"/>
                  <w:vAlign w:val="center"/>
                </w:tcPr>
                <w:p w14:paraId="0D1ED2A2">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15</w:t>
                  </w:r>
                </w:p>
              </w:tc>
              <w:tc>
                <w:tcPr>
                  <w:tcW w:w="1140" w:type="dxa"/>
                  <w:tcBorders>
                    <w:tl2br w:val="nil"/>
                    <w:tr2bl w:val="nil"/>
                  </w:tcBorders>
                  <w:noWrap w:val="0"/>
                  <w:vAlign w:val="center"/>
                </w:tcPr>
                <w:p w14:paraId="0D264F66">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20L</w:t>
                  </w:r>
                </w:p>
              </w:tc>
              <w:tc>
                <w:tcPr>
                  <w:tcW w:w="777" w:type="dxa"/>
                  <w:tcBorders>
                    <w:tl2br w:val="nil"/>
                    <w:tr2bl w:val="nil"/>
                  </w:tcBorders>
                  <w:noWrap w:val="0"/>
                  <w:vAlign w:val="center"/>
                </w:tcPr>
                <w:p w14:paraId="5CCA8458">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523" w:type="dxa"/>
                  <w:tcBorders>
                    <w:tl2br w:val="nil"/>
                    <w:tr2bl w:val="nil"/>
                  </w:tcBorders>
                  <w:noWrap w:val="0"/>
                  <w:vAlign w:val="center"/>
                </w:tcPr>
                <w:p w14:paraId="452D6762">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0</w:t>
                  </w:r>
                </w:p>
              </w:tc>
              <w:tc>
                <w:tcPr>
                  <w:tcW w:w="594" w:type="dxa"/>
                  <w:tcBorders>
                    <w:tl2br w:val="nil"/>
                    <w:tr2bl w:val="nil"/>
                  </w:tcBorders>
                  <w:noWrap w:val="0"/>
                  <w:vAlign w:val="center"/>
                </w:tcPr>
                <w:p w14:paraId="04B977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65E03E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946" w:type="dxa"/>
                  <w:vMerge w:val="continue"/>
                  <w:tcBorders>
                    <w:tl2br w:val="nil"/>
                    <w:tr2bl w:val="nil"/>
                  </w:tcBorders>
                  <w:noWrap w:val="0"/>
                  <w:vAlign w:val="center"/>
                </w:tcPr>
                <w:p w14:paraId="35B17F1B">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99" w:type="dxa"/>
                  <w:vMerge w:val="continue"/>
                  <w:tcBorders>
                    <w:tl2br w:val="nil"/>
                    <w:tr2bl w:val="nil"/>
                  </w:tcBorders>
                  <w:noWrap w:val="0"/>
                  <w:vAlign w:val="center"/>
                </w:tcPr>
                <w:p w14:paraId="39B6FA18">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97" w:type="dxa"/>
                  <w:vMerge w:val="continue"/>
                  <w:tcBorders>
                    <w:tl2br w:val="nil"/>
                    <w:tr2bl w:val="nil"/>
                  </w:tcBorders>
                  <w:noWrap w:val="0"/>
                  <w:vAlign w:val="center"/>
                </w:tcPr>
                <w:p w14:paraId="5FB21293">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41" w:type="dxa"/>
                  <w:tcBorders>
                    <w:tl2br w:val="nil"/>
                    <w:tr2bl w:val="nil"/>
                  </w:tcBorders>
                  <w:noWrap w:val="0"/>
                  <w:vAlign w:val="center"/>
                </w:tcPr>
                <w:p w14:paraId="449C814E">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非甲烷总烃</w:t>
                  </w:r>
                </w:p>
              </w:tc>
              <w:tc>
                <w:tcPr>
                  <w:tcW w:w="912" w:type="dxa"/>
                  <w:tcBorders>
                    <w:tl2br w:val="nil"/>
                    <w:tr2bl w:val="nil"/>
                  </w:tcBorders>
                  <w:noWrap w:val="0"/>
                  <w:vAlign w:val="center"/>
                </w:tcPr>
                <w:p w14:paraId="741BA88B">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日平均</w:t>
                  </w:r>
                </w:p>
              </w:tc>
              <w:tc>
                <w:tcPr>
                  <w:tcW w:w="847" w:type="dxa"/>
                  <w:tcBorders>
                    <w:tl2br w:val="nil"/>
                    <w:tr2bl w:val="nil"/>
                  </w:tcBorders>
                  <w:noWrap w:val="0"/>
                  <w:vAlign w:val="center"/>
                </w:tcPr>
                <w:p w14:paraId="72007A6F">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2000</w:t>
                  </w:r>
                </w:p>
              </w:tc>
              <w:tc>
                <w:tcPr>
                  <w:tcW w:w="1140" w:type="dxa"/>
                  <w:tcBorders>
                    <w:tl2br w:val="nil"/>
                    <w:tr2bl w:val="nil"/>
                  </w:tcBorders>
                  <w:noWrap w:val="0"/>
                  <w:vAlign w:val="center"/>
                </w:tcPr>
                <w:p w14:paraId="73886146">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630-770</w:t>
                  </w:r>
                </w:p>
              </w:tc>
              <w:tc>
                <w:tcPr>
                  <w:tcW w:w="777" w:type="dxa"/>
                  <w:tcBorders>
                    <w:tl2br w:val="nil"/>
                    <w:tr2bl w:val="nil"/>
                  </w:tcBorders>
                  <w:noWrap w:val="0"/>
                  <w:vAlign w:val="center"/>
                </w:tcPr>
                <w:p w14:paraId="68B5D4A8">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38.5</w:t>
                  </w:r>
                </w:p>
              </w:tc>
              <w:tc>
                <w:tcPr>
                  <w:tcW w:w="523" w:type="dxa"/>
                  <w:tcBorders>
                    <w:tl2br w:val="nil"/>
                    <w:tr2bl w:val="nil"/>
                  </w:tcBorders>
                  <w:noWrap w:val="0"/>
                  <w:vAlign w:val="center"/>
                </w:tcPr>
                <w:p w14:paraId="56F9D80C">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w:t>
                  </w:r>
                </w:p>
              </w:tc>
              <w:tc>
                <w:tcPr>
                  <w:tcW w:w="594" w:type="dxa"/>
                  <w:tcBorders>
                    <w:tl2br w:val="nil"/>
                    <w:tr2bl w:val="nil"/>
                  </w:tcBorders>
                  <w:noWrap w:val="0"/>
                  <w:vAlign w:val="center"/>
                </w:tcPr>
                <w:p w14:paraId="238D5A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达标</w:t>
                  </w:r>
                </w:p>
              </w:tc>
            </w:tr>
            <w:tr w14:paraId="36FD07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946" w:type="dxa"/>
                  <w:vMerge w:val="continue"/>
                  <w:tcBorders>
                    <w:tl2br w:val="nil"/>
                    <w:tr2bl w:val="nil"/>
                  </w:tcBorders>
                  <w:noWrap w:val="0"/>
                  <w:vAlign w:val="center"/>
                </w:tcPr>
                <w:p w14:paraId="18A46F3C">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99" w:type="dxa"/>
                  <w:vMerge w:val="continue"/>
                  <w:tcBorders>
                    <w:tl2br w:val="nil"/>
                    <w:tr2bl w:val="nil"/>
                  </w:tcBorders>
                  <w:noWrap w:val="0"/>
                  <w:vAlign w:val="center"/>
                </w:tcPr>
                <w:p w14:paraId="3A617AF2">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97" w:type="dxa"/>
                  <w:vMerge w:val="continue"/>
                  <w:tcBorders>
                    <w:tl2br w:val="nil"/>
                    <w:tr2bl w:val="nil"/>
                  </w:tcBorders>
                  <w:noWrap w:val="0"/>
                  <w:vAlign w:val="center"/>
                </w:tcPr>
                <w:p w14:paraId="3D704A31">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41" w:type="dxa"/>
                  <w:vMerge w:val="restart"/>
                  <w:tcBorders>
                    <w:tl2br w:val="nil"/>
                    <w:tr2bl w:val="nil"/>
                  </w:tcBorders>
                  <w:noWrap w:val="0"/>
                  <w:vAlign w:val="center"/>
                </w:tcPr>
                <w:p w14:paraId="47FF084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SO</w:t>
                  </w:r>
                  <w:r>
                    <w:rPr>
                      <w:rFonts w:hint="default" w:ascii="Times New Roman" w:hAnsi="Times New Roman" w:eastAsia="宋体" w:cs="Times New Roman"/>
                      <w:color w:val="000000" w:themeColor="text1"/>
                      <w:sz w:val="21"/>
                      <w:szCs w:val="21"/>
                      <w:highlight w:val="none"/>
                      <w:u w:val="none"/>
                      <w:vertAlign w:val="subscript"/>
                      <w14:textFill>
                        <w14:solidFill>
                          <w14:schemeClr w14:val="tx1"/>
                        </w14:solidFill>
                      </w14:textFill>
                    </w:rPr>
                    <w:t>2</w:t>
                  </w:r>
                </w:p>
              </w:tc>
              <w:tc>
                <w:tcPr>
                  <w:tcW w:w="912" w:type="dxa"/>
                  <w:tcBorders>
                    <w:tl2br w:val="nil"/>
                    <w:tr2bl w:val="nil"/>
                  </w:tcBorders>
                  <w:noWrap w:val="0"/>
                  <w:vAlign w:val="center"/>
                </w:tcPr>
                <w:p w14:paraId="69F9319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1h平均</w:t>
                  </w:r>
                </w:p>
              </w:tc>
              <w:tc>
                <w:tcPr>
                  <w:tcW w:w="847" w:type="dxa"/>
                  <w:tcBorders>
                    <w:tl2br w:val="nil"/>
                    <w:tr2bl w:val="nil"/>
                  </w:tcBorders>
                  <w:noWrap w:val="0"/>
                  <w:vAlign w:val="center"/>
                </w:tcPr>
                <w:p w14:paraId="12AE75F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150</w:t>
                  </w:r>
                </w:p>
              </w:tc>
              <w:tc>
                <w:tcPr>
                  <w:tcW w:w="1140" w:type="dxa"/>
                  <w:tcBorders>
                    <w:tl2br w:val="nil"/>
                    <w:tr2bl w:val="nil"/>
                  </w:tcBorders>
                  <w:noWrap w:val="0"/>
                  <w:vAlign w:val="center"/>
                </w:tcPr>
                <w:p w14:paraId="450DD22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7~13</w:t>
                  </w:r>
                </w:p>
              </w:tc>
              <w:tc>
                <w:tcPr>
                  <w:tcW w:w="777" w:type="dxa"/>
                  <w:tcBorders>
                    <w:tl2br w:val="nil"/>
                    <w:tr2bl w:val="nil"/>
                  </w:tcBorders>
                  <w:noWrap w:val="0"/>
                  <w:vAlign w:val="center"/>
                </w:tcPr>
                <w:p w14:paraId="54B6C21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8.7</w:t>
                  </w:r>
                </w:p>
              </w:tc>
              <w:tc>
                <w:tcPr>
                  <w:tcW w:w="523" w:type="dxa"/>
                  <w:tcBorders>
                    <w:tl2br w:val="nil"/>
                    <w:tr2bl w:val="nil"/>
                  </w:tcBorders>
                  <w:noWrap w:val="0"/>
                  <w:vAlign w:val="center"/>
                </w:tcPr>
                <w:p w14:paraId="2D09480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0</w:t>
                  </w:r>
                </w:p>
              </w:tc>
              <w:tc>
                <w:tcPr>
                  <w:tcW w:w="594" w:type="dxa"/>
                  <w:tcBorders>
                    <w:tl2br w:val="nil"/>
                    <w:tr2bl w:val="nil"/>
                  </w:tcBorders>
                  <w:noWrap w:val="0"/>
                  <w:vAlign w:val="center"/>
                </w:tcPr>
                <w:p w14:paraId="14CFDF4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达标</w:t>
                  </w:r>
                </w:p>
              </w:tc>
            </w:tr>
            <w:tr w14:paraId="051F82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946" w:type="dxa"/>
                  <w:vMerge w:val="continue"/>
                  <w:tcBorders>
                    <w:tl2br w:val="nil"/>
                    <w:tr2bl w:val="nil"/>
                  </w:tcBorders>
                  <w:noWrap w:val="0"/>
                  <w:vAlign w:val="center"/>
                </w:tcPr>
                <w:p w14:paraId="4E8CED75">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99" w:type="dxa"/>
                  <w:vMerge w:val="continue"/>
                  <w:tcBorders>
                    <w:tl2br w:val="nil"/>
                    <w:tr2bl w:val="nil"/>
                  </w:tcBorders>
                  <w:noWrap w:val="0"/>
                  <w:vAlign w:val="center"/>
                </w:tcPr>
                <w:p w14:paraId="188BCB18">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97" w:type="dxa"/>
                  <w:vMerge w:val="continue"/>
                  <w:tcBorders>
                    <w:tl2br w:val="nil"/>
                    <w:tr2bl w:val="nil"/>
                  </w:tcBorders>
                  <w:noWrap w:val="0"/>
                  <w:vAlign w:val="center"/>
                </w:tcPr>
                <w:p w14:paraId="66B9C506">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41" w:type="dxa"/>
                  <w:vMerge w:val="continue"/>
                  <w:tcBorders>
                    <w:tl2br w:val="nil"/>
                    <w:tr2bl w:val="nil"/>
                  </w:tcBorders>
                  <w:noWrap w:val="0"/>
                  <w:vAlign w:val="center"/>
                </w:tcPr>
                <w:p w14:paraId="1F53548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912" w:type="dxa"/>
                  <w:tcBorders>
                    <w:tl2br w:val="nil"/>
                    <w:tr2bl w:val="nil"/>
                  </w:tcBorders>
                  <w:noWrap w:val="0"/>
                  <w:vAlign w:val="center"/>
                </w:tcPr>
                <w:p w14:paraId="1C28233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日平均</w:t>
                  </w:r>
                </w:p>
              </w:tc>
              <w:tc>
                <w:tcPr>
                  <w:tcW w:w="847" w:type="dxa"/>
                  <w:tcBorders>
                    <w:tl2br w:val="nil"/>
                    <w:tr2bl w:val="nil"/>
                  </w:tcBorders>
                  <w:noWrap w:val="0"/>
                  <w:vAlign w:val="center"/>
                </w:tcPr>
                <w:p w14:paraId="3D016A5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50</w:t>
                  </w:r>
                </w:p>
              </w:tc>
              <w:tc>
                <w:tcPr>
                  <w:tcW w:w="1140" w:type="dxa"/>
                  <w:tcBorders>
                    <w:tl2br w:val="nil"/>
                    <w:tr2bl w:val="nil"/>
                  </w:tcBorders>
                  <w:noWrap w:val="0"/>
                  <w:vAlign w:val="center"/>
                </w:tcPr>
                <w:p w14:paraId="4187707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7~10</w:t>
                  </w:r>
                </w:p>
              </w:tc>
              <w:tc>
                <w:tcPr>
                  <w:tcW w:w="777" w:type="dxa"/>
                  <w:tcBorders>
                    <w:tl2br w:val="nil"/>
                    <w:tr2bl w:val="nil"/>
                  </w:tcBorders>
                  <w:noWrap w:val="0"/>
                  <w:vAlign w:val="center"/>
                </w:tcPr>
                <w:p w14:paraId="4898F26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20</w:t>
                  </w:r>
                </w:p>
              </w:tc>
              <w:tc>
                <w:tcPr>
                  <w:tcW w:w="523" w:type="dxa"/>
                  <w:tcBorders>
                    <w:tl2br w:val="nil"/>
                    <w:tr2bl w:val="nil"/>
                  </w:tcBorders>
                  <w:noWrap w:val="0"/>
                  <w:vAlign w:val="center"/>
                </w:tcPr>
                <w:p w14:paraId="2EAD827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0</w:t>
                  </w:r>
                </w:p>
              </w:tc>
              <w:tc>
                <w:tcPr>
                  <w:tcW w:w="594" w:type="dxa"/>
                  <w:tcBorders>
                    <w:tl2br w:val="nil"/>
                    <w:tr2bl w:val="nil"/>
                  </w:tcBorders>
                  <w:noWrap w:val="0"/>
                  <w:vAlign w:val="center"/>
                </w:tcPr>
                <w:p w14:paraId="2938018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达标</w:t>
                  </w:r>
                </w:p>
              </w:tc>
            </w:tr>
            <w:tr w14:paraId="6EF107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946" w:type="dxa"/>
                  <w:vMerge w:val="continue"/>
                  <w:tcBorders>
                    <w:tl2br w:val="nil"/>
                    <w:tr2bl w:val="nil"/>
                  </w:tcBorders>
                  <w:noWrap w:val="0"/>
                  <w:vAlign w:val="center"/>
                </w:tcPr>
                <w:p w14:paraId="6DE1ED9B">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99" w:type="dxa"/>
                  <w:vMerge w:val="continue"/>
                  <w:tcBorders>
                    <w:tl2br w:val="nil"/>
                    <w:tr2bl w:val="nil"/>
                  </w:tcBorders>
                  <w:noWrap w:val="0"/>
                  <w:vAlign w:val="center"/>
                </w:tcPr>
                <w:p w14:paraId="50B66C4C">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97" w:type="dxa"/>
                  <w:vMerge w:val="continue"/>
                  <w:tcBorders>
                    <w:tl2br w:val="nil"/>
                    <w:tr2bl w:val="nil"/>
                  </w:tcBorders>
                  <w:noWrap w:val="0"/>
                  <w:vAlign w:val="center"/>
                </w:tcPr>
                <w:p w14:paraId="2E550D08">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41" w:type="dxa"/>
                  <w:vMerge w:val="restart"/>
                  <w:tcBorders>
                    <w:tl2br w:val="nil"/>
                    <w:tr2bl w:val="nil"/>
                  </w:tcBorders>
                  <w:noWrap w:val="0"/>
                  <w:vAlign w:val="center"/>
                </w:tcPr>
                <w:p w14:paraId="0BCFE3A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NO</w:t>
                  </w:r>
                  <w:r>
                    <w:rPr>
                      <w:rFonts w:hint="default" w:ascii="Times New Roman" w:hAnsi="Times New Roman" w:eastAsia="宋体" w:cs="Times New Roman"/>
                      <w:color w:val="000000" w:themeColor="text1"/>
                      <w:sz w:val="21"/>
                      <w:szCs w:val="21"/>
                      <w:highlight w:val="none"/>
                      <w:u w:val="none"/>
                      <w:vertAlign w:val="subscript"/>
                      <w14:textFill>
                        <w14:solidFill>
                          <w14:schemeClr w14:val="tx1"/>
                        </w14:solidFill>
                      </w14:textFill>
                    </w:rPr>
                    <w:t>2</w:t>
                  </w:r>
                </w:p>
              </w:tc>
              <w:tc>
                <w:tcPr>
                  <w:tcW w:w="912" w:type="dxa"/>
                  <w:tcBorders>
                    <w:tl2br w:val="nil"/>
                    <w:tr2bl w:val="nil"/>
                  </w:tcBorders>
                  <w:noWrap w:val="0"/>
                  <w:vAlign w:val="center"/>
                </w:tcPr>
                <w:p w14:paraId="4DD4530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1h平均</w:t>
                  </w:r>
                </w:p>
              </w:tc>
              <w:tc>
                <w:tcPr>
                  <w:tcW w:w="847" w:type="dxa"/>
                  <w:tcBorders>
                    <w:tl2br w:val="nil"/>
                    <w:tr2bl w:val="nil"/>
                  </w:tcBorders>
                  <w:noWrap w:val="0"/>
                  <w:vAlign w:val="center"/>
                </w:tcPr>
                <w:p w14:paraId="1681AA5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200</w:t>
                  </w:r>
                </w:p>
              </w:tc>
              <w:tc>
                <w:tcPr>
                  <w:tcW w:w="1140" w:type="dxa"/>
                  <w:tcBorders>
                    <w:tl2br w:val="nil"/>
                    <w:tr2bl w:val="nil"/>
                  </w:tcBorders>
                  <w:noWrap w:val="0"/>
                  <w:vAlign w:val="center"/>
                </w:tcPr>
                <w:p w14:paraId="3F8BCEB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8~16</w:t>
                  </w:r>
                </w:p>
              </w:tc>
              <w:tc>
                <w:tcPr>
                  <w:tcW w:w="777" w:type="dxa"/>
                  <w:tcBorders>
                    <w:tl2br w:val="nil"/>
                    <w:tr2bl w:val="nil"/>
                  </w:tcBorders>
                  <w:noWrap w:val="0"/>
                  <w:vAlign w:val="center"/>
                </w:tcPr>
                <w:p w14:paraId="1AF826E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8.0</w:t>
                  </w:r>
                </w:p>
              </w:tc>
              <w:tc>
                <w:tcPr>
                  <w:tcW w:w="523" w:type="dxa"/>
                  <w:tcBorders>
                    <w:tl2br w:val="nil"/>
                    <w:tr2bl w:val="nil"/>
                  </w:tcBorders>
                  <w:noWrap w:val="0"/>
                  <w:vAlign w:val="center"/>
                </w:tcPr>
                <w:p w14:paraId="75D6E3E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0</w:t>
                  </w:r>
                </w:p>
              </w:tc>
              <w:tc>
                <w:tcPr>
                  <w:tcW w:w="594" w:type="dxa"/>
                  <w:tcBorders>
                    <w:tl2br w:val="nil"/>
                    <w:tr2bl w:val="nil"/>
                  </w:tcBorders>
                  <w:noWrap w:val="0"/>
                  <w:vAlign w:val="center"/>
                </w:tcPr>
                <w:p w14:paraId="78FFBE9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达标</w:t>
                  </w:r>
                </w:p>
              </w:tc>
            </w:tr>
            <w:tr w14:paraId="525EDD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946" w:type="dxa"/>
                  <w:vMerge w:val="continue"/>
                  <w:tcBorders>
                    <w:tl2br w:val="nil"/>
                    <w:tr2bl w:val="nil"/>
                  </w:tcBorders>
                  <w:noWrap w:val="0"/>
                  <w:vAlign w:val="center"/>
                </w:tcPr>
                <w:p w14:paraId="06AF2335">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99" w:type="dxa"/>
                  <w:vMerge w:val="continue"/>
                  <w:tcBorders>
                    <w:tl2br w:val="nil"/>
                    <w:tr2bl w:val="nil"/>
                  </w:tcBorders>
                  <w:noWrap w:val="0"/>
                  <w:vAlign w:val="center"/>
                </w:tcPr>
                <w:p w14:paraId="70745B14">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97" w:type="dxa"/>
                  <w:vMerge w:val="continue"/>
                  <w:tcBorders>
                    <w:tl2br w:val="nil"/>
                    <w:tr2bl w:val="nil"/>
                  </w:tcBorders>
                  <w:noWrap w:val="0"/>
                  <w:vAlign w:val="center"/>
                </w:tcPr>
                <w:p w14:paraId="044F8277">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41" w:type="dxa"/>
                  <w:vMerge w:val="continue"/>
                  <w:tcBorders>
                    <w:tl2br w:val="nil"/>
                    <w:tr2bl w:val="nil"/>
                  </w:tcBorders>
                  <w:noWrap w:val="0"/>
                  <w:vAlign w:val="center"/>
                </w:tcPr>
                <w:p w14:paraId="5BF1058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912" w:type="dxa"/>
                  <w:tcBorders>
                    <w:tl2br w:val="nil"/>
                    <w:tr2bl w:val="nil"/>
                  </w:tcBorders>
                  <w:noWrap w:val="0"/>
                  <w:vAlign w:val="center"/>
                </w:tcPr>
                <w:p w14:paraId="59FB322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日平均</w:t>
                  </w:r>
                </w:p>
              </w:tc>
              <w:tc>
                <w:tcPr>
                  <w:tcW w:w="847" w:type="dxa"/>
                  <w:tcBorders>
                    <w:tl2br w:val="nil"/>
                    <w:tr2bl w:val="nil"/>
                  </w:tcBorders>
                  <w:noWrap w:val="0"/>
                  <w:vAlign w:val="center"/>
                </w:tcPr>
                <w:p w14:paraId="74BB98C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80</w:t>
                  </w:r>
                </w:p>
              </w:tc>
              <w:tc>
                <w:tcPr>
                  <w:tcW w:w="1140" w:type="dxa"/>
                  <w:tcBorders>
                    <w:tl2br w:val="nil"/>
                    <w:tr2bl w:val="nil"/>
                  </w:tcBorders>
                  <w:noWrap w:val="0"/>
                  <w:vAlign w:val="center"/>
                </w:tcPr>
                <w:p w14:paraId="5624AB0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9~13</w:t>
                  </w:r>
                </w:p>
              </w:tc>
              <w:tc>
                <w:tcPr>
                  <w:tcW w:w="777" w:type="dxa"/>
                  <w:tcBorders>
                    <w:tl2br w:val="nil"/>
                    <w:tr2bl w:val="nil"/>
                  </w:tcBorders>
                  <w:noWrap w:val="0"/>
                  <w:vAlign w:val="center"/>
                </w:tcPr>
                <w:p w14:paraId="3890353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16.25</w:t>
                  </w:r>
                </w:p>
              </w:tc>
              <w:tc>
                <w:tcPr>
                  <w:tcW w:w="523" w:type="dxa"/>
                  <w:tcBorders>
                    <w:tl2br w:val="nil"/>
                    <w:tr2bl w:val="nil"/>
                  </w:tcBorders>
                  <w:noWrap w:val="0"/>
                  <w:vAlign w:val="center"/>
                </w:tcPr>
                <w:p w14:paraId="17F9A38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0</w:t>
                  </w:r>
                </w:p>
              </w:tc>
              <w:tc>
                <w:tcPr>
                  <w:tcW w:w="594" w:type="dxa"/>
                  <w:tcBorders>
                    <w:tl2br w:val="nil"/>
                    <w:tr2bl w:val="nil"/>
                  </w:tcBorders>
                  <w:noWrap w:val="0"/>
                  <w:vAlign w:val="center"/>
                </w:tcPr>
                <w:p w14:paraId="494BBEF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达标</w:t>
                  </w:r>
                </w:p>
              </w:tc>
            </w:tr>
            <w:tr w14:paraId="5636C0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946" w:type="dxa"/>
                  <w:vMerge w:val="continue"/>
                  <w:tcBorders>
                    <w:tl2br w:val="nil"/>
                    <w:tr2bl w:val="nil"/>
                  </w:tcBorders>
                  <w:noWrap w:val="0"/>
                  <w:vAlign w:val="center"/>
                </w:tcPr>
                <w:p w14:paraId="410E9CA1">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99" w:type="dxa"/>
                  <w:vMerge w:val="continue"/>
                  <w:tcBorders>
                    <w:tl2br w:val="nil"/>
                    <w:tr2bl w:val="nil"/>
                  </w:tcBorders>
                  <w:noWrap w:val="0"/>
                  <w:vAlign w:val="center"/>
                </w:tcPr>
                <w:p w14:paraId="4021E4BC">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97" w:type="dxa"/>
                  <w:vMerge w:val="continue"/>
                  <w:tcBorders>
                    <w:tl2br w:val="nil"/>
                    <w:tr2bl w:val="nil"/>
                  </w:tcBorders>
                  <w:noWrap w:val="0"/>
                  <w:vAlign w:val="center"/>
                </w:tcPr>
                <w:p w14:paraId="78E8B17A">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41" w:type="dxa"/>
                  <w:tcBorders>
                    <w:tl2br w:val="nil"/>
                    <w:tr2bl w:val="nil"/>
                  </w:tcBorders>
                  <w:noWrap w:val="0"/>
                  <w:vAlign w:val="center"/>
                </w:tcPr>
                <w:p w14:paraId="5A4F247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PM</w:t>
                  </w:r>
                  <w:r>
                    <w:rPr>
                      <w:rFonts w:hint="default" w:ascii="Times New Roman" w:hAnsi="Times New Roman" w:eastAsia="宋体" w:cs="Times New Roman"/>
                      <w:color w:val="000000" w:themeColor="text1"/>
                      <w:sz w:val="21"/>
                      <w:szCs w:val="21"/>
                      <w:highlight w:val="none"/>
                      <w:u w:val="none"/>
                      <w:vertAlign w:val="subscript"/>
                      <w14:textFill>
                        <w14:solidFill>
                          <w14:schemeClr w14:val="tx1"/>
                        </w14:solidFill>
                      </w14:textFill>
                    </w:rPr>
                    <w:t>10</w:t>
                  </w:r>
                </w:p>
              </w:tc>
              <w:tc>
                <w:tcPr>
                  <w:tcW w:w="912" w:type="dxa"/>
                  <w:tcBorders>
                    <w:tl2br w:val="nil"/>
                    <w:tr2bl w:val="nil"/>
                  </w:tcBorders>
                  <w:noWrap w:val="0"/>
                  <w:vAlign w:val="center"/>
                </w:tcPr>
                <w:p w14:paraId="758DB29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日平均</w:t>
                  </w:r>
                </w:p>
              </w:tc>
              <w:tc>
                <w:tcPr>
                  <w:tcW w:w="847" w:type="dxa"/>
                  <w:tcBorders>
                    <w:tl2br w:val="nil"/>
                    <w:tr2bl w:val="nil"/>
                  </w:tcBorders>
                  <w:noWrap w:val="0"/>
                  <w:vAlign w:val="center"/>
                </w:tcPr>
                <w:p w14:paraId="2F159E9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50</w:t>
                  </w:r>
                </w:p>
              </w:tc>
              <w:tc>
                <w:tcPr>
                  <w:tcW w:w="1140" w:type="dxa"/>
                  <w:tcBorders>
                    <w:tl2br w:val="nil"/>
                    <w:tr2bl w:val="nil"/>
                  </w:tcBorders>
                  <w:noWrap w:val="0"/>
                  <w:vAlign w:val="center"/>
                </w:tcPr>
                <w:p w14:paraId="7FECC16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29~40</w:t>
                  </w:r>
                </w:p>
              </w:tc>
              <w:tc>
                <w:tcPr>
                  <w:tcW w:w="777" w:type="dxa"/>
                  <w:tcBorders>
                    <w:tl2br w:val="nil"/>
                    <w:tr2bl w:val="nil"/>
                  </w:tcBorders>
                  <w:noWrap w:val="0"/>
                  <w:vAlign w:val="center"/>
                </w:tcPr>
                <w:p w14:paraId="143FAAA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80</w:t>
                  </w:r>
                </w:p>
              </w:tc>
              <w:tc>
                <w:tcPr>
                  <w:tcW w:w="523" w:type="dxa"/>
                  <w:tcBorders>
                    <w:tl2br w:val="nil"/>
                    <w:tr2bl w:val="nil"/>
                  </w:tcBorders>
                  <w:noWrap w:val="0"/>
                  <w:vAlign w:val="center"/>
                </w:tcPr>
                <w:p w14:paraId="62C7762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0</w:t>
                  </w:r>
                </w:p>
              </w:tc>
              <w:tc>
                <w:tcPr>
                  <w:tcW w:w="594" w:type="dxa"/>
                  <w:tcBorders>
                    <w:tl2br w:val="nil"/>
                    <w:tr2bl w:val="nil"/>
                  </w:tcBorders>
                  <w:noWrap w:val="0"/>
                  <w:vAlign w:val="center"/>
                </w:tcPr>
                <w:p w14:paraId="53BF5FD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达标</w:t>
                  </w:r>
                </w:p>
              </w:tc>
            </w:tr>
            <w:tr w14:paraId="2C1A8E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946" w:type="dxa"/>
                  <w:vMerge w:val="continue"/>
                  <w:tcBorders>
                    <w:tl2br w:val="nil"/>
                    <w:tr2bl w:val="nil"/>
                  </w:tcBorders>
                  <w:noWrap w:val="0"/>
                  <w:vAlign w:val="center"/>
                </w:tcPr>
                <w:p w14:paraId="6F0A91F8">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99" w:type="dxa"/>
                  <w:vMerge w:val="continue"/>
                  <w:tcBorders>
                    <w:tl2br w:val="nil"/>
                    <w:tr2bl w:val="nil"/>
                  </w:tcBorders>
                  <w:noWrap w:val="0"/>
                  <w:vAlign w:val="center"/>
                </w:tcPr>
                <w:p w14:paraId="3729B733">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97" w:type="dxa"/>
                  <w:vMerge w:val="continue"/>
                  <w:tcBorders>
                    <w:tl2br w:val="nil"/>
                    <w:tr2bl w:val="nil"/>
                  </w:tcBorders>
                  <w:noWrap w:val="0"/>
                  <w:vAlign w:val="center"/>
                </w:tcPr>
                <w:p w14:paraId="59462012">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41" w:type="dxa"/>
                  <w:tcBorders>
                    <w:tl2br w:val="nil"/>
                    <w:tr2bl w:val="nil"/>
                  </w:tcBorders>
                  <w:noWrap w:val="0"/>
                  <w:vAlign w:val="center"/>
                </w:tcPr>
                <w:p w14:paraId="320BDF7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PM</w:t>
                  </w:r>
                  <w:r>
                    <w:rPr>
                      <w:rFonts w:hint="default" w:ascii="Times New Roman" w:hAnsi="Times New Roman" w:eastAsia="宋体" w:cs="Times New Roman"/>
                      <w:color w:val="000000" w:themeColor="text1"/>
                      <w:sz w:val="21"/>
                      <w:szCs w:val="21"/>
                      <w:highlight w:val="none"/>
                      <w:u w:val="none"/>
                      <w:vertAlign w:val="subscript"/>
                      <w14:textFill>
                        <w14:solidFill>
                          <w14:schemeClr w14:val="tx1"/>
                        </w14:solidFill>
                      </w14:textFill>
                    </w:rPr>
                    <w:t>2.5</w:t>
                  </w:r>
                </w:p>
              </w:tc>
              <w:tc>
                <w:tcPr>
                  <w:tcW w:w="912" w:type="dxa"/>
                  <w:tcBorders>
                    <w:tl2br w:val="nil"/>
                    <w:tr2bl w:val="nil"/>
                  </w:tcBorders>
                  <w:noWrap w:val="0"/>
                  <w:vAlign w:val="center"/>
                </w:tcPr>
                <w:p w14:paraId="1154E1F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日平均</w:t>
                  </w:r>
                </w:p>
              </w:tc>
              <w:tc>
                <w:tcPr>
                  <w:tcW w:w="847" w:type="dxa"/>
                  <w:tcBorders>
                    <w:tl2br w:val="nil"/>
                    <w:tr2bl w:val="nil"/>
                  </w:tcBorders>
                  <w:noWrap w:val="0"/>
                  <w:vAlign w:val="center"/>
                </w:tcPr>
                <w:p w14:paraId="3A04D32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35</w:t>
                  </w:r>
                </w:p>
              </w:tc>
              <w:tc>
                <w:tcPr>
                  <w:tcW w:w="1140" w:type="dxa"/>
                  <w:tcBorders>
                    <w:tl2br w:val="nil"/>
                    <w:tr2bl w:val="nil"/>
                  </w:tcBorders>
                  <w:noWrap w:val="0"/>
                  <w:vAlign w:val="center"/>
                </w:tcPr>
                <w:p w14:paraId="2AB56B2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11~19</w:t>
                  </w:r>
                </w:p>
              </w:tc>
              <w:tc>
                <w:tcPr>
                  <w:tcW w:w="777" w:type="dxa"/>
                  <w:tcBorders>
                    <w:tl2br w:val="nil"/>
                    <w:tr2bl w:val="nil"/>
                  </w:tcBorders>
                  <w:noWrap w:val="0"/>
                  <w:vAlign w:val="center"/>
                </w:tcPr>
                <w:p w14:paraId="6E774A7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54.3</w:t>
                  </w:r>
                </w:p>
              </w:tc>
              <w:tc>
                <w:tcPr>
                  <w:tcW w:w="523" w:type="dxa"/>
                  <w:tcBorders>
                    <w:tl2br w:val="nil"/>
                    <w:tr2bl w:val="nil"/>
                  </w:tcBorders>
                  <w:noWrap w:val="0"/>
                  <w:vAlign w:val="center"/>
                </w:tcPr>
                <w:p w14:paraId="01E9FF9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0</w:t>
                  </w:r>
                </w:p>
              </w:tc>
              <w:tc>
                <w:tcPr>
                  <w:tcW w:w="594" w:type="dxa"/>
                  <w:tcBorders>
                    <w:tl2br w:val="nil"/>
                    <w:tr2bl w:val="nil"/>
                  </w:tcBorders>
                  <w:noWrap w:val="0"/>
                  <w:vAlign w:val="center"/>
                </w:tcPr>
                <w:p w14:paraId="6240490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达标</w:t>
                  </w:r>
                </w:p>
              </w:tc>
            </w:tr>
            <w:tr w14:paraId="7700A7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946" w:type="dxa"/>
                  <w:vMerge w:val="continue"/>
                  <w:tcBorders>
                    <w:tl2br w:val="nil"/>
                    <w:tr2bl w:val="nil"/>
                  </w:tcBorders>
                  <w:noWrap w:val="0"/>
                  <w:vAlign w:val="center"/>
                </w:tcPr>
                <w:p w14:paraId="2BE579B0">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99" w:type="dxa"/>
                  <w:vMerge w:val="continue"/>
                  <w:tcBorders>
                    <w:tl2br w:val="nil"/>
                    <w:tr2bl w:val="nil"/>
                  </w:tcBorders>
                  <w:noWrap w:val="0"/>
                  <w:vAlign w:val="center"/>
                </w:tcPr>
                <w:p w14:paraId="79F17698">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97" w:type="dxa"/>
                  <w:vMerge w:val="continue"/>
                  <w:tcBorders>
                    <w:tl2br w:val="nil"/>
                    <w:tr2bl w:val="nil"/>
                  </w:tcBorders>
                  <w:noWrap w:val="0"/>
                  <w:vAlign w:val="center"/>
                </w:tcPr>
                <w:p w14:paraId="4432E4DF">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41" w:type="dxa"/>
                  <w:tcBorders>
                    <w:tl2br w:val="nil"/>
                    <w:tr2bl w:val="nil"/>
                  </w:tcBorders>
                  <w:noWrap w:val="0"/>
                  <w:vAlign w:val="center"/>
                </w:tcPr>
                <w:p w14:paraId="262CF11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CO</w:t>
                  </w:r>
                </w:p>
              </w:tc>
              <w:tc>
                <w:tcPr>
                  <w:tcW w:w="912" w:type="dxa"/>
                  <w:tcBorders>
                    <w:tl2br w:val="nil"/>
                    <w:tr2bl w:val="nil"/>
                  </w:tcBorders>
                  <w:noWrap w:val="0"/>
                  <w:vAlign w:val="center"/>
                </w:tcPr>
                <w:p w14:paraId="459A36C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日平均</w:t>
                  </w:r>
                </w:p>
              </w:tc>
              <w:tc>
                <w:tcPr>
                  <w:tcW w:w="847" w:type="dxa"/>
                  <w:tcBorders>
                    <w:tl2br w:val="nil"/>
                    <w:tr2bl w:val="nil"/>
                  </w:tcBorders>
                  <w:noWrap w:val="0"/>
                  <w:vAlign w:val="center"/>
                </w:tcPr>
                <w:p w14:paraId="53B8D9E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4mg/m</w:t>
                  </w:r>
                  <w:r>
                    <w:rPr>
                      <w:rFonts w:hint="default" w:ascii="Times New Roman" w:hAnsi="Times New Roman" w:eastAsia="宋体" w:cs="Times New Roman"/>
                      <w:color w:val="000000" w:themeColor="text1"/>
                      <w:sz w:val="21"/>
                      <w:szCs w:val="21"/>
                      <w:highlight w:val="none"/>
                      <w:u w:val="none"/>
                      <w:vertAlign w:val="superscript"/>
                      <w14:textFill>
                        <w14:solidFill>
                          <w14:schemeClr w14:val="tx1"/>
                        </w14:solidFill>
                      </w14:textFill>
                    </w:rPr>
                    <w:t>3</w:t>
                  </w:r>
                </w:p>
              </w:tc>
              <w:tc>
                <w:tcPr>
                  <w:tcW w:w="1140" w:type="dxa"/>
                  <w:tcBorders>
                    <w:tl2br w:val="nil"/>
                    <w:tr2bl w:val="nil"/>
                  </w:tcBorders>
                  <w:noWrap w:val="0"/>
                  <w:vAlign w:val="center"/>
                </w:tcPr>
                <w:p w14:paraId="138E6B8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300~400</w:t>
                  </w:r>
                </w:p>
              </w:tc>
              <w:tc>
                <w:tcPr>
                  <w:tcW w:w="777" w:type="dxa"/>
                  <w:tcBorders>
                    <w:tl2br w:val="nil"/>
                    <w:tr2bl w:val="nil"/>
                  </w:tcBorders>
                  <w:noWrap w:val="0"/>
                  <w:vAlign w:val="center"/>
                </w:tcPr>
                <w:p w14:paraId="5DFDC54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10</w:t>
                  </w:r>
                </w:p>
              </w:tc>
              <w:tc>
                <w:tcPr>
                  <w:tcW w:w="523" w:type="dxa"/>
                  <w:tcBorders>
                    <w:tl2br w:val="nil"/>
                    <w:tr2bl w:val="nil"/>
                  </w:tcBorders>
                  <w:noWrap w:val="0"/>
                  <w:vAlign w:val="center"/>
                </w:tcPr>
                <w:p w14:paraId="518E82D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0</w:t>
                  </w:r>
                </w:p>
              </w:tc>
              <w:tc>
                <w:tcPr>
                  <w:tcW w:w="594" w:type="dxa"/>
                  <w:tcBorders>
                    <w:tl2br w:val="nil"/>
                    <w:tr2bl w:val="nil"/>
                  </w:tcBorders>
                  <w:noWrap w:val="0"/>
                  <w:vAlign w:val="center"/>
                </w:tcPr>
                <w:p w14:paraId="3A6703A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达标</w:t>
                  </w:r>
                </w:p>
              </w:tc>
            </w:tr>
            <w:tr w14:paraId="15CD30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559" w:hRule="atLeast"/>
              </w:trPr>
              <w:tc>
                <w:tcPr>
                  <w:tcW w:w="946" w:type="dxa"/>
                  <w:vMerge w:val="continue"/>
                  <w:tcBorders>
                    <w:tl2br w:val="nil"/>
                    <w:tr2bl w:val="nil"/>
                  </w:tcBorders>
                  <w:noWrap w:val="0"/>
                  <w:vAlign w:val="center"/>
                </w:tcPr>
                <w:p w14:paraId="169C8E26">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99" w:type="dxa"/>
                  <w:vMerge w:val="continue"/>
                  <w:tcBorders>
                    <w:tl2br w:val="nil"/>
                    <w:tr2bl w:val="nil"/>
                  </w:tcBorders>
                  <w:noWrap w:val="0"/>
                  <w:vAlign w:val="center"/>
                </w:tcPr>
                <w:p w14:paraId="3584FF9D">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97" w:type="dxa"/>
                  <w:vMerge w:val="continue"/>
                  <w:tcBorders>
                    <w:tl2br w:val="nil"/>
                    <w:tr2bl w:val="nil"/>
                  </w:tcBorders>
                  <w:noWrap w:val="0"/>
                  <w:vAlign w:val="center"/>
                </w:tcPr>
                <w:p w14:paraId="644E7EC9">
                  <w:pPr>
                    <w:keepNext w:val="0"/>
                    <w:keepLines w:val="0"/>
                    <w:pageBreakBefore w:val="0"/>
                    <w:kinsoku/>
                    <w:wordWrap/>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041" w:type="dxa"/>
                  <w:tcBorders>
                    <w:tl2br w:val="nil"/>
                    <w:tr2bl w:val="nil"/>
                  </w:tcBorders>
                  <w:noWrap w:val="0"/>
                  <w:vAlign w:val="center"/>
                </w:tcPr>
                <w:p w14:paraId="6EE0DD0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O</w:t>
                  </w:r>
                  <w:r>
                    <w:rPr>
                      <w:rFonts w:hint="default" w:ascii="Times New Roman" w:hAnsi="Times New Roman" w:eastAsia="宋体" w:cs="Times New Roman"/>
                      <w:color w:val="000000" w:themeColor="text1"/>
                      <w:sz w:val="21"/>
                      <w:szCs w:val="21"/>
                      <w:highlight w:val="none"/>
                      <w:u w:val="none"/>
                      <w:vertAlign w:val="subscript"/>
                      <w14:textFill>
                        <w14:solidFill>
                          <w14:schemeClr w14:val="tx1"/>
                        </w14:solidFill>
                      </w14:textFill>
                    </w:rPr>
                    <w:t>3</w:t>
                  </w:r>
                </w:p>
              </w:tc>
              <w:tc>
                <w:tcPr>
                  <w:tcW w:w="912" w:type="dxa"/>
                  <w:tcBorders>
                    <w:tl2br w:val="nil"/>
                    <w:tr2bl w:val="nil"/>
                  </w:tcBorders>
                  <w:noWrap w:val="0"/>
                  <w:vAlign w:val="center"/>
                </w:tcPr>
                <w:p w14:paraId="3CA66D9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日最大8h平均</w:t>
                  </w:r>
                </w:p>
              </w:tc>
              <w:tc>
                <w:tcPr>
                  <w:tcW w:w="847" w:type="dxa"/>
                  <w:tcBorders>
                    <w:tl2br w:val="nil"/>
                    <w:tr2bl w:val="nil"/>
                  </w:tcBorders>
                  <w:noWrap w:val="0"/>
                  <w:vAlign w:val="center"/>
                </w:tcPr>
                <w:p w14:paraId="66B95F3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14:textFill>
                        <w14:solidFill>
                          <w14:schemeClr w14:val="tx1"/>
                        </w14:solidFill>
                      </w14:textFill>
                    </w:rPr>
                    <w:t>100</w:t>
                  </w:r>
                </w:p>
              </w:tc>
              <w:tc>
                <w:tcPr>
                  <w:tcW w:w="1140" w:type="dxa"/>
                  <w:tcBorders>
                    <w:tl2br w:val="nil"/>
                    <w:tr2bl w:val="nil"/>
                  </w:tcBorders>
                  <w:noWrap w:val="0"/>
                  <w:vAlign w:val="center"/>
                </w:tcPr>
                <w:p w14:paraId="55CA25C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25~31</w:t>
                  </w:r>
                </w:p>
              </w:tc>
              <w:tc>
                <w:tcPr>
                  <w:tcW w:w="777" w:type="dxa"/>
                  <w:tcBorders>
                    <w:tl2br w:val="nil"/>
                    <w:tr2bl w:val="nil"/>
                  </w:tcBorders>
                  <w:noWrap w:val="0"/>
                  <w:vAlign w:val="center"/>
                </w:tcPr>
                <w:p w14:paraId="553F1B4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31</w:t>
                  </w:r>
                </w:p>
              </w:tc>
              <w:tc>
                <w:tcPr>
                  <w:tcW w:w="523" w:type="dxa"/>
                  <w:tcBorders>
                    <w:tl2br w:val="nil"/>
                    <w:tr2bl w:val="nil"/>
                  </w:tcBorders>
                  <w:noWrap w:val="0"/>
                  <w:vAlign w:val="center"/>
                </w:tcPr>
                <w:p w14:paraId="487E63D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0</w:t>
                  </w:r>
                </w:p>
              </w:tc>
              <w:tc>
                <w:tcPr>
                  <w:tcW w:w="594" w:type="dxa"/>
                  <w:tcBorders>
                    <w:tl2br w:val="nil"/>
                    <w:tr2bl w:val="nil"/>
                  </w:tcBorders>
                  <w:noWrap w:val="0"/>
                  <w:vAlign w:val="center"/>
                </w:tcPr>
                <w:p w14:paraId="2458497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lang w:val="en-US" w:eastAsia="zh-CN"/>
                      <w14:textFill>
                        <w14:solidFill>
                          <w14:schemeClr w14:val="tx1"/>
                        </w14:solidFill>
                      </w14:textFill>
                    </w:rPr>
                    <w:t>达标</w:t>
                  </w:r>
                </w:p>
              </w:tc>
            </w:tr>
          </w:tbl>
          <w:p w14:paraId="7EF4AEF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highlight w:val="none"/>
                <w:u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u w:val="none"/>
                <w:lang w:val="en-US" w:eastAsia="zh-CN"/>
                <w14:textFill>
                  <w14:solidFill>
                    <w14:schemeClr w14:val="tx1"/>
                  </w14:solidFill>
                </w14:textFill>
              </w:rPr>
              <w:t>大气环境现状评价结论</w:t>
            </w:r>
          </w:p>
          <w:p w14:paraId="503D783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000000" w:themeColor="text1"/>
                <w:spacing w:val="0"/>
                <w:kern w:val="2"/>
                <w:sz w:val="24"/>
                <w:szCs w:val="24"/>
                <w:highlight w:val="none"/>
                <w:u w:val="none"/>
                <w:lang w:val="en-US" w:eastAsia="zh-CN" w:bidi="ar-SA"/>
                <w14:textFill>
                  <w14:solidFill>
                    <w14:schemeClr w14:val="tx1"/>
                  </w14:solidFill>
                </w14:textFill>
              </w:rPr>
            </w:pPr>
            <w:r>
              <w:rPr>
                <w:rFonts w:hint="default" w:ascii="Times New Roman" w:hAnsi="Times New Roman" w:cs="Times New Roman"/>
                <w:snapToGrid w:val="0"/>
                <w:color w:val="000000" w:themeColor="text1"/>
                <w:sz w:val="24"/>
                <w:szCs w:val="24"/>
                <w:highlight w:val="none"/>
                <w:u w:val="none"/>
                <w:lang w:val="en-US" w:eastAsia="zh-CN"/>
                <w14:textFill>
                  <w14:solidFill>
                    <w14:schemeClr w14:val="tx1"/>
                  </w14:solidFill>
                </w14:textFill>
              </w:rPr>
              <w:t>项目所在区域</w:t>
            </w:r>
            <w:r>
              <w:rPr>
                <w:rFonts w:hint="default" w:ascii="Times New Roman" w:hAnsi="Times New Roman" w:cs="Times New Roman"/>
                <w:color w:val="000000" w:themeColor="text1"/>
                <w:sz w:val="24"/>
                <w:szCs w:val="24"/>
                <w:highlight w:val="none"/>
                <w:u w:val="none"/>
                <w14:textFill>
                  <w14:solidFill>
                    <w14:schemeClr w14:val="tx1"/>
                  </w14:solidFill>
                </w14:textFill>
              </w:rPr>
              <w:t>PM</w:t>
            </w:r>
            <w:r>
              <w:rPr>
                <w:rFonts w:hint="default" w:ascii="Times New Roman" w:hAnsi="Times New Roman" w:cs="Times New Roman"/>
                <w:color w:val="000000" w:themeColor="text1"/>
                <w:sz w:val="24"/>
                <w:szCs w:val="24"/>
                <w:highlight w:val="none"/>
                <w:u w:val="none"/>
                <w:vertAlign w:val="subscript"/>
                <w14:textFill>
                  <w14:solidFill>
                    <w14:schemeClr w14:val="tx1"/>
                  </w14:solidFill>
                </w14:textFill>
              </w:rPr>
              <w:t>10</w:t>
            </w:r>
            <w:r>
              <w:rPr>
                <w:rFonts w:hint="default" w:ascii="Times New Roman" w:hAnsi="Times New Roman" w:cs="Times New Roman"/>
                <w:color w:val="000000" w:themeColor="text1"/>
                <w:sz w:val="24"/>
                <w:szCs w:val="24"/>
                <w:highlight w:val="none"/>
                <w:u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u w:val="none"/>
                <w14:textFill>
                  <w14:solidFill>
                    <w14:schemeClr w14:val="tx1"/>
                  </w14:solidFill>
                </w14:textFill>
              </w:rPr>
              <w:t>PM</w:t>
            </w:r>
            <w:r>
              <w:rPr>
                <w:rFonts w:hint="default" w:ascii="Times New Roman" w:hAnsi="Times New Roman" w:cs="Times New Roman"/>
                <w:color w:val="000000" w:themeColor="text1"/>
                <w:sz w:val="24"/>
                <w:szCs w:val="24"/>
                <w:highlight w:val="none"/>
                <w:u w:val="none"/>
                <w:vertAlign w:val="subscript"/>
                <w14:textFill>
                  <w14:solidFill>
                    <w14:schemeClr w14:val="tx1"/>
                  </w14:solidFill>
                </w14:textFill>
              </w:rPr>
              <w:t>2.5</w:t>
            </w:r>
            <w:r>
              <w:rPr>
                <w:rFonts w:hint="default" w:ascii="Times New Roman" w:hAnsi="Times New Roman" w:cs="Times New Roman"/>
                <w:color w:val="000000" w:themeColor="text1"/>
                <w:sz w:val="24"/>
                <w:szCs w:val="24"/>
                <w:highlight w:val="none"/>
                <w:u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u w:val="none"/>
                <w:lang w:val="de-DE"/>
                <w14:textFill>
                  <w14:solidFill>
                    <w14:schemeClr w14:val="tx1"/>
                  </w14:solidFill>
                </w14:textFill>
              </w:rPr>
              <w:t>SO</w:t>
            </w:r>
            <w:r>
              <w:rPr>
                <w:rFonts w:hint="default" w:ascii="Times New Roman" w:hAnsi="Times New Roman" w:cs="Times New Roman"/>
                <w:color w:val="000000" w:themeColor="text1"/>
                <w:sz w:val="24"/>
                <w:szCs w:val="24"/>
                <w:highlight w:val="none"/>
                <w:u w:val="none"/>
                <w:vertAlign w:val="subscript"/>
                <w:lang w:val="de-DE"/>
                <w14:textFill>
                  <w14:solidFill>
                    <w14:schemeClr w14:val="tx1"/>
                  </w14:solidFill>
                </w14:textFill>
              </w:rPr>
              <w:t>2</w:t>
            </w:r>
            <w:r>
              <w:rPr>
                <w:rFonts w:hint="default" w:ascii="Times New Roman" w:hAnsi="Times New Roman" w:cs="Times New Roman"/>
                <w:color w:val="000000" w:themeColor="text1"/>
                <w:sz w:val="24"/>
                <w:szCs w:val="24"/>
                <w:highlight w:val="none"/>
                <w:u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u w:val="none"/>
                <w:lang w:val="de-DE"/>
                <w14:textFill>
                  <w14:solidFill>
                    <w14:schemeClr w14:val="tx1"/>
                  </w14:solidFill>
                </w14:textFill>
              </w:rPr>
              <w:t>NO</w:t>
            </w:r>
            <w:r>
              <w:rPr>
                <w:rFonts w:hint="default" w:ascii="Times New Roman" w:hAnsi="Times New Roman" w:cs="Times New Roman"/>
                <w:color w:val="000000" w:themeColor="text1"/>
                <w:sz w:val="24"/>
                <w:szCs w:val="24"/>
                <w:highlight w:val="none"/>
                <w:u w:val="none"/>
                <w:vertAlign w:val="subscript"/>
                <w:lang w:val="de-DE"/>
                <w14:textFill>
                  <w14:solidFill>
                    <w14:schemeClr w14:val="tx1"/>
                  </w14:solidFill>
                </w14:textFill>
              </w:rPr>
              <w:t>2</w:t>
            </w:r>
            <w:r>
              <w:rPr>
                <w:rFonts w:hint="default" w:ascii="Times New Roman" w:hAnsi="Times New Roman" w:cs="Times New Roman"/>
                <w:color w:val="000000" w:themeColor="text1"/>
                <w:sz w:val="24"/>
                <w:szCs w:val="24"/>
                <w:highlight w:val="none"/>
                <w:u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u w:val="none"/>
                <w:vertAlign w:val="baseline"/>
                <w:lang w:val="en-US" w:eastAsia="zh-CN"/>
                <w14:textFill>
                  <w14:solidFill>
                    <w14:schemeClr w14:val="tx1"/>
                  </w14:solidFill>
                </w14:textFill>
              </w:rPr>
              <w:t>CO</w:t>
            </w:r>
            <w:r>
              <w:rPr>
                <w:rFonts w:hint="default" w:ascii="Times New Roman" w:hAnsi="Times New Roman" w:cs="Times New Roman"/>
                <w:color w:val="000000" w:themeColor="text1"/>
                <w:sz w:val="24"/>
                <w:szCs w:val="24"/>
                <w:highlight w:val="none"/>
                <w:u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u w:val="none"/>
                <w:vertAlign w:val="baseline"/>
                <w:lang w:val="en-US" w:eastAsia="zh-CN"/>
                <w14:textFill>
                  <w14:solidFill>
                    <w14:schemeClr w14:val="tx1"/>
                  </w14:solidFill>
                </w14:textFill>
              </w:rPr>
              <w:t>O</w:t>
            </w:r>
            <w:r>
              <w:rPr>
                <w:rFonts w:hint="default" w:ascii="Times New Roman" w:hAnsi="Times New Roman" w:cs="Times New Roman"/>
                <w:color w:val="000000" w:themeColor="text1"/>
                <w:sz w:val="24"/>
                <w:szCs w:val="24"/>
                <w:highlight w:val="none"/>
                <w:u w:val="none"/>
                <w:vertAlign w:val="subscript"/>
                <w:lang w:val="en-US" w:eastAsia="zh-CN"/>
                <w14:textFill>
                  <w14:solidFill>
                    <w14:schemeClr w14:val="tx1"/>
                  </w14:solidFill>
                </w14:textFill>
              </w:rPr>
              <w:t>3</w:t>
            </w:r>
            <w:r>
              <w:rPr>
                <w:rFonts w:hint="default" w:ascii="Times New Roman" w:hAnsi="Times New Roman" w:cs="Times New Roman"/>
                <w:color w:val="000000" w:themeColor="text1"/>
                <w:sz w:val="24"/>
                <w:szCs w:val="24"/>
                <w:highlight w:val="none"/>
                <w:u w:val="none"/>
                <w:lang w:val="en-US" w:eastAsia="zh-CN"/>
                <w14:textFill>
                  <w14:solidFill>
                    <w14:schemeClr w14:val="tx1"/>
                  </w14:solidFill>
                </w14:textFill>
              </w:rPr>
              <w:t>总体达标，本项目所在区域属于环境空气质量达标区</w:t>
            </w:r>
            <w:r>
              <w:rPr>
                <w:rFonts w:hint="eastAsia" w:ascii="Times New Roman" w:cs="Times New Roman"/>
                <w:color w:val="000000" w:themeColor="text1"/>
                <w:sz w:val="24"/>
                <w:szCs w:val="24"/>
                <w:highlight w:val="none"/>
                <w:u w:val="none"/>
                <w:lang w:val="en-US" w:eastAsia="zh-CN"/>
                <w14:textFill>
                  <w14:solidFill>
                    <w14:schemeClr w14:val="tx1"/>
                  </w14:solidFill>
                </w14:textFill>
              </w:rPr>
              <w:t>，一类区补充监测的</w:t>
            </w:r>
            <w:r>
              <w:rPr>
                <w:rFonts w:hint="default" w:ascii="Times New Roman" w:hAnsi="Times New Roman" w:cs="Times New Roman"/>
                <w:color w:val="000000" w:themeColor="text1"/>
                <w:sz w:val="24"/>
                <w:szCs w:val="24"/>
                <w:highlight w:val="none"/>
                <w:u w:val="none"/>
                <w14:textFill>
                  <w14:solidFill>
                    <w14:schemeClr w14:val="tx1"/>
                  </w14:solidFill>
                </w14:textFill>
              </w:rPr>
              <w:t>PM</w:t>
            </w:r>
            <w:r>
              <w:rPr>
                <w:rFonts w:hint="default" w:ascii="Times New Roman" w:hAnsi="Times New Roman" w:cs="Times New Roman"/>
                <w:color w:val="000000" w:themeColor="text1"/>
                <w:sz w:val="24"/>
                <w:szCs w:val="24"/>
                <w:highlight w:val="none"/>
                <w:u w:val="none"/>
                <w:vertAlign w:val="subscript"/>
                <w14:textFill>
                  <w14:solidFill>
                    <w14:schemeClr w14:val="tx1"/>
                  </w14:solidFill>
                </w14:textFill>
              </w:rPr>
              <w:t>10</w:t>
            </w:r>
            <w:r>
              <w:rPr>
                <w:rFonts w:hint="default" w:ascii="Times New Roman" w:hAnsi="Times New Roman" w:cs="Times New Roman"/>
                <w:color w:val="000000" w:themeColor="text1"/>
                <w:sz w:val="24"/>
                <w:szCs w:val="24"/>
                <w:highlight w:val="none"/>
                <w:u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u w:val="none"/>
                <w14:textFill>
                  <w14:solidFill>
                    <w14:schemeClr w14:val="tx1"/>
                  </w14:solidFill>
                </w14:textFill>
              </w:rPr>
              <w:t>PM</w:t>
            </w:r>
            <w:r>
              <w:rPr>
                <w:rFonts w:hint="default" w:ascii="Times New Roman" w:hAnsi="Times New Roman" w:cs="Times New Roman"/>
                <w:color w:val="000000" w:themeColor="text1"/>
                <w:sz w:val="24"/>
                <w:szCs w:val="24"/>
                <w:highlight w:val="none"/>
                <w:u w:val="none"/>
                <w:vertAlign w:val="subscript"/>
                <w14:textFill>
                  <w14:solidFill>
                    <w14:schemeClr w14:val="tx1"/>
                  </w14:solidFill>
                </w14:textFill>
              </w:rPr>
              <w:t>2.5</w:t>
            </w:r>
            <w:r>
              <w:rPr>
                <w:rFonts w:hint="default" w:ascii="Times New Roman" w:hAnsi="Times New Roman" w:cs="Times New Roman"/>
                <w:color w:val="000000" w:themeColor="text1"/>
                <w:sz w:val="24"/>
                <w:szCs w:val="24"/>
                <w:highlight w:val="none"/>
                <w:u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u w:val="none"/>
                <w:lang w:val="de-DE"/>
                <w14:textFill>
                  <w14:solidFill>
                    <w14:schemeClr w14:val="tx1"/>
                  </w14:solidFill>
                </w14:textFill>
              </w:rPr>
              <w:t>SO</w:t>
            </w:r>
            <w:r>
              <w:rPr>
                <w:rFonts w:hint="default" w:ascii="Times New Roman" w:hAnsi="Times New Roman" w:cs="Times New Roman"/>
                <w:color w:val="000000" w:themeColor="text1"/>
                <w:sz w:val="24"/>
                <w:szCs w:val="24"/>
                <w:highlight w:val="none"/>
                <w:u w:val="none"/>
                <w:vertAlign w:val="subscript"/>
                <w:lang w:val="de-DE"/>
                <w14:textFill>
                  <w14:solidFill>
                    <w14:schemeClr w14:val="tx1"/>
                  </w14:solidFill>
                </w14:textFill>
              </w:rPr>
              <w:t>2</w:t>
            </w:r>
            <w:r>
              <w:rPr>
                <w:rFonts w:hint="default" w:ascii="Times New Roman" w:hAnsi="Times New Roman" w:cs="Times New Roman"/>
                <w:color w:val="000000" w:themeColor="text1"/>
                <w:sz w:val="24"/>
                <w:szCs w:val="24"/>
                <w:highlight w:val="none"/>
                <w:u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u w:val="none"/>
                <w:lang w:val="de-DE"/>
                <w14:textFill>
                  <w14:solidFill>
                    <w14:schemeClr w14:val="tx1"/>
                  </w14:solidFill>
                </w14:textFill>
              </w:rPr>
              <w:t>NO</w:t>
            </w:r>
            <w:r>
              <w:rPr>
                <w:rFonts w:hint="default" w:ascii="Times New Roman" w:hAnsi="Times New Roman" w:cs="Times New Roman"/>
                <w:color w:val="000000" w:themeColor="text1"/>
                <w:sz w:val="24"/>
                <w:szCs w:val="24"/>
                <w:highlight w:val="none"/>
                <w:u w:val="none"/>
                <w:vertAlign w:val="subscript"/>
                <w:lang w:val="de-DE"/>
                <w14:textFill>
                  <w14:solidFill>
                    <w14:schemeClr w14:val="tx1"/>
                  </w14:solidFill>
                </w14:textFill>
              </w:rPr>
              <w:t>2</w:t>
            </w:r>
            <w:r>
              <w:rPr>
                <w:rFonts w:hint="default" w:ascii="Times New Roman" w:hAnsi="Times New Roman" w:cs="Times New Roman"/>
                <w:color w:val="000000" w:themeColor="text1"/>
                <w:sz w:val="24"/>
                <w:szCs w:val="24"/>
                <w:highlight w:val="none"/>
                <w:u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u w:val="none"/>
                <w:vertAlign w:val="baseline"/>
                <w:lang w:val="en-US" w:eastAsia="zh-CN"/>
                <w14:textFill>
                  <w14:solidFill>
                    <w14:schemeClr w14:val="tx1"/>
                  </w14:solidFill>
                </w14:textFill>
              </w:rPr>
              <w:t>CO</w:t>
            </w:r>
            <w:r>
              <w:rPr>
                <w:rFonts w:hint="default" w:ascii="Times New Roman" w:hAnsi="Times New Roman" w:cs="Times New Roman"/>
                <w:color w:val="000000" w:themeColor="text1"/>
                <w:sz w:val="24"/>
                <w:szCs w:val="24"/>
                <w:highlight w:val="none"/>
                <w:u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u w:val="none"/>
                <w:vertAlign w:val="baseline"/>
                <w:lang w:val="en-US" w:eastAsia="zh-CN"/>
                <w14:textFill>
                  <w14:solidFill>
                    <w14:schemeClr w14:val="tx1"/>
                  </w14:solidFill>
                </w14:textFill>
              </w:rPr>
              <w:t>O</w:t>
            </w:r>
            <w:r>
              <w:rPr>
                <w:rFonts w:hint="default" w:ascii="Times New Roman" w:hAnsi="Times New Roman" w:cs="Times New Roman"/>
                <w:color w:val="000000" w:themeColor="text1"/>
                <w:sz w:val="24"/>
                <w:szCs w:val="24"/>
                <w:highlight w:val="none"/>
                <w:u w:val="none"/>
                <w:vertAlign w:val="subscript"/>
                <w:lang w:val="en-US" w:eastAsia="zh-CN"/>
                <w14:textFill>
                  <w14:solidFill>
                    <w14:schemeClr w14:val="tx1"/>
                  </w14:solidFill>
                </w14:textFill>
              </w:rPr>
              <w:t>3</w:t>
            </w:r>
            <w:r>
              <w:rPr>
                <w:rFonts w:hint="eastAsia" w:ascii="Times New Roman" w:cs="Times New Roman"/>
                <w:color w:val="000000" w:themeColor="text1"/>
                <w:sz w:val="24"/>
                <w:szCs w:val="24"/>
                <w:highlight w:val="none"/>
                <w:u w:val="none"/>
                <w:lang w:val="en-US" w:eastAsia="zh-CN"/>
                <w14:textFill>
                  <w14:solidFill>
                    <w14:schemeClr w14:val="tx1"/>
                  </w14:solidFill>
                </w14:textFill>
              </w:rPr>
              <w:t>满足</w:t>
            </w:r>
            <w:r>
              <w:rPr>
                <w:rFonts w:hint="default" w:ascii="Times New Roman" w:hAnsi="Times New Roman" w:cs="Times New Roman"/>
                <w:color w:val="000000" w:themeColor="text1"/>
                <w:sz w:val="24"/>
                <w:szCs w:val="24"/>
                <w:highlight w:val="none"/>
                <w14:textFill>
                  <w14:solidFill>
                    <w14:schemeClr w14:val="tx1"/>
                  </w14:solidFill>
                </w14:textFill>
              </w:rPr>
              <w:t>《环境空气质量标准》（GB3095-20</w:t>
            </w:r>
            <w:r>
              <w:rPr>
                <w:rFonts w:hint="eastAsia" w:cs="Times New Roman"/>
                <w:color w:val="000000" w:themeColor="text1"/>
                <w:sz w:val="24"/>
                <w:szCs w:val="24"/>
                <w:highlight w:val="none"/>
                <w:lang w:val="en-US" w:eastAsia="zh-CN"/>
                <w14:textFill>
                  <w14:solidFill>
                    <w14:schemeClr w14:val="tx1"/>
                  </w14:solidFill>
                </w14:textFill>
              </w:rPr>
              <w:t>26</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eastAsia" w:ascii="Times New Roman" w:cs="Times New Roman"/>
                <w:color w:val="000000" w:themeColor="text1"/>
                <w:sz w:val="24"/>
                <w:szCs w:val="24"/>
                <w:highlight w:val="none"/>
                <w:lang w:val="en-US" w:eastAsia="zh-CN"/>
                <w14:textFill>
                  <w14:solidFill>
                    <w14:schemeClr w14:val="tx1"/>
                  </w14:solidFill>
                </w14:textFill>
              </w:rPr>
              <w:t>一级</w:t>
            </w:r>
            <w:r>
              <w:rPr>
                <w:rFonts w:hint="default" w:ascii="Times New Roman" w:hAnsi="Times New Roman" w:cs="Times New Roman"/>
                <w:color w:val="000000" w:themeColor="text1"/>
                <w:sz w:val="24"/>
                <w:szCs w:val="24"/>
                <w:highlight w:val="none"/>
                <w14:textFill>
                  <w14:solidFill>
                    <w14:schemeClr w14:val="tx1"/>
                  </w14:solidFill>
                </w14:textFill>
              </w:rPr>
              <w:t>标准</w:t>
            </w:r>
            <w:r>
              <w:rPr>
                <w:rFonts w:hint="default" w:ascii="Times New Roman" w:hAnsi="Times New Roman" w:cs="Times New Roman"/>
                <w:color w:val="000000" w:themeColor="text1"/>
                <w:sz w:val="24"/>
                <w:szCs w:val="24"/>
                <w:highlight w:val="none"/>
                <w:u w:val="none"/>
                <w:lang w:val="en-US" w:eastAsia="zh-CN"/>
                <w14:textFill>
                  <w14:solidFill>
                    <w14:schemeClr w14:val="tx1"/>
                  </w14:solidFill>
                </w14:textFill>
              </w:rPr>
              <w:t>。</w:t>
            </w:r>
            <w:r>
              <w:rPr>
                <w:rFonts w:hint="eastAsia" w:ascii="Times New Roman" w:hAnsi="Times New Roman" w:cs="Times New Roman"/>
                <w:color w:val="000000" w:themeColor="text1"/>
                <w:sz w:val="24"/>
                <w:szCs w:val="24"/>
                <w:highlight w:val="none"/>
                <w:u w:val="none"/>
                <w:lang w:val="en-US" w:eastAsia="zh-CN"/>
                <w14:textFill>
                  <w14:solidFill>
                    <w14:schemeClr w14:val="tx1"/>
                  </w14:solidFill>
                </w14:textFill>
              </w:rPr>
              <w:t>一类区、二类区</w:t>
            </w:r>
            <w:r>
              <w:rPr>
                <w:rFonts w:hint="default" w:ascii="Times New Roman" w:hAnsi="Times New Roman" w:cs="Times New Roman"/>
                <w:color w:val="000000" w:themeColor="text1"/>
                <w:spacing w:val="0"/>
                <w:kern w:val="2"/>
                <w:sz w:val="24"/>
                <w:szCs w:val="24"/>
                <w:highlight w:val="none"/>
                <w:u w:val="none"/>
                <w:lang w:val="en-US" w:eastAsia="zh-CN" w:bidi="ar-SA"/>
                <w14:textFill>
                  <w14:solidFill>
                    <w14:schemeClr w14:val="tx1"/>
                  </w14:solidFill>
                </w14:textFill>
              </w:rPr>
              <w:t>补充监测的硫化氢</w:t>
            </w:r>
            <w:r>
              <w:rPr>
                <w:rFonts w:hint="eastAsia" w:cs="Times New Roman"/>
                <w:color w:val="000000" w:themeColor="text1"/>
                <w:spacing w:val="0"/>
                <w:kern w:val="2"/>
                <w:sz w:val="24"/>
                <w:szCs w:val="24"/>
                <w:highlight w:val="none"/>
                <w:u w:val="none"/>
                <w:lang w:val="en-US" w:eastAsia="zh-CN" w:bidi="ar-SA"/>
                <w14:textFill>
                  <w14:solidFill>
                    <w14:schemeClr w14:val="tx1"/>
                  </w14:solidFill>
                </w14:textFill>
              </w:rPr>
              <w:t>、</w:t>
            </w:r>
            <w:r>
              <w:rPr>
                <w:rFonts w:hint="default" w:ascii="Times New Roman" w:hAnsi="Times New Roman" w:cs="Times New Roman"/>
                <w:color w:val="000000" w:themeColor="text1"/>
                <w:spacing w:val="0"/>
                <w:kern w:val="2"/>
                <w:sz w:val="24"/>
                <w:szCs w:val="24"/>
                <w:highlight w:val="none"/>
                <w:u w:val="none"/>
                <w:lang w:val="en-US" w:eastAsia="zh-CN" w:bidi="ar-SA"/>
                <w14:textFill>
                  <w14:solidFill>
                    <w14:schemeClr w14:val="tx1"/>
                  </w14:solidFill>
                </w14:textFill>
              </w:rPr>
              <w:t>氯化氢</w:t>
            </w:r>
            <w:r>
              <w:rPr>
                <w:rFonts w:hint="eastAsia" w:cs="Times New Roman"/>
                <w:color w:val="000000" w:themeColor="text1"/>
                <w:spacing w:val="0"/>
                <w:kern w:val="2"/>
                <w:sz w:val="24"/>
                <w:szCs w:val="24"/>
                <w:highlight w:val="none"/>
                <w:u w:val="none"/>
                <w:lang w:val="en-US" w:eastAsia="zh-CN" w:bidi="ar-SA"/>
                <w14:textFill>
                  <w14:solidFill>
                    <w14:schemeClr w14:val="tx1"/>
                  </w14:solidFill>
                </w14:textFill>
              </w:rPr>
              <w:t>、</w:t>
            </w:r>
            <w:r>
              <w:rPr>
                <w:rFonts w:hint="default" w:ascii="Times New Roman" w:hAnsi="Times New Roman" w:cs="Times New Roman"/>
                <w:color w:val="000000" w:themeColor="text1"/>
                <w:spacing w:val="0"/>
                <w:kern w:val="2"/>
                <w:sz w:val="24"/>
                <w:szCs w:val="24"/>
                <w:highlight w:val="none"/>
                <w:u w:val="none"/>
                <w:lang w:val="en-US" w:eastAsia="zh-CN" w:bidi="ar-SA"/>
                <w14:textFill>
                  <w14:solidFill>
                    <w14:schemeClr w14:val="tx1"/>
                  </w14:solidFill>
                </w14:textFill>
              </w:rPr>
              <w:t>氨现状监测值满足</w:t>
            </w:r>
            <w:r>
              <w:rPr>
                <w:rFonts w:hint="default" w:ascii="Times New Roman" w:hAnsi="Times New Roman" w:cs="Times New Roman"/>
                <w:color w:val="000000" w:themeColor="text1"/>
                <w:sz w:val="24"/>
                <w:szCs w:val="24"/>
                <w:highlight w:val="none"/>
                <w:u w:val="none"/>
                <w14:textFill>
                  <w14:solidFill>
                    <w14:schemeClr w14:val="tx1"/>
                  </w14:solidFill>
                </w14:textFill>
              </w:rPr>
              <w:t>《</w:t>
            </w:r>
            <w:r>
              <w:rPr>
                <w:rFonts w:hint="default" w:ascii="Times New Roman" w:hAnsi="Times New Roman" w:cs="Times New Roman"/>
                <w:color w:val="000000" w:themeColor="text1"/>
                <w:sz w:val="24"/>
                <w:szCs w:val="24"/>
                <w:highlight w:val="none"/>
                <w:u w:val="none"/>
                <w:lang w:eastAsia="zh-CN"/>
                <w14:textFill>
                  <w14:solidFill>
                    <w14:schemeClr w14:val="tx1"/>
                  </w14:solidFill>
                </w14:textFill>
              </w:rPr>
              <w:t>环境影响评价技术导则</w:t>
            </w:r>
            <w:r>
              <w:rPr>
                <w:rFonts w:hint="default" w:ascii="Times New Roman" w:hAnsi="Times New Roman" w:cs="Times New Roman"/>
                <w:color w:val="000000" w:themeColor="text1"/>
                <w:sz w:val="24"/>
                <w:szCs w:val="24"/>
                <w:highlight w:val="none"/>
                <w:u w:val="none"/>
                <w:lang w:val="en-US" w:eastAsia="zh-CN"/>
                <w14:textFill>
                  <w14:solidFill>
                    <w14:schemeClr w14:val="tx1"/>
                  </w14:solidFill>
                </w14:textFill>
              </w:rPr>
              <w:t xml:space="preserve"> 大气环境</w:t>
            </w:r>
            <w:r>
              <w:rPr>
                <w:rFonts w:hint="default" w:ascii="Times New Roman" w:hAnsi="Times New Roman" w:cs="Times New Roman"/>
                <w:color w:val="000000" w:themeColor="text1"/>
                <w:sz w:val="24"/>
                <w:szCs w:val="24"/>
                <w:highlight w:val="none"/>
                <w:u w:val="none"/>
                <w14:textFill>
                  <w14:solidFill>
                    <w14:schemeClr w14:val="tx1"/>
                  </w14:solidFill>
                </w14:textFill>
              </w:rPr>
              <w:t>》（</w:t>
            </w:r>
            <w:r>
              <w:rPr>
                <w:rFonts w:hint="default" w:ascii="Times New Roman" w:hAnsi="Times New Roman" w:cs="Times New Roman"/>
                <w:color w:val="000000" w:themeColor="text1"/>
                <w:sz w:val="24"/>
                <w:szCs w:val="24"/>
                <w:highlight w:val="none"/>
                <w:u w:val="none"/>
                <w:lang w:val="en-US" w:eastAsia="zh-CN"/>
                <w14:textFill>
                  <w14:solidFill>
                    <w14:schemeClr w14:val="tx1"/>
                  </w14:solidFill>
                </w14:textFill>
              </w:rPr>
              <w:t>HJ2.2-2018</w:t>
            </w:r>
            <w:r>
              <w:rPr>
                <w:rFonts w:hint="default" w:ascii="Times New Roman" w:hAnsi="Times New Roman" w:cs="Times New Roman"/>
                <w:color w:val="000000" w:themeColor="text1"/>
                <w:sz w:val="24"/>
                <w:szCs w:val="24"/>
                <w:highlight w:val="none"/>
                <w:u w:val="none"/>
                <w14:textFill>
                  <w14:solidFill>
                    <w14:schemeClr w14:val="tx1"/>
                  </w14:solidFill>
                </w14:textFill>
              </w:rPr>
              <w:t>）</w:t>
            </w:r>
            <w:r>
              <w:rPr>
                <w:rFonts w:hint="default" w:ascii="Times New Roman" w:hAnsi="Times New Roman" w:cs="Times New Roman"/>
                <w:color w:val="000000" w:themeColor="text1"/>
                <w:sz w:val="24"/>
                <w:szCs w:val="24"/>
                <w:highlight w:val="none"/>
                <w:u w:val="none"/>
                <w:lang w:eastAsia="zh-CN"/>
                <w14:textFill>
                  <w14:solidFill>
                    <w14:schemeClr w14:val="tx1"/>
                  </w14:solidFill>
                </w14:textFill>
              </w:rPr>
              <w:t>附录</w:t>
            </w:r>
            <w:r>
              <w:rPr>
                <w:rFonts w:hint="default" w:ascii="Times New Roman" w:hAnsi="Times New Roman" w:cs="Times New Roman"/>
                <w:color w:val="000000" w:themeColor="text1"/>
                <w:sz w:val="24"/>
                <w:szCs w:val="24"/>
                <w:highlight w:val="none"/>
                <w:u w:val="none"/>
                <w:lang w:val="en-US" w:eastAsia="zh-CN"/>
                <w14:textFill>
                  <w14:solidFill>
                    <w14:schemeClr w14:val="tx1"/>
                  </w14:solidFill>
                </w14:textFill>
              </w:rPr>
              <w:t>D其他污染物空气质量浓度参考限值</w:t>
            </w:r>
            <w:r>
              <w:rPr>
                <w:rFonts w:hint="eastAsia" w:ascii="Times New Roman" w:cs="Times New Roman"/>
                <w:color w:val="000000" w:themeColor="text1"/>
                <w:sz w:val="24"/>
                <w:szCs w:val="24"/>
                <w:highlight w:val="none"/>
                <w:u w:val="none"/>
                <w:lang w:val="en-US" w:eastAsia="zh-CN"/>
                <w14:textFill>
                  <w14:solidFill>
                    <w14:schemeClr w14:val="tx1"/>
                  </w14:solidFill>
                </w14:textFill>
              </w:rPr>
              <w:t>，非甲烷总烃监测值</w:t>
            </w:r>
            <w:r>
              <w:rPr>
                <w:rFonts w:hint="eastAsia" w:ascii="Times New Roman" w:hAnsi="Times New Roman" w:eastAsia="宋体" w:cs="Times New Roman"/>
                <w:color w:val="000000" w:themeColor="text1"/>
                <w:spacing w:val="0"/>
                <w:kern w:val="2"/>
                <w:sz w:val="24"/>
                <w:szCs w:val="24"/>
                <w:highlight w:val="none"/>
                <w:u w:val="none"/>
                <w:lang w:val="en-US" w:eastAsia="zh-CN" w:bidi="ar-SA"/>
                <w14:textFill>
                  <w14:solidFill>
                    <w14:schemeClr w14:val="tx1"/>
                  </w14:solidFill>
                </w14:textFill>
              </w:rPr>
              <w:t>满足《大气污染物综合排放标准详解》中244页推荐的质量标准值2mg/m</w:t>
            </w:r>
            <w:r>
              <w:rPr>
                <w:rFonts w:hint="eastAsia" w:ascii="Times New Roman" w:hAnsi="Times New Roman" w:eastAsia="宋体" w:cs="Times New Roman"/>
                <w:color w:val="000000" w:themeColor="text1"/>
                <w:spacing w:val="0"/>
                <w:kern w:val="2"/>
                <w:sz w:val="24"/>
                <w:szCs w:val="24"/>
                <w:highlight w:val="none"/>
                <w:u w:val="none"/>
                <w:vertAlign w:val="superscript"/>
                <w:lang w:val="en-US" w:eastAsia="zh-CN" w:bidi="ar-SA"/>
                <w14:textFill>
                  <w14:solidFill>
                    <w14:schemeClr w14:val="tx1"/>
                  </w14:solidFill>
                </w14:textFill>
              </w:rPr>
              <w:t>3</w:t>
            </w:r>
            <w:r>
              <w:rPr>
                <w:rFonts w:hint="eastAsia" w:ascii="Times New Roman" w:hAnsi="Times New Roman" w:eastAsia="宋体" w:cs="Times New Roman"/>
                <w:color w:val="000000" w:themeColor="text1"/>
                <w:spacing w:val="0"/>
                <w:kern w:val="2"/>
                <w:sz w:val="24"/>
                <w:szCs w:val="24"/>
                <w:highlight w:val="none"/>
                <w:u w:val="none"/>
                <w:lang w:val="en-US" w:eastAsia="zh-CN" w:bidi="ar-SA"/>
                <w14:textFill>
                  <w14:solidFill>
                    <w14:schemeClr w14:val="tx1"/>
                  </w14:solidFill>
                </w14:textFill>
              </w:rPr>
              <w:t>。</w:t>
            </w:r>
          </w:p>
          <w:p w14:paraId="47A82A6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综上，本项目区域环境空气质量良好。</w:t>
            </w:r>
          </w:p>
          <w:p w14:paraId="0EE61979">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line="360" w:lineRule="auto"/>
              <w:ind w:firstLine="482" w:firstLineChars="200"/>
              <w:jc w:val="left"/>
              <w:textAlignment w:val="auto"/>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pPr>
            <w:r>
              <w:rPr>
                <w:rFonts w:hint="eastAsia" w:cs="Times New Roman"/>
                <w:b/>
                <w:bCs/>
                <w:color w:val="000000" w:themeColor="text1"/>
                <w:kern w:val="0"/>
                <w:sz w:val="24"/>
                <w:szCs w:val="24"/>
                <w:highlight w:val="none"/>
                <w:lang w:val="en-US" w:eastAsia="zh-CN"/>
                <w14:textFill>
                  <w14:solidFill>
                    <w14:schemeClr w14:val="tx1"/>
                  </w14:solidFill>
                </w14:textFill>
              </w:rPr>
              <w:t>2、</w:t>
            </w:r>
            <w:r>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t>地表水环境</w:t>
            </w:r>
          </w:p>
          <w:p w14:paraId="25C41EB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000000" w:themeColor="text1"/>
                <w:kern w:val="2"/>
                <w:sz w:val="24"/>
                <w:szCs w:val="20"/>
                <w:highlight w:val="none"/>
                <w:lang w:val="en-US" w:eastAsia="zh-CN" w:bidi="ar-SA"/>
                <w14:textFill>
                  <w14:solidFill>
                    <w14:schemeClr w14:val="tx1"/>
                  </w14:solidFill>
                </w14:textFill>
              </w:rPr>
            </w:pPr>
            <w:r>
              <w:rPr>
                <w:rFonts w:ascii="宋体" w:hAnsi="宋体" w:eastAsia="宋体" w:cs="宋体"/>
                <w:b w:val="0"/>
                <w:bCs w:val="0"/>
                <w:color w:val="000000" w:themeColor="text1"/>
                <w:sz w:val="24"/>
                <w:szCs w:val="24"/>
                <w:highlight w:val="none"/>
                <w14:textFill>
                  <w14:solidFill>
                    <w14:schemeClr w14:val="tx1"/>
                  </w14:solidFill>
                </w14:textFill>
              </w:rPr>
              <w:t>本项目无废水排放，项目区位于伊春市循环经济园区内，周边主要地表水为</w:t>
            </w:r>
            <w:r>
              <w:rPr>
                <w:rStyle w:val="31"/>
                <w:rFonts w:ascii="宋体" w:hAnsi="宋体" w:eastAsia="宋体" w:cs="宋体"/>
                <w:b w:val="0"/>
                <w:bCs w:val="0"/>
                <w:color w:val="000000" w:themeColor="text1"/>
                <w:sz w:val="24"/>
                <w:szCs w:val="24"/>
                <w:highlight w:val="none"/>
                <w14:textFill>
                  <w14:solidFill>
                    <w14:schemeClr w14:val="tx1"/>
                  </w14:solidFill>
                </w14:textFill>
              </w:rPr>
              <w:t>伊春河</w:t>
            </w:r>
            <w:r>
              <w:rPr>
                <w:rFonts w:ascii="宋体" w:hAnsi="宋体" w:eastAsia="宋体" w:cs="宋体"/>
                <w:b w:val="0"/>
                <w:bCs w:val="0"/>
                <w:color w:val="000000" w:themeColor="text1"/>
                <w:sz w:val="24"/>
                <w:szCs w:val="24"/>
                <w:highlight w:val="none"/>
                <w14:textFill>
                  <w14:solidFill>
                    <w14:schemeClr w14:val="tx1"/>
                  </w14:solidFill>
                </w14:textFill>
              </w:rPr>
              <w:t>，伊春河汇入汤旺河，</w:t>
            </w:r>
            <w:r>
              <w:rPr>
                <w:rFonts w:hint="default" w:ascii="Times New Roman" w:hAnsi="Times New Roman" w:cs="Times New Roman"/>
                <w:color w:val="000000" w:themeColor="text1"/>
                <w:kern w:val="2"/>
                <w:sz w:val="24"/>
                <w:szCs w:val="20"/>
                <w:highlight w:val="none"/>
                <w:lang w:val="en-US" w:eastAsia="zh-CN" w:bidi="ar-SA"/>
                <w14:textFill>
                  <w14:solidFill>
                    <w14:schemeClr w14:val="tx1"/>
                  </w14:solidFill>
                </w14:textFill>
              </w:rPr>
              <w:t>根据《全国重要江河湖泊水功能区划（2011-2030年）》，汤旺河（苔青-西林钢厂段）水质目标为Ⅳ类，排污口位于伊春河入口至苔青河段，执行《地表水环境质量标准》（GB3838-2002）</w:t>
            </w:r>
            <w:r>
              <w:rPr>
                <w:rFonts w:hint="default" w:ascii="Times New Roman" w:hAnsi="Times New Roman" w:cs="Times New Roman"/>
                <w:color w:val="000000" w:themeColor="text1"/>
                <w:kern w:val="2"/>
                <w:sz w:val="24"/>
                <w:szCs w:val="20"/>
                <w:highlight w:val="none"/>
                <w:lang w:val="en-US" w:eastAsia="zh-CN" w:bidi="ar-SA"/>
                <w14:textFill>
                  <w14:solidFill>
                    <w14:schemeClr w14:val="tx1"/>
                  </w14:solidFill>
                </w14:textFill>
              </w:rPr>
              <w:fldChar w:fldCharType="begin"/>
            </w:r>
            <w:r>
              <w:rPr>
                <w:rFonts w:hint="default" w:ascii="Times New Roman" w:hAnsi="Times New Roman" w:cs="Times New Roman"/>
                <w:color w:val="000000" w:themeColor="text1"/>
                <w:kern w:val="2"/>
                <w:sz w:val="24"/>
                <w:szCs w:val="20"/>
                <w:highlight w:val="none"/>
                <w:lang w:val="en-US" w:eastAsia="zh-CN" w:bidi="ar-SA"/>
                <w14:textFill>
                  <w14:solidFill>
                    <w14:schemeClr w14:val="tx1"/>
                  </w14:solidFill>
                </w14:textFill>
              </w:rPr>
              <w:instrText xml:space="preserve"> = 4 \* ROMAN </w:instrText>
            </w:r>
            <w:r>
              <w:rPr>
                <w:rFonts w:hint="default" w:ascii="Times New Roman" w:hAnsi="Times New Roman" w:cs="Times New Roman"/>
                <w:color w:val="000000" w:themeColor="text1"/>
                <w:kern w:val="2"/>
                <w:sz w:val="24"/>
                <w:szCs w:val="20"/>
                <w:highlight w:val="none"/>
                <w:lang w:val="en-US" w:eastAsia="zh-CN" w:bidi="ar-SA"/>
                <w14:textFill>
                  <w14:solidFill>
                    <w14:schemeClr w14:val="tx1"/>
                  </w14:solidFill>
                </w14:textFill>
              </w:rPr>
              <w:fldChar w:fldCharType="separate"/>
            </w:r>
            <w:r>
              <w:rPr>
                <w:rFonts w:hint="default" w:ascii="Times New Roman" w:hAnsi="Times New Roman" w:cs="Times New Roman"/>
                <w:color w:val="000000" w:themeColor="text1"/>
                <w:kern w:val="2"/>
                <w:sz w:val="24"/>
                <w:szCs w:val="20"/>
                <w:highlight w:val="none"/>
                <w:lang w:val="en-US" w:eastAsia="zh-CN" w:bidi="ar-SA"/>
                <w14:textFill>
                  <w14:solidFill>
                    <w14:schemeClr w14:val="tx1"/>
                  </w14:solidFill>
                </w14:textFill>
              </w:rPr>
              <w:t>IV</w:t>
            </w:r>
            <w:r>
              <w:rPr>
                <w:rFonts w:hint="default" w:ascii="Times New Roman" w:hAnsi="Times New Roman" w:cs="Times New Roman"/>
                <w:color w:val="000000" w:themeColor="text1"/>
                <w:kern w:val="2"/>
                <w:sz w:val="24"/>
                <w:szCs w:val="20"/>
                <w:highlight w:val="none"/>
                <w:lang w:val="en-US" w:eastAsia="zh-CN" w:bidi="ar-SA"/>
                <w14:textFill>
                  <w14:solidFill>
                    <w14:schemeClr w14:val="tx1"/>
                  </w14:solidFill>
                </w14:textFill>
              </w:rPr>
              <w:fldChar w:fldCharType="end"/>
            </w:r>
            <w:r>
              <w:rPr>
                <w:rFonts w:hint="default" w:ascii="Times New Roman" w:hAnsi="Times New Roman" w:cs="Times New Roman"/>
                <w:color w:val="000000" w:themeColor="text1"/>
                <w:kern w:val="2"/>
                <w:sz w:val="24"/>
                <w:szCs w:val="20"/>
                <w:highlight w:val="none"/>
                <w:lang w:val="en-US" w:eastAsia="zh-CN" w:bidi="ar-SA"/>
                <w14:textFill>
                  <w14:solidFill>
                    <w14:schemeClr w14:val="tx1"/>
                  </w14:solidFill>
                </w14:textFill>
              </w:rPr>
              <w:t>类标准，该段水体能够满足Ⅳ类水体功能要求。</w:t>
            </w:r>
          </w:p>
          <w:p w14:paraId="2B25A56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pPr>
            <w:r>
              <w:rPr>
                <w:rFonts w:hint="eastAsia" w:cs="Times New Roman"/>
                <w:b/>
                <w:bCs/>
                <w:color w:val="000000" w:themeColor="text1"/>
                <w:kern w:val="0"/>
                <w:sz w:val="24"/>
                <w:szCs w:val="24"/>
                <w:highlight w:val="none"/>
                <w:lang w:val="en-US" w:eastAsia="zh-CN"/>
                <w14:textFill>
                  <w14:solidFill>
                    <w14:schemeClr w14:val="tx1"/>
                  </w14:solidFill>
                </w14:textFill>
              </w:rPr>
              <w:t>3、</w:t>
            </w:r>
            <w:r>
              <w:rPr>
                <w:rFonts w:hint="eastAsia" w:ascii="Times New Roman" w:hAnsi="Times New Roman" w:cs="Times New Roman"/>
                <w:b/>
                <w:bCs/>
                <w:color w:val="000000" w:themeColor="text1"/>
                <w:kern w:val="0"/>
                <w:sz w:val="24"/>
                <w:szCs w:val="24"/>
                <w:highlight w:val="none"/>
                <w:lang w:val="en-US" w:eastAsia="zh-CN"/>
                <w14:textFill>
                  <w14:solidFill>
                    <w14:schemeClr w14:val="tx1"/>
                  </w14:solidFill>
                </w14:textFill>
              </w:rPr>
              <w:t>声环境</w:t>
            </w:r>
          </w:p>
          <w:p w14:paraId="22DD9D68">
            <w:pPr>
              <w:pStyle w:val="55"/>
              <w:keepNext w:val="0"/>
              <w:keepLines w:val="0"/>
              <w:pageBreakBefore w:val="0"/>
              <w:widowControl w:val="0"/>
              <w:kinsoku/>
              <w:wordWrap/>
              <w:overflowPunct/>
              <w:topLinePunct w:val="0"/>
              <w:autoSpaceDE/>
              <w:autoSpaceDN/>
              <w:bidi w:val="0"/>
              <w:spacing w:line="360" w:lineRule="auto"/>
              <w:ind w:left="0" w:right="0" w:firstLine="480" w:firstLineChars="200"/>
              <w:jc w:val="both"/>
              <w:textAlignment w:val="auto"/>
              <w:rPr>
                <w:rFonts w:hint="default" w:ascii="Times New Roman" w:hAnsi="Times New Roman" w:eastAsia="宋体" w:cs="Times New Roman"/>
                <w:bCs/>
                <w:color w:val="000000" w:themeColor="text1"/>
                <w:kern w:val="2"/>
                <w:sz w:val="24"/>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2"/>
                <w:sz w:val="24"/>
                <w:szCs w:val="21"/>
                <w:highlight w:val="none"/>
                <w:lang w:val="en-US" w:eastAsia="zh-CN" w:bidi="ar-SA"/>
                <w14:textFill>
                  <w14:solidFill>
                    <w14:schemeClr w14:val="tx1"/>
                  </w14:solidFill>
                </w14:textFill>
              </w:rPr>
              <w:t>根据《2024年伊春市生态环境质量公报》，2024年伊春市昼间区域环境噪声平均等效声级为50.1分贝，声环境质量为好，同比无变化。</w:t>
            </w:r>
          </w:p>
          <w:p w14:paraId="6178E68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项目</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周边50m内</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无</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声环境敏感目标，</w:t>
            </w:r>
            <w:r>
              <w:rPr>
                <w:rFonts w:hint="default" w:ascii="Times New Roman" w:hAnsi="Times New Roman" w:cs="Times New Roman"/>
                <w:color w:val="000000" w:themeColor="text1"/>
                <w:kern w:val="2"/>
                <w:sz w:val="24"/>
                <w:szCs w:val="24"/>
                <w:highlight w:val="none"/>
                <w:lang w:val="en-US" w:eastAsia="zh-CN"/>
                <w14:textFill>
                  <w14:solidFill>
                    <w14:schemeClr w14:val="tx1"/>
                  </w14:solidFill>
                </w14:textFill>
              </w:rPr>
              <w:t>根据《建设项目环境影响报告表编制技术指南污染影响类）（试行）》，本次评价</w:t>
            </w:r>
            <w:r>
              <w:rPr>
                <w:rFonts w:hint="eastAsia" w:ascii="Times New Roman" w:hAnsi="Times New Roman" w:cs="Times New Roman"/>
                <w:color w:val="000000" w:themeColor="text1"/>
                <w:kern w:val="2"/>
                <w:sz w:val="24"/>
                <w:szCs w:val="24"/>
                <w:highlight w:val="none"/>
                <w:lang w:val="en-US" w:eastAsia="zh-CN"/>
                <w14:textFill>
                  <w14:solidFill>
                    <w14:schemeClr w14:val="tx1"/>
                  </w14:solidFill>
                </w14:textFill>
              </w:rPr>
              <w:t>不</w:t>
            </w:r>
            <w:r>
              <w:rPr>
                <w:rFonts w:hint="default" w:ascii="Times New Roman" w:hAnsi="Times New Roman" w:cs="Times New Roman"/>
                <w:color w:val="000000" w:themeColor="text1"/>
                <w:kern w:val="2"/>
                <w:sz w:val="24"/>
                <w:szCs w:val="24"/>
                <w:highlight w:val="none"/>
                <w:lang w:val="en-US" w:eastAsia="zh-CN"/>
                <w14:textFill>
                  <w14:solidFill>
                    <w14:schemeClr w14:val="tx1"/>
                  </w14:solidFill>
                </w14:textFill>
              </w:rPr>
              <w:t>对声环境现状进行监测。</w:t>
            </w:r>
            <w:r>
              <w:rPr>
                <w:rFonts w:hint="eastAsia" w:ascii="Times New Roman" w:hAnsi="Times New Roman" w:cs="Times New Roman"/>
                <w:color w:val="000000" w:themeColor="text1"/>
                <w:kern w:val="2"/>
                <w:sz w:val="24"/>
                <w:szCs w:val="24"/>
                <w:highlight w:val="none"/>
                <w:lang w:val="en-US" w:eastAsia="zh-CN"/>
                <w14:textFill>
                  <w14:solidFill>
                    <w14:schemeClr w14:val="tx1"/>
                  </w14:solidFill>
                </w14:textFill>
              </w:rPr>
              <w:t xml:space="preserve">       </w:t>
            </w:r>
          </w:p>
          <w:p w14:paraId="380AF06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4"/>
                <w:szCs w:val="24"/>
                <w:highlight w:val="none"/>
                <w:lang w:val="en-US" w:eastAsia="zh-CN"/>
                <w14:textFill>
                  <w14:solidFill>
                    <w14:schemeClr w14:val="tx1"/>
                  </w14:solidFill>
                </w14:textFill>
              </w:rPr>
              <w:t>4、</w:t>
            </w:r>
            <w:r>
              <w:rPr>
                <w:rFonts w:hint="eastAsia" w:ascii="Times New Roman" w:hAnsi="Times New Roman" w:eastAsia="宋体" w:cs="Times New Roman"/>
                <w:b/>
                <w:bCs/>
                <w:color w:val="000000" w:themeColor="text1"/>
                <w:kern w:val="0"/>
                <w:sz w:val="24"/>
                <w:szCs w:val="24"/>
                <w:highlight w:val="none"/>
                <w:lang w:val="en-US" w:eastAsia="zh-CN"/>
                <w14:textFill>
                  <w14:solidFill>
                    <w14:schemeClr w14:val="tx1"/>
                  </w14:solidFill>
                </w14:textFill>
              </w:rPr>
              <w:t>地下水环境</w:t>
            </w:r>
          </w:p>
          <w:p w14:paraId="711173C5">
            <w:pPr>
              <w:pStyle w:val="55"/>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根据项目类型、地理位置、周边环境概况分析，建设项目存在地下水环境污染途径，故对区域地下水环境现状进行补充背景监测：</w:t>
            </w:r>
          </w:p>
          <w:p w14:paraId="24F99B74">
            <w:pPr>
              <w:pStyle w:val="55"/>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①数据来源：</w:t>
            </w:r>
            <w:r>
              <w:rPr>
                <w:rFonts w:hint="default" w:ascii="Times New Roman" w:hAnsi="Times New Roman" w:eastAsia="宋体" w:cs="Times New Roman"/>
                <w:color w:val="000000" w:themeColor="text1"/>
                <w:sz w:val="24"/>
                <w:szCs w:val="24"/>
                <w:highlight w:val="none"/>
                <w14:textFill>
                  <w14:solidFill>
                    <w14:schemeClr w14:val="tx1"/>
                  </w14:solidFill>
                </w14:textFill>
              </w:rPr>
              <w:t>数据来源为实测，采</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用</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黑龙江汉风环境检测技术有限公司</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针对本项目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区域地下水</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环境质量于2</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02</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6</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年</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9</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月</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11</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日出具的监测报告（报告编号H</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F</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JC</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26IC001-1</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387D3F18">
            <w:pPr>
              <w:pStyle w:val="55"/>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②监测点位</w:t>
            </w:r>
          </w:p>
          <w:p w14:paraId="722D7E2A">
            <w:pPr>
              <w:pStyle w:val="55"/>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监测井位置详见下表所示。</w:t>
            </w:r>
          </w:p>
          <w:p w14:paraId="0738D136">
            <w:pPr>
              <w:pStyle w:val="5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表3</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 xml:space="preserve">.6 </w:t>
            </w:r>
            <w:r>
              <w:rPr>
                <w:rFonts w:hint="default" w:ascii="Times New Roman" w:hAnsi="Times New Roman" w:eastAsia="宋体" w:cs="Times New Roman"/>
                <w:b/>
                <w:bCs/>
                <w:color w:val="000000" w:themeColor="text1"/>
                <w:spacing w:val="0"/>
                <w:sz w:val="24"/>
                <w:szCs w:val="22"/>
                <w:highlight w:val="none"/>
                <w14:textFill>
                  <w14:solidFill>
                    <w14:schemeClr w14:val="tx1"/>
                  </w14:solidFill>
                </w14:textFill>
              </w:rPr>
              <w:t>本项目地下水监测点位表</w:t>
            </w:r>
          </w:p>
          <w:tbl>
            <w:tblPr>
              <w:tblStyle w:val="79"/>
              <w:tblW w:w="806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Layout w:type="fixed"/>
              <w:tblCellMar>
                <w:top w:w="0" w:type="dxa"/>
                <w:left w:w="0" w:type="dxa"/>
                <w:bottom w:w="0" w:type="dxa"/>
                <w:right w:w="0" w:type="dxa"/>
              </w:tblCellMar>
            </w:tblPr>
            <w:tblGrid>
              <w:gridCol w:w="657"/>
              <w:gridCol w:w="1522"/>
              <w:gridCol w:w="1011"/>
              <w:gridCol w:w="1012"/>
              <w:gridCol w:w="1011"/>
              <w:gridCol w:w="1424"/>
              <w:gridCol w:w="1424"/>
            </w:tblGrid>
            <w:tr w14:paraId="6EEC5C42">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0" w:type="dxa"/>
                  <w:bottom w:w="0" w:type="dxa"/>
                  <w:right w:w="0" w:type="dxa"/>
                </w:tblCellMar>
              </w:tblPrEx>
              <w:trPr>
                <w:trHeight w:val="311" w:hRule="atLeast"/>
                <w:jc w:val="center"/>
              </w:trPr>
              <w:tc>
                <w:tcPr>
                  <w:tcW w:w="657" w:type="dxa"/>
                  <w:vMerge w:val="restart"/>
                  <w:tcBorders>
                    <w:tl2br w:val="nil"/>
                    <w:tr2bl w:val="nil"/>
                  </w:tcBorders>
                  <w:noWrap w:val="0"/>
                  <w:vAlign w:val="center"/>
                </w:tcPr>
                <w:p w14:paraId="0ABA0B80">
                  <w:pPr>
                    <w:pStyle w:val="93"/>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2"/>
                      <w:kern w:val="2"/>
                      <w:sz w:val="21"/>
                      <w:szCs w:val="21"/>
                      <w:highlight w:val="none"/>
                      <w:lang w:val="en-US" w:eastAsia="en-US" w:bidi="ar-SA"/>
                      <w14:textFill>
                        <w14:solidFill>
                          <w14:schemeClr w14:val="tx1"/>
                        </w14:solidFill>
                      </w14:textFill>
                    </w:rPr>
                  </w:pPr>
                  <w:r>
                    <w:rPr>
                      <w:rFonts w:hint="default" w:ascii="Times New Roman" w:hAnsi="Times New Roman" w:eastAsia="宋体" w:cs="Times New Roman"/>
                      <w:color w:val="000000" w:themeColor="text1"/>
                      <w:spacing w:val="-2"/>
                      <w:kern w:val="2"/>
                      <w:sz w:val="21"/>
                      <w:szCs w:val="21"/>
                      <w:highlight w:val="none"/>
                      <w:lang w:val="en-US" w:eastAsia="en-US" w:bidi="ar-SA"/>
                      <w14:textFill>
                        <w14:solidFill>
                          <w14:schemeClr w14:val="tx1"/>
                        </w14:solidFill>
                      </w14:textFill>
                    </w:rPr>
                    <w:t>编号</w:t>
                  </w:r>
                </w:p>
              </w:tc>
              <w:tc>
                <w:tcPr>
                  <w:tcW w:w="1522" w:type="dxa"/>
                  <w:vMerge w:val="restart"/>
                  <w:tcBorders>
                    <w:tl2br w:val="nil"/>
                    <w:tr2bl w:val="nil"/>
                  </w:tcBorders>
                  <w:noWrap w:val="0"/>
                  <w:vAlign w:val="center"/>
                </w:tcPr>
                <w:p w14:paraId="5C4DCD7D">
                  <w:pPr>
                    <w:pStyle w:val="93"/>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t>监测点位</w:t>
                  </w:r>
                </w:p>
              </w:tc>
              <w:tc>
                <w:tcPr>
                  <w:tcW w:w="2023" w:type="dxa"/>
                  <w:gridSpan w:val="2"/>
                  <w:tcBorders>
                    <w:tl2br w:val="nil"/>
                    <w:tr2bl w:val="nil"/>
                  </w:tcBorders>
                  <w:noWrap w:val="0"/>
                  <w:vAlign w:val="center"/>
                </w:tcPr>
                <w:p w14:paraId="5479A654">
                  <w:pPr>
                    <w:pStyle w:val="93"/>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t>坐标</w:t>
                  </w:r>
                </w:p>
              </w:tc>
              <w:tc>
                <w:tcPr>
                  <w:tcW w:w="1011" w:type="dxa"/>
                  <w:vMerge w:val="restart"/>
                  <w:tcBorders>
                    <w:tl2br w:val="nil"/>
                    <w:tr2bl w:val="nil"/>
                  </w:tcBorders>
                  <w:noWrap w:val="0"/>
                  <w:vAlign w:val="center"/>
                </w:tcPr>
                <w:p w14:paraId="6C46634D">
                  <w:pPr>
                    <w:pStyle w:val="93"/>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2"/>
                      <w:kern w:val="2"/>
                      <w:sz w:val="21"/>
                      <w:szCs w:val="21"/>
                      <w:highlight w:val="none"/>
                      <w:lang w:val="en-US" w:eastAsia="en-US" w:bidi="ar-SA"/>
                      <w14:textFill>
                        <w14:solidFill>
                          <w14:schemeClr w14:val="tx1"/>
                        </w14:solidFill>
                      </w14:textFill>
                    </w:rPr>
                  </w:pPr>
                  <w:r>
                    <w:rPr>
                      <w:rFonts w:hint="default" w:ascii="Times New Roman" w:hAnsi="Times New Roman" w:eastAsia="宋体" w:cs="Times New Roman"/>
                      <w:color w:val="000000" w:themeColor="text1"/>
                      <w:spacing w:val="-2"/>
                      <w:kern w:val="2"/>
                      <w:sz w:val="21"/>
                      <w:szCs w:val="21"/>
                      <w:highlight w:val="none"/>
                      <w:lang w:val="en-US" w:eastAsia="en-US" w:bidi="ar-SA"/>
                      <w14:textFill>
                        <w14:solidFill>
                          <w14:schemeClr w14:val="tx1"/>
                        </w14:solidFill>
                      </w14:textFill>
                    </w:rPr>
                    <w:t>水层</w:t>
                  </w:r>
                </w:p>
              </w:tc>
              <w:tc>
                <w:tcPr>
                  <w:tcW w:w="1424" w:type="dxa"/>
                  <w:vMerge w:val="restart"/>
                  <w:tcBorders>
                    <w:tl2br w:val="nil"/>
                    <w:tr2bl w:val="nil"/>
                  </w:tcBorders>
                  <w:noWrap w:val="0"/>
                  <w:vAlign w:val="center"/>
                </w:tcPr>
                <w:p w14:paraId="7B7EBF37">
                  <w:pPr>
                    <w:pStyle w:val="93"/>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t>用途</w:t>
                  </w:r>
                </w:p>
              </w:tc>
              <w:tc>
                <w:tcPr>
                  <w:tcW w:w="1424" w:type="dxa"/>
                  <w:vMerge w:val="restart"/>
                  <w:tcBorders>
                    <w:tl2br w:val="nil"/>
                    <w:tr2bl w:val="nil"/>
                  </w:tcBorders>
                  <w:noWrap w:val="0"/>
                  <w:vAlign w:val="center"/>
                </w:tcPr>
                <w:p w14:paraId="49D61E17">
                  <w:pPr>
                    <w:pStyle w:val="93"/>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t>监测频次</w:t>
                  </w:r>
                </w:p>
              </w:tc>
            </w:tr>
            <w:tr w14:paraId="32460180">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0" w:type="dxa"/>
                  <w:bottom w:w="0" w:type="dxa"/>
                  <w:right w:w="0" w:type="dxa"/>
                </w:tblCellMar>
              </w:tblPrEx>
              <w:trPr>
                <w:trHeight w:val="279" w:hRule="atLeast"/>
                <w:jc w:val="center"/>
              </w:trPr>
              <w:tc>
                <w:tcPr>
                  <w:tcW w:w="657" w:type="dxa"/>
                  <w:vMerge w:val="continue"/>
                  <w:tcBorders>
                    <w:tl2br w:val="nil"/>
                    <w:tr2bl w:val="nil"/>
                  </w:tcBorders>
                  <w:noWrap w:val="0"/>
                  <w:vAlign w:val="center"/>
                </w:tcPr>
                <w:p w14:paraId="450A8CEE">
                  <w:pPr>
                    <w:pStyle w:val="93"/>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pPr>
                </w:p>
              </w:tc>
              <w:tc>
                <w:tcPr>
                  <w:tcW w:w="1522" w:type="dxa"/>
                  <w:vMerge w:val="continue"/>
                  <w:tcBorders>
                    <w:tl2br w:val="nil"/>
                    <w:tr2bl w:val="nil"/>
                  </w:tcBorders>
                  <w:noWrap w:val="0"/>
                  <w:vAlign w:val="center"/>
                </w:tcPr>
                <w:p w14:paraId="5BE7D4C7">
                  <w:pPr>
                    <w:pStyle w:val="93"/>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pPr>
                </w:p>
              </w:tc>
              <w:tc>
                <w:tcPr>
                  <w:tcW w:w="1011" w:type="dxa"/>
                  <w:tcBorders>
                    <w:tl2br w:val="nil"/>
                    <w:tr2bl w:val="nil"/>
                  </w:tcBorders>
                  <w:noWrap w:val="0"/>
                  <w:vAlign w:val="center"/>
                </w:tcPr>
                <w:p w14:paraId="564D1522">
                  <w:pPr>
                    <w:pStyle w:val="93"/>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2"/>
                      <w:kern w:val="2"/>
                      <w:sz w:val="21"/>
                      <w:szCs w:val="21"/>
                      <w:highlight w:val="none"/>
                      <w:lang w:val="en-US" w:eastAsia="en-US" w:bidi="ar-SA"/>
                      <w14:textFill>
                        <w14:solidFill>
                          <w14:schemeClr w14:val="tx1"/>
                        </w14:solidFill>
                      </w14:textFill>
                    </w:rPr>
                  </w:pPr>
                  <w:r>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t>X</w:t>
                  </w:r>
                </w:p>
              </w:tc>
              <w:tc>
                <w:tcPr>
                  <w:tcW w:w="1012" w:type="dxa"/>
                  <w:tcBorders>
                    <w:tl2br w:val="nil"/>
                    <w:tr2bl w:val="nil"/>
                  </w:tcBorders>
                  <w:noWrap w:val="0"/>
                  <w:vAlign w:val="center"/>
                </w:tcPr>
                <w:p w14:paraId="7A217A05">
                  <w:pPr>
                    <w:pStyle w:val="93"/>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2"/>
                      <w:kern w:val="2"/>
                      <w:sz w:val="21"/>
                      <w:szCs w:val="21"/>
                      <w:highlight w:val="none"/>
                      <w:lang w:val="en-US" w:eastAsia="en-US" w:bidi="ar-SA"/>
                      <w14:textFill>
                        <w14:solidFill>
                          <w14:schemeClr w14:val="tx1"/>
                        </w14:solidFill>
                      </w14:textFill>
                    </w:rPr>
                  </w:pPr>
                  <w:r>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t>Y</w:t>
                  </w:r>
                </w:p>
              </w:tc>
              <w:tc>
                <w:tcPr>
                  <w:tcW w:w="1011" w:type="dxa"/>
                  <w:vMerge w:val="continue"/>
                  <w:tcBorders>
                    <w:tl2br w:val="nil"/>
                    <w:tr2bl w:val="nil"/>
                  </w:tcBorders>
                  <w:noWrap w:val="0"/>
                  <w:vAlign w:val="center"/>
                </w:tcPr>
                <w:p w14:paraId="7B60C1B8">
                  <w:pPr>
                    <w:pStyle w:val="93"/>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2"/>
                      <w:kern w:val="2"/>
                      <w:sz w:val="21"/>
                      <w:szCs w:val="21"/>
                      <w:highlight w:val="none"/>
                      <w:lang w:val="en-US" w:eastAsia="en-US" w:bidi="ar-SA"/>
                      <w14:textFill>
                        <w14:solidFill>
                          <w14:schemeClr w14:val="tx1"/>
                        </w14:solidFill>
                      </w14:textFill>
                    </w:rPr>
                  </w:pPr>
                </w:p>
              </w:tc>
              <w:tc>
                <w:tcPr>
                  <w:tcW w:w="1424" w:type="dxa"/>
                  <w:vMerge w:val="continue"/>
                  <w:tcBorders>
                    <w:tl2br w:val="nil"/>
                    <w:tr2bl w:val="nil"/>
                  </w:tcBorders>
                  <w:noWrap w:val="0"/>
                  <w:vAlign w:val="center"/>
                </w:tcPr>
                <w:p w14:paraId="3D364697">
                  <w:pPr>
                    <w:pStyle w:val="93"/>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2"/>
                      <w:kern w:val="2"/>
                      <w:sz w:val="21"/>
                      <w:szCs w:val="21"/>
                      <w:highlight w:val="none"/>
                      <w:lang w:val="en-US" w:eastAsia="en-US" w:bidi="ar-SA"/>
                      <w14:textFill>
                        <w14:solidFill>
                          <w14:schemeClr w14:val="tx1"/>
                        </w14:solidFill>
                      </w14:textFill>
                    </w:rPr>
                  </w:pPr>
                </w:p>
              </w:tc>
              <w:tc>
                <w:tcPr>
                  <w:tcW w:w="1424" w:type="dxa"/>
                  <w:vMerge w:val="continue"/>
                  <w:tcBorders>
                    <w:tl2br w:val="nil"/>
                    <w:tr2bl w:val="nil"/>
                  </w:tcBorders>
                  <w:noWrap w:val="0"/>
                  <w:vAlign w:val="center"/>
                </w:tcPr>
                <w:p w14:paraId="25E7E532">
                  <w:pPr>
                    <w:pStyle w:val="93"/>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2"/>
                      <w:kern w:val="2"/>
                      <w:sz w:val="21"/>
                      <w:szCs w:val="21"/>
                      <w:highlight w:val="none"/>
                      <w:lang w:val="en-US" w:eastAsia="en-US" w:bidi="ar-SA"/>
                      <w14:textFill>
                        <w14:solidFill>
                          <w14:schemeClr w14:val="tx1"/>
                        </w14:solidFill>
                      </w14:textFill>
                    </w:rPr>
                  </w:pPr>
                </w:p>
              </w:tc>
            </w:tr>
            <w:tr w14:paraId="35C4C36F">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0" w:type="dxa"/>
                  <w:bottom w:w="0" w:type="dxa"/>
                  <w:right w:w="0" w:type="dxa"/>
                </w:tblCellMar>
              </w:tblPrEx>
              <w:trPr>
                <w:trHeight w:val="379" w:hRule="atLeast"/>
                <w:jc w:val="center"/>
              </w:trPr>
              <w:tc>
                <w:tcPr>
                  <w:tcW w:w="657" w:type="dxa"/>
                  <w:tcBorders>
                    <w:tl2br w:val="nil"/>
                    <w:tr2bl w:val="nil"/>
                  </w:tcBorders>
                  <w:noWrap w:val="0"/>
                  <w:vAlign w:val="center"/>
                </w:tcPr>
                <w:p w14:paraId="42754256">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2"/>
                      <w:kern w:val="2"/>
                      <w:sz w:val="21"/>
                      <w:szCs w:val="21"/>
                      <w:highlight w:val="none"/>
                      <w:lang w:val="en-US" w:eastAsia="en-US" w:bidi="ar-SA"/>
                      <w14:textFill>
                        <w14:solidFill>
                          <w14:schemeClr w14:val="tx1"/>
                        </w14:solidFill>
                      </w14:textFill>
                    </w:rPr>
                  </w:pPr>
                  <w:r>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t>1</w:t>
                  </w:r>
                  <w:r>
                    <w:rPr>
                      <w:rFonts w:hint="default" w:ascii="Times New Roman" w:hAnsi="Times New Roman" w:eastAsia="宋体" w:cs="Times New Roman"/>
                      <w:color w:val="000000" w:themeColor="text1"/>
                      <w:spacing w:val="-2"/>
                      <w:kern w:val="2"/>
                      <w:sz w:val="21"/>
                      <w:szCs w:val="21"/>
                      <w:highlight w:val="none"/>
                      <w:lang w:val="en-US" w:eastAsia="en-US" w:bidi="ar-SA"/>
                      <w14:textFill>
                        <w14:solidFill>
                          <w14:schemeClr w14:val="tx1"/>
                        </w14:solidFill>
                      </w14:textFill>
                    </w:rPr>
                    <w:t>#</w:t>
                  </w:r>
                </w:p>
              </w:tc>
              <w:tc>
                <w:tcPr>
                  <w:tcW w:w="1522" w:type="dxa"/>
                  <w:tcBorders>
                    <w:tl2br w:val="nil"/>
                    <w:tr2bl w:val="nil"/>
                  </w:tcBorders>
                  <w:noWrap w:val="0"/>
                  <w:vAlign w:val="center"/>
                </w:tcPr>
                <w:p w14:paraId="3141CC86">
                  <w:pPr>
                    <w:pStyle w:val="93"/>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2"/>
                      <w:kern w:val="2"/>
                      <w:sz w:val="21"/>
                      <w:szCs w:val="21"/>
                      <w:highlight w:val="none"/>
                      <w:lang w:val="en-US" w:eastAsia="en-US" w:bidi="ar-SA"/>
                      <w14:textFill>
                        <w14:solidFill>
                          <w14:schemeClr w14:val="tx1"/>
                        </w14:solidFill>
                      </w14:textFill>
                    </w:rPr>
                    <w:t>厂区内</w:t>
                  </w:r>
                  <w:r>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t>现有水井</w:t>
                  </w:r>
                </w:p>
              </w:tc>
              <w:tc>
                <w:tcPr>
                  <w:tcW w:w="1011" w:type="dxa"/>
                  <w:tcBorders>
                    <w:tl2br w:val="nil"/>
                    <w:tr2bl w:val="nil"/>
                  </w:tcBorders>
                  <w:noWrap w:val="0"/>
                  <w:vAlign w:val="center"/>
                </w:tcPr>
                <w:p w14:paraId="745A15ED">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2"/>
                      <w:kern w:val="2"/>
                      <w:sz w:val="21"/>
                      <w:szCs w:val="21"/>
                      <w:highlight w:val="none"/>
                      <w:lang w:val="en-US" w:eastAsia="en-US" w:bidi="ar-SA"/>
                      <w14:textFill>
                        <w14:solidFill>
                          <w14:schemeClr w14:val="tx1"/>
                        </w14:solidFill>
                      </w14:textFill>
                    </w:rPr>
                  </w:pPr>
                  <w:r>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t>128°55′13.04593″</w:t>
                  </w:r>
                </w:p>
              </w:tc>
              <w:tc>
                <w:tcPr>
                  <w:tcW w:w="1012" w:type="dxa"/>
                  <w:tcBorders>
                    <w:tl2br w:val="nil"/>
                    <w:tr2bl w:val="nil"/>
                  </w:tcBorders>
                  <w:noWrap w:val="0"/>
                  <w:vAlign w:val="center"/>
                </w:tcPr>
                <w:p w14:paraId="2AD2F3E1">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2"/>
                      <w:kern w:val="2"/>
                      <w:sz w:val="21"/>
                      <w:szCs w:val="21"/>
                      <w:highlight w:val="none"/>
                      <w:lang w:val="en-US" w:eastAsia="en-US" w:bidi="ar-SA"/>
                      <w14:textFill>
                        <w14:solidFill>
                          <w14:schemeClr w14:val="tx1"/>
                        </w14:solidFill>
                      </w14:textFill>
                    </w:rPr>
                  </w:pPr>
                  <w:r>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t>47°44′11.51684″</w:t>
                  </w:r>
                </w:p>
              </w:tc>
              <w:tc>
                <w:tcPr>
                  <w:tcW w:w="1011" w:type="dxa"/>
                  <w:tcBorders>
                    <w:tl2br w:val="nil"/>
                    <w:tr2bl w:val="nil"/>
                  </w:tcBorders>
                  <w:noWrap w:val="0"/>
                  <w:vAlign w:val="center"/>
                </w:tcPr>
                <w:p w14:paraId="5DAC3CEC">
                  <w:pPr>
                    <w:pStyle w:val="93"/>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2"/>
                      <w:kern w:val="2"/>
                      <w:sz w:val="21"/>
                      <w:szCs w:val="21"/>
                      <w:highlight w:val="none"/>
                      <w:lang w:val="en-US" w:eastAsia="en-US" w:bidi="ar-SA"/>
                      <w14:textFill>
                        <w14:solidFill>
                          <w14:schemeClr w14:val="tx1"/>
                        </w14:solidFill>
                      </w14:textFill>
                    </w:rPr>
                    <w:t>潜水</w:t>
                  </w:r>
                  <w:r>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t>含水层</w:t>
                  </w:r>
                </w:p>
              </w:tc>
              <w:tc>
                <w:tcPr>
                  <w:tcW w:w="1424" w:type="dxa"/>
                  <w:tcBorders>
                    <w:tl2br w:val="nil"/>
                    <w:tr2bl w:val="nil"/>
                  </w:tcBorders>
                  <w:noWrap w:val="0"/>
                  <w:vAlign w:val="center"/>
                </w:tcPr>
                <w:p w14:paraId="5507DB82">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t>水井</w:t>
                  </w:r>
                </w:p>
              </w:tc>
              <w:tc>
                <w:tcPr>
                  <w:tcW w:w="1424" w:type="dxa"/>
                  <w:tcBorders>
                    <w:tl2br w:val="nil"/>
                    <w:tr2bl w:val="nil"/>
                  </w:tcBorders>
                  <w:noWrap w:val="0"/>
                  <w:vAlign w:val="center"/>
                </w:tcPr>
                <w:p w14:paraId="362A4DD7">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default" w:ascii="Times New Roman" w:hAnsi="Times New Roman" w:eastAsia="宋体" w:cs="Times New Roman"/>
                      <w:color w:val="000000" w:themeColor="text1"/>
                      <w:spacing w:val="-2"/>
                      <w:kern w:val="2"/>
                      <w:sz w:val="21"/>
                      <w:szCs w:val="21"/>
                      <w:highlight w:val="none"/>
                      <w:lang w:val="en-US" w:eastAsia="en-US" w:bidi="ar-SA"/>
                      <w14:textFill>
                        <w14:solidFill>
                          <w14:schemeClr w14:val="tx1"/>
                        </w14:solidFill>
                      </w14:textFill>
                    </w:rPr>
                  </w:pPr>
                  <w:r>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t>采样1天，每天1次。</w:t>
                  </w:r>
                </w:p>
              </w:tc>
            </w:tr>
          </w:tbl>
          <w:p w14:paraId="0EBA5DAF">
            <w:pPr>
              <w:pStyle w:val="55"/>
              <w:keepNext w:val="0"/>
              <w:keepLines w:val="0"/>
              <w:pageBreakBefore w:val="0"/>
              <w:widowControl w:val="0"/>
              <w:kinsoku/>
              <w:wordWrap/>
              <w:overflowPunct/>
              <w:topLinePunct w:val="0"/>
              <w:autoSpaceDE/>
              <w:autoSpaceDN/>
              <w:bidi w:val="0"/>
              <w:adjustRightInd/>
              <w:snapToGrid/>
              <w:spacing w:before="157" w:beforeLines="50" w:line="360" w:lineRule="auto"/>
              <w:ind w:firstLine="48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③检测项目：</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K</w:t>
            </w:r>
            <w:r>
              <w:rPr>
                <w:rFonts w:hint="default" w:ascii="Times New Roman" w:hAnsi="Times New Roman" w:eastAsia="宋体" w:cs="Times New Roman"/>
                <w:color w:val="000000" w:themeColor="text1"/>
                <w:spacing w:val="-1"/>
                <w:sz w:val="24"/>
                <w:szCs w:val="24"/>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、N</w:t>
            </w:r>
            <w:r>
              <w:rPr>
                <w:rFonts w:hint="default" w:ascii="Times New Roman" w:hAnsi="Times New Roman" w:eastAsia="宋体" w:cs="Times New Roman"/>
                <w:color w:val="000000" w:themeColor="text1"/>
                <w:spacing w:val="-1"/>
                <w:sz w:val="24"/>
                <w:szCs w:val="24"/>
                <w:highlight w:val="none"/>
                <w:vertAlign w:val="superscript"/>
                <w14:textFill>
                  <w14:solidFill>
                    <w14:schemeClr w14:val="tx1"/>
                  </w14:solidFill>
                </w14:textFill>
              </w:rPr>
              <w:t>a+</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、Ca</w:t>
            </w:r>
            <w:r>
              <w:rPr>
                <w:rFonts w:hint="default" w:ascii="Times New Roman" w:hAnsi="Times New Roman" w:eastAsia="宋体" w:cs="Times New Roman"/>
                <w:color w:val="000000" w:themeColor="text1"/>
                <w:spacing w:val="-1"/>
                <w:sz w:val="24"/>
                <w:szCs w:val="24"/>
                <w:highlight w:val="none"/>
                <w:vertAlign w:val="superscript"/>
                <w14:textFill>
                  <w14:solidFill>
                    <w14:schemeClr w14:val="tx1"/>
                  </w14:solidFill>
                </w14:textFill>
              </w:rPr>
              <w:t>2+</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、Mg</w:t>
            </w:r>
            <w:r>
              <w:rPr>
                <w:rFonts w:hint="default" w:ascii="Times New Roman" w:hAnsi="Times New Roman" w:eastAsia="宋体" w:cs="Times New Roman"/>
                <w:color w:val="000000" w:themeColor="text1"/>
                <w:spacing w:val="-1"/>
                <w:sz w:val="24"/>
                <w:szCs w:val="24"/>
                <w:highlight w:val="none"/>
                <w:vertAlign w:val="superscript"/>
                <w14:textFill>
                  <w14:solidFill>
                    <w14:schemeClr w14:val="tx1"/>
                  </w14:solidFill>
                </w14:textFill>
              </w:rPr>
              <w:t>2+</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、CO3</w:t>
            </w:r>
            <w:r>
              <w:rPr>
                <w:rFonts w:hint="default" w:ascii="Times New Roman" w:hAnsi="Times New Roman" w:eastAsia="宋体" w:cs="Times New Roman"/>
                <w:color w:val="000000" w:themeColor="text1"/>
                <w:spacing w:val="-1"/>
                <w:sz w:val="24"/>
                <w:szCs w:val="24"/>
                <w:highlight w:val="none"/>
                <w:vertAlign w:val="superscript"/>
                <w14:textFill>
                  <w14:solidFill>
                    <w14:schemeClr w14:val="tx1"/>
                  </w14:solidFill>
                </w14:textFill>
              </w:rPr>
              <w:t>2-</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、HCO</w:t>
            </w:r>
            <w:r>
              <w:rPr>
                <w:rFonts w:hint="default" w:ascii="Times New Roman" w:hAnsi="Times New Roman" w:eastAsia="宋体" w:cs="Times New Roman"/>
                <w:color w:val="000000" w:themeColor="text1"/>
                <w:spacing w:val="-1"/>
                <w:sz w:val="24"/>
                <w:szCs w:val="24"/>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、Cl</w:t>
            </w:r>
            <w:r>
              <w:rPr>
                <w:rFonts w:hint="default" w:ascii="Times New Roman" w:hAnsi="Times New Roman" w:eastAsia="宋体" w:cs="Times New Roman"/>
                <w:color w:val="000000" w:themeColor="text1"/>
                <w:spacing w:val="-1"/>
                <w:sz w:val="24"/>
                <w:szCs w:val="24"/>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、SO</w:t>
            </w:r>
            <w:r>
              <w:rPr>
                <w:rFonts w:hint="default" w:ascii="Times New Roman" w:hAnsi="Times New Roman" w:eastAsia="宋体" w:cs="Times New Roman"/>
                <w:color w:val="000000" w:themeColor="text1"/>
                <w:spacing w:val="-1"/>
                <w:sz w:val="24"/>
                <w:szCs w:val="24"/>
                <w:highlight w:val="none"/>
                <w:vertAlign w:val="subscript"/>
                <w14:textFill>
                  <w14:solidFill>
                    <w14:schemeClr w14:val="tx1"/>
                  </w14:solidFill>
                </w14:textFill>
              </w:rPr>
              <w:t>4</w:t>
            </w:r>
            <w:r>
              <w:rPr>
                <w:rFonts w:hint="default" w:ascii="Times New Roman" w:hAnsi="Times New Roman" w:eastAsia="宋体" w:cs="Times New Roman"/>
                <w:color w:val="000000" w:themeColor="text1"/>
                <w:spacing w:val="-1"/>
                <w:sz w:val="24"/>
                <w:szCs w:val="24"/>
                <w:highlight w:val="none"/>
                <w:vertAlign w:val="superscript"/>
                <w14:textFill>
                  <w14:solidFill>
                    <w14:schemeClr w14:val="tx1"/>
                  </w14:solidFill>
                </w14:textFill>
              </w:rPr>
              <w:t>2-</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的浓度。</w:t>
            </w:r>
            <w:r>
              <w:rPr>
                <w:rFonts w:hint="default"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t>②</w:t>
            </w:r>
            <w:r>
              <w:rPr>
                <w:rFonts w:hint="eastAsia"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t>pH、总硬度、溶解性总固体、耗氧量、氨氮、硝酸盐、亚硝酸盐、硫酸盐、氯化物、铁、锰、铜、锌、铝、钠、挥发性酚类、阴离子表面活性剂、氰化物、氟化物、汞、砷、硒、镉、铅、铬（六价）、硫化物、石油烃（C6</w:t>
            </w:r>
            <w:r>
              <w:rPr>
                <w:rFonts w:hint="eastAsia"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noBreakHyphen/>
            </w:r>
            <w:r>
              <w:rPr>
                <w:rFonts w:hint="eastAsia"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t>C9、C10</w:t>
            </w:r>
            <w:r>
              <w:rPr>
                <w:rFonts w:hint="eastAsia"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noBreakHyphen/>
            </w:r>
            <w:r>
              <w:rPr>
                <w:rFonts w:hint="eastAsia"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t>C40）、苯、甲苯、二甲苯、三氯甲烷、四氯化碳、镍</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2B9F5878">
            <w:pPr>
              <w:pStyle w:val="55"/>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④评价结果：</w:t>
            </w:r>
          </w:p>
          <w:p w14:paraId="4987CA02">
            <w:pPr>
              <w:pStyle w:val="55"/>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本次地下水环境质量评价结果统计详见</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下</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表。</w:t>
            </w:r>
          </w:p>
          <w:p w14:paraId="5BB8CF4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b/>
                <w:bCs/>
                <w:color w:val="000000" w:themeColor="text1"/>
                <w:sz w:val="24"/>
                <w:szCs w:val="24"/>
                <w:highlight w:val="none"/>
                <w:lang w:val="en-US" w:eastAsia="zh-CN"/>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表3.7 地下水监测结果统计表</w:t>
            </w:r>
          </w:p>
          <w:tbl>
            <w:tblPr>
              <w:tblStyle w:val="28"/>
              <w:tblW w:w="795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857"/>
              <w:gridCol w:w="2338"/>
              <w:gridCol w:w="2764"/>
            </w:tblGrid>
            <w:tr w14:paraId="2201CE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tblHeader/>
                <w:jc w:val="center"/>
              </w:trPr>
              <w:tc>
                <w:tcPr>
                  <w:tcW w:w="2857" w:type="dxa"/>
                  <w:tcBorders>
                    <w:tl2br w:val="nil"/>
                    <w:tr2bl w:val="nil"/>
                  </w:tcBorders>
                  <w:noWrap w:val="0"/>
                  <w:vAlign w:val="center"/>
                </w:tcPr>
                <w:p w14:paraId="63C038D7">
                  <w:pPr>
                    <w:keepNext w:val="0"/>
                    <w:keepLines w:val="0"/>
                    <w:pageBreakBefore w:val="0"/>
                    <w:kinsoku/>
                    <w:wordWrap/>
                    <w:overflowPunct/>
                    <w:topLinePunct w:val="0"/>
                    <w:autoSpaceDE/>
                    <w:autoSpaceDN/>
                    <w:bidi w:val="0"/>
                    <w:adjustRightInd/>
                    <w:snapToGrid/>
                    <w:jc w:val="center"/>
                    <w:outlineLvl w:val="9"/>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检测项目</w:t>
                  </w:r>
                </w:p>
              </w:tc>
              <w:tc>
                <w:tcPr>
                  <w:tcW w:w="2338" w:type="dxa"/>
                  <w:tcBorders>
                    <w:tl2br w:val="nil"/>
                    <w:tr2bl w:val="nil"/>
                  </w:tcBorders>
                  <w:noWrap w:val="0"/>
                  <w:vAlign w:val="center"/>
                </w:tcPr>
                <w:p w14:paraId="170D5E57">
                  <w:pPr>
                    <w:keepNext w:val="0"/>
                    <w:keepLines w:val="0"/>
                    <w:pageBreakBefore w:val="0"/>
                    <w:kinsoku/>
                    <w:wordWrap/>
                    <w:overflowPunct/>
                    <w:topLinePunct w:val="0"/>
                    <w:autoSpaceDE/>
                    <w:autoSpaceDN/>
                    <w:bidi w:val="0"/>
                    <w:adjustRightInd/>
                    <w:snapToGrid/>
                    <w:jc w:val="center"/>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检测结果</w:t>
                  </w:r>
                </w:p>
              </w:tc>
              <w:tc>
                <w:tcPr>
                  <w:tcW w:w="2764" w:type="dxa"/>
                  <w:tcBorders>
                    <w:tl2br w:val="nil"/>
                    <w:tr2bl w:val="nil"/>
                  </w:tcBorders>
                  <w:noWrap w:val="0"/>
                  <w:vAlign w:val="center"/>
                </w:tcPr>
                <w:p w14:paraId="1E40651D">
                  <w:pPr>
                    <w:keepNext w:val="0"/>
                    <w:keepLines w:val="0"/>
                    <w:pageBreakBefore w:val="0"/>
                    <w:kinsoku/>
                    <w:wordWrap/>
                    <w:overflowPunct/>
                    <w:topLinePunct w:val="0"/>
                    <w:autoSpaceDE/>
                    <w:autoSpaceDN/>
                    <w:bidi w:val="0"/>
                    <w:adjustRightInd/>
                    <w:snapToGrid/>
                    <w:jc w:val="center"/>
                    <w:outlineLvl w:val="9"/>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单位</w:t>
                  </w:r>
                </w:p>
              </w:tc>
            </w:tr>
            <w:tr w14:paraId="04E501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2857" w:type="dxa"/>
                  <w:tcBorders>
                    <w:tl2br w:val="nil"/>
                    <w:tr2bl w:val="nil"/>
                  </w:tcBorders>
                  <w:noWrap w:val="0"/>
                  <w:vAlign w:val="center"/>
                </w:tcPr>
                <w:p w14:paraId="364A1D1D">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K</w:t>
                  </w:r>
                  <w:r>
                    <w:rPr>
                      <w:rFonts w:hint="default" w:ascii="Times New Roman" w:hAnsi="Times New Roman" w:eastAsia="宋体" w:cs="Times New Roman"/>
                      <w:i w:val="0"/>
                      <w:color w:val="000000" w:themeColor="text1"/>
                      <w:kern w:val="0"/>
                      <w:sz w:val="21"/>
                      <w:szCs w:val="21"/>
                      <w:highlight w:val="none"/>
                      <w:u w:val="none"/>
                      <w:vertAlign w:val="superscript"/>
                      <w:lang w:val="en-US" w:eastAsia="zh-CN" w:bidi="ar"/>
                      <w14:textFill>
                        <w14:solidFill>
                          <w14:schemeClr w14:val="tx1"/>
                        </w14:solidFill>
                      </w14:textFill>
                    </w:rPr>
                    <w:t>+</w:t>
                  </w:r>
                </w:p>
              </w:tc>
              <w:tc>
                <w:tcPr>
                  <w:tcW w:w="2338" w:type="dxa"/>
                  <w:tcBorders>
                    <w:tl2br w:val="nil"/>
                    <w:tr2bl w:val="nil"/>
                  </w:tcBorders>
                  <w:noWrap w:val="0"/>
                  <w:vAlign w:val="center"/>
                </w:tcPr>
                <w:p w14:paraId="1C11797A">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0.82</w:t>
                  </w:r>
                </w:p>
              </w:tc>
              <w:tc>
                <w:tcPr>
                  <w:tcW w:w="2764" w:type="dxa"/>
                  <w:tcBorders>
                    <w:tl2br w:val="nil"/>
                    <w:tr2bl w:val="nil"/>
                  </w:tcBorders>
                  <w:noWrap w:val="0"/>
                  <w:vAlign w:val="center"/>
                </w:tcPr>
                <w:p w14:paraId="2C098C1F">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12669A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2857" w:type="dxa"/>
                  <w:tcBorders>
                    <w:tl2br w:val="nil"/>
                    <w:tr2bl w:val="nil"/>
                  </w:tcBorders>
                  <w:noWrap w:val="0"/>
                  <w:vAlign w:val="center"/>
                </w:tcPr>
                <w:p w14:paraId="7A77DFCD">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Na</w:t>
                  </w:r>
                  <w:r>
                    <w:rPr>
                      <w:rFonts w:hint="default" w:ascii="Times New Roman" w:hAnsi="Times New Roman" w:eastAsia="宋体" w:cs="Times New Roman"/>
                      <w:i w:val="0"/>
                      <w:color w:val="000000" w:themeColor="text1"/>
                      <w:kern w:val="0"/>
                      <w:sz w:val="21"/>
                      <w:szCs w:val="21"/>
                      <w:highlight w:val="none"/>
                      <w:u w:val="none"/>
                      <w:vertAlign w:val="superscript"/>
                      <w:lang w:val="en-US" w:eastAsia="zh-CN" w:bidi="ar"/>
                      <w14:textFill>
                        <w14:solidFill>
                          <w14:schemeClr w14:val="tx1"/>
                        </w14:solidFill>
                      </w14:textFill>
                    </w:rPr>
                    <w:t>+</w:t>
                  </w:r>
                </w:p>
              </w:tc>
              <w:tc>
                <w:tcPr>
                  <w:tcW w:w="2338" w:type="dxa"/>
                  <w:tcBorders>
                    <w:tl2br w:val="nil"/>
                    <w:tr2bl w:val="nil"/>
                  </w:tcBorders>
                  <w:noWrap w:val="0"/>
                  <w:vAlign w:val="center"/>
                </w:tcPr>
                <w:p w14:paraId="330F66B4">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23.5</w:t>
                  </w:r>
                </w:p>
              </w:tc>
              <w:tc>
                <w:tcPr>
                  <w:tcW w:w="2764" w:type="dxa"/>
                  <w:tcBorders>
                    <w:tl2br w:val="nil"/>
                    <w:tr2bl w:val="nil"/>
                  </w:tcBorders>
                  <w:noWrap w:val="0"/>
                  <w:vAlign w:val="center"/>
                </w:tcPr>
                <w:p w14:paraId="5C69FB92">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6983E6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2857" w:type="dxa"/>
                  <w:tcBorders>
                    <w:tl2br w:val="nil"/>
                    <w:tr2bl w:val="nil"/>
                  </w:tcBorders>
                  <w:noWrap w:val="0"/>
                  <w:vAlign w:val="center"/>
                </w:tcPr>
                <w:p w14:paraId="77AE7AE8">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Ca</w:t>
                  </w:r>
                  <w:r>
                    <w:rPr>
                      <w:rFonts w:hint="default" w:ascii="Times New Roman" w:hAnsi="Times New Roman" w:eastAsia="宋体" w:cs="Times New Roman"/>
                      <w:i w:val="0"/>
                      <w:color w:val="000000" w:themeColor="text1"/>
                      <w:kern w:val="0"/>
                      <w:sz w:val="21"/>
                      <w:szCs w:val="21"/>
                      <w:highlight w:val="none"/>
                      <w:u w:val="none"/>
                      <w:vertAlign w:val="superscript"/>
                      <w:lang w:val="en-US" w:eastAsia="zh-CN" w:bidi="ar"/>
                      <w14:textFill>
                        <w14:solidFill>
                          <w14:schemeClr w14:val="tx1"/>
                        </w14:solidFill>
                      </w14:textFill>
                    </w:rPr>
                    <w:t>2+</w:t>
                  </w:r>
                </w:p>
              </w:tc>
              <w:tc>
                <w:tcPr>
                  <w:tcW w:w="2338" w:type="dxa"/>
                  <w:tcBorders>
                    <w:tl2br w:val="nil"/>
                    <w:tr2bl w:val="nil"/>
                  </w:tcBorders>
                  <w:noWrap w:val="0"/>
                  <w:vAlign w:val="center"/>
                </w:tcPr>
                <w:p w14:paraId="50B68D2E">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42.3</w:t>
                  </w:r>
                </w:p>
              </w:tc>
              <w:tc>
                <w:tcPr>
                  <w:tcW w:w="2764" w:type="dxa"/>
                  <w:tcBorders>
                    <w:tl2br w:val="nil"/>
                    <w:tr2bl w:val="nil"/>
                  </w:tcBorders>
                  <w:noWrap w:val="0"/>
                  <w:vAlign w:val="center"/>
                </w:tcPr>
                <w:p w14:paraId="6BD52AE3">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367F2A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2857" w:type="dxa"/>
                  <w:tcBorders>
                    <w:tl2br w:val="nil"/>
                    <w:tr2bl w:val="nil"/>
                  </w:tcBorders>
                  <w:noWrap w:val="0"/>
                  <w:vAlign w:val="center"/>
                </w:tcPr>
                <w:p w14:paraId="3CA5F0FA">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w:t>
                  </w:r>
                  <w:r>
                    <w:rPr>
                      <w:rFonts w:hint="default" w:ascii="Times New Roman" w:hAnsi="Times New Roman" w:eastAsia="宋体" w:cs="Times New Roman"/>
                      <w:i w:val="0"/>
                      <w:color w:val="000000" w:themeColor="text1"/>
                      <w:kern w:val="0"/>
                      <w:sz w:val="21"/>
                      <w:szCs w:val="21"/>
                      <w:highlight w:val="none"/>
                      <w:u w:val="none"/>
                      <w:vertAlign w:val="superscript"/>
                      <w:lang w:val="en-US" w:eastAsia="zh-CN" w:bidi="ar"/>
                      <w14:textFill>
                        <w14:solidFill>
                          <w14:schemeClr w14:val="tx1"/>
                        </w14:solidFill>
                      </w14:textFill>
                    </w:rPr>
                    <w:t>2+</w:t>
                  </w:r>
                </w:p>
              </w:tc>
              <w:tc>
                <w:tcPr>
                  <w:tcW w:w="2338" w:type="dxa"/>
                  <w:tcBorders>
                    <w:tl2br w:val="nil"/>
                    <w:tr2bl w:val="nil"/>
                  </w:tcBorders>
                  <w:noWrap w:val="0"/>
                  <w:vAlign w:val="center"/>
                </w:tcPr>
                <w:p w14:paraId="7C26AB04">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31.7</w:t>
                  </w:r>
                </w:p>
              </w:tc>
              <w:tc>
                <w:tcPr>
                  <w:tcW w:w="2764" w:type="dxa"/>
                  <w:tcBorders>
                    <w:tl2br w:val="nil"/>
                    <w:tr2bl w:val="nil"/>
                  </w:tcBorders>
                  <w:noWrap w:val="0"/>
                  <w:vAlign w:val="center"/>
                </w:tcPr>
                <w:p w14:paraId="333162E8">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3CA6F6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2857" w:type="dxa"/>
                  <w:tcBorders>
                    <w:tl2br w:val="nil"/>
                    <w:tr2bl w:val="nil"/>
                  </w:tcBorders>
                  <w:noWrap w:val="0"/>
                  <w:vAlign w:val="center"/>
                </w:tcPr>
                <w:p w14:paraId="638D97C0">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CO</w:t>
                  </w:r>
                  <w:r>
                    <w:rPr>
                      <w:rFonts w:hint="default" w:ascii="Times New Roman" w:hAnsi="Times New Roman" w:eastAsia="宋体" w:cs="Times New Roman"/>
                      <w:i w:val="0"/>
                      <w:color w:val="000000" w:themeColor="text1"/>
                      <w:kern w:val="0"/>
                      <w:sz w:val="21"/>
                      <w:szCs w:val="21"/>
                      <w:highlight w:val="none"/>
                      <w:u w:val="none"/>
                      <w:vertAlign w:val="subscript"/>
                      <w:lang w:val="en-US" w:eastAsia="zh-CN" w:bidi="ar"/>
                      <w14:textFill>
                        <w14:solidFill>
                          <w14:schemeClr w14:val="tx1"/>
                        </w14:solidFill>
                      </w14:textFill>
                    </w:rPr>
                    <w:t>3</w:t>
                  </w:r>
                  <w:r>
                    <w:rPr>
                      <w:rFonts w:hint="default" w:ascii="Times New Roman" w:hAnsi="Times New Roman" w:eastAsia="宋体" w:cs="Times New Roman"/>
                      <w:i w:val="0"/>
                      <w:color w:val="000000" w:themeColor="text1"/>
                      <w:kern w:val="0"/>
                      <w:sz w:val="21"/>
                      <w:szCs w:val="21"/>
                      <w:highlight w:val="none"/>
                      <w:u w:val="none"/>
                      <w:vertAlign w:val="superscript"/>
                      <w:lang w:val="en-US" w:eastAsia="zh-CN" w:bidi="ar"/>
                      <w14:textFill>
                        <w14:solidFill>
                          <w14:schemeClr w14:val="tx1"/>
                        </w14:solidFill>
                      </w14:textFill>
                    </w:rPr>
                    <w:t>2-</w:t>
                  </w:r>
                </w:p>
              </w:tc>
              <w:tc>
                <w:tcPr>
                  <w:tcW w:w="2338" w:type="dxa"/>
                  <w:tcBorders>
                    <w:tl2br w:val="nil"/>
                    <w:tr2bl w:val="nil"/>
                  </w:tcBorders>
                  <w:noWrap w:val="0"/>
                  <w:vAlign w:val="center"/>
                </w:tcPr>
                <w:p w14:paraId="55911673">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0</w:t>
                  </w:r>
                </w:p>
              </w:tc>
              <w:tc>
                <w:tcPr>
                  <w:tcW w:w="2764" w:type="dxa"/>
                  <w:tcBorders>
                    <w:tl2br w:val="nil"/>
                    <w:tr2bl w:val="nil"/>
                  </w:tcBorders>
                  <w:noWrap w:val="0"/>
                  <w:vAlign w:val="center"/>
                </w:tcPr>
                <w:p w14:paraId="556CB1A8">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64765F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2857" w:type="dxa"/>
                  <w:tcBorders>
                    <w:tl2br w:val="nil"/>
                    <w:tr2bl w:val="nil"/>
                  </w:tcBorders>
                  <w:shd w:val="clear" w:color="auto" w:fill="FFFFFF"/>
                  <w:noWrap w:val="0"/>
                  <w:vAlign w:val="center"/>
                </w:tcPr>
                <w:p w14:paraId="0F56A221">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HCO</w:t>
                  </w:r>
                  <w:r>
                    <w:rPr>
                      <w:rFonts w:hint="default" w:ascii="Times New Roman" w:hAnsi="Times New Roman" w:eastAsia="宋体" w:cs="Times New Roman"/>
                      <w:i w:val="0"/>
                      <w:color w:val="000000" w:themeColor="text1"/>
                      <w:kern w:val="0"/>
                      <w:sz w:val="21"/>
                      <w:szCs w:val="21"/>
                      <w:highlight w:val="none"/>
                      <w:u w:val="none"/>
                      <w:vertAlign w:val="subscript"/>
                      <w:lang w:val="en-US" w:eastAsia="zh-CN" w:bidi="ar"/>
                      <w14:textFill>
                        <w14:solidFill>
                          <w14:schemeClr w14:val="tx1"/>
                        </w14:solidFill>
                      </w14:textFill>
                    </w:rPr>
                    <w:t>3</w:t>
                  </w:r>
                  <w:r>
                    <w:rPr>
                      <w:rFonts w:hint="default" w:ascii="Times New Roman" w:hAnsi="Times New Roman" w:eastAsia="宋体" w:cs="Times New Roman"/>
                      <w:i w:val="0"/>
                      <w:color w:val="000000" w:themeColor="text1"/>
                      <w:kern w:val="0"/>
                      <w:sz w:val="21"/>
                      <w:szCs w:val="21"/>
                      <w:highlight w:val="none"/>
                      <w:u w:val="none"/>
                      <w:vertAlign w:val="superscript"/>
                      <w:lang w:val="en-US" w:eastAsia="zh-CN" w:bidi="ar"/>
                      <w14:textFill>
                        <w14:solidFill>
                          <w14:schemeClr w14:val="tx1"/>
                        </w14:solidFill>
                      </w14:textFill>
                    </w:rPr>
                    <w:t>-</w:t>
                  </w:r>
                </w:p>
              </w:tc>
              <w:tc>
                <w:tcPr>
                  <w:tcW w:w="2338" w:type="dxa"/>
                  <w:tcBorders>
                    <w:tl2br w:val="nil"/>
                    <w:tr2bl w:val="nil"/>
                  </w:tcBorders>
                  <w:noWrap w:val="0"/>
                  <w:vAlign w:val="center"/>
                </w:tcPr>
                <w:p w14:paraId="359C7F37">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274</w:t>
                  </w:r>
                </w:p>
              </w:tc>
              <w:tc>
                <w:tcPr>
                  <w:tcW w:w="2764" w:type="dxa"/>
                  <w:tcBorders>
                    <w:tl2br w:val="nil"/>
                    <w:tr2bl w:val="nil"/>
                  </w:tcBorders>
                  <w:noWrap w:val="0"/>
                  <w:vAlign w:val="center"/>
                </w:tcPr>
                <w:p w14:paraId="44ED50F8">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6DAD8F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2857" w:type="dxa"/>
                  <w:tcBorders>
                    <w:tl2br w:val="nil"/>
                    <w:tr2bl w:val="nil"/>
                  </w:tcBorders>
                  <w:shd w:val="clear" w:color="auto" w:fill="FFFFFF"/>
                  <w:noWrap w:val="0"/>
                  <w:vAlign w:val="center"/>
                </w:tcPr>
                <w:p w14:paraId="4ED31C80">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Cl</w:t>
                  </w:r>
                  <w:r>
                    <w:rPr>
                      <w:rFonts w:hint="default" w:ascii="Times New Roman" w:hAnsi="Times New Roman" w:eastAsia="宋体" w:cs="Times New Roman"/>
                      <w:i w:val="0"/>
                      <w:color w:val="000000" w:themeColor="text1"/>
                      <w:kern w:val="0"/>
                      <w:sz w:val="21"/>
                      <w:szCs w:val="21"/>
                      <w:highlight w:val="none"/>
                      <w:u w:val="none"/>
                      <w:vertAlign w:val="superscript"/>
                      <w:lang w:val="en-US" w:eastAsia="zh-CN" w:bidi="ar"/>
                      <w14:textFill>
                        <w14:solidFill>
                          <w14:schemeClr w14:val="tx1"/>
                        </w14:solidFill>
                      </w14:textFill>
                    </w:rPr>
                    <w:t>-</w:t>
                  </w:r>
                </w:p>
              </w:tc>
              <w:tc>
                <w:tcPr>
                  <w:tcW w:w="2338" w:type="dxa"/>
                  <w:tcBorders>
                    <w:tl2br w:val="nil"/>
                    <w:tr2bl w:val="nil"/>
                  </w:tcBorders>
                  <w:noWrap w:val="0"/>
                  <w:vAlign w:val="center"/>
                </w:tcPr>
                <w:p w14:paraId="6823687E">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24.1</w:t>
                  </w:r>
                </w:p>
              </w:tc>
              <w:tc>
                <w:tcPr>
                  <w:tcW w:w="2764" w:type="dxa"/>
                  <w:tcBorders>
                    <w:tl2br w:val="nil"/>
                    <w:tr2bl w:val="nil"/>
                  </w:tcBorders>
                  <w:noWrap w:val="0"/>
                  <w:vAlign w:val="center"/>
                </w:tcPr>
                <w:p w14:paraId="52455711">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3882B1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2857" w:type="dxa"/>
                  <w:tcBorders>
                    <w:tl2br w:val="nil"/>
                    <w:tr2bl w:val="nil"/>
                  </w:tcBorders>
                  <w:shd w:val="clear" w:color="auto" w:fill="FFFFFF"/>
                  <w:noWrap w:val="0"/>
                  <w:vAlign w:val="center"/>
                </w:tcPr>
                <w:p w14:paraId="5936417A">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SO</w:t>
                  </w:r>
                  <w:r>
                    <w:rPr>
                      <w:rFonts w:hint="default" w:ascii="Times New Roman" w:hAnsi="Times New Roman" w:eastAsia="宋体" w:cs="Times New Roman"/>
                      <w:i w:val="0"/>
                      <w:color w:val="000000" w:themeColor="text1"/>
                      <w:kern w:val="0"/>
                      <w:sz w:val="21"/>
                      <w:szCs w:val="21"/>
                      <w:highlight w:val="none"/>
                      <w:u w:val="none"/>
                      <w:vertAlign w:val="subscript"/>
                      <w:lang w:val="en-US" w:eastAsia="zh-CN" w:bidi="ar"/>
                      <w14:textFill>
                        <w14:solidFill>
                          <w14:schemeClr w14:val="tx1"/>
                        </w14:solidFill>
                      </w14:textFill>
                    </w:rPr>
                    <w:t>4</w:t>
                  </w:r>
                  <w:r>
                    <w:rPr>
                      <w:rFonts w:hint="default" w:ascii="Times New Roman" w:hAnsi="Times New Roman" w:eastAsia="宋体" w:cs="Times New Roman"/>
                      <w:i w:val="0"/>
                      <w:color w:val="000000" w:themeColor="text1"/>
                      <w:kern w:val="0"/>
                      <w:sz w:val="21"/>
                      <w:szCs w:val="21"/>
                      <w:highlight w:val="none"/>
                      <w:u w:val="none"/>
                      <w:vertAlign w:val="superscript"/>
                      <w:lang w:val="en-US" w:eastAsia="zh-CN" w:bidi="ar"/>
                      <w14:textFill>
                        <w14:solidFill>
                          <w14:schemeClr w14:val="tx1"/>
                        </w14:solidFill>
                      </w14:textFill>
                    </w:rPr>
                    <w:t>2-</w:t>
                  </w:r>
                </w:p>
              </w:tc>
              <w:tc>
                <w:tcPr>
                  <w:tcW w:w="2338" w:type="dxa"/>
                  <w:tcBorders>
                    <w:tl2br w:val="nil"/>
                    <w:tr2bl w:val="nil"/>
                  </w:tcBorders>
                  <w:noWrap w:val="0"/>
                  <w:vAlign w:val="center"/>
                </w:tcPr>
                <w:p w14:paraId="55674D06">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18.9</w:t>
                  </w:r>
                </w:p>
              </w:tc>
              <w:tc>
                <w:tcPr>
                  <w:tcW w:w="2764" w:type="dxa"/>
                  <w:tcBorders>
                    <w:tl2br w:val="nil"/>
                    <w:tr2bl w:val="nil"/>
                  </w:tcBorders>
                  <w:noWrap w:val="0"/>
                  <w:vAlign w:val="center"/>
                </w:tcPr>
                <w:p w14:paraId="66A2AAB9">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6883A2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2857" w:type="dxa"/>
                  <w:tcBorders>
                    <w:tl2br w:val="nil"/>
                    <w:tr2bl w:val="nil"/>
                  </w:tcBorders>
                  <w:shd w:val="clear" w:color="auto" w:fill="FFFFFF"/>
                  <w:noWrap w:val="0"/>
                  <w:vAlign w:val="center"/>
                </w:tcPr>
                <w:p w14:paraId="0FEA0F17">
                  <w:pPr>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pH值</w:t>
                  </w:r>
                </w:p>
              </w:tc>
              <w:tc>
                <w:tcPr>
                  <w:tcW w:w="2338" w:type="dxa"/>
                  <w:tcBorders>
                    <w:tl2br w:val="nil"/>
                    <w:tr2bl w:val="nil"/>
                  </w:tcBorders>
                  <w:noWrap w:val="0"/>
                  <w:vAlign w:val="center"/>
                </w:tcPr>
                <w:p w14:paraId="3A4B6C4F">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7.2</w:t>
                  </w:r>
                </w:p>
              </w:tc>
              <w:tc>
                <w:tcPr>
                  <w:tcW w:w="2764" w:type="dxa"/>
                  <w:tcBorders>
                    <w:tl2br w:val="nil"/>
                    <w:tr2bl w:val="nil"/>
                  </w:tcBorders>
                  <w:noWrap w:val="0"/>
                  <w:vAlign w:val="center"/>
                </w:tcPr>
                <w:p w14:paraId="69DF246B">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无量纲</w:t>
                  </w:r>
                </w:p>
              </w:tc>
            </w:tr>
            <w:tr w14:paraId="186BF3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2857" w:type="dxa"/>
                  <w:tcBorders>
                    <w:tl2br w:val="nil"/>
                    <w:tr2bl w:val="nil"/>
                  </w:tcBorders>
                  <w:noWrap w:val="0"/>
                  <w:vAlign w:val="center"/>
                </w:tcPr>
                <w:p w14:paraId="4D04BC6E">
                  <w:pPr>
                    <w:jc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氨氮</w:t>
                  </w:r>
                </w:p>
              </w:tc>
              <w:tc>
                <w:tcPr>
                  <w:tcW w:w="2338" w:type="dxa"/>
                  <w:tcBorders>
                    <w:tl2br w:val="nil"/>
                    <w:tr2bl w:val="nil"/>
                  </w:tcBorders>
                  <w:noWrap w:val="0"/>
                  <w:vAlign w:val="center"/>
                </w:tcPr>
                <w:p w14:paraId="45894875">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0.</w:t>
                  </w:r>
                  <w:r>
                    <w:rPr>
                      <w:rFonts w:hint="eastAsia"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239</w:t>
                  </w:r>
                </w:p>
              </w:tc>
              <w:tc>
                <w:tcPr>
                  <w:tcW w:w="2764" w:type="dxa"/>
                  <w:tcBorders>
                    <w:tl2br w:val="nil"/>
                    <w:tr2bl w:val="nil"/>
                  </w:tcBorders>
                  <w:noWrap w:val="0"/>
                  <w:vAlign w:val="center"/>
                </w:tcPr>
                <w:p w14:paraId="71E0288C">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567BD6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2857" w:type="dxa"/>
                  <w:tcBorders>
                    <w:tl2br w:val="nil"/>
                    <w:tr2bl w:val="nil"/>
                  </w:tcBorders>
                  <w:noWrap w:val="0"/>
                  <w:vAlign w:val="center"/>
                </w:tcPr>
                <w:p w14:paraId="73416C63">
                  <w:pPr>
                    <w:spacing w:line="240" w:lineRule="auto"/>
                    <w:jc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硝酸盐（以N计）</w:t>
                  </w:r>
                </w:p>
              </w:tc>
              <w:tc>
                <w:tcPr>
                  <w:tcW w:w="2338" w:type="dxa"/>
                  <w:tcBorders>
                    <w:tl2br w:val="nil"/>
                    <w:tr2bl w:val="nil"/>
                  </w:tcBorders>
                  <w:noWrap w:val="0"/>
                  <w:vAlign w:val="center"/>
                </w:tcPr>
                <w:p w14:paraId="75D6747D">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3.58</w:t>
                  </w:r>
                </w:p>
              </w:tc>
              <w:tc>
                <w:tcPr>
                  <w:tcW w:w="2764" w:type="dxa"/>
                  <w:tcBorders>
                    <w:tl2br w:val="nil"/>
                    <w:tr2bl w:val="nil"/>
                  </w:tcBorders>
                  <w:noWrap w:val="0"/>
                  <w:vAlign w:val="center"/>
                </w:tcPr>
                <w:p w14:paraId="42BDCCFC">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7FBE7C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2857" w:type="dxa"/>
                  <w:tcBorders>
                    <w:tl2br w:val="nil"/>
                    <w:tr2bl w:val="nil"/>
                  </w:tcBorders>
                  <w:shd w:val="clear" w:color="auto" w:fill="FFFFFF"/>
                  <w:noWrap w:val="0"/>
                  <w:vAlign w:val="center"/>
                </w:tcPr>
                <w:p w14:paraId="6B66721D">
                  <w:pPr>
                    <w:spacing w:line="240" w:lineRule="auto"/>
                    <w:jc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亚硝酸盐（以N计）</w:t>
                  </w:r>
                </w:p>
              </w:tc>
              <w:tc>
                <w:tcPr>
                  <w:tcW w:w="2338" w:type="dxa"/>
                  <w:tcBorders>
                    <w:tl2br w:val="nil"/>
                    <w:tr2bl w:val="nil"/>
                  </w:tcBorders>
                  <w:noWrap w:val="0"/>
                  <w:vAlign w:val="center"/>
                </w:tcPr>
                <w:p w14:paraId="41365F9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0.003L</w:t>
                  </w:r>
                </w:p>
              </w:tc>
              <w:tc>
                <w:tcPr>
                  <w:tcW w:w="2764" w:type="dxa"/>
                  <w:tcBorders>
                    <w:tl2br w:val="nil"/>
                    <w:tr2bl w:val="nil"/>
                  </w:tcBorders>
                  <w:noWrap w:val="0"/>
                  <w:vAlign w:val="center"/>
                </w:tcPr>
                <w:p w14:paraId="22F8B3C3">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0F707D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2857" w:type="dxa"/>
                  <w:tcBorders>
                    <w:tl2br w:val="nil"/>
                    <w:tr2bl w:val="nil"/>
                  </w:tcBorders>
                  <w:shd w:val="clear" w:color="auto" w:fill="FFFFFF"/>
                  <w:noWrap w:val="0"/>
                  <w:vAlign w:val="center"/>
                </w:tcPr>
                <w:p w14:paraId="194BE90F">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挥发酚</w:t>
                  </w:r>
                </w:p>
              </w:tc>
              <w:tc>
                <w:tcPr>
                  <w:tcW w:w="2338" w:type="dxa"/>
                  <w:tcBorders>
                    <w:tl2br w:val="nil"/>
                    <w:tr2bl w:val="nil"/>
                  </w:tcBorders>
                  <w:noWrap w:val="0"/>
                  <w:vAlign w:val="center"/>
                </w:tcPr>
                <w:p w14:paraId="22209D55">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0.0003L</w:t>
                  </w:r>
                </w:p>
              </w:tc>
              <w:tc>
                <w:tcPr>
                  <w:tcW w:w="2764" w:type="dxa"/>
                  <w:tcBorders>
                    <w:tl2br w:val="nil"/>
                    <w:tr2bl w:val="nil"/>
                  </w:tcBorders>
                  <w:noWrap w:val="0"/>
                  <w:vAlign w:val="center"/>
                </w:tcPr>
                <w:p w14:paraId="027EB126">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493315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2857" w:type="dxa"/>
                  <w:tcBorders>
                    <w:tl2br w:val="nil"/>
                    <w:tr2bl w:val="nil"/>
                  </w:tcBorders>
                  <w:shd w:val="clear" w:color="auto" w:fill="FFFFFF"/>
                  <w:noWrap w:val="0"/>
                  <w:vAlign w:val="center"/>
                </w:tcPr>
                <w:p w14:paraId="05C72F16">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氰化物</w:t>
                  </w:r>
                </w:p>
              </w:tc>
              <w:tc>
                <w:tcPr>
                  <w:tcW w:w="2338" w:type="dxa"/>
                  <w:tcBorders>
                    <w:tl2br w:val="nil"/>
                    <w:tr2bl w:val="nil"/>
                  </w:tcBorders>
                  <w:noWrap w:val="0"/>
                  <w:vAlign w:val="center"/>
                </w:tcPr>
                <w:p w14:paraId="19EE7DA9">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0.004L</w:t>
                  </w:r>
                </w:p>
              </w:tc>
              <w:tc>
                <w:tcPr>
                  <w:tcW w:w="2764" w:type="dxa"/>
                  <w:tcBorders>
                    <w:tl2br w:val="nil"/>
                    <w:tr2bl w:val="nil"/>
                  </w:tcBorders>
                  <w:noWrap w:val="0"/>
                  <w:vAlign w:val="center"/>
                </w:tcPr>
                <w:p w14:paraId="0F21D815">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50F8C0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2857" w:type="dxa"/>
                  <w:tcBorders>
                    <w:tl2br w:val="nil"/>
                    <w:tr2bl w:val="nil"/>
                  </w:tcBorders>
                  <w:shd w:val="clear" w:color="auto" w:fill="FFFFFF"/>
                  <w:noWrap w:val="0"/>
                  <w:vAlign w:val="center"/>
                </w:tcPr>
                <w:p w14:paraId="34BF8FAD">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砷</w:t>
                  </w:r>
                </w:p>
              </w:tc>
              <w:tc>
                <w:tcPr>
                  <w:tcW w:w="2338" w:type="dxa"/>
                  <w:tcBorders>
                    <w:tl2br w:val="nil"/>
                    <w:tr2bl w:val="nil"/>
                  </w:tcBorders>
                  <w:noWrap w:val="0"/>
                  <w:vAlign w:val="center"/>
                </w:tcPr>
                <w:p w14:paraId="1A86806B">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0.0003L</w:t>
                  </w:r>
                </w:p>
              </w:tc>
              <w:tc>
                <w:tcPr>
                  <w:tcW w:w="2764" w:type="dxa"/>
                  <w:tcBorders>
                    <w:tl2br w:val="nil"/>
                    <w:tr2bl w:val="nil"/>
                  </w:tcBorders>
                  <w:noWrap w:val="0"/>
                  <w:vAlign w:val="center"/>
                </w:tcPr>
                <w:p w14:paraId="59A18F34">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0F712D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2857" w:type="dxa"/>
                  <w:tcBorders>
                    <w:tl2br w:val="nil"/>
                    <w:tr2bl w:val="nil"/>
                  </w:tcBorders>
                  <w:shd w:val="clear" w:color="auto" w:fill="FFFFFF"/>
                  <w:noWrap w:val="0"/>
                  <w:vAlign w:val="center"/>
                </w:tcPr>
                <w:p w14:paraId="3E188308">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汞</w:t>
                  </w:r>
                </w:p>
              </w:tc>
              <w:tc>
                <w:tcPr>
                  <w:tcW w:w="2338" w:type="dxa"/>
                  <w:tcBorders>
                    <w:tl2br w:val="nil"/>
                    <w:tr2bl w:val="nil"/>
                  </w:tcBorders>
                  <w:noWrap w:val="0"/>
                  <w:vAlign w:val="center"/>
                </w:tcPr>
                <w:p w14:paraId="0260401F">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0.00004L</w:t>
                  </w:r>
                </w:p>
              </w:tc>
              <w:tc>
                <w:tcPr>
                  <w:tcW w:w="2764" w:type="dxa"/>
                  <w:tcBorders>
                    <w:tl2br w:val="nil"/>
                    <w:tr2bl w:val="nil"/>
                  </w:tcBorders>
                  <w:noWrap w:val="0"/>
                  <w:vAlign w:val="center"/>
                </w:tcPr>
                <w:p w14:paraId="548C843C">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56691B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2857" w:type="dxa"/>
                  <w:tcBorders>
                    <w:tl2br w:val="nil"/>
                    <w:tr2bl w:val="nil"/>
                  </w:tcBorders>
                  <w:shd w:val="clear" w:color="auto" w:fill="FFFFFF"/>
                  <w:noWrap w:val="0"/>
                  <w:vAlign w:val="center"/>
                </w:tcPr>
                <w:p w14:paraId="17592849">
                  <w:pPr>
                    <w:keepNext w:val="0"/>
                    <w:keepLines w:val="0"/>
                    <w:pageBreakBefore w:val="0"/>
                    <w:widowControl/>
                    <w:suppressLineNumbers w:val="0"/>
                    <w:shd w:val="clear" w:color="auto" w:fill="auto"/>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硒</w:t>
                  </w:r>
                </w:p>
              </w:tc>
              <w:tc>
                <w:tcPr>
                  <w:tcW w:w="2338" w:type="dxa"/>
                  <w:tcBorders>
                    <w:tl2br w:val="nil"/>
                    <w:tr2bl w:val="nil"/>
                  </w:tcBorders>
                  <w:noWrap w:val="0"/>
                  <w:vAlign w:val="center"/>
                </w:tcPr>
                <w:p w14:paraId="0CDC445A">
                  <w:pPr>
                    <w:keepNext w:val="0"/>
                    <w:keepLines w:val="0"/>
                    <w:pageBreakBefore w:val="0"/>
                    <w:widowControl/>
                    <w:suppressLineNumbers w:val="0"/>
                    <w:shd w:val="clear" w:color="auto" w:fill="auto"/>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0.0004L</w:t>
                  </w:r>
                </w:p>
              </w:tc>
              <w:tc>
                <w:tcPr>
                  <w:tcW w:w="2764" w:type="dxa"/>
                  <w:tcBorders>
                    <w:tl2br w:val="nil"/>
                    <w:tr2bl w:val="nil"/>
                  </w:tcBorders>
                  <w:noWrap w:val="0"/>
                  <w:vAlign w:val="center"/>
                </w:tcPr>
                <w:p w14:paraId="40410414">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62689E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2857" w:type="dxa"/>
                  <w:tcBorders>
                    <w:tl2br w:val="nil"/>
                    <w:tr2bl w:val="nil"/>
                  </w:tcBorders>
                  <w:shd w:val="clear" w:color="auto" w:fill="FFFFFF"/>
                  <w:noWrap w:val="0"/>
                  <w:vAlign w:val="center"/>
                </w:tcPr>
                <w:p w14:paraId="1DAA10BC">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六价铬</w:t>
                  </w:r>
                </w:p>
              </w:tc>
              <w:tc>
                <w:tcPr>
                  <w:tcW w:w="2338" w:type="dxa"/>
                  <w:tcBorders>
                    <w:tl2br w:val="nil"/>
                    <w:tr2bl w:val="nil"/>
                  </w:tcBorders>
                  <w:noWrap w:val="0"/>
                  <w:vAlign w:val="center"/>
                </w:tcPr>
                <w:p w14:paraId="4EA289F0">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0.004L</w:t>
                  </w:r>
                </w:p>
              </w:tc>
              <w:tc>
                <w:tcPr>
                  <w:tcW w:w="2764" w:type="dxa"/>
                  <w:tcBorders>
                    <w:tl2br w:val="nil"/>
                    <w:tr2bl w:val="nil"/>
                  </w:tcBorders>
                  <w:noWrap w:val="0"/>
                  <w:vAlign w:val="center"/>
                </w:tcPr>
                <w:p w14:paraId="04A4AB1D">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1D8ED3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2857" w:type="dxa"/>
                  <w:tcBorders>
                    <w:tl2br w:val="nil"/>
                    <w:tr2bl w:val="nil"/>
                  </w:tcBorders>
                  <w:shd w:val="clear" w:color="auto" w:fill="FFFFFF"/>
                  <w:noWrap w:val="0"/>
                  <w:vAlign w:val="center"/>
                </w:tcPr>
                <w:p w14:paraId="5AE85FAE">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总硬度</w:t>
                  </w:r>
                </w:p>
              </w:tc>
              <w:tc>
                <w:tcPr>
                  <w:tcW w:w="2338" w:type="dxa"/>
                  <w:tcBorders>
                    <w:tl2br w:val="nil"/>
                    <w:tr2bl w:val="nil"/>
                  </w:tcBorders>
                  <w:noWrap w:val="0"/>
                  <w:vAlign w:val="center"/>
                </w:tcPr>
                <w:p w14:paraId="3C43EA3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2</w:t>
                  </w:r>
                  <w:r>
                    <w:rPr>
                      <w:rFonts w:hint="eastAsia"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36</w:t>
                  </w:r>
                </w:p>
              </w:tc>
              <w:tc>
                <w:tcPr>
                  <w:tcW w:w="2764" w:type="dxa"/>
                  <w:tcBorders>
                    <w:tl2br w:val="nil"/>
                    <w:tr2bl w:val="nil"/>
                  </w:tcBorders>
                  <w:noWrap w:val="0"/>
                  <w:vAlign w:val="center"/>
                </w:tcPr>
                <w:p w14:paraId="59CD86DB">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7DADF9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2857" w:type="dxa"/>
                  <w:tcBorders>
                    <w:tl2br w:val="nil"/>
                    <w:tr2bl w:val="nil"/>
                  </w:tcBorders>
                  <w:shd w:val="clear" w:color="auto" w:fill="FFFFFF"/>
                  <w:noWrap w:val="0"/>
                  <w:vAlign w:val="center"/>
                </w:tcPr>
                <w:p w14:paraId="296A9A43">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氟化物</w:t>
                  </w:r>
                </w:p>
              </w:tc>
              <w:tc>
                <w:tcPr>
                  <w:tcW w:w="2338" w:type="dxa"/>
                  <w:tcBorders>
                    <w:tl2br w:val="nil"/>
                    <w:tr2bl w:val="nil"/>
                  </w:tcBorders>
                  <w:noWrap w:val="0"/>
                  <w:vAlign w:val="center"/>
                </w:tcPr>
                <w:p w14:paraId="434B6DA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27</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 </w:t>
                  </w:r>
                </w:p>
              </w:tc>
              <w:tc>
                <w:tcPr>
                  <w:tcW w:w="2764" w:type="dxa"/>
                  <w:tcBorders>
                    <w:tl2br w:val="nil"/>
                    <w:tr2bl w:val="nil"/>
                  </w:tcBorders>
                  <w:noWrap w:val="0"/>
                  <w:vAlign w:val="center"/>
                </w:tcPr>
                <w:p w14:paraId="2058F018">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7D9BC6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2857" w:type="dxa"/>
                  <w:tcBorders>
                    <w:tl2br w:val="nil"/>
                    <w:tr2bl w:val="nil"/>
                  </w:tcBorders>
                  <w:shd w:val="clear" w:color="auto" w:fill="FFFFFF"/>
                  <w:noWrap w:val="0"/>
                  <w:vAlign w:val="center"/>
                </w:tcPr>
                <w:p w14:paraId="32368237">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铅</w:t>
                  </w:r>
                </w:p>
              </w:tc>
              <w:tc>
                <w:tcPr>
                  <w:tcW w:w="2338" w:type="dxa"/>
                  <w:tcBorders>
                    <w:tl2br w:val="nil"/>
                    <w:tr2bl w:val="nil"/>
                  </w:tcBorders>
                  <w:noWrap w:val="0"/>
                  <w:vAlign w:val="center"/>
                </w:tcPr>
                <w:p w14:paraId="14FCEC44">
                  <w:pPr>
                    <w:jc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0.01L</w:t>
                  </w:r>
                </w:p>
              </w:tc>
              <w:tc>
                <w:tcPr>
                  <w:tcW w:w="2764" w:type="dxa"/>
                  <w:tcBorders>
                    <w:tl2br w:val="nil"/>
                    <w:tr2bl w:val="nil"/>
                  </w:tcBorders>
                  <w:noWrap w:val="0"/>
                  <w:vAlign w:val="center"/>
                </w:tcPr>
                <w:p w14:paraId="25CC5B8D">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791ABB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2857" w:type="dxa"/>
                  <w:tcBorders>
                    <w:tl2br w:val="nil"/>
                    <w:tr2bl w:val="nil"/>
                  </w:tcBorders>
                  <w:shd w:val="clear" w:color="auto" w:fill="FFFFFF"/>
                  <w:noWrap w:val="0"/>
                  <w:vAlign w:val="center"/>
                </w:tcPr>
                <w:p w14:paraId="160AD497">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镉</w:t>
                  </w:r>
                </w:p>
              </w:tc>
              <w:tc>
                <w:tcPr>
                  <w:tcW w:w="2338" w:type="dxa"/>
                  <w:tcBorders>
                    <w:tl2br w:val="nil"/>
                    <w:tr2bl w:val="nil"/>
                  </w:tcBorders>
                  <w:noWrap w:val="0"/>
                  <w:vAlign w:val="center"/>
                </w:tcPr>
                <w:p w14:paraId="0C42E59F">
                  <w:pPr>
                    <w:jc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0.001L</w:t>
                  </w:r>
                </w:p>
              </w:tc>
              <w:tc>
                <w:tcPr>
                  <w:tcW w:w="2764" w:type="dxa"/>
                  <w:tcBorders>
                    <w:tl2br w:val="nil"/>
                    <w:tr2bl w:val="nil"/>
                  </w:tcBorders>
                  <w:noWrap w:val="0"/>
                  <w:vAlign w:val="center"/>
                </w:tcPr>
                <w:p w14:paraId="02BBE7BE">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597DC9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2857" w:type="dxa"/>
                  <w:tcBorders>
                    <w:tl2br w:val="nil"/>
                    <w:tr2bl w:val="nil"/>
                  </w:tcBorders>
                  <w:shd w:val="clear" w:color="auto" w:fill="FFFFFF"/>
                  <w:noWrap w:val="0"/>
                  <w:vAlign w:val="center"/>
                </w:tcPr>
                <w:p w14:paraId="016ACF60">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铁</w:t>
                  </w:r>
                </w:p>
              </w:tc>
              <w:tc>
                <w:tcPr>
                  <w:tcW w:w="2338" w:type="dxa"/>
                  <w:tcBorders>
                    <w:tl2br w:val="nil"/>
                    <w:tr2bl w:val="nil"/>
                  </w:tcBorders>
                  <w:noWrap w:val="0"/>
                  <w:vAlign w:val="center"/>
                </w:tcPr>
                <w:p w14:paraId="638ECB4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0.</w:t>
                  </w:r>
                  <w:r>
                    <w:rPr>
                      <w:rFonts w:hint="eastAsia"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32</w:t>
                  </w:r>
                </w:p>
              </w:tc>
              <w:tc>
                <w:tcPr>
                  <w:tcW w:w="2764" w:type="dxa"/>
                  <w:tcBorders>
                    <w:tl2br w:val="nil"/>
                    <w:tr2bl w:val="nil"/>
                  </w:tcBorders>
                  <w:noWrap w:val="0"/>
                  <w:vAlign w:val="center"/>
                </w:tcPr>
                <w:p w14:paraId="01877FDB">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70C752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2857" w:type="dxa"/>
                  <w:tcBorders>
                    <w:tl2br w:val="nil"/>
                    <w:tr2bl w:val="nil"/>
                  </w:tcBorders>
                  <w:shd w:val="clear" w:color="auto" w:fill="FFFFFF"/>
                  <w:noWrap w:val="0"/>
                  <w:vAlign w:val="center"/>
                </w:tcPr>
                <w:p w14:paraId="1462E1C4">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锰</w:t>
                  </w:r>
                </w:p>
              </w:tc>
              <w:tc>
                <w:tcPr>
                  <w:tcW w:w="2338" w:type="dxa"/>
                  <w:tcBorders>
                    <w:tl2br w:val="nil"/>
                    <w:tr2bl w:val="nil"/>
                  </w:tcBorders>
                  <w:noWrap w:val="0"/>
                  <w:vAlign w:val="center"/>
                </w:tcPr>
                <w:p w14:paraId="73F6161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0.1</w:t>
                  </w:r>
                  <w:r>
                    <w:rPr>
                      <w:rFonts w:hint="eastAsia"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3</w:t>
                  </w:r>
                </w:p>
              </w:tc>
              <w:tc>
                <w:tcPr>
                  <w:tcW w:w="2764" w:type="dxa"/>
                  <w:tcBorders>
                    <w:tl2br w:val="nil"/>
                    <w:tr2bl w:val="nil"/>
                  </w:tcBorders>
                  <w:noWrap w:val="0"/>
                  <w:vAlign w:val="center"/>
                </w:tcPr>
                <w:p w14:paraId="561C506B">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13BA7A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2857" w:type="dxa"/>
                  <w:tcBorders>
                    <w:tl2br w:val="nil"/>
                    <w:tr2bl w:val="nil"/>
                  </w:tcBorders>
                  <w:shd w:val="clear" w:color="auto" w:fill="FFFFFF"/>
                  <w:noWrap w:val="0"/>
                  <w:vAlign w:val="center"/>
                </w:tcPr>
                <w:p w14:paraId="19964C2E">
                  <w:pPr>
                    <w:keepNext w:val="0"/>
                    <w:keepLines w:val="0"/>
                    <w:pageBreakBefore w:val="0"/>
                    <w:widowControl/>
                    <w:suppressLineNumbers w:val="0"/>
                    <w:shd w:val="clear" w:color="auto" w:fill="auto"/>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铜</w:t>
                  </w:r>
                </w:p>
              </w:tc>
              <w:tc>
                <w:tcPr>
                  <w:tcW w:w="2338" w:type="dxa"/>
                  <w:tcBorders>
                    <w:tl2br w:val="nil"/>
                    <w:tr2bl w:val="nil"/>
                  </w:tcBorders>
                  <w:noWrap w:val="0"/>
                  <w:vAlign w:val="center"/>
                </w:tcPr>
                <w:p w14:paraId="32EDC0AE">
                  <w:pPr>
                    <w:keepNext w:val="0"/>
                    <w:keepLines w:val="0"/>
                    <w:pageBreakBefore w:val="0"/>
                    <w:widowControl/>
                    <w:suppressLineNumbers w:val="0"/>
                    <w:shd w:val="clear" w:color="auto" w:fill="auto"/>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0.05L</w:t>
                  </w:r>
                </w:p>
              </w:tc>
              <w:tc>
                <w:tcPr>
                  <w:tcW w:w="2764" w:type="dxa"/>
                  <w:tcBorders>
                    <w:tl2br w:val="nil"/>
                    <w:tr2bl w:val="nil"/>
                  </w:tcBorders>
                  <w:noWrap w:val="0"/>
                  <w:vAlign w:val="center"/>
                </w:tcPr>
                <w:p w14:paraId="6DEF292A">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6875B3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2857" w:type="dxa"/>
                  <w:tcBorders>
                    <w:tl2br w:val="nil"/>
                    <w:tr2bl w:val="nil"/>
                  </w:tcBorders>
                  <w:shd w:val="clear" w:color="auto" w:fill="FFFFFF"/>
                  <w:noWrap w:val="0"/>
                  <w:vAlign w:val="center"/>
                </w:tcPr>
                <w:p w14:paraId="2D19970C">
                  <w:pPr>
                    <w:keepNext w:val="0"/>
                    <w:keepLines w:val="0"/>
                    <w:pageBreakBefore w:val="0"/>
                    <w:widowControl/>
                    <w:suppressLineNumbers w:val="0"/>
                    <w:shd w:val="clear" w:color="auto" w:fill="auto"/>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锌</w:t>
                  </w:r>
                </w:p>
              </w:tc>
              <w:tc>
                <w:tcPr>
                  <w:tcW w:w="2338" w:type="dxa"/>
                  <w:tcBorders>
                    <w:tl2br w:val="nil"/>
                    <w:tr2bl w:val="nil"/>
                  </w:tcBorders>
                  <w:noWrap w:val="0"/>
                  <w:vAlign w:val="center"/>
                </w:tcPr>
                <w:p w14:paraId="0D9DC6AE">
                  <w:pPr>
                    <w:keepNext w:val="0"/>
                    <w:keepLines w:val="0"/>
                    <w:pageBreakBefore w:val="0"/>
                    <w:widowControl/>
                    <w:suppressLineNumbers w:val="0"/>
                    <w:shd w:val="clear" w:color="auto" w:fill="auto"/>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0.05L</w:t>
                  </w:r>
                </w:p>
              </w:tc>
              <w:tc>
                <w:tcPr>
                  <w:tcW w:w="2764" w:type="dxa"/>
                  <w:tcBorders>
                    <w:tl2br w:val="nil"/>
                    <w:tr2bl w:val="nil"/>
                  </w:tcBorders>
                  <w:noWrap w:val="0"/>
                  <w:vAlign w:val="center"/>
                </w:tcPr>
                <w:p w14:paraId="21A47524">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41D23D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2857" w:type="dxa"/>
                  <w:tcBorders>
                    <w:tl2br w:val="nil"/>
                    <w:tr2bl w:val="nil"/>
                  </w:tcBorders>
                  <w:shd w:val="clear" w:color="auto" w:fill="FFFFFF"/>
                  <w:noWrap w:val="0"/>
                  <w:vAlign w:val="center"/>
                </w:tcPr>
                <w:p w14:paraId="52DCC4BC">
                  <w:pPr>
                    <w:widowControl/>
                    <w:shd w:val="clear" w:color="auto" w:fill="auto"/>
                    <w:jc w:val="center"/>
                    <w:textAlignment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铝</w:t>
                  </w:r>
                </w:p>
              </w:tc>
              <w:tc>
                <w:tcPr>
                  <w:tcW w:w="2338" w:type="dxa"/>
                  <w:tcBorders>
                    <w:tl2br w:val="nil"/>
                    <w:tr2bl w:val="nil"/>
                  </w:tcBorders>
                  <w:noWrap w:val="0"/>
                  <w:vAlign w:val="center"/>
                </w:tcPr>
                <w:p w14:paraId="42D95DB0">
                  <w:pPr>
                    <w:keepNext w:val="0"/>
                    <w:keepLines w:val="0"/>
                    <w:pageBreakBefore w:val="0"/>
                    <w:widowControl/>
                    <w:suppressLineNumbers w:val="0"/>
                    <w:shd w:val="clear" w:color="auto" w:fill="auto"/>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0.008L</w:t>
                  </w:r>
                </w:p>
              </w:tc>
              <w:tc>
                <w:tcPr>
                  <w:tcW w:w="2764" w:type="dxa"/>
                  <w:tcBorders>
                    <w:tl2br w:val="nil"/>
                    <w:tr2bl w:val="nil"/>
                  </w:tcBorders>
                  <w:noWrap w:val="0"/>
                  <w:vAlign w:val="center"/>
                </w:tcPr>
                <w:p w14:paraId="29301FC9">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11CBD1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2857" w:type="dxa"/>
                  <w:tcBorders>
                    <w:tl2br w:val="nil"/>
                    <w:tr2bl w:val="nil"/>
                  </w:tcBorders>
                  <w:shd w:val="clear" w:color="auto" w:fill="FFFFFF"/>
                  <w:noWrap w:val="0"/>
                  <w:vAlign w:val="center"/>
                </w:tcPr>
                <w:p w14:paraId="45F88303">
                  <w:pPr>
                    <w:widowControl/>
                    <w:shd w:val="clear" w:color="auto" w:fill="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钠</w:t>
                  </w:r>
                </w:p>
              </w:tc>
              <w:tc>
                <w:tcPr>
                  <w:tcW w:w="2338" w:type="dxa"/>
                  <w:tcBorders>
                    <w:tl2br w:val="nil"/>
                    <w:tr2bl w:val="nil"/>
                  </w:tcBorders>
                  <w:noWrap w:val="0"/>
                  <w:vAlign w:val="center"/>
                </w:tcPr>
                <w:p w14:paraId="204E49AD">
                  <w:pPr>
                    <w:keepNext w:val="0"/>
                    <w:keepLines w:val="0"/>
                    <w:pageBreakBefore w:val="0"/>
                    <w:widowControl/>
                    <w:suppressLineNumbers w:val="0"/>
                    <w:shd w:val="clear" w:color="auto" w:fill="auto"/>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6.74</w:t>
                  </w:r>
                </w:p>
              </w:tc>
              <w:tc>
                <w:tcPr>
                  <w:tcW w:w="2764" w:type="dxa"/>
                  <w:tcBorders>
                    <w:tl2br w:val="nil"/>
                    <w:tr2bl w:val="nil"/>
                  </w:tcBorders>
                  <w:noWrap w:val="0"/>
                  <w:vAlign w:val="center"/>
                </w:tcPr>
                <w:p w14:paraId="5C6C3EB0">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64B9BE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2857" w:type="dxa"/>
                  <w:tcBorders>
                    <w:tl2br w:val="nil"/>
                    <w:tr2bl w:val="nil"/>
                  </w:tcBorders>
                  <w:shd w:val="clear" w:color="auto" w:fill="FFFFFF"/>
                  <w:noWrap w:val="0"/>
                  <w:vAlign w:val="center"/>
                </w:tcPr>
                <w:p w14:paraId="0A45FA60">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溶解性总固体</w:t>
                  </w:r>
                </w:p>
              </w:tc>
              <w:tc>
                <w:tcPr>
                  <w:tcW w:w="2338" w:type="dxa"/>
                  <w:tcBorders>
                    <w:tl2br w:val="nil"/>
                    <w:tr2bl w:val="nil"/>
                  </w:tcBorders>
                  <w:noWrap w:val="0"/>
                  <w:vAlign w:val="center"/>
                </w:tcPr>
                <w:p w14:paraId="583F682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419</w:t>
                  </w:r>
                </w:p>
              </w:tc>
              <w:tc>
                <w:tcPr>
                  <w:tcW w:w="2764" w:type="dxa"/>
                  <w:tcBorders>
                    <w:tl2br w:val="nil"/>
                    <w:tr2bl w:val="nil"/>
                  </w:tcBorders>
                  <w:noWrap w:val="0"/>
                  <w:vAlign w:val="center"/>
                </w:tcPr>
                <w:p w14:paraId="13D24520">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7F6F11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2857" w:type="dxa"/>
                  <w:tcBorders>
                    <w:tl2br w:val="nil"/>
                    <w:tr2bl w:val="nil"/>
                  </w:tcBorders>
                  <w:shd w:val="clear" w:color="auto" w:fill="FFFFFF"/>
                  <w:noWrap w:val="0"/>
                  <w:vAlign w:val="center"/>
                </w:tcPr>
                <w:p w14:paraId="23EBE056">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color w:val="000000" w:themeColor="text1"/>
                      <w:spacing w:val="-6"/>
                      <w:sz w:val="21"/>
                      <w:szCs w:val="21"/>
                      <w:highlight w:val="none"/>
                      <w:lang w:val="en-US" w:eastAsia="zh-CN"/>
                      <w14:textFill>
                        <w14:solidFill>
                          <w14:schemeClr w14:val="tx1"/>
                        </w14:solidFill>
                      </w14:textFill>
                    </w:rPr>
                    <w:t>耗氧量</w:t>
                  </w:r>
                </w:p>
              </w:tc>
              <w:tc>
                <w:tcPr>
                  <w:tcW w:w="2338" w:type="dxa"/>
                  <w:tcBorders>
                    <w:tl2br w:val="nil"/>
                    <w:tr2bl w:val="nil"/>
                  </w:tcBorders>
                  <w:noWrap w:val="0"/>
                  <w:vAlign w:val="center"/>
                </w:tcPr>
                <w:p w14:paraId="411242A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2.3</w:t>
                  </w:r>
                </w:p>
              </w:tc>
              <w:tc>
                <w:tcPr>
                  <w:tcW w:w="2764" w:type="dxa"/>
                  <w:tcBorders>
                    <w:tl2br w:val="nil"/>
                    <w:tr2bl w:val="nil"/>
                  </w:tcBorders>
                  <w:noWrap w:val="0"/>
                  <w:vAlign w:val="center"/>
                </w:tcPr>
                <w:p w14:paraId="69CE4265">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64E9AA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2857" w:type="dxa"/>
                  <w:tcBorders>
                    <w:tl2br w:val="nil"/>
                    <w:tr2bl w:val="nil"/>
                  </w:tcBorders>
                  <w:shd w:val="clear" w:color="auto" w:fill="FFFFFF"/>
                  <w:noWrap w:val="0"/>
                  <w:vAlign w:val="center"/>
                </w:tcPr>
                <w:p w14:paraId="35F3EA51">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硫酸盐</w:t>
                  </w:r>
                </w:p>
              </w:tc>
              <w:tc>
                <w:tcPr>
                  <w:tcW w:w="2338" w:type="dxa"/>
                  <w:tcBorders>
                    <w:tl2br w:val="nil"/>
                    <w:tr2bl w:val="nil"/>
                  </w:tcBorders>
                  <w:noWrap w:val="0"/>
                  <w:vAlign w:val="center"/>
                </w:tcPr>
                <w:p w14:paraId="3840B7E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20</w:t>
                  </w:r>
                </w:p>
              </w:tc>
              <w:tc>
                <w:tcPr>
                  <w:tcW w:w="2764" w:type="dxa"/>
                  <w:tcBorders>
                    <w:tl2br w:val="nil"/>
                    <w:tr2bl w:val="nil"/>
                  </w:tcBorders>
                  <w:noWrap w:val="0"/>
                  <w:vAlign w:val="center"/>
                </w:tcPr>
                <w:p w14:paraId="29DF39ED">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0139E1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2857" w:type="dxa"/>
                  <w:tcBorders>
                    <w:tl2br w:val="nil"/>
                    <w:tr2bl w:val="nil"/>
                  </w:tcBorders>
                  <w:shd w:val="clear" w:color="auto" w:fill="FFFFFF"/>
                  <w:noWrap w:val="0"/>
                  <w:vAlign w:val="center"/>
                </w:tcPr>
                <w:p w14:paraId="01813E94">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氯化物</w:t>
                  </w:r>
                </w:p>
              </w:tc>
              <w:tc>
                <w:tcPr>
                  <w:tcW w:w="2338" w:type="dxa"/>
                  <w:tcBorders>
                    <w:tl2br w:val="nil"/>
                    <w:tr2bl w:val="nil"/>
                  </w:tcBorders>
                  <w:noWrap w:val="0"/>
                  <w:vAlign w:val="center"/>
                </w:tcPr>
                <w:p w14:paraId="3301C28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2</w:t>
                  </w:r>
                  <w:r>
                    <w:rPr>
                      <w:rFonts w:hint="eastAsia"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5.4</w:t>
                  </w:r>
                </w:p>
              </w:tc>
              <w:tc>
                <w:tcPr>
                  <w:tcW w:w="2764" w:type="dxa"/>
                  <w:tcBorders>
                    <w:tl2br w:val="nil"/>
                    <w:tr2bl w:val="nil"/>
                  </w:tcBorders>
                  <w:noWrap w:val="0"/>
                  <w:vAlign w:val="center"/>
                </w:tcPr>
                <w:p w14:paraId="1F648599">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51784C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2857" w:type="dxa"/>
                  <w:tcBorders>
                    <w:tl2br w:val="nil"/>
                    <w:tr2bl w:val="nil"/>
                  </w:tcBorders>
                  <w:shd w:val="clear" w:color="auto" w:fill="FFFFFF"/>
                  <w:noWrap w:val="0"/>
                  <w:vAlign w:val="center"/>
                </w:tcPr>
                <w:p w14:paraId="289AE068">
                  <w:pPr>
                    <w:keepNext w:val="0"/>
                    <w:keepLines w:val="0"/>
                    <w:pageBreakBefore w:val="0"/>
                    <w:widowControl/>
                    <w:suppressLineNumbers w:val="0"/>
                    <w:shd w:val="clear" w:color="auto" w:fill="auto"/>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硫化物</w:t>
                  </w:r>
                </w:p>
              </w:tc>
              <w:tc>
                <w:tcPr>
                  <w:tcW w:w="2338" w:type="dxa"/>
                  <w:tcBorders>
                    <w:tl2br w:val="nil"/>
                    <w:tr2bl w:val="nil"/>
                  </w:tcBorders>
                  <w:noWrap w:val="0"/>
                  <w:vAlign w:val="center"/>
                </w:tcPr>
                <w:p w14:paraId="7F740FC4">
                  <w:pPr>
                    <w:keepNext w:val="0"/>
                    <w:keepLines w:val="0"/>
                    <w:pageBreakBefore w:val="0"/>
                    <w:widowControl/>
                    <w:suppressLineNumbers w:val="0"/>
                    <w:shd w:val="clear" w:color="auto" w:fill="auto"/>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0.003L</w:t>
                  </w:r>
                </w:p>
              </w:tc>
              <w:tc>
                <w:tcPr>
                  <w:tcW w:w="2764" w:type="dxa"/>
                  <w:tcBorders>
                    <w:tl2br w:val="nil"/>
                    <w:tr2bl w:val="nil"/>
                  </w:tcBorders>
                  <w:noWrap w:val="0"/>
                  <w:vAlign w:val="center"/>
                </w:tcPr>
                <w:p w14:paraId="6DBC1A29">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spacing w:val="-1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30A037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2857" w:type="dxa"/>
                  <w:tcBorders>
                    <w:tl2br w:val="nil"/>
                    <w:tr2bl w:val="nil"/>
                  </w:tcBorders>
                  <w:shd w:val="clear" w:color="auto" w:fill="FFFFFF"/>
                  <w:noWrap w:val="0"/>
                  <w:vAlign w:val="center"/>
                </w:tcPr>
                <w:p w14:paraId="12AB3349">
                  <w:pPr>
                    <w:widowControl/>
                    <w:shd w:val="clear" w:color="auto" w:fill="auto"/>
                    <w:jc w:val="center"/>
                    <w:textAlignment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阴离子表面活性剂</w:t>
                  </w:r>
                </w:p>
              </w:tc>
              <w:tc>
                <w:tcPr>
                  <w:tcW w:w="2338" w:type="dxa"/>
                  <w:tcBorders>
                    <w:tl2br w:val="nil"/>
                    <w:tr2bl w:val="nil"/>
                  </w:tcBorders>
                  <w:noWrap w:val="0"/>
                  <w:vAlign w:val="center"/>
                </w:tcPr>
                <w:p w14:paraId="4EC06DCE">
                  <w:pPr>
                    <w:keepNext w:val="0"/>
                    <w:keepLines w:val="0"/>
                    <w:pageBreakBefore w:val="0"/>
                    <w:widowControl/>
                    <w:suppressLineNumbers w:val="0"/>
                    <w:shd w:val="clear" w:color="auto" w:fill="auto"/>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0.050L</w:t>
                  </w:r>
                </w:p>
              </w:tc>
              <w:tc>
                <w:tcPr>
                  <w:tcW w:w="2764" w:type="dxa"/>
                  <w:tcBorders>
                    <w:tl2br w:val="nil"/>
                    <w:tr2bl w:val="nil"/>
                  </w:tcBorders>
                  <w:noWrap w:val="0"/>
                  <w:vAlign w:val="center"/>
                </w:tcPr>
                <w:p w14:paraId="2E8F2F33">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1E6A99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2857" w:type="dxa"/>
                  <w:tcBorders>
                    <w:tl2br w:val="nil"/>
                    <w:tr2bl w:val="nil"/>
                  </w:tcBorders>
                  <w:shd w:val="clear" w:color="auto" w:fill="FFFFFF"/>
                  <w:noWrap w:val="0"/>
                  <w:vAlign w:val="center"/>
                </w:tcPr>
                <w:p w14:paraId="3E3B68ED">
                  <w:pPr>
                    <w:keepNext w:val="0"/>
                    <w:keepLines w:val="0"/>
                    <w:pageBreakBefore w:val="0"/>
                    <w:widowControl/>
                    <w:suppressLineNumbers w:val="0"/>
                    <w:shd w:val="clear" w:color="auto" w:fill="auto"/>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苯</w:t>
                  </w:r>
                </w:p>
              </w:tc>
              <w:tc>
                <w:tcPr>
                  <w:tcW w:w="2338" w:type="dxa"/>
                  <w:tcBorders>
                    <w:tl2br w:val="nil"/>
                    <w:tr2bl w:val="nil"/>
                  </w:tcBorders>
                  <w:noWrap w:val="0"/>
                  <w:vAlign w:val="center"/>
                </w:tcPr>
                <w:p w14:paraId="20DC2F8C">
                  <w:pPr>
                    <w:keepNext w:val="0"/>
                    <w:keepLines w:val="0"/>
                    <w:pageBreakBefore w:val="0"/>
                    <w:widowControl/>
                    <w:suppressLineNumbers w:val="0"/>
                    <w:shd w:val="clear" w:color="auto" w:fill="auto"/>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2L</w:t>
                  </w:r>
                </w:p>
              </w:tc>
              <w:tc>
                <w:tcPr>
                  <w:tcW w:w="2764" w:type="dxa"/>
                  <w:tcBorders>
                    <w:tl2br w:val="nil"/>
                    <w:tr2bl w:val="nil"/>
                  </w:tcBorders>
                  <w:noWrap w:val="0"/>
                  <w:vAlign w:val="center"/>
                </w:tcPr>
                <w:p w14:paraId="6D7D0960">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μg/L</w:t>
                  </w:r>
                </w:p>
              </w:tc>
            </w:tr>
            <w:tr w14:paraId="4755D9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2857" w:type="dxa"/>
                  <w:tcBorders>
                    <w:tl2br w:val="nil"/>
                    <w:tr2bl w:val="nil"/>
                  </w:tcBorders>
                  <w:shd w:val="clear" w:color="auto" w:fill="FFFFFF"/>
                  <w:noWrap w:val="0"/>
                  <w:vAlign w:val="center"/>
                </w:tcPr>
                <w:p w14:paraId="69F1592C">
                  <w:pPr>
                    <w:keepNext w:val="0"/>
                    <w:keepLines w:val="0"/>
                    <w:pageBreakBefore w:val="0"/>
                    <w:widowControl/>
                    <w:suppressLineNumbers w:val="0"/>
                    <w:shd w:val="clear" w:color="auto" w:fill="auto"/>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甲苯</w:t>
                  </w:r>
                </w:p>
              </w:tc>
              <w:tc>
                <w:tcPr>
                  <w:tcW w:w="2338" w:type="dxa"/>
                  <w:tcBorders>
                    <w:tl2br w:val="nil"/>
                    <w:tr2bl w:val="nil"/>
                  </w:tcBorders>
                  <w:noWrap w:val="0"/>
                  <w:vAlign w:val="center"/>
                </w:tcPr>
                <w:p w14:paraId="0DA03651">
                  <w:pPr>
                    <w:keepNext w:val="0"/>
                    <w:keepLines w:val="0"/>
                    <w:pageBreakBefore w:val="0"/>
                    <w:widowControl/>
                    <w:suppressLineNumbers w:val="0"/>
                    <w:shd w:val="clear" w:color="auto" w:fill="auto"/>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2L</w:t>
                  </w:r>
                </w:p>
              </w:tc>
              <w:tc>
                <w:tcPr>
                  <w:tcW w:w="2764" w:type="dxa"/>
                  <w:tcBorders>
                    <w:tl2br w:val="nil"/>
                    <w:tr2bl w:val="nil"/>
                  </w:tcBorders>
                  <w:noWrap w:val="0"/>
                  <w:vAlign w:val="center"/>
                </w:tcPr>
                <w:p w14:paraId="789F6A8C">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μg/L</w:t>
                  </w:r>
                </w:p>
              </w:tc>
            </w:tr>
            <w:tr w14:paraId="42E959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2857" w:type="dxa"/>
                  <w:tcBorders>
                    <w:tl2br w:val="nil"/>
                    <w:tr2bl w:val="nil"/>
                  </w:tcBorders>
                  <w:shd w:val="clear" w:color="auto" w:fill="FFFFFF"/>
                  <w:noWrap w:val="0"/>
                  <w:vAlign w:val="center"/>
                </w:tcPr>
                <w:p w14:paraId="4196B4C7">
                  <w:pPr>
                    <w:keepNext w:val="0"/>
                    <w:keepLines w:val="0"/>
                    <w:pageBreakBefore w:val="0"/>
                    <w:widowControl/>
                    <w:suppressLineNumbers w:val="0"/>
                    <w:shd w:val="clear" w:color="auto" w:fill="auto"/>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二甲苯</w:t>
                  </w:r>
                </w:p>
              </w:tc>
              <w:tc>
                <w:tcPr>
                  <w:tcW w:w="2338" w:type="dxa"/>
                  <w:tcBorders>
                    <w:tl2br w:val="nil"/>
                    <w:tr2bl w:val="nil"/>
                  </w:tcBorders>
                  <w:noWrap w:val="0"/>
                  <w:vAlign w:val="center"/>
                </w:tcPr>
                <w:p w14:paraId="6162E419">
                  <w:pPr>
                    <w:keepNext w:val="0"/>
                    <w:keepLines w:val="0"/>
                    <w:pageBreakBefore w:val="0"/>
                    <w:widowControl/>
                    <w:suppressLineNumbers w:val="0"/>
                    <w:shd w:val="clear" w:color="auto" w:fill="auto"/>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2L</w:t>
                  </w:r>
                </w:p>
              </w:tc>
              <w:tc>
                <w:tcPr>
                  <w:tcW w:w="2764" w:type="dxa"/>
                  <w:tcBorders>
                    <w:tl2br w:val="nil"/>
                    <w:tr2bl w:val="nil"/>
                  </w:tcBorders>
                  <w:noWrap w:val="0"/>
                  <w:vAlign w:val="center"/>
                </w:tcPr>
                <w:p w14:paraId="5560860C">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μg/L</w:t>
                  </w:r>
                </w:p>
              </w:tc>
            </w:tr>
            <w:tr w14:paraId="1D1B77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2857" w:type="dxa"/>
                  <w:tcBorders>
                    <w:tl2br w:val="nil"/>
                    <w:tr2bl w:val="nil"/>
                  </w:tcBorders>
                  <w:shd w:val="clear" w:color="auto" w:fill="FFFFFF"/>
                  <w:noWrap w:val="0"/>
                  <w:vAlign w:val="center"/>
                </w:tcPr>
                <w:p w14:paraId="3939CE0D">
                  <w:pPr>
                    <w:shd w:val="clear" w:color="auto" w:fill="auto"/>
                    <w:spacing w:line="240" w:lineRule="auto"/>
                    <w:jc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三氯甲烷</w:t>
                  </w:r>
                </w:p>
              </w:tc>
              <w:tc>
                <w:tcPr>
                  <w:tcW w:w="2338" w:type="dxa"/>
                  <w:tcBorders>
                    <w:tl2br w:val="nil"/>
                    <w:tr2bl w:val="nil"/>
                  </w:tcBorders>
                  <w:noWrap w:val="0"/>
                  <w:vAlign w:val="center"/>
                </w:tcPr>
                <w:p w14:paraId="776D22AF">
                  <w:pPr>
                    <w:keepNext w:val="0"/>
                    <w:keepLines w:val="0"/>
                    <w:pageBreakBefore w:val="0"/>
                    <w:widowControl/>
                    <w:suppressLineNumbers w:val="0"/>
                    <w:shd w:val="clear" w:color="auto" w:fill="auto"/>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0.2L</w:t>
                  </w:r>
                </w:p>
              </w:tc>
              <w:tc>
                <w:tcPr>
                  <w:tcW w:w="2764" w:type="dxa"/>
                  <w:tcBorders>
                    <w:tl2br w:val="nil"/>
                    <w:tr2bl w:val="nil"/>
                  </w:tcBorders>
                  <w:noWrap w:val="0"/>
                  <w:vAlign w:val="center"/>
                </w:tcPr>
                <w:p w14:paraId="3888A31F">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μg/L</w:t>
                  </w:r>
                </w:p>
              </w:tc>
            </w:tr>
            <w:tr w14:paraId="3618B6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2857" w:type="dxa"/>
                  <w:tcBorders>
                    <w:tl2br w:val="nil"/>
                    <w:tr2bl w:val="nil"/>
                  </w:tcBorders>
                  <w:shd w:val="clear" w:color="auto" w:fill="FFFFFF"/>
                  <w:noWrap w:val="0"/>
                  <w:vAlign w:val="center"/>
                </w:tcPr>
                <w:p w14:paraId="4DF8DBE3">
                  <w:pPr>
                    <w:shd w:val="clear" w:color="auto" w:fill="auto"/>
                    <w:spacing w:line="240" w:lineRule="auto"/>
                    <w:jc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四氯化碳</w:t>
                  </w:r>
                </w:p>
              </w:tc>
              <w:tc>
                <w:tcPr>
                  <w:tcW w:w="2338" w:type="dxa"/>
                  <w:tcBorders>
                    <w:tl2br w:val="nil"/>
                    <w:tr2bl w:val="nil"/>
                  </w:tcBorders>
                  <w:noWrap w:val="0"/>
                  <w:vAlign w:val="center"/>
                </w:tcPr>
                <w:p w14:paraId="351FF040">
                  <w:pPr>
                    <w:keepNext w:val="0"/>
                    <w:keepLines w:val="0"/>
                    <w:pageBreakBefore w:val="0"/>
                    <w:widowControl/>
                    <w:suppressLineNumbers w:val="0"/>
                    <w:shd w:val="clear" w:color="auto" w:fill="auto"/>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0.1L</w:t>
                  </w:r>
                </w:p>
              </w:tc>
              <w:tc>
                <w:tcPr>
                  <w:tcW w:w="2764" w:type="dxa"/>
                  <w:tcBorders>
                    <w:tl2br w:val="nil"/>
                    <w:tr2bl w:val="nil"/>
                  </w:tcBorders>
                  <w:noWrap w:val="0"/>
                  <w:vAlign w:val="center"/>
                </w:tcPr>
                <w:p w14:paraId="753C9AE0">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μg/L</w:t>
                  </w:r>
                </w:p>
              </w:tc>
            </w:tr>
            <w:tr w14:paraId="436E77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857" w:type="dxa"/>
                  <w:tcBorders>
                    <w:tl2br w:val="nil"/>
                    <w:tr2bl w:val="nil"/>
                  </w:tcBorders>
                  <w:shd w:val="clear" w:color="auto" w:fill="FFFFFF"/>
                  <w:noWrap w:val="0"/>
                  <w:vAlign w:val="center"/>
                </w:tcPr>
                <w:p w14:paraId="730B8635">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镍</w:t>
                  </w:r>
                </w:p>
              </w:tc>
              <w:tc>
                <w:tcPr>
                  <w:tcW w:w="2338" w:type="dxa"/>
                  <w:tcBorders>
                    <w:tl2br w:val="nil"/>
                    <w:tr2bl w:val="nil"/>
                  </w:tcBorders>
                  <w:noWrap w:val="0"/>
                  <w:vAlign w:val="center"/>
                </w:tcPr>
                <w:p w14:paraId="5A89E1FB">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0.012L</w:t>
                  </w:r>
                </w:p>
              </w:tc>
              <w:tc>
                <w:tcPr>
                  <w:tcW w:w="2764" w:type="dxa"/>
                  <w:tcBorders>
                    <w:tl2br w:val="nil"/>
                    <w:tr2bl w:val="nil"/>
                  </w:tcBorders>
                  <w:noWrap w:val="0"/>
                  <w:vAlign w:val="center"/>
                </w:tcPr>
                <w:p w14:paraId="75961A13">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spacing w:val="-1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r w14:paraId="0333B6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857" w:type="dxa"/>
                  <w:tcBorders>
                    <w:tl2br w:val="nil"/>
                    <w:tr2bl w:val="nil"/>
                  </w:tcBorders>
                  <w:shd w:val="clear" w:color="auto" w:fill="FFFFFF"/>
                  <w:noWrap w:val="0"/>
                  <w:vAlign w:val="center"/>
                </w:tcPr>
                <w:p w14:paraId="0D3F4279">
                  <w:pPr>
                    <w:keepNext w:val="0"/>
                    <w:keepLines w:val="0"/>
                    <w:widowControl/>
                    <w:suppressLineNumbers w:val="0"/>
                    <w:jc w:val="center"/>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石油类</w:t>
                  </w:r>
                </w:p>
              </w:tc>
              <w:tc>
                <w:tcPr>
                  <w:tcW w:w="2338" w:type="dxa"/>
                  <w:tcBorders>
                    <w:tl2br w:val="nil"/>
                    <w:tr2bl w:val="nil"/>
                  </w:tcBorders>
                  <w:noWrap w:val="0"/>
                  <w:vAlign w:val="center"/>
                </w:tcPr>
                <w:p w14:paraId="647E4C0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kern w:val="2"/>
                      <w:sz w:val="21"/>
                      <w:szCs w:val="21"/>
                      <w:highlight w:val="none"/>
                      <w:lang w:val="en-US" w:eastAsia="zh-CN" w:bidi="ar-SA"/>
                    </w:rPr>
                    <w:t>0.01L</w:t>
                  </w:r>
                </w:p>
              </w:tc>
              <w:tc>
                <w:tcPr>
                  <w:tcW w:w="2764" w:type="dxa"/>
                  <w:tcBorders>
                    <w:tl2br w:val="nil"/>
                    <w:tr2bl w:val="nil"/>
                  </w:tcBorders>
                  <w:noWrap w:val="0"/>
                  <w:vAlign w:val="center"/>
                </w:tcPr>
                <w:p w14:paraId="5853CAC9">
                  <w:pPr>
                    <w:keepNext w:val="0"/>
                    <w:keepLines w:val="0"/>
                    <w:pageBreakBefore w:val="0"/>
                    <w:widowControl/>
                    <w:suppressLineNumbers w:val="0"/>
                    <w:kinsoku/>
                    <w:wordWrap/>
                    <w:overflowPunct/>
                    <w:topLinePunct w:val="0"/>
                    <w:autoSpaceDE/>
                    <w:autoSpaceDN/>
                    <w:bidi w:val="0"/>
                    <w:adjustRightInd/>
                    <w:snapToGrid/>
                    <w:jc w:val="center"/>
                    <w:textAlignment w:val="center"/>
                    <w:outlineLvl w:val="9"/>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mg/L</w:t>
                  </w:r>
                </w:p>
              </w:tc>
            </w:tr>
          </w:tbl>
          <w:p w14:paraId="68367500">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注：L代表</w:t>
            </w:r>
            <w:r>
              <w:rPr>
                <w:rFonts w:hint="eastAsia" w:cs="Times New Roman"/>
                <w:color w:val="000000" w:themeColor="text1"/>
                <w:kern w:val="0"/>
                <w:sz w:val="24"/>
                <w:szCs w:val="24"/>
                <w:highlight w:val="none"/>
                <w:lang w:val="en-US" w:eastAsia="zh-CN"/>
                <w14:textFill>
                  <w14:solidFill>
                    <w14:schemeClr w14:val="tx1"/>
                  </w14:solidFill>
                </w14:textFill>
              </w:rPr>
              <w:t>低于最低</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检出限。</w:t>
            </w:r>
          </w:p>
          <w:p w14:paraId="5E3CA3F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⑤评价结果</w:t>
            </w:r>
          </w:p>
          <w:p w14:paraId="354E5839">
            <w:pPr>
              <w:spacing w:before="113" w:line="346" w:lineRule="auto"/>
              <w:ind w:left="18" w:right="13" w:firstLine="514"/>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根据对</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黑龙江汉风环境检测技术有限公司</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于202</w:t>
            </w:r>
            <w:r>
              <w:rPr>
                <w:rFonts w:hint="eastAsia" w:cs="Times New Roman"/>
                <w:color w:val="000000" w:themeColor="text1"/>
                <w:kern w:val="0"/>
                <w:sz w:val="24"/>
                <w:szCs w:val="24"/>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年0</w:t>
            </w:r>
            <w:r>
              <w:rPr>
                <w:rFonts w:hint="eastAsia" w:cs="Times New Roman"/>
                <w:color w:val="000000" w:themeColor="text1"/>
                <w:kern w:val="0"/>
                <w:sz w:val="24"/>
                <w:szCs w:val="24"/>
                <w:highlight w:val="none"/>
                <w:lang w:val="en-US" w:eastAsia="zh-CN"/>
                <w14:textFill>
                  <w14:solidFill>
                    <w14:schemeClr w14:val="tx1"/>
                  </w14:solidFill>
                </w14:textFill>
              </w:rPr>
              <w:t>9</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月</w:t>
            </w:r>
            <w:r>
              <w:rPr>
                <w:rFonts w:hint="eastAsia" w:cs="Times New Roman"/>
                <w:color w:val="000000" w:themeColor="text1"/>
                <w:kern w:val="0"/>
                <w:sz w:val="24"/>
                <w:szCs w:val="24"/>
                <w:highlight w:val="none"/>
                <w:lang w:val="en-US" w:eastAsia="zh-CN"/>
                <w14:textFill>
                  <w14:solidFill>
                    <w14:schemeClr w14:val="tx1"/>
                  </w14:solidFill>
                </w14:textFill>
              </w:rPr>
              <w:t>11</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日出具的监测报告进行分析可知，</w:t>
            </w:r>
            <w:r>
              <w:rPr>
                <w:color w:val="000000" w:themeColor="text1"/>
                <w:spacing w:val="-9"/>
                <w:sz w:val="24"/>
                <w:szCs w:val="24"/>
                <w:highlight w:val="none"/>
                <w14:textFill>
                  <w14:solidFill>
                    <w14:schemeClr w14:val="tx1"/>
                  </w14:solidFill>
                </w14:textFill>
              </w:rPr>
              <w:t>监测的各项水质因子中铁</w:t>
            </w:r>
            <w:r>
              <w:rPr>
                <w:rFonts w:hint="eastAsia"/>
                <w:color w:val="000000" w:themeColor="text1"/>
                <w:spacing w:val="-9"/>
                <w:sz w:val="24"/>
                <w:szCs w:val="24"/>
                <w:highlight w:val="none"/>
                <w:lang w:eastAsia="zh-CN"/>
                <w14:textFill>
                  <w14:solidFill>
                    <w14:schemeClr w14:val="tx1"/>
                  </w14:solidFill>
                </w14:textFill>
              </w:rPr>
              <w:t>、</w:t>
            </w:r>
            <w:r>
              <w:rPr>
                <w:rFonts w:hint="eastAsia"/>
                <w:color w:val="000000" w:themeColor="text1"/>
                <w:spacing w:val="-9"/>
                <w:sz w:val="24"/>
                <w:szCs w:val="24"/>
                <w:highlight w:val="none"/>
                <w:lang w:val="en-US" w:eastAsia="zh-CN"/>
                <w14:textFill>
                  <w14:solidFill>
                    <w14:schemeClr w14:val="tx1"/>
                  </w14:solidFill>
                </w14:textFill>
              </w:rPr>
              <w:t>锰</w:t>
            </w:r>
            <w:r>
              <w:rPr>
                <w:color w:val="000000" w:themeColor="text1"/>
                <w:spacing w:val="-9"/>
                <w:sz w:val="24"/>
                <w:szCs w:val="24"/>
                <w:highlight w:val="none"/>
                <w14:textFill>
                  <w14:solidFill>
                    <w14:schemeClr w14:val="tx1"/>
                  </w14:solidFill>
                </w14:textFill>
              </w:rPr>
              <w:t>不能满足《地下水质量标准》（G</w:t>
            </w:r>
            <w:r>
              <w:rPr>
                <w:color w:val="000000" w:themeColor="text1"/>
                <w:sz w:val="24"/>
                <w:szCs w:val="24"/>
                <w:highlight w:val="none"/>
                <w14:textFill>
                  <w14:solidFill>
                    <w14:schemeClr w14:val="tx1"/>
                  </w14:solidFill>
                </w14:textFill>
              </w:rPr>
              <w:t>B/T</w:t>
            </w:r>
            <w:r>
              <w:rPr>
                <w:rFonts w:hint="eastAsia"/>
                <w:color w:val="000000" w:themeColor="text1"/>
                <w:sz w:val="24"/>
                <w:szCs w:val="24"/>
                <w:highlight w:val="none"/>
                <w:lang w:val="en-US" w:eastAsia="zh-CN"/>
                <w14:textFill>
                  <w14:solidFill>
                    <w14:schemeClr w14:val="tx1"/>
                  </w14:solidFill>
                </w14:textFill>
              </w:rPr>
              <w:t xml:space="preserve"> </w:t>
            </w:r>
            <w:r>
              <w:rPr>
                <w:color w:val="000000" w:themeColor="text1"/>
                <w:sz w:val="24"/>
                <w:szCs w:val="24"/>
                <w:highlight w:val="none"/>
                <w14:textFill>
                  <w14:solidFill>
                    <w14:schemeClr w14:val="tx1"/>
                  </w14:solidFill>
                </w14:textFill>
              </w:rPr>
              <w:t>14848-2017）中的Ⅲ类标准限值。铁超标倍数0.</w:t>
            </w:r>
            <w:r>
              <w:rPr>
                <w:rFonts w:hint="eastAsia"/>
                <w:color w:val="000000" w:themeColor="text1"/>
                <w:sz w:val="24"/>
                <w:szCs w:val="24"/>
                <w:highlight w:val="none"/>
                <w:lang w:val="en-US" w:eastAsia="zh-CN"/>
                <w14:textFill>
                  <w14:solidFill>
                    <w14:schemeClr w14:val="tx1"/>
                  </w14:solidFill>
                </w14:textFill>
              </w:rPr>
              <w:t>07</w:t>
            </w:r>
            <w:r>
              <w:rPr>
                <w:color w:val="000000" w:themeColor="text1"/>
                <w:spacing w:val="-1"/>
                <w:sz w:val="24"/>
                <w:szCs w:val="24"/>
                <w:highlight w:val="none"/>
                <w14:textFill>
                  <w14:solidFill>
                    <w14:schemeClr w14:val="tx1"/>
                  </w14:solidFill>
                </w14:textFill>
              </w:rPr>
              <w:t>倍，</w:t>
            </w:r>
            <w:r>
              <w:rPr>
                <w:rFonts w:hint="eastAsia"/>
                <w:color w:val="000000" w:themeColor="text1"/>
                <w:sz w:val="24"/>
                <w:szCs w:val="24"/>
                <w:highlight w:val="none"/>
                <w:lang w:val="en-US" w:eastAsia="zh-CN"/>
                <w14:textFill>
                  <w14:solidFill>
                    <w14:schemeClr w14:val="tx1"/>
                  </w14:solidFill>
                </w14:textFill>
              </w:rPr>
              <w:t>锰</w:t>
            </w:r>
            <w:r>
              <w:rPr>
                <w:color w:val="000000" w:themeColor="text1"/>
                <w:sz w:val="24"/>
                <w:szCs w:val="24"/>
                <w:highlight w:val="none"/>
                <w14:textFill>
                  <w14:solidFill>
                    <w14:schemeClr w14:val="tx1"/>
                  </w14:solidFill>
                </w14:textFill>
              </w:rPr>
              <w:t>超标倍数0.</w:t>
            </w:r>
            <w:r>
              <w:rPr>
                <w:rFonts w:hint="eastAsia"/>
                <w:color w:val="000000" w:themeColor="text1"/>
                <w:sz w:val="24"/>
                <w:szCs w:val="24"/>
                <w:highlight w:val="none"/>
                <w:lang w:val="en-US" w:eastAsia="zh-CN"/>
                <w14:textFill>
                  <w14:solidFill>
                    <w14:schemeClr w14:val="tx1"/>
                  </w14:solidFill>
                </w14:textFill>
              </w:rPr>
              <w:t>3</w:t>
            </w:r>
            <w:r>
              <w:rPr>
                <w:color w:val="000000" w:themeColor="text1"/>
                <w:spacing w:val="-1"/>
                <w:sz w:val="24"/>
                <w:szCs w:val="24"/>
                <w:highlight w:val="none"/>
                <w14:textFill>
                  <w14:solidFill>
                    <w14:schemeClr w14:val="tx1"/>
                  </w14:solidFill>
                </w14:textFill>
              </w:rPr>
              <w:t>倍，</w:t>
            </w:r>
            <w:r>
              <w:rPr>
                <w:color w:val="000000" w:themeColor="text1"/>
                <w:spacing w:val="-2"/>
                <w:sz w:val="24"/>
                <w:szCs w:val="24"/>
                <w:highlight w:val="none"/>
                <w14:textFill>
                  <w14:solidFill>
                    <w14:schemeClr w14:val="tx1"/>
                  </w14:solidFill>
                </w14:textFill>
              </w:rPr>
              <w:t>本区铁</w:t>
            </w:r>
            <w:r>
              <w:rPr>
                <w:rFonts w:hint="eastAsia"/>
                <w:color w:val="000000" w:themeColor="text1"/>
                <w:spacing w:val="-2"/>
                <w:sz w:val="24"/>
                <w:szCs w:val="24"/>
                <w:highlight w:val="none"/>
                <w:lang w:eastAsia="zh-CN"/>
                <w14:textFill>
                  <w14:solidFill>
                    <w14:schemeClr w14:val="tx1"/>
                  </w14:solidFill>
                </w14:textFill>
              </w:rPr>
              <w:t>、</w:t>
            </w:r>
            <w:r>
              <w:rPr>
                <w:rFonts w:hint="eastAsia"/>
                <w:color w:val="000000" w:themeColor="text1"/>
                <w:spacing w:val="-2"/>
                <w:sz w:val="24"/>
                <w:szCs w:val="24"/>
                <w:highlight w:val="none"/>
                <w:lang w:val="en-US" w:eastAsia="zh-CN"/>
                <w14:textFill>
                  <w14:solidFill>
                    <w14:schemeClr w14:val="tx1"/>
                  </w14:solidFill>
                </w14:textFill>
              </w:rPr>
              <w:t>锰</w:t>
            </w:r>
            <w:r>
              <w:rPr>
                <w:color w:val="000000" w:themeColor="text1"/>
                <w:spacing w:val="-2"/>
                <w:sz w:val="24"/>
                <w:szCs w:val="24"/>
                <w:highlight w:val="none"/>
                <w14:textFill>
                  <w14:solidFill>
                    <w14:schemeClr w14:val="tx1"/>
                  </w14:solidFill>
                </w14:textFill>
              </w:rPr>
              <w:t>超标原因主要受原生地质条件影响，</w:t>
            </w:r>
            <w:r>
              <w:rPr>
                <w:rFonts w:hint="eastAsia"/>
                <w:color w:val="000000" w:themeColor="text1"/>
                <w:spacing w:val="-12"/>
                <w:sz w:val="24"/>
                <w:szCs w:val="24"/>
                <w:highlight w:val="none"/>
                <w:lang w:val="en-US" w:eastAsia="zh-CN"/>
                <w14:textFill>
                  <w14:solidFill>
                    <w14:schemeClr w14:val="tx1"/>
                  </w14:solidFill>
                </w14:textFill>
              </w:rPr>
              <w:t>其它水质因子均</w:t>
            </w:r>
            <w:r>
              <w:rPr>
                <w:color w:val="000000" w:themeColor="text1"/>
                <w:spacing w:val="-2"/>
                <w:sz w:val="24"/>
                <w:szCs w:val="24"/>
                <w:highlight w:val="none"/>
                <w14:textFill>
                  <w14:solidFill>
                    <w14:schemeClr w14:val="tx1"/>
                  </w14:solidFill>
                </w14:textFill>
              </w:rPr>
              <w:t>满足《地下水质量标准》（GB/T14848-2017）</w:t>
            </w:r>
            <w:r>
              <w:rPr>
                <w:rFonts w:hint="eastAsia"/>
                <w:color w:val="000000" w:themeColor="text1"/>
                <w:spacing w:val="-2"/>
                <w:sz w:val="24"/>
                <w:szCs w:val="24"/>
                <w:highlight w:val="none"/>
                <w:lang w:val="en-US" w:eastAsia="zh-CN"/>
                <w14:textFill>
                  <w14:solidFill>
                    <w14:schemeClr w14:val="tx1"/>
                  </w14:solidFill>
                </w14:textFill>
              </w:rPr>
              <w:t>Ⅲ类</w:t>
            </w:r>
            <w:r>
              <w:rPr>
                <w:color w:val="000000" w:themeColor="text1"/>
                <w:spacing w:val="-2"/>
                <w:sz w:val="24"/>
                <w:szCs w:val="24"/>
                <w:highlight w:val="none"/>
                <w14:textFill>
                  <w14:solidFill>
                    <w14:schemeClr w14:val="tx1"/>
                  </w14:solidFill>
                </w14:textFill>
              </w:rPr>
              <w:t>标准</w:t>
            </w:r>
            <w:r>
              <w:rPr>
                <w:rFonts w:hint="eastAsia" w:cs="Times New Roman"/>
                <w:color w:val="000000" w:themeColor="text1"/>
                <w:ker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石油类浓度符合《地表水环境质量标准》（GB3838-2002）Ⅲ类标准要求。</w:t>
            </w:r>
          </w:p>
          <w:p w14:paraId="4CE0878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pPr>
            <w:r>
              <w:rPr>
                <w:rFonts w:hint="eastAsia" w:ascii="Times New Roman" w:hAnsi="Times New Roman" w:cs="Times New Roman"/>
                <w:b/>
                <w:bCs/>
                <w:color w:val="000000" w:themeColor="text1"/>
                <w:kern w:val="0"/>
                <w:sz w:val="24"/>
                <w:szCs w:val="24"/>
                <w:highlight w:val="none"/>
                <w:lang w:val="en-US" w:eastAsia="zh-CN"/>
                <w14:textFill>
                  <w14:solidFill>
                    <w14:schemeClr w14:val="tx1"/>
                  </w14:solidFill>
                </w14:textFill>
              </w:rPr>
              <w:t>（5）土壤环境</w:t>
            </w:r>
          </w:p>
          <w:p w14:paraId="2546AA2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eastAsia="zh-CN"/>
                <w14:textFill>
                  <w14:solidFill>
                    <w14:schemeClr w14:val="tx1"/>
                  </w14:solidFill>
                </w14:textFill>
              </w:rPr>
              <w:t>根据项目</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类型、</w:t>
            </w:r>
            <w:r>
              <w:rPr>
                <w:rFonts w:hint="default" w:ascii="Times New Roman" w:hAnsi="Times New Roman" w:cs="Times New Roman"/>
                <w:color w:val="000000" w:themeColor="text1"/>
                <w:sz w:val="24"/>
                <w:szCs w:val="24"/>
                <w:highlight w:val="none"/>
                <w:lang w:eastAsia="zh-CN"/>
                <w14:textFill>
                  <w14:solidFill>
                    <w14:schemeClr w14:val="tx1"/>
                  </w14:solidFill>
                </w14:textFill>
              </w:rPr>
              <w:t>地理位置、周边环境概况</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分析，建设项目存在土壤环境污染途径</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故对区域土壤环境现状进行补充背景监测：</w:t>
            </w:r>
          </w:p>
          <w:p w14:paraId="266DDE32">
            <w:pPr>
              <w:pStyle w:val="55"/>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①数据来源：</w:t>
            </w:r>
            <w:r>
              <w:rPr>
                <w:rFonts w:hint="default" w:ascii="Times New Roman" w:hAnsi="Times New Roman" w:eastAsia="宋体" w:cs="Times New Roman"/>
                <w:color w:val="000000" w:themeColor="text1"/>
                <w:sz w:val="24"/>
                <w:szCs w:val="24"/>
                <w:highlight w:val="none"/>
                <w14:textFill>
                  <w14:solidFill>
                    <w14:schemeClr w14:val="tx1"/>
                  </w14:solidFill>
                </w14:textFill>
              </w:rPr>
              <w:t>数据来源为实测，采用</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益铭检测技术服务(青岛)有限公司</w:t>
            </w:r>
            <w:r>
              <w:rPr>
                <w:rFonts w:hint="default" w:ascii="Times New Roman" w:hAnsi="Times New Roman" w:eastAsia="宋体" w:cs="Times New Roman"/>
                <w:color w:val="000000" w:themeColor="text1"/>
                <w:sz w:val="24"/>
                <w:szCs w:val="24"/>
                <w:highlight w:val="none"/>
                <w14:textFill>
                  <w14:solidFill>
                    <w14:schemeClr w14:val="tx1"/>
                  </w14:solidFill>
                </w14:textFill>
              </w:rPr>
              <w:t>针对本项目站址</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内</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土壤</w:t>
            </w:r>
            <w:r>
              <w:rPr>
                <w:rFonts w:hint="default" w:ascii="Times New Roman" w:hAnsi="Times New Roman" w:eastAsia="宋体" w:cs="Times New Roman"/>
                <w:color w:val="000000" w:themeColor="text1"/>
                <w:sz w:val="24"/>
                <w:szCs w:val="24"/>
                <w:highlight w:val="none"/>
                <w14:textFill>
                  <w14:solidFill>
                    <w14:schemeClr w14:val="tx1"/>
                  </w14:solidFill>
                </w14:textFill>
              </w:rPr>
              <w:t>环境质量出具的</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检测</w:t>
            </w:r>
            <w:r>
              <w:rPr>
                <w:rFonts w:hint="default" w:ascii="Times New Roman" w:hAnsi="Times New Roman" w:eastAsia="宋体" w:cs="Times New Roman"/>
                <w:color w:val="000000" w:themeColor="text1"/>
                <w:sz w:val="24"/>
                <w:szCs w:val="24"/>
                <w:highlight w:val="none"/>
                <w14:textFill>
                  <w14:solidFill>
                    <w14:schemeClr w14:val="tx1"/>
                  </w14:solidFill>
                </w14:textFill>
              </w:rPr>
              <w:t>报告（报告编号</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QDYM2609022201A）</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0B7A829A">
            <w:pPr>
              <w:pStyle w:val="55"/>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②检测点位：在本项目</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厂</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址</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内布设1</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个土壤采样点</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p>
          <w:p w14:paraId="6FE6AFF8">
            <w:pPr>
              <w:pStyle w:val="55"/>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③检测项目</w:t>
            </w:r>
          </w:p>
          <w:p w14:paraId="08E69F7F">
            <w:pPr>
              <w:pStyle w:val="55"/>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2"/>
                <w:sz w:val="24"/>
                <w:szCs w:val="24"/>
                <w:highlight w:val="none"/>
                <w14:textFill>
                  <w14:solidFill>
                    <w14:schemeClr w14:val="tx1"/>
                  </w14:solidFill>
                </w14:textFill>
              </w:rPr>
              <w:t>镉、汞、砷、铅、铬</w:t>
            </w:r>
            <w:r>
              <w:rPr>
                <w:rFonts w:hint="default" w:ascii="Times New Roman" w:hAnsi="Times New Roman" w:eastAsia="宋体" w:cs="Times New Roman"/>
                <w:color w:val="000000" w:themeColor="text1"/>
                <w:spacing w:val="-12"/>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2"/>
                <w:sz w:val="24"/>
                <w:szCs w:val="24"/>
                <w:highlight w:val="none"/>
                <w:lang w:val="en-US" w:eastAsia="zh-CN"/>
                <w14:textFill>
                  <w14:solidFill>
                    <w14:schemeClr w14:val="tx1"/>
                  </w14:solidFill>
                </w14:textFill>
              </w:rPr>
              <w:t>六价</w:t>
            </w:r>
            <w:r>
              <w:rPr>
                <w:rFonts w:hint="default" w:ascii="Times New Roman" w:hAnsi="Times New Roman" w:eastAsia="宋体" w:cs="Times New Roman"/>
                <w:color w:val="000000" w:themeColor="text1"/>
                <w:spacing w:val="-12"/>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2"/>
                <w:sz w:val="24"/>
                <w:szCs w:val="24"/>
                <w:highlight w:val="none"/>
                <w14:textFill>
                  <w14:solidFill>
                    <w14:schemeClr w14:val="tx1"/>
                  </w14:solidFill>
                </w14:textFill>
              </w:rPr>
              <w:t>、</w:t>
            </w:r>
            <w:r>
              <w:rPr>
                <w:rFonts w:hint="default" w:ascii="Times New Roman" w:hAnsi="Times New Roman" w:eastAsia="宋体" w:cs="Times New Roman"/>
                <w:color w:val="000000" w:themeColor="text1"/>
                <w:spacing w:val="-3"/>
                <w:sz w:val="24"/>
                <w:szCs w:val="24"/>
                <w:highlight w:val="none"/>
                <w14:textFill>
                  <w14:solidFill>
                    <w14:schemeClr w14:val="tx1"/>
                  </w14:solidFill>
                </w14:textFill>
              </w:rPr>
              <w:t>铜、镍、</w:t>
            </w:r>
            <w:r>
              <w:rPr>
                <w:rFonts w:hint="default" w:ascii="Times New Roman" w:hAnsi="Times New Roman" w:eastAsia="宋体" w:cs="Times New Roman"/>
                <w:color w:val="000000" w:themeColor="text1"/>
                <w:spacing w:val="-3"/>
                <w:sz w:val="24"/>
                <w:szCs w:val="24"/>
                <w:highlight w:val="none"/>
                <w:lang w:val="en-US" w:eastAsia="zh-CN"/>
                <w14:textFill>
                  <w14:solidFill>
                    <w14:schemeClr w14:val="tx1"/>
                  </w14:solidFill>
                </w14:textFill>
              </w:rPr>
              <w:t>石油烃</w:t>
            </w:r>
            <w:r>
              <w:rPr>
                <w:rFonts w:hint="default" w:ascii="Times New Roman" w:hAnsi="Times New Roman" w:eastAsia="宋体" w:cs="Times New Roman"/>
                <w:b w:val="0"/>
                <w:bCs/>
                <w:color w:val="000000" w:themeColor="text1"/>
                <w:kern w:val="0"/>
                <w:sz w:val="24"/>
                <w:szCs w:val="24"/>
                <w:highlight w:val="none"/>
                <w:lang w:val="en-US" w:eastAsia="zh-CN" w:bidi="ar"/>
                <w14:textFill>
                  <w14:solidFill>
                    <w14:schemeClr w14:val="tx1"/>
                  </w14:solidFill>
                </w14:textFill>
              </w:rPr>
              <w:t>、四氯化碳、氯仿、氯甲烷、1,1-二氯乙烷、1,2-二氯乙烷、1,1-二氯乙烯、顺-1,2-二氯乙烯、反-1,2-二氯乙烯、二氯甲烷、1,2-二氯丙烷、1,1,1,2-四氯乙烷、1,1,2,2-四氯乙烷、四氯乙烯、1,1,1-三氯乙烷、1,1,2-三氯乙烷、三氯乙烯、1,2,3-三氯丙烷、氯乙烯、苯、氯苯、1,2-二氯苯、1,4-二氯苯、乙苯、苯乙烯、甲苯、间二甲苯+对二甲苯、邻二甲苯、硝基苯、苯胺、2-氯酚、苯并[a]蒽、苯并[a]芘、苯并[b]荧蒽、苯并[k]荧蒽、䓛、二苯并[a, h]蒽、茚并[1,2,3-cd]芘、萘、pH、石油烃（C6</w:t>
            </w:r>
            <w:r>
              <w:rPr>
                <w:rFonts w:hint="default" w:ascii="Times New Roman" w:hAnsi="Times New Roman" w:eastAsia="宋体" w:cs="Times New Roman"/>
                <w:b w:val="0"/>
                <w:bCs/>
                <w:color w:val="000000" w:themeColor="text1"/>
                <w:kern w:val="0"/>
                <w:sz w:val="24"/>
                <w:szCs w:val="24"/>
                <w:highlight w:val="none"/>
                <w:lang w:val="en-US" w:eastAsia="zh-CN" w:bidi="ar"/>
                <w14:textFill>
                  <w14:solidFill>
                    <w14:schemeClr w14:val="tx1"/>
                  </w14:solidFill>
                </w14:textFill>
              </w:rPr>
              <w:noBreakHyphen/>
            </w:r>
            <w:r>
              <w:rPr>
                <w:rFonts w:hint="default" w:ascii="Times New Roman" w:hAnsi="Times New Roman" w:eastAsia="宋体" w:cs="Times New Roman"/>
                <w:b w:val="0"/>
                <w:bCs/>
                <w:color w:val="000000" w:themeColor="text1"/>
                <w:kern w:val="0"/>
                <w:sz w:val="24"/>
                <w:szCs w:val="24"/>
                <w:highlight w:val="none"/>
                <w:lang w:val="en-US" w:eastAsia="zh-CN" w:bidi="ar"/>
                <w14:textFill>
                  <w14:solidFill>
                    <w14:schemeClr w14:val="tx1"/>
                  </w14:solidFill>
                </w14:textFill>
              </w:rPr>
              <w:t>C9、C10</w:t>
            </w:r>
            <w:r>
              <w:rPr>
                <w:rFonts w:hint="default" w:ascii="Times New Roman" w:hAnsi="Times New Roman" w:eastAsia="宋体" w:cs="Times New Roman"/>
                <w:b w:val="0"/>
                <w:bCs/>
                <w:color w:val="000000" w:themeColor="text1"/>
                <w:kern w:val="0"/>
                <w:sz w:val="24"/>
                <w:szCs w:val="24"/>
                <w:highlight w:val="none"/>
                <w:lang w:val="en-US" w:eastAsia="zh-CN" w:bidi="ar"/>
                <w14:textFill>
                  <w14:solidFill>
                    <w14:schemeClr w14:val="tx1"/>
                  </w14:solidFill>
                </w14:textFill>
              </w:rPr>
              <w:noBreakHyphen/>
            </w:r>
            <w:r>
              <w:rPr>
                <w:rFonts w:hint="default" w:ascii="Times New Roman" w:hAnsi="Times New Roman" w:eastAsia="宋体" w:cs="Times New Roman"/>
                <w:b w:val="0"/>
                <w:bCs/>
                <w:color w:val="000000" w:themeColor="text1"/>
                <w:kern w:val="0"/>
                <w:sz w:val="24"/>
                <w:szCs w:val="24"/>
                <w:highlight w:val="none"/>
                <w:lang w:val="en-US" w:eastAsia="zh-CN" w:bidi="ar"/>
                <w14:textFill>
                  <w14:solidFill>
                    <w14:schemeClr w14:val="tx1"/>
                  </w14:solidFill>
                </w14:textFill>
              </w:rPr>
              <w:t>C40）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52DC7C0B">
            <w:pPr>
              <w:pStyle w:val="55"/>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④评价结果：</w:t>
            </w:r>
          </w:p>
          <w:p w14:paraId="5EBD10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kern w:val="0"/>
                <w:sz w:val="24"/>
                <w:szCs w:val="24"/>
                <w:highlight w:val="none"/>
                <w:vertAlign w:val="baseline"/>
                <w:lang w:val="en-US" w:eastAsia="zh-CN"/>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t>表3</w:t>
            </w:r>
            <w:r>
              <w:rPr>
                <w:rFonts w:hint="eastAsia" w:cs="Times New Roman"/>
                <w:b/>
                <w:bCs/>
                <w:color w:val="000000" w:themeColor="text1"/>
                <w:kern w:val="0"/>
                <w:sz w:val="24"/>
                <w:szCs w:val="24"/>
                <w:highlight w:val="none"/>
                <w:lang w:val="en-US" w:eastAsia="zh-CN"/>
                <w14:textFill>
                  <w14:solidFill>
                    <w14:schemeClr w14:val="tx1"/>
                  </w14:solidFill>
                </w14:textFill>
              </w:rPr>
              <w:t>.8</w:t>
            </w:r>
            <w:r>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t xml:space="preserve"> 本项目</w:t>
            </w:r>
            <w:r>
              <w:rPr>
                <w:rFonts w:hint="eastAsia" w:ascii="Times New Roman" w:hAnsi="Times New Roman" w:cs="Times New Roman"/>
                <w:b/>
                <w:bCs/>
                <w:color w:val="000000" w:themeColor="text1"/>
                <w:kern w:val="0"/>
                <w:sz w:val="24"/>
                <w:szCs w:val="24"/>
                <w:highlight w:val="none"/>
                <w:lang w:val="en-US" w:eastAsia="zh-CN"/>
                <w14:textFill>
                  <w14:solidFill>
                    <w14:schemeClr w14:val="tx1"/>
                  </w14:solidFill>
                </w14:textFill>
              </w:rPr>
              <w:t>所在区域土壤环境现状监测结果</w:t>
            </w:r>
          </w:p>
          <w:tbl>
            <w:tblPr>
              <w:tblStyle w:val="28"/>
              <w:tblW w:w="8479"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016"/>
              <w:gridCol w:w="3463"/>
            </w:tblGrid>
            <w:tr w14:paraId="098E8D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3383242B">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采</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样时间</w:t>
                  </w:r>
                </w:p>
              </w:tc>
              <w:tc>
                <w:tcPr>
                  <w:tcW w:w="2042" w:type="pct"/>
                  <w:tcBorders>
                    <w:tl2br w:val="nil"/>
                    <w:tr2bl w:val="nil"/>
                  </w:tcBorders>
                  <w:noWrap w:val="0"/>
                  <w:vAlign w:val="center"/>
                </w:tcPr>
                <w:p w14:paraId="7ED2460A">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2025.0</w:t>
                  </w:r>
                  <w:r>
                    <w:rPr>
                      <w:rFonts w:hint="eastAsia" w:cs="Times New Roman"/>
                      <w:color w:val="000000" w:themeColor="text1"/>
                      <w:sz w:val="21"/>
                      <w:szCs w:val="21"/>
                      <w:highlight w:val="none"/>
                      <w:lang w:val="en-US" w:eastAsia="zh-CN"/>
                      <w14:textFill>
                        <w14:solidFill>
                          <w14:schemeClr w14:val="tx1"/>
                        </w14:solidFill>
                      </w14:textFill>
                    </w:rPr>
                    <w:t>9</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.0</w:t>
                  </w:r>
                  <w:r>
                    <w:rPr>
                      <w:rFonts w:hint="eastAsia" w:cs="Times New Roman"/>
                      <w:color w:val="000000" w:themeColor="text1"/>
                      <w:sz w:val="21"/>
                      <w:szCs w:val="21"/>
                      <w:highlight w:val="none"/>
                      <w:lang w:val="en-US" w:eastAsia="zh-CN"/>
                      <w14:textFill>
                        <w14:solidFill>
                          <w14:schemeClr w14:val="tx1"/>
                        </w14:solidFill>
                      </w14:textFill>
                    </w:rPr>
                    <w:t>3</w:t>
                  </w:r>
                </w:p>
              </w:tc>
            </w:tr>
            <w:tr w14:paraId="21A40F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2957" w:type="pct"/>
                  <w:tcBorders>
                    <w:tl2br w:val="nil"/>
                    <w:tr2bl w:val="nil"/>
                  </w:tcBorders>
                  <w:noWrap w:val="0"/>
                  <w:vAlign w:val="center"/>
                </w:tcPr>
                <w:p w14:paraId="071B8EF8">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采样点位</w:t>
                  </w:r>
                </w:p>
              </w:tc>
              <w:tc>
                <w:tcPr>
                  <w:tcW w:w="2042" w:type="pct"/>
                  <w:tcBorders>
                    <w:tl2br w:val="nil"/>
                    <w:tr2bl w:val="nil"/>
                  </w:tcBorders>
                  <w:noWrap w:val="0"/>
                  <w:vAlign w:val="center"/>
                </w:tcPr>
                <w:p w14:paraId="13E74C5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表层土壤（0-20cm）</w:t>
                  </w:r>
                </w:p>
              </w:tc>
            </w:tr>
            <w:tr w14:paraId="55273A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57" w:type="pct"/>
                  <w:tcBorders>
                    <w:tl2br w:val="nil"/>
                    <w:tr2bl w:val="nil"/>
                  </w:tcBorders>
                  <w:noWrap w:val="0"/>
                  <w:vAlign w:val="center"/>
                </w:tcPr>
                <w:p w14:paraId="6DD921BC">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pH值</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（无量纲）</w:t>
                  </w:r>
                </w:p>
              </w:tc>
              <w:tc>
                <w:tcPr>
                  <w:tcW w:w="2042" w:type="pct"/>
                  <w:tcBorders>
                    <w:tl2br w:val="nil"/>
                    <w:tr2bl w:val="nil"/>
                  </w:tcBorders>
                  <w:noWrap w:val="0"/>
                  <w:vAlign w:val="top"/>
                </w:tcPr>
                <w:p w14:paraId="6FA3E809">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7.58</w:t>
                  </w:r>
                </w:p>
              </w:tc>
            </w:tr>
            <w:tr w14:paraId="4B3DDB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0A12B6CE">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汞</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mg/kg</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2042" w:type="pct"/>
                  <w:tcBorders>
                    <w:tl2br w:val="nil"/>
                    <w:tr2bl w:val="nil"/>
                  </w:tcBorders>
                  <w:noWrap w:val="0"/>
                  <w:vAlign w:val="center"/>
                </w:tcPr>
                <w:p w14:paraId="416B7405">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0.055</w:t>
                  </w:r>
                </w:p>
              </w:tc>
            </w:tr>
            <w:tr w14:paraId="62BADD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07EC8A0D">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砷</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mg/kg</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2042" w:type="pct"/>
                  <w:tcBorders>
                    <w:tl2br w:val="nil"/>
                    <w:tr2bl w:val="nil"/>
                  </w:tcBorders>
                  <w:noWrap w:val="0"/>
                  <w:vAlign w:val="center"/>
                </w:tcPr>
                <w:p w14:paraId="1D310BDC">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6.24</w:t>
                  </w:r>
                </w:p>
              </w:tc>
            </w:tr>
            <w:tr w14:paraId="520787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713C8D52">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铅</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mg/kg</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2042" w:type="pct"/>
                  <w:tcBorders>
                    <w:tl2br w:val="nil"/>
                    <w:tr2bl w:val="nil"/>
                  </w:tcBorders>
                  <w:noWrap w:val="0"/>
                  <w:vAlign w:val="center"/>
                </w:tcPr>
                <w:p w14:paraId="01A8DD33">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15.8</w:t>
                  </w:r>
                </w:p>
              </w:tc>
            </w:tr>
            <w:tr w14:paraId="44CADC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top"/>
                </w:tcPr>
                <w:p w14:paraId="43E5D81B">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镉</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mg/kg</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2042" w:type="pct"/>
                  <w:tcBorders>
                    <w:tl2br w:val="nil"/>
                    <w:tr2bl w:val="nil"/>
                  </w:tcBorders>
                  <w:noWrap w:val="0"/>
                  <w:vAlign w:val="center"/>
                </w:tcPr>
                <w:p w14:paraId="7FCD82AF">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w:t>
                  </w:r>
                  <w:r>
                    <w:rPr>
                      <w:rFonts w:hint="eastAsia" w:eastAsia="宋体" w:cs="Times New Roman"/>
                      <w:color w:val="000000" w:themeColor="text1"/>
                      <w:sz w:val="21"/>
                      <w:szCs w:val="21"/>
                      <w:highlight w:val="none"/>
                      <w:lang w:val="en-US" w:eastAsia="zh-CN"/>
                      <w14:textFill>
                        <w14:solidFill>
                          <w14:schemeClr w14:val="tx1"/>
                        </w14:solidFill>
                      </w14:textFill>
                    </w:rPr>
                    <w:t>04</w:t>
                  </w:r>
                </w:p>
              </w:tc>
            </w:tr>
            <w:tr w14:paraId="4DEABD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025DA5BA">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铜</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mg/kg</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2042" w:type="pct"/>
                  <w:tcBorders>
                    <w:tl2br w:val="nil"/>
                    <w:tr2bl w:val="nil"/>
                  </w:tcBorders>
                  <w:noWrap w:val="0"/>
                  <w:vAlign w:val="center"/>
                </w:tcPr>
                <w:p w14:paraId="1CC10729">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8</w:t>
                  </w:r>
                </w:p>
              </w:tc>
            </w:tr>
            <w:tr w14:paraId="3E3EF2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7D048ADF">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镍</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mg/kg</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2042" w:type="pct"/>
                  <w:tcBorders>
                    <w:tl2br w:val="nil"/>
                    <w:tr2bl w:val="nil"/>
                  </w:tcBorders>
                  <w:noWrap w:val="0"/>
                  <w:vAlign w:val="center"/>
                </w:tcPr>
                <w:p w14:paraId="3BBD2A1D">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18</w:t>
                  </w:r>
                </w:p>
              </w:tc>
            </w:tr>
            <w:tr w14:paraId="784AB4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1D312D89">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六价铬（</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mg/kg</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2042" w:type="pct"/>
                  <w:tcBorders>
                    <w:tl2br w:val="nil"/>
                    <w:tr2bl w:val="nil"/>
                  </w:tcBorders>
                  <w:noWrap w:val="0"/>
                  <w:vAlign w:val="center"/>
                </w:tcPr>
                <w:p w14:paraId="453C95F6">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2634D9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0D6DBAD6">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四</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氯</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化碳（μg/kg）</w:t>
                  </w:r>
                </w:p>
              </w:tc>
              <w:tc>
                <w:tcPr>
                  <w:tcW w:w="2042" w:type="pct"/>
                  <w:tcBorders>
                    <w:tl2br w:val="nil"/>
                    <w:tr2bl w:val="nil"/>
                  </w:tcBorders>
                  <w:noWrap w:val="0"/>
                  <w:vAlign w:val="center"/>
                </w:tcPr>
                <w:p w14:paraId="7F1CD333">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2DC1DA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3903718E">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氯</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仿（μg/kg）</w:t>
                  </w:r>
                </w:p>
              </w:tc>
              <w:tc>
                <w:tcPr>
                  <w:tcW w:w="2042" w:type="pct"/>
                  <w:tcBorders>
                    <w:tl2br w:val="nil"/>
                    <w:tr2bl w:val="nil"/>
                  </w:tcBorders>
                  <w:noWrap w:val="0"/>
                  <w:vAlign w:val="center"/>
                </w:tcPr>
                <w:p w14:paraId="7D472FA5">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11E697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4F74B58B">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氯</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甲烷（μg/kg）</w:t>
                  </w:r>
                </w:p>
              </w:tc>
              <w:tc>
                <w:tcPr>
                  <w:tcW w:w="2042" w:type="pct"/>
                  <w:tcBorders>
                    <w:tl2br w:val="nil"/>
                    <w:tr2bl w:val="nil"/>
                  </w:tcBorders>
                  <w:noWrap w:val="0"/>
                  <w:vAlign w:val="center"/>
                </w:tcPr>
                <w:p w14:paraId="319E7F26">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425000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1114BF5D">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1,1-二</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氯</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乙烷（μg/kg）</w:t>
                  </w:r>
                </w:p>
              </w:tc>
              <w:tc>
                <w:tcPr>
                  <w:tcW w:w="2042" w:type="pct"/>
                  <w:tcBorders>
                    <w:tl2br w:val="nil"/>
                    <w:tr2bl w:val="nil"/>
                  </w:tcBorders>
                  <w:noWrap w:val="0"/>
                  <w:vAlign w:val="center"/>
                </w:tcPr>
                <w:p w14:paraId="3AF71B38">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174595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169F25D8">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1,2-二</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氯</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乙烷（μg/kg）</w:t>
                  </w:r>
                </w:p>
              </w:tc>
              <w:tc>
                <w:tcPr>
                  <w:tcW w:w="2042" w:type="pct"/>
                  <w:tcBorders>
                    <w:tl2br w:val="nil"/>
                    <w:tr2bl w:val="nil"/>
                  </w:tcBorders>
                  <w:noWrap w:val="0"/>
                  <w:vAlign w:val="center"/>
                </w:tcPr>
                <w:p w14:paraId="31BABA22">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60EE9D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2905091E">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1,1-二</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氯</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乙烯（μg/kg）</w:t>
                  </w:r>
                </w:p>
              </w:tc>
              <w:tc>
                <w:tcPr>
                  <w:tcW w:w="2042" w:type="pct"/>
                  <w:tcBorders>
                    <w:tl2br w:val="nil"/>
                    <w:tr2bl w:val="nil"/>
                  </w:tcBorders>
                  <w:noWrap w:val="0"/>
                  <w:vAlign w:val="center"/>
                </w:tcPr>
                <w:p w14:paraId="381D2ECB">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32A61B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154B16F1">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顺-1,2-二</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氯</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乙烯（μg/kg）</w:t>
                  </w:r>
                </w:p>
              </w:tc>
              <w:tc>
                <w:tcPr>
                  <w:tcW w:w="2042" w:type="pct"/>
                  <w:tcBorders>
                    <w:tl2br w:val="nil"/>
                    <w:tr2bl w:val="nil"/>
                  </w:tcBorders>
                  <w:noWrap w:val="0"/>
                  <w:vAlign w:val="center"/>
                </w:tcPr>
                <w:p w14:paraId="3DC3CFDB">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138FBC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6DFAD5C8">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反-1,2-二</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氯</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乙烯（μg/kg）</w:t>
                  </w:r>
                </w:p>
              </w:tc>
              <w:tc>
                <w:tcPr>
                  <w:tcW w:w="2042" w:type="pct"/>
                  <w:tcBorders>
                    <w:tl2br w:val="nil"/>
                    <w:tr2bl w:val="nil"/>
                  </w:tcBorders>
                  <w:noWrap w:val="0"/>
                  <w:vAlign w:val="center"/>
                </w:tcPr>
                <w:p w14:paraId="61FE3030">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646CC8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6F465B87">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二</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氯</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甲烷（μg/kg）</w:t>
                  </w:r>
                </w:p>
              </w:tc>
              <w:tc>
                <w:tcPr>
                  <w:tcW w:w="2042" w:type="pct"/>
                  <w:tcBorders>
                    <w:tl2br w:val="nil"/>
                    <w:tr2bl w:val="nil"/>
                  </w:tcBorders>
                  <w:noWrap w:val="0"/>
                  <w:vAlign w:val="center"/>
                </w:tcPr>
                <w:p w14:paraId="188684EA">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7697DD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7A52068D">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1,2-二</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氯</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丙烷（μg/kg）</w:t>
                  </w:r>
                </w:p>
              </w:tc>
              <w:tc>
                <w:tcPr>
                  <w:tcW w:w="2042" w:type="pct"/>
                  <w:tcBorders>
                    <w:tl2br w:val="nil"/>
                    <w:tr2bl w:val="nil"/>
                  </w:tcBorders>
                  <w:noWrap w:val="0"/>
                  <w:vAlign w:val="center"/>
                </w:tcPr>
                <w:p w14:paraId="1C870EC3">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0B128C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2BE1577D">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1,1,1,2-四</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氯</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乙烷（μg/kg）</w:t>
                  </w:r>
                </w:p>
              </w:tc>
              <w:tc>
                <w:tcPr>
                  <w:tcW w:w="2042" w:type="pct"/>
                  <w:tcBorders>
                    <w:tl2br w:val="nil"/>
                    <w:tr2bl w:val="nil"/>
                  </w:tcBorders>
                  <w:noWrap w:val="0"/>
                  <w:vAlign w:val="center"/>
                </w:tcPr>
                <w:p w14:paraId="60F5EB67">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563D77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33EC4FBB">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1,1,2,2-四</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氯</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乙烷（μg/kg）</w:t>
                  </w:r>
                </w:p>
              </w:tc>
              <w:tc>
                <w:tcPr>
                  <w:tcW w:w="2042" w:type="pct"/>
                  <w:tcBorders>
                    <w:tl2br w:val="nil"/>
                    <w:tr2bl w:val="nil"/>
                  </w:tcBorders>
                  <w:noWrap w:val="0"/>
                  <w:vAlign w:val="center"/>
                </w:tcPr>
                <w:p w14:paraId="70579C79">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1F83B2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3CE43544">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四</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氯</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乙烯（μg/kg）</w:t>
                  </w:r>
                </w:p>
              </w:tc>
              <w:tc>
                <w:tcPr>
                  <w:tcW w:w="2042" w:type="pct"/>
                  <w:tcBorders>
                    <w:tl2br w:val="nil"/>
                    <w:tr2bl w:val="nil"/>
                  </w:tcBorders>
                  <w:noWrap w:val="0"/>
                  <w:vAlign w:val="center"/>
                </w:tcPr>
                <w:p w14:paraId="6FCB3119">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03BC7D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716B763F">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1,1,1-三</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氯</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乙烷（μg/kg）</w:t>
                  </w:r>
                </w:p>
              </w:tc>
              <w:tc>
                <w:tcPr>
                  <w:tcW w:w="2042" w:type="pct"/>
                  <w:tcBorders>
                    <w:tl2br w:val="nil"/>
                    <w:tr2bl w:val="nil"/>
                  </w:tcBorders>
                  <w:noWrap w:val="0"/>
                  <w:vAlign w:val="center"/>
                </w:tcPr>
                <w:p w14:paraId="02AF83F7">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1F1116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6D9B5647">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1,1,2-三</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氯</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乙烷（μg/kg）</w:t>
                  </w:r>
                </w:p>
              </w:tc>
              <w:tc>
                <w:tcPr>
                  <w:tcW w:w="2042" w:type="pct"/>
                  <w:tcBorders>
                    <w:tl2br w:val="nil"/>
                    <w:tr2bl w:val="nil"/>
                  </w:tcBorders>
                  <w:noWrap w:val="0"/>
                  <w:vAlign w:val="center"/>
                </w:tcPr>
                <w:p w14:paraId="688A94B6">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182346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363ED7EA">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三</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氯</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乙烯（μg/kg）</w:t>
                  </w:r>
                </w:p>
              </w:tc>
              <w:tc>
                <w:tcPr>
                  <w:tcW w:w="2042" w:type="pct"/>
                  <w:tcBorders>
                    <w:tl2br w:val="nil"/>
                    <w:tr2bl w:val="nil"/>
                  </w:tcBorders>
                  <w:noWrap w:val="0"/>
                  <w:vAlign w:val="center"/>
                </w:tcPr>
                <w:p w14:paraId="60339487">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212050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7FE9DD7F">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1,2,3-三</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氯</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丙烷（μg/kg）</w:t>
                  </w:r>
                </w:p>
              </w:tc>
              <w:tc>
                <w:tcPr>
                  <w:tcW w:w="2042" w:type="pct"/>
                  <w:tcBorders>
                    <w:tl2br w:val="nil"/>
                    <w:tr2bl w:val="nil"/>
                  </w:tcBorders>
                  <w:noWrap w:val="0"/>
                  <w:vAlign w:val="center"/>
                </w:tcPr>
                <w:p w14:paraId="310249A9">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7F5C4A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40F7C2D0">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氯</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乙烯（μg/kg）</w:t>
                  </w:r>
                </w:p>
              </w:tc>
              <w:tc>
                <w:tcPr>
                  <w:tcW w:w="2042" w:type="pct"/>
                  <w:tcBorders>
                    <w:tl2br w:val="nil"/>
                    <w:tr2bl w:val="nil"/>
                  </w:tcBorders>
                  <w:noWrap w:val="0"/>
                  <w:vAlign w:val="center"/>
                </w:tcPr>
                <w:p w14:paraId="5C109150">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4461C1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5B26A21E">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苯（μg/kg）</w:t>
                  </w:r>
                </w:p>
              </w:tc>
              <w:tc>
                <w:tcPr>
                  <w:tcW w:w="2042" w:type="pct"/>
                  <w:tcBorders>
                    <w:tl2br w:val="nil"/>
                    <w:tr2bl w:val="nil"/>
                  </w:tcBorders>
                  <w:noWrap w:val="0"/>
                  <w:vAlign w:val="center"/>
                </w:tcPr>
                <w:p w14:paraId="5449215C">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053EB8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67755870">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氯</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苯（μg/kg）</w:t>
                  </w:r>
                </w:p>
              </w:tc>
              <w:tc>
                <w:tcPr>
                  <w:tcW w:w="2042" w:type="pct"/>
                  <w:tcBorders>
                    <w:tl2br w:val="nil"/>
                    <w:tr2bl w:val="nil"/>
                  </w:tcBorders>
                  <w:noWrap w:val="0"/>
                  <w:vAlign w:val="center"/>
                </w:tcPr>
                <w:p w14:paraId="7987920C">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3EC256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7E119497">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1,2-二</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氯</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苯（μg/kg）</w:t>
                  </w:r>
                </w:p>
              </w:tc>
              <w:tc>
                <w:tcPr>
                  <w:tcW w:w="2042" w:type="pct"/>
                  <w:tcBorders>
                    <w:tl2br w:val="nil"/>
                    <w:tr2bl w:val="nil"/>
                  </w:tcBorders>
                  <w:noWrap w:val="0"/>
                  <w:vAlign w:val="center"/>
                </w:tcPr>
                <w:p w14:paraId="27143EEA">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3AE143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09F4B50D">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1,4-二</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氯</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苯（μg/kg）</w:t>
                  </w:r>
                </w:p>
              </w:tc>
              <w:tc>
                <w:tcPr>
                  <w:tcW w:w="2042" w:type="pct"/>
                  <w:tcBorders>
                    <w:tl2br w:val="nil"/>
                    <w:tr2bl w:val="nil"/>
                  </w:tcBorders>
                  <w:noWrap w:val="0"/>
                  <w:vAlign w:val="center"/>
                </w:tcPr>
                <w:p w14:paraId="4D955E8B">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5360E4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66B9E30A">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乙苯（μg/kg）</w:t>
                  </w:r>
                </w:p>
              </w:tc>
              <w:tc>
                <w:tcPr>
                  <w:tcW w:w="2042" w:type="pct"/>
                  <w:tcBorders>
                    <w:tl2br w:val="nil"/>
                    <w:tr2bl w:val="nil"/>
                  </w:tcBorders>
                  <w:noWrap w:val="0"/>
                  <w:vAlign w:val="center"/>
                </w:tcPr>
                <w:p w14:paraId="3F4109B9">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143747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191B07FD">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苯乙烯（μg/kg）</w:t>
                  </w:r>
                </w:p>
              </w:tc>
              <w:tc>
                <w:tcPr>
                  <w:tcW w:w="2042" w:type="pct"/>
                  <w:tcBorders>
                    <w:tl2br w:val="nil"/>
                    <w:tr2bl w:val="nil"/>
                  </w:tcBorders>
                  <w:noWrap w:val="0"/>
                  <w:vAlign w:val="center"/>
                </w:tcPr>
                <w:p w14:paraId="13B5E1EA">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25F8B6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2DE0F6AE">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甲苯（μg/kg）</w:t>
                  </w:r>
                </w:p>
              </w:tc>
              <w:tc>
                <w:tcPr>
                  <w:tcW w:w="2042" w:type="pct"/>
                  <w:tcBorders>
                    <w:tl2br w:val="nil"/>
                    <w:tr2bl w:val="nil"/>
                  </w:tcBorders>
                  <w:noWrap w:val="0"/>
                  <w:vAlign w:val="center"/>
                </w:tcPr>
                <w:p w14:paraId="0A690CEB">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564C09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6F723F20">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间二甲苯+对二甲苯（μg/kg）</w:t>
                  </w:r>
                </w:p>
              </w:tc>
              <w:tc>
                <w:tcPr>
                  <w:tcW w:w="2042" w:type="pct"/>
                  <w:tcBorders>
                    <w:tl2br w:val="nil"/>
                    <w:tr2bl w:val="nil"/>
                  </w:tcBorders>
                  <w:noWrap w:val="0"/>
                  <w:vAlign w:val="center"/>
                </w:tcPr>
                <w:p w14:paraId="10CE050A">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4105D3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43CDB32F">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邻二甲苯</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mg/kg</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2042" w:type="pct"/>
                  <w:tcBorders>
                    <w:tl2br w:val="nil"/>
                    <w:tr2bl w:val="nil"/>
                  </w:tcBorders>
                  <w:noWrap w:val="0"/>
                  <w:vAlign w:val="center"/>
                </w:tcPr>
                <w:p w14:paraId="73F7A1DC">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346AF8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739DD84C">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硝基苯</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mg/kg</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2042" w:type="pct"/>
                  <w:tcBorders>
                    <w:tl2br w:val="nil"/>
                    <w:tr2bl w:val="nil"/>
                  </w:tcBorders>
                  <w:noWrap w:val="0"/>
                  <w:vAlign w:val="center"/>
                </w:tcPr>
                <w:p w14:paraId="35846662">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772C4F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67005088">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苯胺</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mg/kg</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2042" w:type="pct"/>
                  <w:tcBorders>
                    <w:tl2br w:val="nil"/>
                    <w:tr2bl w:val="nil"/>
                  </w:tcBorders>
                  <w:noWrap w:val="0"/>
                  <w:vAlign w:val="center"/>
                </w:tcPr>
                <w:p w14:paraId="1697B595">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140AAE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1A4E7914">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2-氯酚</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mg/kg</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2042" w:type="pct"/>
                  <w:tcBorders>
                    <w:tl2br w:val="nil"/>
                    <w:tr2bl w:val="nil"/>
                  </w:tcBorders>
                  <w:noWrap w:val="0"/>
                  <w:vAlign w:val="center"/>
                </w:tcPr>
                <w:p w14:paraId="23BBFA4B">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5820C7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21C5E982">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苯并[a]蒽</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mg/kg</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2042" w:type="pct"/>
                  <w:tcBorders>
                    <w:tl2br w:val="nil"/>
                    <w:tr2bl w:val="nil"/>
                  </w:tcBorders>
                  <w:noWrap w:val="0"/>
                  <w:vAlign w:val="center"/>
                </w:tcPr>
                <w:p w14:paraId="0BD7EF4B">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14F20E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6EF77EB0">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苯并[a]芘</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mg/kg</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2042" w:type="pct"/>
                  <w:tcBorders>
                    <w:tl2br w:val="nil"/>
                    <w:tr2bl w:val="nil"/>
                  </w:tcBorders>
                  <w:noWrap w:val="0"/>
                  <w:vAlign w:val="center"/>
                </w:tcPr>
                <w:p w14:paraId="11317EDB">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025075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6AC14EC8">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苯并[b]荧蒽</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mg/kg</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2042" w:type="pct"/>
                  <w:tcBorders>
                    <w:tl2br w:val="nil"/>
                    <w:tr2bl w:val="nil"/>
                  </w:tcBorders>
                  <w:noWrap w:val="0"/>
                  <w:vAlign w:val="center"/>
                </w:tcPr>
                <w:p w14:paraId="7666C3DA">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403316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77DB8E8E">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苯并[k]荧蒽</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mg/kg</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2042" w:type="pct"/>
                  <w:tcBorders>
                    <w:tl2br w:val="nil"/>
                    <w:tr2bl w:val="nil"/>
                  </w:tcBorders>
                  <w:noWrap w:val="0"/>
                  <w:vAlign w:val="center"/>
                </w:tcPr>
                <w:p w14:paraId="0159B1BB">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41C837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4F80A0EF">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䓛</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mg/kg</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2042" w:type="pct"/>
                  <w:tcBorders>
                    <w:tl2br w:val="nil"/>
                    <w:tr2bl w:val="nil"/>
                  </w:tcBorders>
                  <w:noWrap w:val="0"/>
                  <w:vAlign w:val="center"/>
                </w:tcPr>
                <w:p w14:paraId="2E125110">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328B16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3ED50230">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二苯并[a, h]蒽</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mg/kg</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2042" w:type="pct"/>
                  <w:tcBorders>
                    <w:tl2br w:val="nil"/>
                    <w:tr2bl w:val="nil"/>
                  </w:tcBorders>
                  <w:noWrap w:val="0"/>
                  <w:vAlign w:val="center"/>
                </w:tcPr>
                <w:p w14:paraId="51E103A2">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66863A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52AA3773">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茚并[1,2,3-c,d]芘</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mg/kg</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2042" w:type="pct"/>
                  <w:tcBorders>
                    <w:tl2br w:val="nil"/>
                    <w:tr2bl w:val="nil"/>
                  </w:tcBorders>
                  <w:noWrap w:val="0"/>
                  <w:vAlign w:val="center"/>
                </w:tcPr>
                <w:p w14:paraId="3DF50993">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3448AC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513B69E6">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萘</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mg/kg</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2042" w:type="pct"/>
                  <w:tcBorders>
                    <w:tl2br w:val="nil"/>
                    <w:tr2bl w:val="nil"/>
                  </w:tcBorders>
                  <w:noWrap w:val="0"/>
                  <w:vAlign w:val="center"/>
                </w:tcPr>
                <w:p w14:paraId="511EC958">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6F0103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38BD0FDE">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石油烃（C6</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noBreakHyphe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C9）</w:t>
                  </w:r>
                </w:p>
              </w:tc>
              <w:tc>
                <w:tcPr>
                  <w:tcW w:w="2042" w:type="pct"/>
                  <w:tcBorders>
                    <w:tl2br w:val="nil"/>
                    <w:tr2bl w:val="nil"/>
                  </w:tcBorders>
                  <w:noWrap w:val="0"/>
                  <w:vAlign w:val="center"/>
                </w:tcPr>
                <w:p w14:paraId="27F6A4E3">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ND</w:t>
                  </w:r>
                </w:p>
              </w:tc>
            </w:tr>
            <w:tr w14:paraId="70F059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957" w:type="pct"/>
                  <w:tcBorders>
                    <w:tl2br w:val="nil"/>
                    <w:tr2bl w:val="nil"/>
                  </w:tcBorders>
                  <w:noWrap w:val="0"/>
                  <w:vAlign w:val="center"/>
                </w:tcPr>
                <w:p w14:paraId="2A727EAE">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石油烃（C10</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noBreakHyphen/>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C40）</w:t>
                  </w:r>
                </w:p>
              </w:tc>
              <w:tc>
                <w:tcPr>
                  <w:tcW w:w="2042" w:type="pct"/>
                  <w:tcBorders>
                    <w:tl2br w:val="nil"/>
                    <w:tr2bl w:val="nil"/>
                  </w:tcBorders>
                  <w:noWrap w:val="0"/>
                  <w:vAlign w:val="center"/>
                </w:tcPr>
                <w:p w14:paraId="36010CE0">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color w:val="000000" w:themeColor="text1"/>
                      <w:sz w:val="21"/>
                      <w:szCs w:val="21"/>
                      <w:highlight w:val="none"/>
                      <w:lang w:val="en-US" w:eastAsia="zh-CN"/>
                      <w14:textFill>
                        <w14:solidFill>
                          <w14:schemeClr w14:val="tx1"/>
                        </w14:solidFill>
                      </w14:textFill>
                    </w:rPr>
                    <w:t>167</w:t>
                  </w:r>
                </w:p>
              </w:tc>
            </w:tr>
            <w:tr w14:paraId="56CAED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5000" w:type="pct"/>
                  <w:gridSpan w:val="2"/>
                  <w:tcBorders>
                    <w:tl2br w:val="nil"/>
                    <w:tr2bl w:val="nil"/>
                  </w:tcBorders>
                  <w:noWrap w:val="0"/>
                  <w:vAlign w:val="center"/>
                </w:tcPr>
                <w:p w14:paraId="21C0C4F1">
                  <w:pPr>
                    <w:keepNext w:val="0"/>
                    <w:keepLines w:val="0"/>
                    <w:pageBreakBefore w:val="0"/>
                    <w:widowControl w:val="0"/>
                    <w:kinsoku/>
                    <w:wordWrap/>
                    <w:overflowPunct/>
                    <w:topLinePunct w:val="0"/>
                    <w:autoSpaceDE/>
                    <w:autoSpaceDN/>
                    <w:bidi w:val="0"/>
                    <w:spacing w:line="240" w:lineRule="auto"/>
                    <w:jc w:val="both"/>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备注：ND表示未检出。</w:t>
                  </w:r>
                </w:p>
              </w:tc>
            </w:tr>
          </w:tbl>
          <w:p w14:paraId="368725E2">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line="360" w:lineRule="auto"/>
              <w:ind w:firstLine="480" w:firstLineChars="200"/>
              <w:jc w:val="left"/>
              <w:textAlignment w:val="auto"/>
              <w:rPr>
                <w:rFonts w:hint="eastAsia" w:ascii="Times New Roman" w:hAnsi="Times New Roman" w:cs="Times New Roman"/>
                <w:b/>
                <w:bCs/>
                <w:color w:val="000000" w:themeColor="text1"/>
                <w:kern w:val="0"/>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由上述土壤背景调查相关数据表明</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项目地表占用区域建设用地土壤环境质量</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满足《土壤环境质量 建设用地土壤污染风险管控标准》（GB36600-2018）中表1中第二类用地筛选值标准要求，</w:t>
            </w:r>
            <w:r>
              <w:rPr>
                <w:rFonts w:hint="default" w:ascii="Times New Roman" w:hAnsi="Times New Roman" w:cs="Times New Roman"/>
                <w:color w:val="000000" w:themeColor="text1"/>
                <w:sz w:val="24"/>
                <w:szCs w:val="24"/>
                <w:highlight w:val="none"/>
                <w14:textFill>
                  <w14:solidFill>
                    <w14:schemeClr w14:val="tx1"/>
                  </w14:solidFill>
                </w14:textFill>
              </w:rPr>
              <w:t>本项目内土壤环境质量状况良好。</w:t>
            </w:r>
          </w:p>
          <w:p w14:paraId="6281B49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pPr>
            <w:r>
              <w:rPr>
                <w:rFonts w:hint="eastAsia" w:ascii="Times New Roman" w:hAnsi="Times New Roman" w:cs="Times New Roman"/>
                <w:b/>
                <w:bCs/>
                <w:color w:val="000000" w:themeColor="text1"/>
                <w:kern w:val="0"/>
                <w:sz w:val="24"/>
                <w:szCs w:val="24"/>
                <w:highlight w:val="none"/>
                <w:lang w:val="en-US" w:eastAsia="zh-CN"/>
                <w14:textFill>
                  <w14:solidFill>
                    <w14:schemeClr w14:val="tx1"/>
                  </w14:solidFill>
                </w14:textFill>
              </w:rPr>
              <w:t>（</w:t>
            </w:r>
            <w:r>
              <w:rPr>
                <w:rFonts w:hint="eastAsia" w:cs="Times New Roman"/>
                <w:b/>
                <w:bCs/>
                <w:color w:val="000000" w:themeColor="text1"/>
                <w:kern w:val="0"/>
                <w:sz w:val="24"/>
                <w:szCs w:val="24"/>
                <w:highlight w:val="none"/>
                <w:lang w:val="en-US" w:eastAsia="zh-CN"/>
                <w14:textFill>
                  <w14:solidFill>
                    <w14:schemeClr w14:val="tx1"/>
                  </w14:solidFill>
                </w14:textFill>
              </w:rPr>
              <w:t>6</w:t>
            </w:r>
            <w:r>
              <w:rPr>
                <w:rFonts w:hint="eastAsia" w:ascii="Times New Roman" w:hAnsi="Times New Roman" w:cs="Times New Roman"/>
                <w:b/>
                <w:bCs/>
                <w:color w:val="000000" w:themeColor="text1"/>
                <w:kern w:val="0"/>
                <w:sz w:val="24"/>
                <w:szCs w:val="24"/>
                <w:highlight w:val="none"/>
                <w:lang w:val="en-US" w:eastAsia="zh-CN"/>
                <w14:textFill>
                  <w14:solidFill>
                    <w14:schemeClr w14:val="tx1"/>
                  </w14:solidFill>
                </w14:textFill>
              </w:rPr>
              <w:t>）</w:t>
            </w:r>
            <w:r>
              <w:rPr>
                <w:rFonts w:hint="eastAsia" w:cs="Times New Roman"/>
                <w:b/>
                <w:bCs/>
                <w:color w:val="000000" w:themeColor="text1"/>
                <w:kern w:val="0"/>
                <w:sz w:val="24"/>
                <w:szCs w:val="24"/>
                <w:highlight w:val="none"/>
                <w:lang w:val="en-US" w:eastAsia="zh-CN"/>
                <w14:textFill>
                  <w14:solidFill>
                    <w14:schemeClr w14:val="tx1"/>
                  </w14:solidFill>
                </w14:textFill>
              </w:rPr>
              <w:t>生态环境状况</w:t>
            </w:r>
          </w:p>
          <w:p w14:paraId="6DA1D5BB">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本项目位于黑龙江省伊春市伊美区旭日街道一道口伊美区循环经济园区内（林源家具厂），</w:t>
            </w:r>
            <w:r>
              <w:rPr>
                <w:rFonts w:hint="default" w:ascii="宋体" w:hAnsi="宋体" w:eastAsia="宋体" w:cs="宋体"/>
                <w:color w:val="000000" w:themeColor="text1"/>
                <w:kern w:val="0"/>
                <w:sz w:val="24"/>
                <w:szCs w:val="24"/>
                <w:highlight w:val="none"/>
                <w:lang w:val="en-US" w:eastAsia="zh-CN"/>
                <w14:textFill>
                  <w14:solidFill>
                    <w14:schemeClr w14:val="tx1"/>
                  </w14:solidFill>
                </w14:textFill>
              </w:rPr>
              <w:t>本项目用地</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性质</w:t>
            </w:r>
            <w:r>
              <w:rPr>
                <w:rFonts w:hint="default" w:ascii="宋体" w:hAnsi="宋体" w:eastAsia="宋体" w:cs="宋体"/>
                <w:color w:val="000000" w:themeColor="text1"/>
                <w:kern w:val="0"/>
                <w:sz w:val="24"/>
                <w:szCs w:val="24"/>
                <w:highlight w:val="none"/>
                <w:lang w:val="en-US" w:eastAsia="zh-CN"/>
                <w14:textFill>
                  <w14:solidFill>
                    <w14:schemeClr w14:val="tx1"/>
                  </w14:solidFill>
                </w14:textFill>
              </w:rPr>
              <w:t>为工业用地，用地范围内无生态环境保护目标，因此不进行生态现状调查</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w:t>
            </w:r>
          </w:p>
        </w:tc>
      </w:tr>
      <w:tr w14:paraId="751231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04" w:hRule="atLeast"/>
        </w:trPr>
        <w:tc>
          <w:tcPr>
            <w:tcW w:w="800" w:type="dxa"/>
            <w:noWrap w:val="0"/>
            <w:vAlign w:val="center"/>
          </w:tcPr>
          <w:p w14:paraId="63E44619">
            <w:pPr>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环境</w:t>
            </w:r>
          </w:p>
          <w:p w14:paraId="36F3E0EB">
            <w:pPr>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保护</w:t>
            </w:r>
          </w:p>
          <w:p w14:paraId="30C4CC16">
            <w:pPr>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目标</w:t>
            </w:r>
          </w:p>
        </w:tc>
        <w:tc>
          <w:tcPr>
            <w:tcW w:w="8190" w:type="dxa"/>
            <w:noWrap w:val="0"/>
            <w:vAlign w:val="top"/>
          </w:tcPr>
          <w:p w14:paraId="564AD08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大气环境</w:t>
            </w:r>
          </w:p>
          <w:p w14:paraId="00A19A11">
            <w:pPr>
              <w:spacing w:line="360" w:lineRule="auto"/>
              <w:ind w:firstLine="480" w:firstLineChars="200"/>
              <w:contextualSpacing/>
              <w:rPr>
                <w:rFonts w:eastAsia="宋体"/>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本项目建设地点位于</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黑龙江省伊春市伊美区旭日街道一道口伊美区循环经济园区内（林源家具厂）</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w:t>
            </w:r>
            <w:r>
              <w:rPr>
                <w:rFonts w:eastAsia="宋体"/>
                <w:color w:val="000000" w:themeColor="text1"/>
                <w:kern w:val="0"/>
                <w:sz w:val="24"/>
                <w:highlight w:val="none"/>
                <w14:textFill>
                  <w14:solidFill>
                    <w14:schemeClr w14:val="tx1"/>
                  </w14:solidFill>
                </w14:textFill>
              </w:rPr>
              <w:t>厂界外</w:t>
            </w:r>
            <w:r>
              <w:rPr>
                <w:rFonts w:hint="eastAsia" w:eastAsia="宋体"/>
                <w:color w:val="000000" w:themeColor="text1"/>
                <w:kern w:val="0"/>
                <w:sz w:val="24"/>
                <w:highlight w:val="none"/>
                <w:lang w:val="en-US" w:eastAsia="zh-CN"/>
                <w14:textFill>
                  <w14:solidFill>
                    <w14:schemeClr w14:val="tx1"/>
                  </w14:solidFill>
                </w14:textFill>
              </w:rPr>
              <w:t>2.5k</w:t>
            </w:r>
            <w:r>
              <w:rPr>
                <w:rFonts w:eastAsia="宋体"/>
                <w:color w:val="000000" w:themeColor="text1"/>
                <w:kern w:val="0"/>
                <w:sz w:val="24"/>
                <w:highlight w:val="none"/>
                <w14:textFill>
                  <w14:solidFill>
                    <w14:schemeClr w14:val="tx1"/>
                  </w14:solidFill>
                </w14:textFill>
              </w:rPr>
              <w:t>m范围内大气环境保护目标为农村地区中人群较集中的区域</w:t>
            </w:r>
            <w:r>
              <w:rPr>
                <w:rFonts w:hint="eastAsia" w:eastAsia="宋体"/>
                <w:color w:val="000000" w:themeColor="text1"/>
                <w:kern w:val="0"/>
                <w:sz w:val="24"/>
                <w:highlight w:val="none"/>
                <w:lang w:eastAsia="zh-CN"/>
                <w14:textFill>
                  <w14:solidFill>
                    <w14:schemeClr w14:val="tx1"/>
                  </w14:solidFill>
                </w14:textFill>
              </w:rPr>
              <w:t>、</w:t>
            </w:r>
            <w:r>
              <w:rPr>
                <w:rFonts w:hint="eastAsia"/>
                <w:color w:val="000000" w:themeColor="text1"/>
                <w:kern w:val="0"/>
                <w:sz w:val="24"/>
                <w:highlight w:val="none"/>
                <w:lang w:eastAsia="zh-CN"/>
                <w14:textFill>
                  <w14:solidFill>
                    <w14:schemeClr w14:val="tx1"/>
                  </w14:solidFill>
                </w14:textFill>
              </w:rPr>
              <w:t>居住区</w:t>
            </w:r>
            <w:r>
              <w:rPr>
                <w:rFonts w:hint="eastAsia"/>
                <w:color w:val="000000" w:themeColor="text1"/>
                <w:kern w:val="0"/>
                <w:sz w:val="24"/>
                <w:highlight w:val="none"/>
                <w:lang w:val="en-US" w:eastAsia="zh-CN"/>
                <w14:textFill>
                  <w14:solidFill>
                    <w14:schemeClr w14:val="tx1"/>
                  </w14:solidFill>
                </w14:textFill>
              </w:rPr>
              <w:t>、文</w:t>
            </w:r>
            <w:r>
              <w:rPr>
                <w:rFonts w:hint="eastAsia" w:eastAsia="宋体"/>
                <w:color w:val="000000" w:themeColor="text1"/>
                <w:kern w:val="0"/>
                <w:sz w:val="24"/>
                <w:highlight w:val="none"/>
                <w:lang w:val="en-US" w:eastAsia="zh-CN"/>
                <w14:textFill>
                  <w14:solidFill>
                    <w14:schemeClr w14:val="tx1"/>
                  </w14:solidFill>
                </w14:textFill>
              </w:rPr>
              <w:t>化区</w:t>
            </w:r>
            <w:r>
              <w:rPr>
                <w:rFonts w:hint="eastAsia"/>
                <w:color w:val="000000" w:themeColor="text1"/>
                <w:kern w:val="0"/>
                <w:sz w:val="24"/>
                <w:highlight w:val="none"/>
                <w:lang w:val="en-US" w:eastAsia="zh-CN"/>
                <w14:textFill>
                  <w14:solidFill>
                    <w14:schemeClr w14:val="tx1"/>
                  </w14:solidFill>
                </w14:textFill>
              </w:rPr>
              <w:t>、医疗区、</w:t>
            </w:r>
            <w:r>
              <w:rPr>
                <w:rFonts w:ascii="宋体" w:hAnsi="宋体" w:eastAsia="宋体" w:cs="宋体"/>
                <w:color w:val="000000" w:themeColor="text1"/>
                <w:sz w:val="24"/>
                <w:szCs w:val="24"/>
                <w:highlight w:val="none"/>
                <w14:textFill>
                  <w14:solidFill>
                    <w14:schemeClr w14:val="tx1"/>
                  </w14:solidFill>
                </w14:textFill>
              </w:rPr>
              <w:t>其他需要特殊保护的区域</w:t>
            </w:r>
            <w:r>
              <w:rPr>
                <w:rFonts w:hint="eastAsia"/>
                <w:color w:val="000000" w:themeColor="text1"/>
                <w:kern w:val="0"/>
                <w:sz w:val="24"/>
                <w:highlight w:val="none"/>
                <w:lang w:val="en-US" w:eastAsia="zh-CN"/>
                <w14:textFill>
                  <w14:solidFill>
                    <w14:schemeClr w14:val="tx1"/>
                  </w14:solidFill>
                </w14:textFill>
              </w:rPr>
              <w:t>等</w:t>
            </w:r>
            <w:r>
              <w:rPr>
                <w:rFonts w:eastAsia="宋体"/>
                <w:color w:val="000000" w:themeColor="text1"/>
                <w:kern w:val="0"/>
                <w:sz w:val="24"/>
                <w:highlight w:val="none"/>
                <w14:textFill>
                  <w14:solidFill>
                    <w14:schemeClr w14:val="tx1"/>
                  </w14:solidFill>
                </w14:textFill>
              </w:rPr>
              <w:t>，具体情况详见下表。</w:t>
            </w:r>
          </w:p>
          <w:p w14:paraId="25CCC7AB">
            <w:pPr>
              <w:spacing w:line="240" w:lineRule="auto"/>
              <w:contextualSpacing/>
              <w:jc w:val="center"/>
              <w:rPr>
                <w:rFonts w:eastAsia="宋体"/>
                <w:b/>
                <w:color w:val="000000" w:themeColor="text1"/>
                <w:kern w:val="0"/>
                <w:sz w:val="24"/>
                <w:szCs w:val="24"/>
                <w:highlight w:val="none"/>
                <w14:textFill>
                  <w14:solidFill>
                    <w14:schemeClr w14:val="tx1"/>
                  </w14:solidFill>
                </w14:textFill>
              </w:rPr>
            </w:pPr>
            <w:r>
              <w:rPr>
                <w:rFonts w:eastAsia="宋体"/>
                <w:b/>
                <w:color w:val="000000" w:themeColor="text1"/>
                <w:kern w:val="0"/>
                <w:sz w:val="24"/>
                <w:szCs w:val="24"/>
                <w:highlight w:val="none"/>
                <w14:textFill>
                  <w14:solidFill>
                    <w14:schemeClr w14:val="tx1"/>
                  </w14:solidFill>
                </w14:textFill>
              </w:rPr>
              <w:t>表3-</w:t>
            </w:r>
            <w:r>
              <w:rPr>
                <w:rFonts w:hint="eastAsia"/>
                <w:b/>
                <w:color w:val="000000" w:themeColor="text1"/>
                <w:kern w:val="0"/>
                <w:sz w:val="24"/>
                <w:szCs w:val="24"/>
                <w:highlight w:val="none"/>
                <w:lang w:val="en-US" w:eastAsia="zh-CN"/>
                <w14:textFill>
                  <w14:solidFill>
                    <w14:schemeClr w14:val="tx1"/>
                  </w14:solidFill>
                </w14:textFill>
              </w:rPr>
              <w:t>9</w:t>
            </w:r>
            <w:r>
              <w:rPr>
                <w:rFonts w:eastAsia="宋体"/>
                <w:b/>
                <w:color w:val="000000" w:themeColor="text1"/>
                <w:kern w:val="0"/>
                <w:sz w:val="24"/>
                <w:szCs w:val="24"/>
                <w:highlight w:val="none"/>
                <w14:textFill>
                  <w14:solidFill>
                    <w14:schemeClr w14:val="tx1"/>
                  </w14:solidFill>
                </w14:textFill>
              </w:rPr>
              <w:t xml:space="preserve"> 项目环境敏感保护目标一览表</w:t>
            </w:r>
          </w:p>
          <w:tbl>
            <w:tblPr>
              <w:tblStyle w:val="28"/>
              <w:tblW w:w="4984"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74"/>
              <w:gridCol w:w="1750"/>
              <w:gridCol w:w="1662"/>
              <w:gridCol w:w="998"/>
              <w:gridCol w:w="661"/>
              <w:gridCol w:w="828"/>
              <w:gridCol w:w="877"/>
            </w:tblGrid>
            <w:tr w14:paraId="297F7A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38" w:type="pct"/>
                  <w:vMerge w:val="restart"/>
                  <w:tcBorders>
                    <w:tl2br w:val="nil"/>
                    <w:tr2bl w:val="nil"/>
                  </w:tcBorders>
                  <w:noWrap w:val="0"/>
                  <w:vAlign w:val="center"/>
                </w:tcPr>
                <w:p w14:paraId="5D28596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名称</w:t>
                  </w:r>
                </w:p>
              </w:tc>
              <w:tc>
                <w:tcPr>
                  <w:tcW w:w="2145" w:type="pct"/>
                  <w:gridSpan w:val="2"/>
                  <w:tcBorders>
                    <w:tl2br w:val="nil"/>
                    <w:tr2bl w:val="nil"/>
                  </w:tcBorders>
                  <w:noWrap w:val="0"/>
                  <w:vAlign w:val="center"/>
                </w:tcPr>
                <w:p w14:paraId="3322E63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坐标/°</w:t>
                  </w:r>
                </w:p>
              </w:tc>
              <w:tc>
                <w:tcPr>
                  <w:tcW w:w="627" w:type="pct"/>
                  <w:vMerge w:val="restart"/>
                  <w:tcBorders>
                    <w:tl2br w:val="nil"/>
                    <w:tr2bl w:val="nil"/>
                  </w:tcBorders>
                  <w:noWrap w:val="0"/>
                  <w:vAlign w:val="center"/>
                </w:tcPr>
                <w:p w14:paraId="146AAA7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保护对象</w:t>
                  </w:r>
                </w:p>
              </w:tc>
              <w:tc>
                <w:tcPr>
                  <w:tcW w:w="415" w:type="pct"/>
                  <w:vMerge w:val="restart"/>
                  <w:tcBorders>
                    <w:tl2br w:val="nil"/>
                    <w:tr2bl w:val="nil"/>
                  </w:tcBorders>
                  <w:noWrap w:val="0"/>
                  <w:vAlign w:val="center"/>
                </w:tcPr>
                <w:p w14:paraId="69CA1CD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环境功能区</w:t>
                  </w:r>
                </w:p>
              </w:tc>
              <w:tc>
                <w:tcPr>
                  <w:tcW w:w="520" w:type="pct"/>
                  <w:vMerge w:val="restart"/>
                  <w:tcBorders>
                    <w:tl2br w:val="nil"/>
                    <w:tr2bl w:val="nil"/>
                  </w:tcBorders>
                  <w:noWrap w:val="0"/>
                  <w:vAlign w:val="center"/>
                </w:tcPr>
                <w:p w14:paraId="189CE78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相对厂址方位</w:t>
                  </w:r>
                </w:p>
              </w:tc>
              <w:tc>
                <w:tcPr>
                  <w:tcW w:w="551" w:type="pct"/>
                  <w:vMerge w:val="restart"/>
                  <w:tcBorders>
                    <w:tl2br w:val="nil"/>
                    <w:tr2bl w:val="nil"/>
                  </w:tcBorders>
                  <w:noWrap w:val="0"/>
                  <w:vAlign w:val="center"/>
                </w:tcPr>
                <w:p w14:paraId="5F2C4F8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相对厂界距离/m</w:t>
                  </w:r>
                </w:p>
              </w:tc>
            </w:tr>
            <w:tr w14:paraId="0F0998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38" w:type="pct"/>
                  <w:vMerge w:val="continue"/>
                  <w:tcBorders>
                    <w:tl2br w:val="nil"/>
                    <w:tr2bl w:val="nil"/>
                  </w:tcBorders>
                  <w:noWrap w:val="0"/>
                  <w:vAlign w:val="center"/>
                </w:tcPr>
                <w:p w14:paraId="5A734DA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100" w:type="pct"/>
                  <w:tcBorders>
                    <w:tl2br w:val="nil"/>
                    <w:tr2bl w:val="nil"/>
                  </w:tcBorders>
                  <w:noWrap w:val="0"/>
                  <w:vAlign w:val="center"/>
                </w:tcPr>
                <w:p w14:paraId="5C50B71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东经</w:t>
                  </w:r>
                </w:p>
              </w:tc>
              <w:tc>
                <w:tcPr>
                  <w:tcW w:w="1045" w:type="pct"/>
                  <w:tcBorders>
                    <w:tl2br w:val="nil"/>
                    <w:tr2bl w:val="nil"/>
                  </w:tcBorders>
                  <w:noWrap w:val="0"/>
                  <w:vAlign w:val="center"/>
                </w:tcPr>
                <w:p w14:paraId="673826A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北纬</w:t>
                  </w:r>
                </w:p>
              </w:tc>
              <w:tc>
                <w:tcPr>
                  <w:tcW w:w="627" w:type="pct"/>
                  <w:vMerge w:val="continue"/>
                  <w:tcBorders>
                    <w:tl2br w:val="nil"/>
                    <w:tr2bl w:val="nil"/>
                  </w:tcBorders>
                  <w:noWrap w:val="0"/>
                  <w:vAlign w:val="center"/>
                </w:tcPr>
                <w:p w14:paraId="31DA748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289B7EC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p>
              </w:tc>
              <w:tc>
                <w:tcPr>
                  <w:tcW w:w="520" w:type="pct"/>
                  <w:vMerge w:val="continue"/>
                  <w:tcBorders>
                    <w:tl2br w:val="nil"/>
                    <w:tr2bl w:val="nil"/>
                  </w:tcBorders>
                  <w:noWrap w:val="0"/>
                  <w:vAlign w:val="center"/>
                </w:tcPr>
                <w:p w14:paraId="0873865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p>
              </w:tc>
              <w:tc>
                <w:tcPr>
                  <w:tcW w:w="551" w:type="pct"/>
                  <w:vMerge w:val="continue"/>
                  <w:tcBorders>
                    <w:tl2br w:val="nil"/>
                    <w:tr2bl w:val="nil"/>
                  </w:tcBorders>
                  <w:noWrap w:val="0"/>
                  <w:vAlign w:val="center"/>
                </w:tcPr>
                <w:p w14:paraId="0E893F2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14:textFill>
                        <w14:solidFill>
                          <w14:schemeClr w14:val="tx1"/>
                        </w14:solidFill>
                      </w14:textFill>
                    </w:rPr>
                  </w:pPr>
                </w:p>
              </w:tc>
            </w:tr>
            <w:tr w14:paraId="6B3E77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6C2EDD5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eastAsia="宋体" w:cs="Times New Roman"/>
                      <w:snapToGrid w:val="0"/>
                      <w:color w:val="000000" w:themeColor="text1"/>
                      <w:kern w:val="0"/>
                      <w:sz w:val="21"/>
                      <w:szCs w:val="21"/>
                      <w:highlight w:val="none"/>
                      <w:lang w:val="en-US" w:eastAsia="zh-CN"/>
                      <w14:textFill>
                        <w14:solidFill>
                          <w14:schemeClr w14:val="tx1"/>
                        </w14:solidFill>
                      </w14:textFill>
                    </w:rPr>
                    <w:t>东升镇</w:t>
                  </w:r>
                </w:p>
              </w:tc>
              <w:tc>
                <w:tcPr>
                  <w:tcW w:w="1100" w:type="pct"/>
                  <w:tcBorders>
                    <w:tl2br w:val="nil"/>
                    <w:tr2bl w:val="nil"/>
                  </w:tcBorders>
                  <w:noWrap w:val="0"/>
                  <w:vAlign w:val="center"/>
                </w:tcPr>
                <w:p w14:paraId="4477EEE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128°55′46.38069″</w:t>
                  </w:r>
                </w:p>
              </w:tc>
              <w:tc>
                <w:tcPr>
                  <w:tcW w:w="1045" w:type="pct"/>
                  <w:tcBorders>
                    <w:tl2br w:val="nil"/>
                    <w:tr2bl w:val="nil"/>
                  </w:tcBorders>
                  <w:noWrap w:val="0"/>
                  <w:vAlign w:val="center"/>
                </w:tcPr>
                <w:p w14:paraId="2ED0199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47°44′43.90850″</w:t>
                  </w:r>
                </w:p>
              </w:tc>
              <w:tc>
                <w:tcPr>
                  <w:tcW w:w="627" w:type="pct"/>
                  <w:vMerge w:val="restart"/>
                  <w:tcBorders>
                    <w:tl2br w:val="nil"/>
                    <w:tr2bl w:val="nil"/>
                  </w:tcBorders>
                  <w:noWrap w:val="0"/>
                  <w:vAlign w:val="center"/>
                </w:tcPr>
                <w:p w14:paraId="1103930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农村地区</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中人</w:t>
                  </w:r>
                  <w:r>
                    <w:rPr>
                      <w:rFonts w:hint="default" w:ascii="Times New Roman" w:hAnsi="Times New Roman" w:eastAsia="宋体" w:cs="Times New Roman"/>
                      <w:color w:val="000000" w:themeColor="text1"/>
                      <w:sz w:val="21"/>
                      <w:szCs w:val="21"/>
                      <w:highlight w:val="none"/>
                      <w14:textFill>
                        <w14:solidFill>
                          <w14:schemeClr w14:val="tx1"/>
                        </w14:solidFill>
                      </w14:textFill>
                    </w:rPr>
                    <w:t>群较集中的区域</w:t>
                  </w:r>
                </w:p>
              </w:tc>
              <w:tc>
                <w:tcPr>
                  <w:tcW w:w="415" w:type="pct"/>
                  <w:vMerge w:val="restart"/>
                  <w:tcBorders>
                    <w:tl2br w:val="nil"/>
                    <w:tr2bl w:val="nil"/>
                  </w:tcBorders>
                  <w:noWrap w:val="0"/>
                  <w:vAlign w:val="center"/>
                </w:tcPr>
                <w:p w14:paraId="38F1138D">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二类区</w:t>
                  </w:r>
                </w:p>
              </w:tc>
              <w:tc>
                <w:tcPr>
                  <w:tcW w:w="520" w:type="pct"/>
                  <w:tcBorders>
                    <w:tl2br w:val="nil"/>
                    <w:tr2bl w:val="nil"/>
                  </w:tcBorders>
                  <w:noWrap w:val="0"/>
                  <w:vAlign w:val="center"/>
                </w:tcPr>
                <w:p w14:paraId="73C5BED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EN</w:t>
                  </w:r>
                </w:p>
              </w:tc>
              <w:tc>
                <w:tcPr>
                  <w:tcW w:w="551" w:type="pct"/>
                  <w:tcBorders>
                    <w:tl2br w:val="nil"/>
                    <w:tr2bl w:val="nil"/>
                  </w:tcBorders>
                  <w:noWrap w:val="0"/>
                  <w:vAlign w:val="center"/>
                </w:tcPr>
                <w:p w14:paraId="68BE0A8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1260</w:t>
                  </w:r>
                </w:p>
              </w:tc>
            </w:tr>
            <w:tr w14:paraId="01CBEF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2FB8537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联合村</w:t>
                  </w:r>
                </w:p>
              </w:tc>
              <w:tc>
                <w:tcPr>
                  <w:tcW w:w="1100" w:type="pct"/>
                  <w:tcBorders>
                    <w:tl2br w:val="nil"/>
                    <w:tr2bl w:val="nil"/>
                  </w:tcBorders>
                  <w:noWrap w:val="0"/>
                  <w:vAlign w:val="center"/>
                </w:tcPr>
                <w:p w14:paraId="27FAE4B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128°56′31.84092″</w:t>
                  </w:r>
                </w:p>
              </w:tc>
              <w:tc>
                <w:tcPr>
                  <w:tcW w:w="1045" w:type="pct"/>
                  <w:tcBorders>
                    <w:tl2br w:val="nil"/>
                    <w:tr2bl w:val="nil"/>
                  </w:tcBorders>
                  <w:noWrap w:val="0"/>
                  <w:vAlign w:val="center"/>
                </w:tcPr>
                <w:p w14:paraId="1F7338D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47°44′51.05055″</w:t>
                  </w:r>
                </w:p>
              </w:tc>
              <w:tc>
                <w:tcPr>
                  <w:tcW w:w="627" w:type="pct"/>
                  <w:vMerge w:val="continue"/>
                  <w:tcBorders>
                    <w:tl2br w:val="nil"/>
                    <w:tr2bl w:val="nil"/>
                  </w:tcBorders>
                  <w:noWrap w:val="0"/>
                  <w:vAlign w:val="center"/>
                </w:tcPr>
                <w:p w14:paraId="72EF690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1264AFEA">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29C6A79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EN</w:t>
                  </w:r>
                </w:p>
              </w:tc>
              <w:tc>
                <w:tcPr>
                  <w:tcW w:w="551" w:type="pct"/>
                  <w:tcBorders>
                    <w:tl2br w:val="nil"/>
                    <w:tr2bl w:val="nil"/>
                  </w:tcBorders>
                  <w:noWrap w:val="0"/>
                  <w:vAlign w:val="center"/>
                </w:tcPr>
                <w:p w14:paraId="2323768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2070</w:t>
                  </w:r>
                </w:p>
              </w:tc>
            </w:tr>
            <w:tr w14:paraId="2AEDB8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38" w:type="pct"/>
                  <w:tcBorders>
                    <w:tl2br w:val="nil"/>
                    <w:tr2bl w:val="nil"/>
                  </w:tcBorders>
                  <w:noWrap w:val="0"/>
                  <w:vAlign w:val="center"/>
                </w:tcPr>
                <w:p w14:paraId="3FD06D2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小窑地</w:t>
                  </w:r>
                </w:p>
              </w:tc>
              <w:tc>
                <w:tcPr>
                  <w:tcW w:w="1100" w:type="pct"/>
                  <w:tcBorders>
                    <w:tl2br w:val="nil"/>
                    <w:tr2bl w:val="nil"/>
                  </w:tcBorders>
                  <w:noWrap w:val="0"/>
                  <w:vAlign w:val="center"/>
                </w:tcPr>
                <w:p w14:paraId="071A565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128°57′7.49069″</w:t>
                  </w:r>
                </w:p>
              </w:tc>
              <w:tc>
                <w:tcPr>
                  <w:tcW w:w="1045" w:type="pct"/>
                  <w:tcBorders>
                    <w:tl2br w:val="nil"/>
                    <w:tr2bl w:val="nil"/>
                  </w:tcBorders>
                  <w:noWrap w:val="0"/>
                  <w:vAlign w:val="center"/>
                </w:tcPr>
                <w:p w14:paraId="66540CF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47°45′8.06053″</w:t>
                  </w:r>
                </w:p>
              </w:tc>
              <w:tc>
                <w:tcPr>
                  <w:tcW w:w="627" w:type="pct"/>
                  <w:vMerge w:val="continue"/>
                  <w:tcBorders>
                    <w:tl2br w:val="nil"/>
                    <w:tr2bl w:val="nil"/>
                  </w:tcBorders>
                  <w:noWrap w:val="0"/>
                  <w:vAlign w:val="center"/>
                </w:tcPr>
                <w:p w14:paraId="654844C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7A6F0C5D">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743807C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EN</w:t>
                  </w:r>
                </w:p>
              </w:tc>
              <w:tc>
                <w:tcPr>
                  <w:tcW w:w="551" w:type="pct"/>
                  <w:tcBorders>
                    <w:tl2br w:val="nil"/>
                    <w:tr2bl w:val="nil"/>
                  </w:tcBorders>
                  <w:noWrap w:val="0"/>
                  <w:vAlign w:val="center"/>
                </w:tcPr>
                <w:p w14:paraId="3D0AD1B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2980</w:t>
                  </w:r>
                </w:p>
              </w:tc>
            </w:tr>
            <w:tr w14:paraId="5E58EE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3D4CAA1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六合园</w:t>
                  </w:r>
                </w:p>
              </w:tc>
              <w:tc>
                <w:tcPr>
                  <w:tcW w:w="1100" w:type="pct"/>
                  <w:tcBorders>
                    <w:tl2br w:val="nil"/>
                    <w:tr2bl w:val="nil"/>
                  </w:tcBorders>
                  <w:noWrap w:val="0"/>
                  <w:vAlign w:val="center"/>
                </w:tcPr>
                <w:p w14:paraId="2C99508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128°55′17.43910″</w:t>
                  </w:r>
                </w:p>
              </w:tc>
              <w:tc>
                <w:tcPr>
                  <w:tcW w:w="1045" w:type="pct"/>
                  <w:tcBorders>
                    <w:tl2br w:val="nil"/>
                    <w:tr2bl w:val="nil"/>
                  </w:tcBorders>
                  <w:noWrap w:val="0"/>
                  <w:vAlign w:val="center"/>
                </w:tcPr>
                <w:p w14:paraId="62E4021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47°44′30.59966″</w:t>
                  </w:r>
                </w:p>
              </w:tc>
              <w:tc>
                <w:tcPr>
                  <w:tcW w:w="627" w:type="pct"/>
                  <w:vMerge w:val="restart"/>
                  <w:tcBorders>
                    <w:tl2br w:val="nil"/>
                    <w:tr2bl w:val="nil"/>
                  </w:tcBorders>
                  <w:noWrap w:val="0"/>
                  <w:vAlign w:val="center"/>
                </w:tcPr>
                <w:p w14:paraId="20339E6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居住区</w:t>
                  </w:r>
                </w:p>
              </w:tc>
              <w:tc>
                <w:tcPr>
                  <w:tcW w:w="415" w:type="pct"/>
                  <w:vMerge w:val="continue"/>
                  <w:tcBorders>
                    <w:tl2br w:val="nil"/>
                    <w:tr2bl w:val="nil"/>
                  </w:tcBorders>
                  <w:noWrap w:val="0"/>
                  <w:vAlign w:val="center"/>
                </w:tcPr>
                <w:p w14:paraId="7AD2218B">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1949737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N</w:t>
                  </w:r>
                </w:p>
              </w:tc>
              <w:tc>
                <w:tcPr>
                  <w:tcW w:w="551" w:type="pct"/>
                  <w:tcBorders>
                    <w:tl2br w:val="nil"/>
                    <w:tr2bl w:val="nil"/>
                  </w:tcBorders>
                  <w:noWrap w:val="0"/>
                  <w:vAlign w:val="center"/>
                </w:tcPr>
                <w:p w14:paraId="090805A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650</w:t>
                  </w:r>
                </w:p>
              </w:tc>
            </w:tr>
            <w:tr w14:paraId="734F82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2401400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鸿建园</w:t>
                  </w:r>
                </w:p>
              </w:tc>
              <w:tc>
                <w:tcPr>
                  <w:tcW w:w="1100" w:type="pct"/>
                  <w:tcBorders>
                    <w:tl2br w:val="nil"/>
                    <w:tr2bl w:val="nil"/>
                  </w:tcBorders>
                  <w:noWrap w:val="0"/>
                  <w:vAlign w:val="center"/>
                </w:tcPr>
                <w:p w14:paraId="57999C0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128°54′58.39756″</w:t>
                  </w:r>
                </w:p>
              </w:tc>
              <w:tc>
                <w:tcPr>
                  <w:tcW w:w="1045" w:type="pct"/>
                  <w:tcBorders>
                    <w:tl2br w:val="nil"/>
                    <w:tr2bl w:val="nil"/>
                  </w:tcBorders>
                  <w:noWrap w:val="0"/>
                  <w:vAlign w:val="center"/>
                </w:tcPr>
                <w:p w14:paraId="3AEF190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47°44′16.10163″</w:t>
                  </w:r>
                </w:p>
              </w:tc>
              <w:tc>
                <w:tcPr>
                  <w:tcW w:w="627" w:type="pct"/>
                  <w:vMerge w:val="continue"/>
                  <w:tcBorders>
                    <w:tl2br w:val="nil"/>
                    <w:tr2bl w:val="nil"/>
                  </w:tcBorders>
                  <w:noWrap w:val="0"/>
                  <w:vAlign w:val="center"/>
                </w:tcPr>
                <w:p w14:paraId="222FFD4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70CF6743">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55780C7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WN</w:t>
                  </w:r>
                </w:p>
              </w:tc>
              <w:tc>
                <w:tcPr>
                  <w:tcW w:w="551" w:type="pct"/>
                  <w:tcBorders>
                    <w:tl2br w:val="nil"/>
                    <w:tr2bl w:val="nil"/>
                  </w:tcBorders>
                  <w:noWrap w:val="0"/>
                  <w:vAlign w:val="center"/>
                </w:tcPr>
                <w:p w14:paraId="069187F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300</w:t>
                  </w:r>
                </w:p>
              </w:tc>
            </w:tr>
            <w:tr w14:paraId="505072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12F2A9A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森东小区</w:t>
                  </w:r>
                </w:p>
              </w:tc>
              <w:tc>
                <w:tcPr>
                  <w:tcW w:w="1100" w:type="pct"/>
                  <w:tcBorders>
                    <w:tl2br w:val="nil"/>
                    <w:tr2bl w:val="nil"/>
                  </w:tcBorders>
                  <w:noWrap w:val="0"/>
                  <w:vAlign w:val="center"/>
                </w:tcPr>
                <w:p w14:paraId="0B47451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128°54′52.79711″</w:t>
                  </w:r>
                </w:p>
              </w:tc>
              <w:tc>
                <w:tcPr>
                  <w:tcW w:w="1045" w:type="pct"/>
                  <w:tcBorders>
                    <w:tl2br w:val="nil"/>
                    <w:tr2bl w:val="nil"/>
                  </w:tcBorders>
                  <w:noWrap w:val="0"/>
                  <w:vAlign w:val="center"/>
                </w:tcPr>
                <w:p w14:paraId="6F949E0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47°44′15.00800″</w:t>
                  </w:r>
                </w:p>
              </w:tc>
              <w:tc>
                <w:tcPr>
                  <w:tcW w:w="627" w:type="pct"/>
                  <w:vMerge w:val="continue"/>
                  <w:tcBorders>
                    <w:tl2br w:val="nil"/>
                    <w:tr2bl w:val="nil"/>
                  </w:tcBorders>
                  <w:noWrap w:val="0"/>
                  <w:vAlign w:val="center"/>
                </w:tcPr>
                <w:p w14:paraId="16CEB59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41B99F26">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48FC63B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w:t>
                  </w:r>
                </w:p>
              </w:tc>
              <w:tc>
                <w:tcPr>
                  <w:tcW w:w="551" w:type="pct"/>
                  <w:tcBorders>
                    <w:tl2br w:val="nil"/>
                    <w:tr2bl w:val="nil"/>
                  </w:tcBorders>
                  <w:noWrap w:val="0"/>
                  <w:vAlign w:val="center"/>
                </w:tcPr>
                <w:p w14:paraId="7734FE7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380</w:t>
                  </w:r>
                </w:p>
              </w:tc>
            </w:tr>
            <w:tr w14:paraId="1A6D5E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59AEFAC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育林小区</w:t>
                  </w:r>
                </w:p>
              </w:tc>
              <w:tc>
                <w:tcPr>
                  <w:tcW w:w="1100" w:type="pct"/>
                  <w:tcBorders>
                    <w:tl2br w:val="nil"/>
                    <w:tr2bl w:val="nil"/>
                  </w:tcBorders>
                  <w:noWrap w:val="0"/>
                  <w:vAlign w:val="center"/>
                </w:tcPr>
                <w:p w14:paraId="4FFEE0A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128°54′23.50095″</w:t>
                  </w:r>
                </w:p>
              </w:tc>
              <w:tc>
                <w:tcPr>
                  <w:tcW w:w="1045" w:type="pct"/>
                  <w:tcBorders>
                    <w:tl2br w:val="nil"/>
                    <w:tr2bl w:val="nil"/>
                  </w:tcBorders>
                  <w:noWrap w:val="0"/>
                  <w:vAlign w:val="center"/>
                </w:tcPr>
                <w:p w14:paraId="5851942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47°44′17.46267″</w:t>
                  </w:r>
                </w:p>
              </w:tc>
              <w:tc>
                <w:tcPr>
                  <w:tcW w:w="627" w:type="pct"/>
                  <w:vMerge w:val="continue"/>
                  <w:tcBorders>
                    <w:tl2br w:val="nil"/>
                    <w:tr2bl w:val="nil"/>
                  </w:tcBorders>
                  <w:noWrap w:val="0"/>
                  <w:vAlign w:val="center"/>
                </w:tcPr>
                <w:p w14:paraId="6208053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32724286">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4850BC6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WN</w:t>
                  </w:r>
                </w:p>
              </w:tc>
              <w:tc>
                <w:tcPr>
                  <w:tcW w:w="551" w:type="pct"/>
                  <w:tcBorders>
                    <w:tl2br w:val="nil"/>
                    <w:tr2bl w:val="nil"/>
                  </w:tcBorders>
                  <w:noWrap w:val="0"/>
                  <w:vAlign w:val="center"/>
                </w:tcPr>
                <w:p w14:paraId="3E1FF76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990</w:t>
                  </w:r>
                </w:p>
              </w:tc>
            </w:tr>
            <w:tr w14:paraId="0CE94B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122956E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天正方园</w:t>
                  </w:r>
                </w:p>
              </w:tc>
              <w:tc>
                <w:tcPr>
                  <w:tcW w:w="1100" w:type="pct"/>
                  <w:tcBorders>
                    <w:tl2br w:val="nil"/>
                    <w:tr2bl w:val="nil"/>
                  </w:tcBorders>
                  <w:noWrap w:val="0"/>
                  <w:vAlign w:val="center"/>
                </w:tcPr>
                <w:p w14:paraId="3B1E74E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128°54′35.66494″</w:t>
                  </w:r>
                </w:p>
              </w:tc>
              <w:tc>
                <w:tcPr>
                  <w:tcW w:w="1045" w:type="pct"/>
                  <w:tcBorders>
                    <w:tl2br w:val="nil"/>
                    <w:tr2bl w:val="nil"/>
                  </w:tcBorders>
                  <w:noWrap w:val="0"/>
                  <w:vAlign w:val="center"/>
                </w:tcPr>
                <w:p w14:paraId="50045B1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47°44′8.52801″</w:t>
                  </w:r>
                </w:p>
              </w:tc>
              <w:tc>
                <w:tcPr>
                  <w:tcW w:w="627" w:type="pct"/>
                  <w:vMerge w:val="continue"/>
                  <w:tcBorders>
                    <w:tl2br w:val="nil"/>
                    <w:tr2bl w:val="nil"/>
                  </w:tcBorders>
                  <w:noWrap w:val="0"/>
                  <w:vAlign w:val="center"/>
                </w:tcPr>
                <w:p w14:paraId="11F426E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5E7B0272">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73D45D9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w:t>
                  </w:r>
                </w:p>
              </w:tc>
              <w:tc>
                <w:tcPr>
                  <w:tcW w:w="551" w:type="pct"/>
                  <w:tcBorders>
                    <w:tl2br w:val="nil"/>
                    <w:tr2bl w:val="nil"/>
                  </w:tcBorders>
                  <w:noWrap w:val="0"/>
                  <w:vAlign w:val="center"/>
                </w:tcPr>
                <w:p w14:paraId="2D573A3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700</w:t>
                  </w:r>
                </w:p>
              </w:tc>
            </w:tr>
            <w:tr w14:paraId="65939A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20B3AB4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北郡A区</w:t>
                  </w:r>
                </w:p>
              </w:tc>
              <w:tc>
                <w:tcPr>
                  <w:tcW w:w="1100" w:type="pct"/>
                  <w:tcBorders>
                    <w:tl2br w:val="nil"/>
                    <w:tr2bl w:val="nil"/>
                  </w:tcBorders>
                  <w:noWrap w:val="0"/>
                  <w:vAlign w:val="center"/>
                </w:tcPr>
                <w:p w14:paraId="719F432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128°54′25.12643″</w:t>
                  </w:r>
                </w:p>
              </w:tc>
              <w:tc>
                <w:tcPr>
                  <w:tcW w:w="1045" w:type="pct"/>
                  <w:tcBorders>
                    <w:tl2br w:val="nil"/>
                    <w:tr2bl w:val="nil"/>
                  </w:tcBorders>
                  <w:noWrap w:val="0"/>
                  <w:vAlign w:val="center"/>
                </w:tcPr>
                <w:p w14:paraId="0F4F4DE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47°44′9.22613″</w:t>
                  </w:r>
                </w:p>
              </w:tc>
              <w:tc>
                <w:tcPr>
                  <w:tcW w:w="627" w:type="pct"/>
                  <w:vMerge w:val="continue"/>
                  <w:tcBorders>
                    <w:tl2br w:val="nil"/>
                    <w:tr2bl w:val="nil"/>
                  </w:tcBorders>
                  <w:noWrap w:val="0"/>
                  <w:vAlign w:val="center"/>
                </w:tcPr>
                <w:p w14:paraId="26298FC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455E7C78">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3E0E364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w:t>
                  </w:r>
                </w:p>
              </w:tc>
              <w:tc>
                <w:tcPr>
                  <w:tcW w:w="551" w:type="pct"/>
                  <w:tcBorders>
                    <w:tl2br w:val="nil"/>
                    <w:tr2bl w:val="nil"/>
                  </w:tcBorders>
                  <w:noWrap w:val="0"/>
                  <w:vAlign w:val="center"/>
                </w:tcPr>
                <w:p w14:paraId="6F26317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920</w:t>
                  </w:r>
                </w:p>
              </w:tc>
            </w:tr>
            <w:tr w14:paraId="21900A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7DD5267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北郡B区</w:t>
                  </w:r>
                </w:p>
              </w:tc>
              <w:tc>
                <w:tcPr>
                  <w:tcW w:w="1100" w:type="pct"/>
                  <w:tcBorders>
                    <w:tl2br w:val="nil"/>
                    <w:tr2bl w:val="nil"/>
                  </w:tcBorders>
                  <w:noWrap w:val="0"/>
                  <w:vAlign w:val="center"/>
                </w:tcPr>
                <w:p w14:paraId="409D07A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128°54′29.50695″</w:t>
                  </w:r>
                </w:p>
              </w:tc>
              <w:tc>
                <w:tcPr>
                  <w:tcW w:w="1045" w:type="pct"/>
                  <w:tcBorders>
                    <w:tl2br w:val="nil"/>
                    <w:tr2bl w:val="nil"/>
                  </w:tcBorders>
                  <w:noWrap w:val="0"/>
                  <w:vAlign w:val="center"/>
                </w:tcPr>
                <w:p w14:paraId="231F9B9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47°44′12.29353″</w:t>
                  </w:r>
                </w:p>
              </w:tc>
              <w:tc>
                <w:tcPr>
                  <w:tcW w:w="627" w:type="pct"/>
                  <w:vMerge w:val="continue"/>
                  <w:tcBorders>
                    <w:tl2br w:val="nil"/>
                    <w:tr2bl w:val="nil"/>
                  </w:tcBorders>
                  <w:noWrap w:val="0"/>
                  <w:vAlign w:val="center"/>
                </w:tcPr>
                <w:p w14:paraId="7152F20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493A0F1A">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7F8BCE3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w:t>
                  </w:r>
                </w:p>
              </w:tc>
              <w:tc>
                <w:tcPr>
                  <w:tcW w:w="551" w:type="pct"/>
                  <w:tcBorders>
                    <w:tl2br w:val="nil"/>
                    <w:tr2bl w:val="nil"/>
                  </w:tcBorders>
                  <w:noWrap w:val="0"/>
                  <w:vAlign w:val="center"/>
                </w:tcPr>
                <w:p w14:paraId="7AD5CB4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840</w:t>
                  </w:r>
                </w:p>
              </w:tc>
            </w:tr>
            <w:tr w14:paraId="399F90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08D2ACE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凤凰水岸</w:t>
                  </w:r>
                </w:p>
              </w:tc>
              <w:tc>
                <w:tcPr>
                  <w:tcW w:w="1100" w:type="pct"/>
                  <w:tcBorders>
                    <w:tl2br w:val="nil"/>
                    <w:tr2bl w:val="nil"/>
                  </w:tcBorders>
                  <w:noWrap w:val="0"/>
                  <w:vAlign w:val="center"/>
                </w:tcPr>
                <w:p w14:paraId="434F7CF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128°54′25.99160″</w:t>
                  </w:r>
                </w:p>
              </w:tc>
              <w:tc>
                <w:tcPr>
                  <w:tcW w:w="1045" w:type="pct"/>
                  <w:tcBorders>
                    <w:tl2br w:val="nil"/>
                    <w:tr2bl w:val="nil"/>
                  </w:tcBorders>
                  <w:noWrap w:val="0"/>
                  <w:vAlign w:val="center"/>
                </w:tcPr>
                <w:p w14:paraId="78DB79B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47°44′5.90112″</w:t>
                  </w:r>
                </w:p>
              </w:tc>
              <w:tc>
                <w:tcPr>
                  <w:tcW w:w="627" w:type="pct"/>
                  <w:vMerge w:val="continue"/>
                  <w:tcBorders>
                    <w:tl2br w:val="nil"/>
                    <w:tr2bl w:val="nil"/>
                  </w:tcBorders>
                  <w:noWrap w:val="0"/>
                  <w:vAlign w:val="center"/>
                </w:tcPr>
                <w:p w14:paraId="1FD5BBF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6E72443E">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2C691C7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48BECEC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910</w:t>
                  </w:r>
                </w:p>
              </w:tc>
            </w:tr>
            <w:tr w14:paraId="72038A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0B8ECD0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明园小区</w:t>
                  </w:r>
                </w:p>
              </w:tc>
              <w:tc>
                <w:tcPr>
                  <w:tcW w:w="1100" w:type="pct"/>
                  <w:tcBorders>
                    <w:tl2br w:val="nil"/>
                    <w:tr2bl w:val="nil"/>
                  </w:tcBorders>
                  <w:noWrap w:val="0"/>
                  <w:vAlign w:val="center"/>
                </w:tcPr>
                <w:p w14:paraId="7C722B5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128°54′34.71634″</w:t>
                  </w:r>
                </w:p>
              </w:tc>
              <w:tc>
                <w:tcPr>
                  <w:tcW w:w="1045" w:type="pct"/>
                  <w:tcBorders>
                    <w:tl2br w:val="nil"/>
                    <w:tr2bl w:val="nil"/>
                  </w:tcBorders>
                  <w:noWrap w:val="0"/>
                  <w:vAlign w:val="center"/>
                </w:tcPr>
                <w:p w14:paraId="4023C2F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47°43′56.36087″</w:t>
                  </w:r>
                </w:p>
              </w:tc>
              <w:tc>
                <w:tcPr>
                  <w:tcW w:w="627" w:type="pct"/>
                  <w:vMerge w:val="continue"/>
                  <w:tcBorders>
                    <w:tl2br w:val="nil"/>
                    <w:tr2bl w:val="nil"/>
                  </w:tcBorders>
                  <w:noWrap w:val="0"/>
                  <w:vAlign w:val="center"/>
                </w:tcPr>
                <w:p w14:paraId="07666A5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79948845">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0FD2061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4A4A31F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820</w:t>
                  </w:r>
                </w:p>
              </w:tc>
            </w:tr>
            <w:tr w14:paraId="12A16D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25C3D5F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团结小区</w:t>
                  </w:r>
                </w:p>
              </w:tc>
              <w:tc>
                <w:tcPr>
                  <w:tcW w:w="1100" w:type="pct"/>
                  <w:tcBorders>
                    <w:tl2br w:val="nil"/>
                    <w:tr2bl w:val="nil"/>
                  </w:tcBorders>
                  <w:noWrap w:val="0"/>
                  <w:vAlign w:val="center"/>
                </w:tcPr>
                <w:p w14:paraId="4F247EE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128°54′33.71695″</w:t>
                  </w:r>
                </w:p>
              </w:tc>
              <w:tc>
                <w:tcPr>
                  <w:tcW w:w="1045" w:type="pct"/>
                  <w:tcBorders>
                    <w:tl2br w:val="nil"/>
                    <w:tr2bl w:val="nil"/>
                  </w:tcBorders>
                  <w:noWrap w:val="0"/>
                  <w:vAlign w:val="center"/>
                </w:tcPr>
                <w:p w14:paraId="027F32C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47°44′15.09891″</w:t>
                  </w:r>
                </w:p>
              </w:tc>
              <w:tc>
                <w:tcPr>
                  <w:tcW w:w="627" w:type="pct"/>
                  <w:vMerge w:val="continue"/>
                  <w:tcBorders>
                    <w:tl2br w:val="nil"/>
                    <w:tr2bl w:val="nil"/>
                  </w:tcBorders>
                  <w:noWrap w:val="0"/>
                  <w:vAlign w:val="center"/>
                </w:tcPr>
                <w:p w14:paraId="5FA7E9A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67595738">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33F6F3F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4D76BD7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760</w:t>
                  </w:r>
                </w:p>
              </w:tc>
            </w:tr>
            <w:tr w14:paraId="024142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1B92785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电力嘉园</w:t>
                  </w:r>
                </w:p>
              </w:tc>
              <w:tc>
                <w:tcPr>
                  <w:tcW w:w="1100" w:type="pct"/>
                  <w:tcBorders>
                    <w:tl2br w:val="nil"/>
                    <w:tr2bl w:val="nil"/>
                  </w:tcBorders>
                  <w:noWrap w:val="0"/>
                  <w:vAlign w:val="center"/>
                </w:tcPr>
                <w:p w14:paraId="3DFFDCA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128°54′8.78199″</w:t>
                  </w:r>
                </w:p>
              </w:tc>
              <w:tc>
                <w:tcPr>
                  <w:tcW w:w="1045" w:type="pct"/>
                  <w:tcBorders>
                    <w:tl2br w:val="nil"/>
                    <w:tr2bl w:val="nil"/>
                  </w:tcBorders>
                  <w:noWrap w:val="0"/>
                  <w:vAlign w:val="center"/>
                </w:tcPr>
                <w:p w14:paraId="72BCF4F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47°43′57.62743″</w:t>
                  </w:r>
                </w:p>
              </w:tc>
              <w:tc>
                <w:tcPr>
                  <w:tcW w:w="627" w:type="pct"/>
                  <w:vMerge w:val="continue"/>
                  <w:tcBorders>
                    <w:tl2br w:val="nil"/>
                    <w:tr2bl w:val="nil"/>
                  </w:tcBorders>
                  <w:noWrap w:val="0"/>
                  <w:vAlign w:val="center"/>
                </w:tcPr>
                <w:p w14:paraId="3811709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059F3271">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206E0CF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7413077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1310</w:t>
                  </w:r>
                </w:p>
              </w:tc>
            </w:tr>
            <w:tr w14:paraId="4AD346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439D03A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名苑尚都</w:t>
                  </w:r>
                </w:p>
              </w:tc>
              <w:tc>
                <w:tcPr>
                  <w:tcW w:w="1100" w:type="pct"/>
                  <w:tcBorders>
                    <w:tl2br w:val="nil"/>
                    <w:tr2bl w:val="nil"/>
                  </w:tcBorders>
                  <w:noWrap w:val="0"/>
                  <w:vAlign w:val="center"/>
                </w:tcPr>
                <w:p w14:paraId="757422D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128°53′59.26735″</w:t>
                  </w:r>
                </w:p>
              </w:tc>
              <w:tc>
                <w:tcPr>
                  <w:tcW w:w="1045" w:type="pct"/>
                  <w:tcBorders>
                    <w:tl2br w:val="nil"/>
                    <w:tr2bl w:val="nil"/>
                  </w:tcBorders>
                  <w:noWrap w:val="0"/>
                  <w:vAlign w:val="center"/>
                </w:tcPr>
                <w:p w14:paraId="5BDC1A6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47°43′50.26016″</w:t>
                  </w:r>
                </w:p>
              </w:tc>
              <w:tc>
                <w:tcPr>
                  <w:tcW w:w="627" w:type="pct"/>
                  <w:vMerge w:val="continue"/>
                  <w:tcBorders>
                    <w:tl2br w:val="nil"/>
                    <w:tr2bl w:val="nil"/>
                  </w:tcBorders>
                  <w:noWrap w:val="0"/>
                  <w:vAlign w:val="center"/>
                </w:tcPr>
                <w:p w14:paraId="216CC60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574E8ACE">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5B10ED6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6121CE9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1570</w:t>
                  </w:r>
                </w:p>
              </w:tc>
            </w:tr>
            <w:tr w14:paraId="1E3B2C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09E0628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靠河小区</w:t>
                  </w:r>
                </w:p>
              </w:tc>
              <w:tc>
                <w:tcPr>
                  <w:tcW w:w="1100" w:type="pct"/>
                  <w:tcBorders>
                    <w:tl2br w:val="nil"/>
                    <w:tr2bl w:val="nil"/>
                  </w:tcBorders>
                  <w:noWrap w:val="0"/>
                  <w:vAlign w:val="center"/>
                </w:tcPr>
                <w:p w14:paraId="39B3B83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128°53′40.11767″</w:t>
                  </w:r>
                </w:p>
              </w:tc>
              <w:tc>
                <w:tcPr>
                  <w:tcW w:w="1045" w:type="pct"/>
                  <w:tcBorders>
                    <w:tl2br w:val="nil"/>
                    <w:tr2bl w:val="nil"/>
                  </w:tcBorders>
                  <w:noWrap w:val="0"/>
                  <w:vAlign w:val="center"/>
                </w:tcPr>
                <w:p w14:paraId="0E53A62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47°43′59.31934″</w:t>
                  </w:r>
                </w:p>
              </w:tc>
              <w:tc>
                <w:tcPr>
                  <w:tcW w:w="627" w:type="pct"/>
                  <w:vMerge w:val="continue"/>
                  <w:tcBorders>
                    <w:tl2br w:val="nil"/>
                    <w:tr2bl w:val="nil"/>
                  </w:tcBorders>
                  <w:noWrap w:val="0"/>
                  <w:vAlign w:val="center"/>
                </w:tcPr>
                <w:p w14:paraId="6A7F84B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7C31577D">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4DCEA69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w:t>
                  </w:r>
                </w:p>
              </w:tc>
              <w:tc>
                <w:tcPr>
                  <w:tcW w:w="551" w:type="pct"/>
                  <w:tcBorders>
                    <w:tl2br w:val="nil"/>
                    <w:tr2bl w:val="nil"/>
                  </w:tcBorders>
                  <w:noWrap w:val="0"/>
                  <w:vAlign w:val="center"/>
                </w:tcPr>
                <w:p w14:paraId="3EB5BEF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1890</w:t>
                  </w:r>
                </w:p>
              </w:tc>
            </w:tr>
            <w:tr w14:paraId="699666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738" w:type="pct"/>
                  <w:tcBorders>
                    <w:tl2br w:val="nil"/>
                    <w:tr2bl w:val="nil"/>
                  </w:tcBorders>
                  <w:noWrap w:val="0"/>
                  <w:vAlign w:val="center"/>
                </w:tcPr>
                <w:p w14:paraId="5BDFA04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鸿盛北山花园小区</w:t>
                  </w:r>
                </w:p>
              </w:tc>
              <w:tc>
                <w:tcPr>
                  <w:tcW w:w="1100" w:type="pct"/>
                  <w:tcBorders>
                    <w:tl2br w:val="nil"/>
                    <w:tr2bl w:val="nil"/>
                  </w:tcBorders>
                  <w:noWrap w:val="0"/>
                  <w:vAlign w:val="center"/>
                </w:tcPr>
                <w:p w14:paraId="2460B39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128°53′18.13974″</w:t>
                  </w:r>
                </w:p>
              </w:tc>
              <w:tc>
                <w:tcPr>
                  <w:tcW w:w="1045" w:type="pct"/>
                  <w:tcBorders>
                    <w:tl2br w:val="nil"/>
                    <w:tr2bl w:val="nil"/>
                  </w:tcBorders>
                  <w:noWrap w:val="0"/>
                  <w:vAlign w:val="center"/>
                </w:tcPr>
                <w:p w14:paraId="746EA2E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47°44′1.18710″</w:t>
                  </w:r>
                </w:p>
              </w:tc>
              <w:tc>
                <w:tcPr>
                  <w:tcW w:w="627" w:type="pct"/>
                  <w:vMerge w:val="continue"/>
                  <w:tcBorders>
                    <w:tl2br w:val="nil"/>
                    <w:tr2bl w:val="nil"/>
                  </w:tcBorders>
                  <w:noWrap w:val="0"/>
                  <w:vAlign w:val="center"/>
                </w:tcPr>
                <w:p w14:paraId="42CAD2F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0C2ADBA9">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06D39AC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w:t>
                  </w:r>
                </w:p>
              </w:tc>
              <w:tc>
                <w:tcPr>
                  <w:tcW w:w="551" w:type="pct"/>
                  <w:tcBorders>
                    <w:tl2br w:val="nil"/>
                    <w:tr2bl w:val="nil"/>
                  </w:tcBorders>
                  <w:noWrap w:val="0"/>
                  <w:vAlign w:val="center"/>
                </w:tcPr>
                <w:p w14:paraId="675F7ED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2330</w:t>
                  </w:r>
                </w:p>
              </w:tc>
            </w:tr>
            <w:tr w14:paraId="66EC66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738" w:type="pct"/>
                  <w:tcBorders>
                    <w:tl2br w:val="nil"/>
                    <w:tr2bl w:val="nil"/>
                  </w:tcBorders>
                  <w:noWrap w:val="0"/>
                  <w:vAlign w:val="center"/>
                </w:tcPr>
                <w:p w14:paraId="790B4B2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铁路五六小区</w:t>
                  </w:r>
                </w:p>
              </w:tc>
              <w:tc>
                <w:tcPr>
                  <w:tcW w:w="1100" w:type="pct"/>
                  <w:tcBorders>
                    <w:tl2br w:val="nil"/>
                    <w:tr2bl w:val="nil"/>
                  </w:tcBorders>
                  <w:noWrap w:val="0"/>
                  <w:vAlign w:val="center"/>
                </w:tcPr>
                <w:p w14:paraId="3173463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128°54′53.45249″</w:t>
                  </w:r>
                </w:p>
              </w:tc>
              <w:tc>
                <w:tcPr>
                  <w:tcW w:w="1045" w:type="pct"/>
                  <w:tcBorders>
                    <w:tl2br w:val="nil"/>
                    <w:tr2bl w:val="nil"/>
                  </w:tcBorders>
                  <w:noWrap w:val="0"/>
                  <w:vAlign w:val="center"/>
                </w:tcPr>
                <w:p w14:paraId="5E2BA9A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47°43′42.90816″</w:t>
                  </w:r>
                </w:p>
              </w:tc>
              <w:tc>
                <w:tcPr>
                  <w:tcW w:w="627" w:type="pct"/>
                  <w:vMerge w:val="continue"/>
                  <w:tcBorders>
                    <w:tl2br w:val="nil"/>
                    <w:tr2bl w:val="nil"/>
                  </w:tcBorders>
                  <w:noWrap w:val="0"/>
                  <w:vAlign w:val="center"/>
                </w:tcPr>
                <w:p w14:paraId="1A63F38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1B63A018">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6A45E78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462A241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880</w:t>
                  </w:r>
                </w:p>
              </w:tc>
            </w:tr>
            <w:tr w14:paraId="134BEB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27A22DB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正阳小区</w:t>
                  </w:r>
                </w:p>
              </w:tc>
              <w:tc>
                <w:tcPr>
                  <w:tcW w:w="1100" w:type="pct"/>
                  <w:tcBorders>
                    <w:tl2br w:val="nil"/>
                    <w:tr2bl w:val="nil"/>
                  </w:tcBorders>
                  <w:noWrap w:val="0"/>
                  <w:vAlign w:val="center"/>
                </w:tcPr>
                <w:p w14:paraId="306101A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128°54′36.52353″</w:t>
                  </w:r>
                </w:p>
              </w:tc>
              <w:tc>
                <w:tcPr>
                  <w:tcW w:w="1045" w:type="pct"/>
                  <w:tcBorders>
                    <w:tl2br w:val="nil"/>
                    <w:tr2bl w:val="nil"/>
                  </w:tcBorders>
                  <w:noWrap w:val="0"/>
                  <w:vAlign w:val="center"/>
                </w:tcPr>
                <w:p w14:paraId="0ED45FE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47°43′44.09311″</w:t>
                  </w:r>
                </w:p>
              </w:tc>
              <w:tc>
                <w:tcPr>
                  <w:tcW w:w="627" w:type="pct"/>
                  <w:vMerge w:val="continue"/>
                  <w:tcBorders>
                    <w:tl2br w:val="nil"/>
                    <w:tr2bl w:val="nil"/>
                  </w:tcBorders>
                  <w:noWrap w:val="0"/>
                  <w:vAlign w:val="center"/>
                </w:tcPr>
                <w:p w14:paraId="2E84C33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6D1273F5">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7353FE6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29437B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1040</w:t>
                  </w:r>
                </w:p>
              </w:tc>
            </w:tr>
            <w:tr w14:paraId="4B1815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134A667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美林家园</w:t>
                  </w:r>
                </w:p>
              </w:tc>
              <w:tc>
                <w:tcPr>
                  <w:tcW w:w="1100" w:type="pct"/>
                  <w:tcBorders>
                    <w:tl2br w:val="nil"/>
                    <w:tr2bl w:val="nil"/>
                  </w:tcBorders>
                  <w:noWrap w:val="0"/>
                  <w:vAlign w:val="center"/>
                </w:tcPr>
                <w:p w14:paraId="31E803F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128°54′46.79708″</w:t>
                  </w:r>
                </w:p>
              </w:tc>
              <w:tc>
                <w:tcPr>
                  <w:tcW w:w="1045" w:type="pct"/>
                  <w:tcBorders>
                    <w:tl2br w:val="nil"/>
                    <w:tr2bl w:val="nil"/>
                  </w:tcBorders>
                  <w:noWrap w:val="0"/>
                  <w:vAlign w:val="center"/>
                </w:tcPr>
                <w:p w14:paraId="3FD6F91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47°43′39.51981″</w:t>
                  </w:r>
                </w:p>
              </w:tc>
              <w:tc>
                <w:tcPr>
                  <w:tcW w:w="627" w:type="pct"/>
                  <w:vMerge w:val="continue"/>
                  <w:tcBorders>
                    <w:tl2br w:val="nil"/>
                    <w:tr2bl w:val="nil"/>
                  </w:tcBorders>
                  <w:noWrap w:val="0"/>
                  <w:vAlign w:val="center"/>
                </w:tcPr>
                <w:p w14:paraId="7735ADA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5B16BED6">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6A7E5D5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7FDD912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1040</w:t>
                  </w:r>
                </w:p>
              </w:tc>
            </w:tr>
            <w:tr w14:paraId="687C3A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0B44251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站前小区</w:t>
                  </w:r>
                </w:p>
              </w:tc>
              <w:tc>
                <w:tcPr>
                  <w:tcW w:w="1100" w:type="pct"/>
                  <w:tcBorders>
                    <w:tl2br w:val="nil"/>
                    <w:tr2bl w:val="nil"/>
                  </w:tcBorders>
                  <w:noWrap w:val="0"/>
                  <w:vAlign w:val="center"/>
                </w:tcPr>
                <w:p w14:paraId="5195872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128°54′54.43740″</w:t>
                  </w:r>
                </w:p>
              </w:tc>
              <w:tc>
                <w:tcPr>
                  <w:tcW w:w="1045" w:type="pct"/>
                  <w:tcBorders>
                    <w:tl2br w:val="nil"/>
                    <w:tr2bl w:val="nil"/>
                  </w:tcBorders>
                  <w:noWrap w:val="0"/>
                  <w:vAlign w:val="center"/>
                </w:tcPr>
                <w:p w14:paraId="40EB0F0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47°43′39.58294″</w:t>
                  </w:r>
                </w:p>
              </w:tc>
              <w:tc>
                <w:tcPr>
                  <w:tcW w:w="627" w:type="pct"/>
                  <w:vMerge w:val="continue"/>
                  <w:tcBorders>
                    <w:tl2br w:val="nil"/>
                    <w:tr2bl w:val="nil"/>
                  </w:tcBorders>
                  <w:noWrap w:val="0"/>
                  <w:vAlign w:val="center"/>
                </w:tcPr>
                <w:p w14:paraId="514D2A6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0280E85D">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083201B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S</w:t>
                  </w:r>
                </w:p>
              </w:tc>
              <w:tc>
                <w:tcPr>
                  <w:tcW w:w="551" w:type="pct"/>
                  <w:tcBorders>
                    <w:tl2br w:val="nil"/>
                    <w:tr2bl w:val="nil"/>
                  </w:tcBorders>
                  <w:noWrap w:val="0"/>
                  <w:vAlign w:val="center"/>
                </w:tcPr>
                <w:p w14:paraId="74EA9C6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970</w:t>
                  </w:r>
                </w:p>
              </w:tc>
            </w:tr>
            <w:tr w14:paraId="38DADF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738" w:type="pct"/>
                  <w:tcBorders>
                    <w:tl2br w:val="nil"/>
                    <w:tr2bl w:val="nil"/>
                  </w:tcBorders>
                  <w:noWrap w:val="0"/>
                  <w:vAlign w:val="center"/>
                </w:tcPr>
                <w:p w14:paraId="50A4F37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天成御景园</w:t>
                  </w:r>
                </w:p>
              </w:tc>
              <w:tc>
                <w:tcPr>
                  <w:tcW w:w="1100" w:type="pct"/>
                  <w:tcBorders>
                    <w:tl2br w:val="nil"/>
                    <w:tr2bl w:val="nil"/>
                  </w:tcBorders>
                  <w:noWrap w:val="0"/>
                  <w:vAlign w:val="center"/>
                </w:tcPr>
                <w:p w14:paraId="38B228E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128°54′8.58577″</w:t>
                  </w:r>
                </w:p>
              </w:tc>
              <w:tc>
                <w:tcPr>
                  <w:tcW w:w="1045" w:type="pct"/>
                  <w:tcBorders>
                    <w:tl2br w:val="nil"/>
                    <w:tr2bl w:val="nil"/>
                  </w:tcBorders>
                  <w:noWrap w:val="0"/>
                  <w:vAlign w:val="center"/>
                </w:tcPr>
                <w:p w14:paraId="556AB45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47°43′43.89203″</w:t>
                  </w:r>
                </w:p>
              </w:tc>
              <w:tc>
                <w:tcPr>
                  <w:tcW w:w="627" w:type="pct"/>
                  <w:vMerge w:val="continue"/>
                  <w:tcBorders>
                    <w:tl2br w:val="nil"/>
                    <w:tr2bl w:val="nil"/>
                  </w:tcBorders>
                  <w:noWrap w:val="0"/>
                  <w:vAlign w:val="center"/>
                </w:tcPr>
                <w:p w14:paraId="3007E90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50F94819">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5356E3C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02C93F1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1490</w:t>
                  </w:r>
                </w:p>
              </w:tc>
            </w:tr>
            <w:tr w14:paraId="49A16B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7D52CB1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桦林小区</w:t>
                  </w:r>
                </w:p>
              </w:tc>
              <w:tc>
                <w:tcPr>
                  <w:tcW w:w="1100" w:type="pct"/>
                  <w:tcBorders>
                    <w:tl2br w:val="nil"/>
                    <w:tr2bl w:val="nil"/>
                  </w:tcBorders>
                  <w:noWrap w:val="0"/>
                  <w:vAlign w:val="center"/>
                </w:tcPr>
                <w:p w14:paraId="4591C94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128°53′21.80635″</w:t>
                  </w:r>
                </w:p>
              </w:tc>
              <w:tc>
                <w:tcPr>
                  <w:tcW w:w="1045" w:type="pct"/>
                  <w:tcBorders>
                    <w:tl2br w:val="nil"/>
                    <w:tr2bl w:val="nil"/>
                  </w:tcBorders>
                  <w:noWrap w:val="0"/>
                  <w:vAlign w:val="center"/>
                </w:tcPr>
                <w:p w14:paraId="6400C7E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47°43′38.70831″</w:t>
                  </w:r>
                </w:p>
              </w:tc>
              <w:tc>
                <w:tcPr>
                  <w:tcW w:w="627" w:type="pct"/>
                  <w:vMerge w:val="continue"/>
                  <w:tcBorders>
                    <w:tl2br w:val="nil"/>
                    <w:tr2bl w:val="nil"/>
                  </w:tcBorders>
                  <w:noWrap w:val="0"/>
                  <w:vAlign w:val="center"/>
                </w:tcPr>
                <w:p w14:paraId="307C924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03833576">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5195C2A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0E34BDC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2430</w:t>
                  </w:r>
                </w:p>
              </w:tc>
            </w:tr>
            <w:tr w14:paraId="42E1FF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06BE6B8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永胜小区</w:t>
                  </w:r>
                </w:p>
              </w:tc>
              <w:tc>
                <w:tcPr>
                  <w:tcW w:w="1100" w:type="pct"/>
                  <w:tcBorders>
                    <w:tl2br w:val="nil"/>
                    <w:tr2bl w:val="nil"/>
                  </w:tcBorders>
                  <w:noWrap w:val="0"/>
                  <w:vAlign w:val="center"/>
                </w:tcPr>
                <w:p w14:paraId="3E0E1BD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128°53′43.32097″</w:t>
                  </w:r>
                </w:p>
              </w:tc>
              <w:tc>
                <w:tcPr>
                  <w:tcW w:w="1045" w:type="pct"/>
                  <w:tcBorders>
                    <w:tl2br w:val="nil"/>
                    <w:tr2bl w:val="nil"/>
                  </w:tcBorders>
                  <w:noWrap w:val="0"/>
                  <w:vAlign w:val="center"/>
                </w:tcPr>
                <w:p w14:paraId="0A47CF4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47°43′37.88226″</w:t>
                  </w:r>
                </w:p>
              </w:tc>
              <w:tc>
                <w:tcPr>
                  <w:tcW w:w="627" w:type="pct"/>
                  <w:vMerge w:val="continue"/>
                  <w:tcBorders>
                    <w:tl2br w:val="nil"/>
                    <w:tr2bl w:val="nil"/>
                  </w:tcBorders>
                  <w:noWrap w:val="0"/>
                  <w:vAlign w:val="center"/>
                </w:tcPr>
                <w:p w14:paraId="7B7F54C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265009B5">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0E9D28C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14123E8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2030</w:t>
                  </w:r>
                </w:p>
              </w:tc>
            </w:tr>
            <w:tr w14:paraId="5ADCD2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13CBA57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丰林小区</w:t>
                  </w:r>
                </w:p>
              </w:tc>
              <w:tc>
                <w:tcPr>
                  <w:tcW w:w="1100" w:type="pct"/>
                  <w:tcBorders>
                    <w:tl2br w:val="nil"/>
                    <w:tr2bl w:val="nil"/>
                  </w:tcBorders>
                  <w:noWrap w:val="0"/>
                  <w:vAlign w:val="center"/>
                </w:tcPr>
                <w:p w14:paraId="5A1C2B9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128°53′46.59859″</w:t>
                  </w:r>
                </w:p>
              </w:tc>
              <w:tc>
                <w:tcPr>
                  <w:tcW w:w="1045" w:type="pct"/>
                  <w:tcBorders>
                    <w:tl2br w:val="nil"/>
                    <w:tr2bl w:val="nil"/>
                  </w:tcBorders>
                  <w:noWrap w:val="0"/>
                  <w:vAlign w:val="center"/>
                </w:tcPr>
                <w:p w14:paraId="0E34129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47°43′42.04017″</w:t>
                  </w:r>
                </w:p>
              </w:tc>
              <w:tc>
                <w:tcPr>
                  <w:tcW w:w="627" w:type="pct"/>
                  <w:vMerge w:val="continue"/>
                  <w:tcBorders>
                    <w:tl2br w:val="nil"/>
                    <w:tr2bl w:val="nil"/>
                  </w:tcBorders>
                  <w:noWrap w:val="0"/>
                  <w:vAlign w:val="center"/>
                </w:tcPr>
                <w:p w14:paraId="46D8D15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4B28F32C">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1E67B46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1686B09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1920</w:t>
                  </w:r>
                </w:p>
              </w:tc>
            </w:tr>
            <w:tr w14:paraId="0171E4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738" w:type="pct"/>
                  <w:tcBorders>
                    <w:tl2br w:val="nil"/>
                    <w:tr2bl w:val="nil"/>
                  </w:tcBorders>
                  <w:noWrap w:val="0"/>
                  <w:vAlign w:val="center"/>
                </w:tcPr>
                <w:p w14:paraId="38D31A4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中亚工联小区</w:t>
                  </w:r>
                </w:p>
              </w:tc>
              <w:tc>
                <w:tcPr>
                  <w:tcW w:w="1100" w:type="pct"/>
                  <w:tcBorders>
                    <w:tl2br w:val="nil"/>
                    <w:tr2bl w:val="nil"/>
                  </w:tcBorders>
                  <w:noWrap w:val="0"/>
                  <w:vAlign w:val="center"/>
                </w:tcPr>
                <w:p w14:paraId="154A107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128°53′39.03436″</w:t>
                  </w:r>
                </w:p>
              </w:tc>
              <w:tc>
                <w:tcPr>
                  <w:tcW w:w="1045" w:type="pct"/>
                  <w:tcBorders>
                    <w:tl2br w:val="nil"/>
                    <w:tr2bl w:val="nil"/>
                  </w:tcBorders>
                  <w:noWrap w:val="0"/>
                  <w:vAlign w:val="center"/>
                </w:tcPr>
                <w:p w14:paraId="5D30B85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47°43′36.22756″</w:t>
                  </w:r>
                </w:p>
              </w:tc>
              <w:tc>
                <w:tcPr>
                  <w:tcW w:w="627" w:type="pct"/>
                  <w:vMerge w:val="continue"/>
                  <w:tcBorders>
                    <w:tl2br w:val="nil"/>
                    <w:tr2bl w:val="nil"/>
                  </w:tcBorders>
                  <w:noWrap w:val="0"/>
                  <w:vAlign w:val="center"/>
                </w:tcPr>
                <w:p w14:paraId="30DD851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449C6B91">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47616C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7B8C13C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2140</w:t>
                  </w:r>
                </w:p>
              </w:tc>
            </w:tr>
            <w:tr w14:paraId="6EF12C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54F5399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永兴南院</w:t>
                  </w:r>
                </w:p>
              </w:tc>
              <w:tc>
                <w:tcPr>
                  <w:tcW w:w="1100" w:type="pct"/>
                  <w:tcBorders>
                    <w:tl2br w:val="nil"/>
                    <w:tr2bl w:val="nil"/>
                  </w:tcBorders>
                  <w:noWrap w:val="0"/>
                  <w:vAlign w:val="center"/>
                </w:tcPr>
                <w:p w14:paraId="41AD6C8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128°53′34.17330″</w:t>
                  </w:r>
                </w:p>
              </w:tc>
              <w:tc>
                <w:tcPr>
                  <w:tcW w:w="1045" w:type="pct"/>
                  <w:tcBorders>
                    <w:tl2br w:val="nil"/>
                    <w:tr2bl w:val="nil"/>
                  </w:tcBorders>
                  <w:noWrap w:val="0"/>
                  <w:vAlign w:val="center"/>
                </w:tcPr>
                <w:p w14:paraId="042155F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47°43′37.45124″</w:t>
                  </w:r>
                </w:p>
              </w:tc>
              <w:tc>
                <w:tcPr>
                  <w:tcW w:w="627" w:type="pct"/>
                  <w:vMerge w:val="continue"/>
                  <w:tcBorders>
                    <w:tl2br w:val="nil"/>
                    <w:tr2bl w:val="nil"/>
                  </w:tcBorders>
                  <w:noWrap w:val="0"/>
                  <w:vAlign w:val="center"/>
                </w:tcPr>
                <w:p w14:paraId="4A52862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740BE723">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417CBDE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1946B90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2210</w:t>
                  </w:r>
                </w:p>
              </w:tc>
            </w:tr>
            <w:tr w14:paraId="44483D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4173912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林城小区</w:t>
                  </w:r>
                </w:p>
              </w:tc>
              <w:tc>
                <w:tcPr>
                  <w:tcW w:w="1100" w:type="pct"/>
                  <w:tcBorders>
                    <w:tl2br w:val="nil"/>
                    <w:tr2bl w:val="nil"/>
                  </w:tcBorders>
                  <w:noWrap w:val="0"/>
                  <w:vAlign w:val="center"/>
                </w:tcPr>
                <w:p w14:paraId="4370CA4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128°53′47.44985″</w:t>
                  </w:r>
                </w:p>
              </w:tc>
              <w:tc>
                <w:tcPr>
                  <w:tcW w:w="1045" w:type="pct"/>
                  <w:tcBorders>
                    <w:tl2br w:val="nil"/>
                    <w:tr2bl w:val="nil"/>
                  </w:tcBorders>
                  <w:noWrap w:val="0"/>
                  <w:vAlign w:val="center"/>
                </w:tcPr>
                <w:p w14:paraId="6AFB814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47°43′33.69294″</w:t>
                  </w:r>
                </w:p>
              </w:tc>
              <w:tc>
                <w:tcPr>
                  <w:tcW w:w="627" w:type="pct"/>
                  <w:vMerge w:val="continue"/>
                  <w:tcBorders>
                    <w:tl2br w:val="nil"/>
                    <w:tr2bl w:val="nil"/>
                  </w:tcBorders>
                  <w:noWrap w:val="0"/>
                  <w:vAlign w:val="center"/>
                </w:tcPr>
                <w:p w14:paraId="63D5950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23CB3254">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5F5DB31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0F711C4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2030</w:t>
                  </w:r>
                </w:p>
              </w:tc>
            </w:tr>
            <w:tr w14:paraId="170D58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0B3B022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华夏小区</w:t>
                  </w:r>
                </w:p>
              </w:tc>
              <w:tc>
                <w:tcPr>
                  <w:tcW w:w="1100" w:type="pct"/>
                  <w:tcBorders>
                    <w:tl2br w:val="nil"/>
                    <w:tr2bl w:val="nil"/>
                  </w:tcBorders>
                  <w:noWrap w:val="0"/>
                  <w:vAlign w:val="center"/>
                </w:tcPr>
                <w:p w14:paraId="5CE30DD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128°53′23.71456″</w:t>
                  </w:r>
                </w:p>
              </w:tc>
              <w:tc>
                <w:tcPr>
                  <w:tcW w:w="1045" w:type="pct"/>
                  <w:tcBorders>
                    <w:tl2br w:val="nil"/>
                    <w:tr2bl w:val="nil"/>
                  </w:tcBorders>
                  <w:noWrap w:val="0"/>
                  <w:vAlign w:val="center"/>
                </w:tcPr>
                <w:p w14:paraId="188BDD0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47°43′33.48327″</w:t>
                  </w:r>
                </w:p>
              </w:tc>
              <w:tc>
                <w:tcPr>
                  <w:tcW w:w="627" w:type="pct"/>
                  <w:vMerge w:val="continue"/>
                  <w:tcBorders>
                    <w:tl2br w:val="nil"/>
                    <w:tr2bl w:val="nil"/>
                  </w:tcBorders>
                  <w:noWrap w:val="0"/>
                  <w:vAlign w:val="center"/>
                </w:tcPr>
                <w:p w14:paraId="4F31BE6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7F69EF18">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0AE971A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619F948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2460</w:t>
                  </w:r>
                </w:p>
              </w:tc>
            </w:tr>
            <w:tr w14:paraId="2207F7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680097C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永兴北院</w:t>
                  </w:r>
                </w:p>
              </w:tc>
              <w:tc>
                <w:tcPr>
                  <w:tcW w:w="1100" w:type="pct"/>
                  <w:tcBorders>
                    <w:tl2br w:val="nil"/>
                    <w:tr2bl w:val="nil"/>
                  </w:tcBorders>
                  <w:noWrap w:val="0"/>
                  <w:vAlign w:val="center"/>
                </w:tcPr>
                <w:p w14:paraId="536854E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128°53′29.96331″</w:t>
                  </w:r>
                </w:p>
              </w:tc>
              <w:tc>
                <w:tcPr>
                  <w:tcW w:w="1045" w:type="pct"/>
                  <w:tcBorders>
                    <w:tl2br w:val="nil"/>
                    <w:tr2bl w:val="nil"/>
                  </w:tcBorders>
                  <w:noWrap w:val="0"/>
                  <w:vAlign w:val="center"/>
                </w:tcPr>
                <w:p w14:paraId="070533A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47°43′38.84120″</w:t>
                  </w:r>
                </w:p>
              </w:tc>
              <w:tc>
                <w:tcPr>
                  <w:tcW w:w="627" w:type="pct"/>
                  <w:vMerge w:val="continue"/>
                  <w:tcBorders>
                    <w:tl2br w:val="nil"/>
                    <w:tr2bl w:val="nil"/>
                  </w:tcBorders>
                  <w:noWrap w:val="0"/>
                  <w:vAlign w:val="center"/>
                </w:tcPr>
                <w:p w14:paraId="1A03FDC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22714018">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2C28A8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43A429D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2270</w:t>
                  </w:r>
                </w:p>
              </w:tc>
            </w:tr>
            <w:tr w14:paraId="34CE13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738" w:type="pct"/>
                  <w:tcBorders>
                    <w:tl2br w:val="nil"/>
                    <w:tr2bl w:val="nil"/>
                  </w:tcBorders>
                  <w:noWrap w:val="0"/>
                  <w:vAlign w:val="center"/>
                </w:tcPr>
                <w:p w14:paraId="6F70A5A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卓悦万象城</w:t>
                  </w:r>
                </w:p>
              </w:tc>
              <w:tc>
                <w:tcPr>
                  <w:tcW w:w="1100" w:type="pct"/>
                  <w:tcBorders>
                    <w:tl2br w:val="nil"/>
                    <w:tr2bl w:val="nil"/>
                  </w:tcBorders>
                  <w:noWrap w:val="0"/>
                  <w:vAlign w:val="center"/>
                </w:tcPr>
                <w:p w14:paraId="0856945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128°53′53.04258″</w:t>
                  </w:r>
                </w:p>
              </w:tc>
              <w:tc>
                <w:tcPr>
                  <w:tcW w:w="1045" w:type="pct"/>
                  <w:tcBorders>
                    <w:tl2br w:val="nil"/>
                    <w:tr2bl w:val="nil"/>
                  </w:tcBorders>
                  <w:noWrap w:val="0"/>
                  <w:vAlign w:val="center"/>
                </w:tcPr>
                <w:p w14:paraId="1F1A062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47°43′32.06625″</w:t>
                  </w:r>
                </w:p>
              </w:tc>
              <w:tc>
                <w:tcPr>
                  <w:tcW w:w="627" w:type="pct"/>
                  <w:vMerge w:val="continue"/>
                  <w:tcBorders>
                    <w:tl2br w:val="nil"/>
                    <w:tr2bl w:val="nil"/>
                  </w:tcBorders>
                  <w:noWrap w:val="0"/>
                  <w:vAlign w:val="center"/>
                </w:tcPr>
                <w:p w14:paraId="08268F8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22203DAA">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65A5D84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35F62E1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1960</w:t>
                  </w:r>
                </w:p>
              </w:tc>
            </w:tr>
            <w:tr w14:paraId="1F2612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5A0A6A8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向阳小区</w:t>
                  </w:r>
                </w:p>
              </w:tc>
              <w:tc>
                <w:tcPr>
                  <w:tcW w:w="1100" w:type="pct"/>
                  <w:tcBorders>
                    <w:tl2br w:val="nil"/>
                    <w:tr2bl w:val="nil"/>
                  </w:tcBorders>
                  <w:noWrap w:val="0"/>
                  <w:vAlign w:val="center"/>
                </w:tcPr>
                <w:p w14:paraId="5D0E025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128°53′24.00057″</w:t>
                  </w:r>
                </w:p>
              </w:tc>
              <w:tc>
                <w:tcPr>
                  <w:tcW w:w="1045" w:type="pct"/>
                  <w:tcBorders>
                    <w:tl2br w:val="nil"/>
                    <w:tr2bl w:val="nil"/>
                  </w:tcBorders>
                  <w:noWrap w:val="0"/>
                  <w:vAlign w:val="center"/>
                </w:tcPr>
                <w:p w14:paraId="49DDC18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47°43′30.90915″</w:t>
                  </w:r>
                </w:p>
              </w:tc>
              <w:tc>
                <w:tcPr>
                  <w:tcW w:w="627" w:type="pct"/>
                  <w:vMerge w:val="continue"/>
                  <w:tcBorders>
                    <w:tl2br w:val="nil"/>
                    <w:tr2bl w:val="nil"/>
                  </w:tcBorders>
                  <w:noWrap w:val="0"/>
                  <w:vAlign w:val="center"/>
                </w:tcPr>
                <w:p w14:paraId="312BC01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1A198A9B">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1E2EDEC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1B917AB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2490</w:t>
                  </w:r>
                </w:p>
              </w:tc>
            </w:tr>
            <w:tr w14:paraId="1C44E6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7F69686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红旗小区</w:t>
                  </w:r>
                </w:p>
              </w:tc>
              <w:tc>
                <w:tcPr>
                  <w:tcW w:w="1100" w:type="pct"/>
                  <w:tcBorders>
                    <w:tl2br w:val="nil"/>
                    <w:tr2bl w:val="nil"/>
                  </w:tcBorders>
                  <w:noWrap w:val="0"/>
                  <w:vAlign w:val="center"/>
                </w:tcPr>
                <w:p w14:paraId="06A0473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128°53′17.24739″</w:t>
                  </w:r>
                </w:p>
              </w:tc>
              <w:tc>
                <w:tcPr>
                  <w:tcW w:w="1045" w:type="pct"/>
                  <w:tcBorders>
                    <w:tl2br w:val="nil"/>
                    <w:tr2bl w:val="nil"/>
                  </w:tcBorders>
                  <w:noWrap w:val="0"/>
                  <w:vAlign w:val="center"/>
                </w:tcPr>
                <w:p w14:paraId="79E55B1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47°43′28.96220″</w:t>
                  </w:r>
                </w:p>
              </w:tc>
              <w:tc>
                <w:tcPr>
                  <w:tcW w:w="627" w:type="pct"/>
                  <w:vMerge w:val="continue"/>
                  <w:tcBorders>
                    <w:tl2br w:val="nil"/>
                    <w:tr2bl w:val="nil"/>
                  </w:tcBorders>
                  <w:noWrap w:val="0"/>
                  <w:vAlign w:val="center"/>
                </w:tcPr>
                <w:p w14:paraId="0E7CA48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5738A9BF">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62F129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1DD677B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2650</w:t>
                  </w:r>
                </w:p>
              </w:tc>
            </w:tr>
            <w:tr w14:paraId="376404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181AFDF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工联小区</w:t>
                  </w:r>
                </w:p>
              </w:tc>
              <w:tc>
                <w:tcPr>
                  <w:tcW w:w="1100" w:type="pct"/>
                  <w:tcBorders>
                    <w:tl2br w:val="nil"/>
                    <w:tr2bl w:val="nil"/>
                  </w:tcBorders>
                  <w:noWrap w:val="0"/>
                  <w:vAlign w:val="center"/>
                </w:tcPr>
                <w:p w14:paraId="30F31A4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128°53′17.98800″</w:t>
                  </w:r>
                </w:p>
              </w:tc>
              <w:tc>
                <w:tcPr>
                  <w:tcW w:w="1045" w:type="pct"/>
                  <w:tcBorders>
                    <w:tl2br w:val="nil"/>
                    <w:tr2bl w:val="nil"/>
                  </w:tcBorders>
                  <w:noWrap w:val="0"/>
                  <w:vAlign w:val="center"/>
                </w:tcPr>
                <w:p w14:paraId="5CFC6C4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47°43′26.68539″</w:t>
                  </w:r>
                </w:p>
              </w:tc>
              <w:tc>
                <w:tcPr>
                  <w:tcW w:w="627" w:type="pct"/>
                  <w:vMerge w:val="continue"/>
                  <w:tcBorders>
                    <w:tl2br w:val="nil"/>
                    <w:tr2bl w:val="nil"/>
                  </w:tcBorders>
                  <w:noWrap w:val="0"/>
                  <w:vAlign w:val="center"/>
                </w:tcPr>
                <w:p w14:paraId="6CDD8D0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1D4928F4">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65C25E8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48C48DC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2660</w:t>
                  </w:r>
                </w:p>
              </w:tc>
            </w:tr>
            <w:tr w14:paraId="35A6A8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738" w:type="pct"/>
                  <w:tcBorders>
                    <w:tl2br w:val="nil"/>
                    <w:tr2bl w:val="nil"/>
                  </w:tcBorders>
                  <w:noWrap w:val="0"/>
                  <w:vAlign w:val="center"/>
                </w:tcPr>
                <w:p w14:paraId="044D430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万润城市花园</w:t>
                  </w:r>
                </w:p>
              </w:tc>
              <w:tc>
                <w:tcPr>
                  <w:tcW w:w="1100" w:type="pct"/>
                  <w:tcBorders>
                    <w:tl2br w:val="nil"/>
                    <w:tr2bl w:val="nil"/>
                  </w:tcBorders>
                  <w:noWrap w:val="0"/>
                  <w:vAlign w:val="center"/>
                </w:tcPr>
                <w:p w14:paraId="4517817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128°53′23.44245″</w:t>
                  </w:r>
                </w:p>
              </w:tc>
              <w:tc>
                <w:tcPr>
                  <w:tcW w:w="1045" w:type="pct"/>
                  <w:tcBorders>
                    <w:tl2br w:val="nil"/>
                    <w:tr2bl w:val="nil"/>
                  </w:tcBorders>
                  <w:noWrap w:val="0"/>
                  <w:vAlign w:val="center"/>
                </w:tcPr>
                <w:p w14:paraId="4A7B565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47°43′20.15255″</w:t>
                  </w:r>
                </w:p>
              </w:tc>
              <w:tc>
                <w:tcPr>
                  <w:tcW w:w="627" w:type="pct"/>
                  <w:vMerge w:val="continue"/>
                  <w:tcBorders>
                    <w:tl2br w:val="nil"/>
                    <w:tr2bl w:val="nil"/>
                  </w:tcBorders>
                  <w:noWrap w:val="0"/>
                  <w:vAlign w:val="center"/>
                </w:tcPr>
                <w:p w14:paraId="277514A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252B592D">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656853D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605B810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2680</w:t>
                  </w:r>
                </w:p>
              </w:tc>
            </w:tr>
            <w:tr w14:paraId="22DAE5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263BD72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南郡D区</w:t>
                  </w:r>
                </w:p>
              </w:tc>
              <w:tc>
                <w:tcPr>
                  <w:tcW w:w="1100" w:type="pct"/>
                  <w:tcBorders>
                    <w:tl2br w:val="nil"/>
                    <w:tr2bl w:val="nil"/>
                  </w:tcBorders>
                  <w:noWrap w:val="0"/>
                  <w:vAlign w:val="center"/>
                </w:tcPr>
                <w:p w14:paraId="1BE72F7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128°53′18.09112″</w:t>
                  </w:r>
                </w:p>
              </w:tc>
              <w:tc>
                <w:tcPr>
                  <w:tcW w:w="1045" w:type="pct"/>
                  <w:tcBorders>
                    <w:tl2br w:val="nil"/>
                    <w:tr2bl w:val="nil"/>
                  </w:tcBorders>
                  <w:noWrap w:val="0"/>
                  <w:vAlign w:val="center"/>
                </w:tcPr>
                <w:p w14:paraId="11912CF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47°43′11.21528″</w:t>
                  </w:r>
                </w:p>
              </w:tc>
              <w:tc>
                <w:tcPr>
                  <w:tcW w:w="627" w:type="pct"/>
                  <w:vMerge w:val="continue"/>
                  <w:tcBorders>
                    <w:tl2br w:val="nil"/>
                    <w:tr2bl w:val="nil"/>
                  </w:tcBorders>
                  <w:noWrap w:val="0"/>
                  <w:vAlign w:val="center"/>
                </w:tcPr>
                <w:p w14:paraId="76EBEB4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3DB0467F">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3CE4434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2428D02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2930</w:t>
                  </w:r>
                </w:p>
              </w:tc>
            </w:tr>
            <w:tr w14:paraId="337E26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738" w:type="pct"/>
                  <w:tcBorders>
                    <w:tl2br w:val="nil"/>
                    <w:tr2bl w:val="nil"/>
                  </w:tcBorders>
                  <w:noWrap w:val="0"/>
                  <w:vAlign w:val="center"/>
                </w:tcPr>
                <w:p w14:paraId="332C7AD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交通新苑小区</w:t>
                  </w:r>
                </w:p>
              </w:tc>
              <w:tc>
                <w:tcPr>
                  <w:tcW w:w="1100" w:type="pct"/>
                  <w:tcBorders>
                    <w:tl2br w:val="nil"/>
                    <w:tr2bl w:val="nil"/>
                  </w:tcBorders>
                  <w:noWrap w:val="0"/>
                  <w:vAlign w:val="center"/>
                </w:tcPr>
                <w:p w14:paraId="7958627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128°53′28.68246″</w:t>
                  </w:r>
                </w:p>
              </w:tc>
              <w:tc>
                <w:tcPr>
                  <w:tcW w:w="1045" w:type="pct"/>
                  <w:tcBorders>
                    <w:tl2br w:val="nil"/>
                    <w:tr2bl w:val="nil"/>
                  </w:tcBorders>
                  <w:noWrap w:val="0"/>
                  <w:vAlign w:val="center"/>
                </w:tcPr>
                <w:p w14:paraId="7D50069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47°43′10.39553″</w:t>
                  </w:r>
                </w:p>
              </w:tc>
              <w:tc>
                <w:tcPr>
                  <w:tcW w:w="627" w:type="pct"/>
                  <w:vMerge w:val="continue"/>
                  <w:tcBorders>
                    <w:tl2br w:val="nil"/>
                    <w:tr2bl w:val="nil"/>
                  </w:tcBorders>
                  <w:noWrap w:val="0"/>
                  <w:vAlign w:val="center"/>
                </w:tcPr>
                <w:p w14:paraId="13353C9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0D45E96C">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49465F2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3C14105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2780</w:t>
                  </w:r>
                </w:p>
              </w:tc>
            </w:tr>
            <w:tr w14:paraId="7ADE64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5720A1B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高潮小区</w:t>
                  </w:r>
                </w:p>
              </w:tc>
              <w:tc>
                <w:tcPr>
                  <w:tcW w:w="1100" w:type="pct"/>
                  <w:tcBorders>
                    <w:tl2br w:val="nil"/>
                    <w:tr2bl w:val="nil"/>
                  </w:tcBorders>
                  <w:noWrap w:val="0"/>
                  <w:vAlign w:val="center"/>
                </w:tcPr>
                <w:p w14:paraId="6015100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128°53′36.73711″</w:t>
                  </w:r>
                </w:p>
              </w:tc>
              <w:tc>
                <w:tcPr>
                  <w:tcW w:w="1045" w:type="pct"/>
                  <w:tcBorders>
                    <w:tl2br w:val="nil"/>
                    <w:tr2bl w:val="nil"/>
                  </w:tcBorders>
                  <w:noWrap w:val="0"/>
                  <w:vAlign w:val="center"/>
                </w:tcPr>
                <w:p w14:paraId="486FB32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47°43′11.49650″</w:t>
                  </w:r>
                </w:p>
              </w:tc>
              <w:tc>
                <w:tcPr>
                  <w:tcW w:w="627" w:type="pct"/>
                  <w:vMerge w:val="continue"/>
                  <w:tcBorders>
                    <w:tl2br w:val="nil"/>
                    <w:tr2bl w:val="nil"/>
                  </w:tcBorders>
                  <w:noWrap w:val="0"/>
                  <w:vAlign w:val="center"/>
                </w:tcPr>
                <w:p w14:paraId="2DF01A0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24EF7D3C">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5A4463C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2DAC200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2630</w:t>
                  </w:r>
                </w:p>
              </w:tc>
            </w:tr>
            <w:tr w14:paraId="6F1B39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41FDE4F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南郡B区</w:t>
                  </w:r>
                </w:p>
              </w:tc>
              <w:tc>
                <w:tcPr>
                  <w:tcW w:w="1100" w:type="pct"/>
                  <w:tcBorders>
                    <w:tl2br w:val="nil"/>
                    <w:tr2bl w:val="nil"/>
                  </w:tcBorders>
                  <w:noWrap w:val="0"/>
                  <w:vAlign w:val="center"/>
                </w:tcPr>
                <w:p w14:paraId="08D0F14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128°53′28.63843″</w:t>
                  </w:r>
                </w:p>
              </w:tc>
              <w:tc>
                <w:tcPr>
                  <w:tcW w:w="1045" w:type="pct"/>
                  <w:tcBorders>
                    <w:tl2br w:val="nil"/>
                    <w:tr2bl w:val="nil"/>
                  </w:tcBorders>
                  <w:noWrap w:val="0"/>
                  <w:vAlign w:val="center"/>
                </w:tcPr>
                <w:p w14:paraId="28477C8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47°43′6.45428″</w:t>
                  </w:r>
                </w:p>
              </w:tc>
              <w:tc>
                <w:tcPr>
                  <w:tcW w:w="627" w:type="pct"/>
                  <w:vMerge w:val="continue"/>
                  <w:tcBorders>
                    <w:tl2br w:val="nil"/>
                    <w:tr2bl w:val="nil"/>
                  </w:tcBorders>
                  <w:noWrap w:val="0"/>
                  <w:vAlign w:val="center"/>
                </w:tcPr>
                <w:p w14:paraId="0D63E12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142E39EE">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40D4547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4B0E0D1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2860</w:t>
                  </w:r>
                </w:p>
              </w:tc>
            </w:tr>
            <w:tr w14:paraId="6D842B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1E42A2E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红升小区</w:t>
                  </w:r>
                </w:p>
              </w:tc>
              <w:tc>
                <w:tcPr>
                  <w:tcW w:w="1100" w:type="pct"/>
                  <w:tcBorders>
                    <w:tl2br w:val="nil"/>
                    <w:tr2bl w:val="nil"/>
                  </w:tcBorders>
                  <w:noWrap w:val="0"/>
                  <w:vAlign w:val="center"/>
                </w:tcPr>
                <w:p w14:paraId="441224A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128°53′40.41657″</w:t>
                  </w:r>
                </w:p>
              </w:tc>
              <w:tc>
                <w:tcPr>
                  <w:tcW w:w="1045" w:type="pct"/>
                  <w:tcBorders>
                    <w:tl2br w:val="nil"/>
                    <w:tr2bl w:val="nil"/>
                  </w:tcBorders>
                  <w:noWrap w:val="0"/>
                  <w:vAlign w:val="center"/>
                </w:tcPr>
                <w:p w14:paraId="5F58F91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47°43′8.87965″</w:t>
                  </w:r>
                </w:p>
              </w:tc>
              <w:tc>
                <w:tcPr>
                  <w:tcW w:w="627" w:type="pct"/>
                  <w:vMerge w:val="continue"/>
                  <w:tcBorders>
                    <w:tl2br w:val="nil"/>
                    <w:tr2bl w:val="nil"/>
                  </w:tcBorders>
                  <w:noWrap w:val="0"/>
                  <w:vAlign w:val="center"/>
                </w:tcPr>
                <w:p w14:paraId="31CC8EF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1E192AE1">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636952F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25671DF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2630</w:t>
                  </w:r>
                </w:p>
              </w:tc>
            </w:tr>
            <w:tr w14:paraId="0873FF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02093C4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天润华城</w:t>
                  </w:r>
                </w:p>
              </w:tc>
              <w:tc>
                <w:tcPr>
                  <w:tcW w:w="1100" w:type="pct"/>
                  <w:tcBorders>
                    <w:tl2br w:val="nil"/>
                    <w:tr2bl w:val="nil"/>
                  </w:tcBorders>
                  <w:noWrap w:val="0"/>
                  <w:vAlign w:val="center"/>
                </w:tcPr>
                <w:p w14:paraId="1C05053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128°53′57.51495</w:t>
                  </w:r>
                </w:p>
              </w:tc>
              <w:tc>
                <w:tcPr>
                  <w:tcW w:w="1045" w:type="pct"/>
                  <w:tcBorders>
                    <w:tl2br w:val="nil"/>
                    <w:tr2bl w:val="nil"/>
                  </w:tcBorders>
                  <w:noWrap w:val="0"/>
                  <w:vAlign w:val="center"/>
                </w:tcPr>
                <w:p w14:paraId="4081777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47°43′10.38325″</w:t>
                  </w:r>
                </w:p>
              </w:tc>
              <w:tc>
                <w:tcPr>
                  <w:tcW w:w="627" w:type="pct"/>
                  <w:vMerge w:val="continue"/>
                  <w:tcBorders>
                    <w:tl2br w:val="nil"/>
                    <w:tr2bl w:val="nil"/>
                  </w:tcBorders>
                  <w:noWrap w:val="0"/>
                  <w:vAlign w:val="center"/>
                </w:tcPr>
                <w:p w14:paraId="61C58B1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0BED2542">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5007597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699AB5E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2360</w:t>
                  </w:r>
                </w:p>
              </w:tc>
            </w:tr>
            <w:tr w14:paraId="2EA357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74AAA53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黎明小区</w:t>
                  </w:r>
                </w:p>
              </w:tc>
              <w:tc>
                <w:tcPr>
                  <w:tcW w:w="1100" w:type="pct"/>
                  <w:tcBorders>
                    <w:tl2br w:val="nil"/>
                    <w:tr2bl w:val="nil"/>
                  </w:tcBorders>
                  <w:noWrap w:val="0"/>
                  <w:vAlign w:val="center"/>
                </w:tcPr>
                <w:p w14:paraId="2BDF455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128°53′10.60018″</w:t>
                  </w:r>
                </w:p>
              </w:tc>
              <w:tc>
                <w:tcPr>
                  <w:tcW w:w="1045" w:type="pct"/>
                  <w:tcBorders>
                    <w:tl2br w:val="nil"/>
                    <w:tr2bl w:val="nil"/>
                  </w:tcBorders>
                  <w:noWrap w:val="0"/>
                  <w:vAlign w:val="center"/>
                </w:tcPr>
                <w:p w14:paraId="55E6B43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47°43′1.19574″</w:t>
                  </w:r>
                </w:p>
              </w:tc>
              <w:tc>
                <w:tcPr>
                  <w:tcW w:w="627" w:type="pct"/>
                  <w:vMerge w:val="continue"/>
                  <w:tcBorders>
                    <w:tl2br w:val="nil"/>
                    <w:tr2bl w:val="nil"/>
                  </w:tcBorders>
                  <w:noWrap w:val="0"/>
                  <w:vAlign w:val="center"/>
                </w:tcPr>
                <w:p w14:paraId="02221C8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43994071">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63324DD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538C6BD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3240</w:t>
                  </w:r>
                </w:p>
              </w:tc>
            </w:tr>
            <w:tr w14:paraId="0EAD8C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738" w:type="pct"/>
                  <w:tcBorders>
                    <w:tl2br w:val="nil"/>
                    <w:tr2bl w:val="nil"/>
                  </w:tcBorders>
                  <w:noWrap w:val="0"/>
                  <w:vAlign w:val="center"/>
                </w:tcPr>
                <w:p w14:paraId="38F9BE4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光明委小区</w:t>
                  </w:r>
                </w:p>
              </w:tc>
              <w:tc>
                <w:tcPr>
                  <w:tcW w:w="1100" w:type="pct"/>
                  <w:tcBorders>
                    <w:tl2br w:val="nil"/>
                    <w:tr2bl w:val="nil"/>
                  </w:tcBorders>
                  <w:noWrap w:val="0"/>
                  <w:vAlign w:val="center"/>
                </w:tcPr>
                <w:p w14:paraId="14E6353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128°53′34.04692″</w:t>
                  </w:r>
                </w:p>
              </w:tc>
              <w:tc>
                <w:tcPr>
                  <w:tcW w:w="1045" w:type="pct"/>
                  <w:tcBorders>
                    <w:tl2br w:val="nil"/>
                    <w:tr2bl w:val="nil"/>
                  </w:tcBorders>
                  <w:noWrap w:val="0"/>
                  <w:vAlign w:val="center"/>
                </w:tcPr>
                <w:p w14:paraId="7AEE1C1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47°42′51.28096″</w:t>
                  </w:r>
                </w:p>
              </w:tc>
              <w:tc>
                <w:tcPr>
                  <w:tcW w:w="627" w:type="pct"/>
                  <w:vMerge w:val="continue"/>
                  <w:tcBorders>
                    <w:tl2br w:val="nil"/>
                    <w:tr2bl w:val="nil"/>
                  </w:tcBorders>
                  <w:noWrap w:val="0"/>
                  <w:vAlign w:val="center"/>
                </w:tcPr>
                <w:p w14:paraId="4633DA4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20B21EF8">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1A62656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032D96D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3120</w:t>
                  </w:r>
                </w:p>
              </w:tc>
            </w:tr>
            <w:tr w14:paraId="714F0C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5CF9664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南郡A区</w:t>
                  </w:r>
                </w:p>
              </w:tc>
              <w:tc>
                <w:tcPr>
                  <w:tcW w:w="1100" w:type="pct"/>
                  <w:tcBorders>
                    <w:tl2br w:val="nil"/>
                    <w:tr2bl w:val="nil"/>
                  </w:tcBorders>
                  <w:noWrap w:val="0"/>
                  <w:vAlign w:val="center"/>
                </w:tcPr>
                <w:p w14:paraId="2C4A8B8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128°53′19.17255″</w:t>
                  </w:r>
                </w:p>
              </w:tc>
              <w:tc>
                <w:tcPr>
                  <w:tcW w:w="1045" w:type="pct"/>
                  <w:tcBorders>
                    <w:tl2br w:val="nil"/>
                    <w:tr2bl w:val="nil"/>
                  </w:tcBorders>
                  <w:noWrap w:val="0"/>
                  <w:vAlign w:val="center"/>
                </w:tcPr>
                <w:p w14:paraId="6444264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47°43′1.23024″</w:t>
                  </w:r>
                </w:p>
              </w:tc>
              <w:tc>
                <w:tcPr>
                  <w:tcW w:w="627" w:type="pct"/>
                  <w:vMerge w:val="continue"/>
                  <w:tcBorders>
                    <w:tl2br w:val="nil"/>
                    <w:tr2bl w:val="nil"/>
                  </w:tcBorders>
                  <w:noWrap w:val="0"/>
                  <w:vAlign w:val="center"/>
                </w:tcPr>
                <w:p w14:paraId="750E843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1B8FA8D6">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4BA8889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1AD3E53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3120</w:t>
                  </w:r>
                </w:p>
              </w:tc>
            </w:tr>
            <w:tr w14:paraId="76222C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0F67490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半山国际</w:t>
                  </w:r>
                </w:p>
              </w:tc>
              <w:tc>
                <w:tcPr>
                  <w:tcW w:w="1100" w:type="pct"/>
                  <w:tcBorders>
                    <w:tl2br w:val="nil"/>
                    <w:tr2bl w:val="nil"/>
                  </w:tcBorders>
                  <w:noWrap w:val="0"/>
                  <w:vAlign w:val="center"/>
                </w:tcPr>
                <w:p w14:paraId="11F96E0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128°53′20.73002″</w:t>
                  </w:r>
                </w:p>
              </w:tc>
              <w:tc>
                <w:tcPr>
                  <w:tcW w:w="1045" w:type="pct"/>
                  <w:tcBorders>
                    <w:tl2br w:val="nil"/>
                    <w:tr2bl w:val="nil"/>
                  </w:tcBorders>
                  <w:noWrap w:val="0"/>
                  <w:vAlign w:val="center"/>
                </w:tcPr>
                <w:p w14:paraId="522D88E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47°42′47.76499″</w:t>
                  </w:r>
                </w:p>
              </w:tc>
              <w:tc>
                <w:tcPr>
                  <w:tcW w:w="627" w:type="pct"/>
                  <w:vMerge w:val="continue"/>
                  <w:tcBorders>
                    <w:tl2br w:val="nil"/>
                    <w:tr2bl w:val="nil"/>
                  </w:tcBorders>
                  <w:noWrap w:val="0"/>
                  <w:vAlign w:val="center"/>
                </w:tcPr>
                <w:p w14:paraId="5DE23E6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11882C4C">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5A49988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0F216B6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3390</w:t>
                  </w:r>
                </w:p>
              </w:tc>
            </w:tr>
            <w:tr w14:paraId="2D7A7E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65DDD24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鑫园小区</w:t>
                  </w:r>
                </w:p>
              </w:tc>
              <w:tc>
                <w:tcPr>
                  <w:tcW w:w="1100" w:type="pct"/>
                  <w:tcBorders>
                    <w:tl2br w:val="nil"/>
                    <w:tr2bl w:val="nil"/>
                  </w:tcBorders>
                  <w:noWrap w:val="0"/>
                  <w:vAlign w:val="center"/>
                </w:tcPr>
                <w:p w14:paraId="1F9CA04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128°54′5.61864″</w:t>
                  </w:r>
                </w:p>
              </w:tc>
              <w:tc>
                <w:tcPr>
                  <w:tcW w:w="1045" w:type="pct"/>
                  <w:tcBorders>
                    <w:tl2br w:val="nil"/>
                    <w:tr2bl w:val="nil"/>
                  </w:tcBorders>
                  <w:noWrap w:val="0"/>
                  <w:vAlign w:val="center"/>
                </w:tcPr>
                <w:p w14:paraId="225DF94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47°43′27.05726″</w:t>
                  </w:r>
                </w:p>
              </w:tc>
              <w:tc>
                <w:tcPr>
                  <w:tcW w:w="627" w:type="pct"/>
                  <w:vMerge w:val="continue"/>
                  <w:tcBorders>
                    <w:tl2br w:val="nil"/>
                    <w:tr2bl w:val="nil"/>
                  </w:tcBorders>
                  <w:noWrap w:val="0"/>
                  <w:vAlign w:val="center"/>
                </w:tcPr>
                <w:p w14:paraId="7757AAA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4087A559">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4605444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546C040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1860</w:t>
                  </w:r>
                </w:p>
              </w:tc>
            </w:tr>
            <w:tr w14:paraId="5DDFAD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0300088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弘福小区</w:t>
                  </w:r>
                </w:p>
              </w:tc>
              <w:tc>
                <w:tcPr>
                  <w:tcW w:w="1100" w:type="pct"/>
                  <w:tcBorders>
                    <w:tl2br w:val="nil"/>
                    <w:tr2bl w:val="nil"/>
                  </w:tcBorders>
                  <w:noWrap w:val="0"/>
                  <w:vAlign w:val="center"/>
                </w:tcPr>
                <w:p w14:paraId="13E7645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128°53′54.16810″</w:t>
                  </w:r>
                </w:p>
              </w:tc>
              <w:tc>
                <w:tcPr>
                  <w:tcW w:w="1045" w:type="pct"/>
                  <w:tcBorders>
                    <w:tl2br w:val="nil"/>
                    <w:tr2bl w:val="nil"/>
                  </w:tcBorders>
                  <w:noWrap w:val="0"/>
                  <w:vAlign w:val="center"/>
                </w:tcPr>
                <w:p w14:paraId="68F1137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47°43′14.24747″</w:t>
                  </w:r>
                </w:p>
              </w:tc>
              <w:tc>
                <w:tcPr>
                  <w:tcW w:w="627" w:type="pct"/>
                  <w:vMerge w:val="continue"/>
                  <w:tcBorders>
                    <w:tl2br w:val="nil"/>
                    <w:tr2bl w:val="nil"/>
                  </w:tcBorders>
                  <w:noWrap w:val="0"/>
                  <w:vAlign w:val="center"/>
                </w:tcPr>
                <w:p w14:paraId="01F0A9F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0A87B0CB">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55CA663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4591419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2310</w:t>
                  </w:r>
                </w:p>
              </w:tc>
            </w:tr>
            <w:tr w14:paraId="398574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1D36DC7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伊青小区</w:t>
                  </w:r>
                </w:p>
              </w:tc>
              <w:tc>
                <w:tcPr>
                  <w:tcW w:w="1100" w:type="pct"/>
                  <w:tcBorders>
                    <w:tl2br w:val="nil"/>
                    <w:tr2bl w:val="nil"/>
                  </w:tcBorders>
                  <w:noWrap w:val="0"/>
                  <w:vAlign w:val="center"/>
                </w:tcPr>
                <w:p w14:paraId="57F08E3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128°53′59.32824″</w:t>
                  </w:r>
                </w:p>
              </w:tc>
              <w:tc>
                <w:tcPr>
                  <w:tcW w:w="1045" w:type="pct"/>
                  <w:tcBorders>
                    <w:tl2br w:val="nil"/>
                    <w:tr2bl w:val="nil"/>
                  </w:tcBorders>
                  <w:noWrap w:val="0"/>
                  <w:vAlign w:val="center"/>
                </w:tcPr>
                <w:p w14:paraId="34E4358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47°43′21.98652″</w:t>
                  </w:r>
                </w:p>
              </w:tc>
              <w:tc>
                <w:tcPr>
                  <w:tcW w:w="627" w:type="pct"/>
                  <w:vMerge w:val="continue"/>
                  <w:tcBorders>
                    <w:tl2br w:val="nil"/>
                    <w:tr2bl w:val="nil"/>
                  </w:tcBorders>
                  <w:noWrap w:val="0"/>
                  <w:vAlign w:val="center"/>
                </w:tcPr>
                <w:p w14:paraId="4D074F5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1EDF5265">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0BBE790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6E27F61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2060</w:t>
                  </w:r>
                </w:p>
              </w:tc>
            </w:tr>
            <w:tr w14:paraId="53DD80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09F16B6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潮自小区</w:t>
                  </w:r>
                </w:p>
              </w:tc>
              <w:tc>
                <w:tcPr>
                  <w:tcW w:w="1100" w:type="pct"/>
                  <w:tcBorders>
                    <w:tl2br w:val="nil"/>
                    <w:tr2bl w:val="nil"/>
                  </w:tcBorders>
                  <w:noWrap w:val="0"/>
                  <w:vAlign w:val="center"/>
                </w:tcPr>
                <w:p w14:paraId="625ED08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128°53′39.89418″</w:t>
                  </w:r>
                </w:p>
              </w:tc>
              <w:tc>
                <w:tcPr>
                  <w:tcW w:w="1045" w:type="pct"/>
                  <w:tcBorders>
                    <w:tl2br w:val="nil"/>
                    <w:tr2bl w:val="nil"/>
                  </w:tcBorders>
                  <w:noWrap w:val="0"/>
                  <w:vAlign w:val="center"/>
                </w:tcPr>
                <w:p w14:paraId="2C1AE01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47°43′13.03560″</w:t>
                  </w:r>
                </w:p>
              </w:tc>
              <w:tc>
                <w:tcPr>
                  <w:tcW w:w="627" w:type="pct"/>
                  <w:vMerge w:val="continue"/>
                  <w:tcBorders>
                    <w:tl2br w:val="nil"/>
                    <w:tr2bl w:val="nil"/>
                  </w:tcBorders>
                  <w:noWrap w:val="0"/>
                  <w:vAlign w:val="center"/>
                </w:tcPr>
                <w:p w14:paraId="29F1467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5FE1D489">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55952B9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62CD035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2550</w:t>
                  </w:r>
                </w:p>
              </w:tc>
            </w:tr>
            <w:tr w14:paraId="421070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3488045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新华小区</w:t>
                  </w:r>
                </w:p>
              </w:tc>
              <w:tc>
                <w:tcPr>
                  <w:tcW w:w="1100" w:type="pct"/>
                  <w:tcBorders>
                    <w:tl2br w:val="nil"/>
                    <w:tr2bl w:val="nil"/>
                  </w:tcBorders>
                  <w:noWrap w:val="0"/>
                  <w:vAlign w:val="center"/>
                </w:tcPr>
                <w:p w14:paraId="383DE38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128°53′51.65146″</w:t>
                  </w:r>
                </w:p>
              </w:tc>
              <w:tc>
                <w:tcPr>
                  <w:tcW w:w="1045" w:type="pct"/>
                  <w:tcBorders>
                    <w:tl2br w:val="nil"/>
                    <w:tr2bl w:val="nil"/>
                  </w:tcBorders>
                  <w:noWrap w:val="0"/>
                  <w:vAlign w:val="center"/>
                </w:tcPr>
                <w:p w14:paraId="2B30932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47°43′22.63873″</w:t>
                  </w:r>
                </w:p>
              </w:tc>
              <w:tc>
                <w:tcPr>
                  <w:tcW w:w="627" w:type="pct"/>
                  <w:vMerge w:val="continue"/>
                  <w:tcBorders>
                    <w:tl2br w:val="nil"/>
                    <w:tr2bl w:val="nil"/>
                  </w:tcBorders>
                  <w:noWrap w:val="0"/>
                  <w:vAlign w:val="center"/>
                </w:tcPr>
                <w:p w14:paraId="2E6C94C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2901C061">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1D5B5E5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466D61E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2170</w:t>
                  </w:r>
                </w:p>
              </w:tc>
            </w:tr>
            <w:tr w14:paraId="6A4031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1A3A038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普新小区</w:t>
                  </w:r>
                </w:p>
              </w:tc>
              <w:tc>
                <w:tcPr>
                  <w:tcW w:w="1100" w:type="pct"/>
                  <w:tcBorders>
                    <w:tl2br w:val="nil"/>
                    <w:tr2bl w:val="nil"/>
                  </w:tcBorders>
                  <w:noWrap w:val="0"/>
                  <w:vAlign w:val="center"/>
                </w:tcPr>
                <w:p w14:paraId="0FF47BC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128°53′46.49754″</w:t>
                  </w:r>
                </w:p>
              </w:tc>
              <w:tc>
                <w:tcPr>
                  <w:tcW w:w="1045" w:type="pct"/>
                  <w:tcBorders>
                    <w:tl2br w:val="nil"/>
                    <w:tr2bl w:val="nil"/>
                  </w:tcBorders>
                  <w:noWrap w:val="0"/>
                  <w:vAlign w:val="center"/>
                </w:tcPr>
                <w:p w14:paraId="4F09BA0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47°43′25.12385″</w:t>
                  </w:r>
                </w:p>
              </w:tc>
              <w:tc>
                <w:tcPr>
                  <w:tcW w:w="627" w:type="pct"/>
                  <w:vMerge w:val="continue"/>
                  <w:tcBorders>
                    <w:tl2br w:val="nil"/>
                    <w:tr2bl w:val="nil"/>
                  </w:tcBorders>
                  <w:noWrap w:val="0"/>
                  <w:vAlign w:val="center"/>
                </w:tcPr>
                <w:p w14:paraId="288C01B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42861E24">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677B73B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3F5C10C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2200</w:t>
                  </w:r>
                </w:p>
              </w:tc>
            </w:tr>
            <w:tr w14:paraId="140448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40754D0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林都御景</w:t>
                  </w:r>
                </w:p>
              </w:tc>
              <w:tc>
                <w:tcPr>
                  <w:tcW w:w="1100" w:type="pct"/>
                  <w:tcBorders>
                    <w:tl2br w:val="nil"/>
                    <w:tr2bl w:val="nil"/>
                  </w:tcBorders>
                  <w:noWrap w:val="0"/>
                  <w:vAlign w:val="center"/>
                </w:tcPr>
                <w:p w14:paraId="5A95D46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128°54′13.49314″</w:t>
                  </w:r>
                </w:p>
              </w:tc>
              <w:tc>
                <w:tcPr>
                  <w:tcW w:w="1045" w:type="pct"/>
                  <w:tcBorders>
                    <w:tl2br w:val="nil"/>
                    <w:tr2bl w:val="nil"/>
                  </w:tcBorders>
                  <w:noWrap w:val="0"/>
                  <w:vAlign w:val="center"/>
                </w:tcPr>
                <w:p w14:paraId="5E9CB3F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47°43′25.33998″</w:t>
                  </w:r>
                </w:p>
              </w:tc>
              <w:tc>
                <w:tcPr>
                  <w:tcW w:w="627" w:type="pct"/>
                  <w:vMerge w:val="continue"/>
                  <w:tcBorders>
                    <w:tl2br w:val="nil"/>
                    <w:tr2bl w:val="nil"/>
                  </w:tcBorders>
                  <w:noWrap w:val="0"/>
                  <w:vAlign w:val="center"/>
                </w:tcPr>
                <w:p w14:paraId="68CC146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2D7FF848">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2824CE6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4C42DCA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1890</w:t>
                  </w:r>
                </w:p>
              </w:tc>
            </w:tr>
            <w:tr w14:paraId="6CEF90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tcBorders>
                    <w:tl2br w:val="nil"/>
                    <w:tr2bl w:val="nil"/>
                  </w:tcBorders>
                  <w:noWrap w:val="0"/>
                  <w:vAlign w:val="center"/>
                </w:tcPr>
                <w:p w14:paraId="60223E7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文化小区</w:t>
                  </w:r>
                </w:p>
              </w:tc>
              <w:tc>
                <w:tcPr>
                  <w:tcW w:w="1100" w:type="pct"/>
                  <w:tcBorders>
                    <w:tl2br w:val="nil"/>
                    <w:tr2bl w:val="nil"/>
                  </w:tcBorders>
                  <w:noWrap w:val="0"/>
                  <w:vAlign w:val="center"/>
                </w:tcPr>
                <w:p w14:paraId="123A54E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128°54′15.36884″</w:t>
                  </w:r>
                </w:p>
              </w:tc>
              <w:tc>
                <w:tcPr>
                  <w:tcW w:w="1045" w:type="pct"/>
                  <w:tcBorders>
                    <w:tl2br w:val="nil"/>
                    <w:tr2bl w:val="nil"/>
                  </w:tcBorders>
                  <w:noWrap w:val="0"/>
                  <w:vAlign w:val="center"/>
                </w:tcPr>
                <w:p w14:paraId="0BA14A6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47°43′30.71865″</w:t>
                  </w:r>
                </w:p>
              </w:tc>
              <w:tc>
                <w:tcPr>
                  <w:tcW w:w="627" w:type="pct"/>
                  <w:vMerge w:val="continue"/>
                  <w:tcBorders>
                    <w:tl2br w:val="nil"/>
                    <w:tr2bl w:val="nil"/>
                  </w:tcBorders>
                  <w:noWrap w:val="0"/>
                  <w:vAlign w:val="center"/>
                </w:tcPr>
                <w:p w14:paraId="74CD925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52961A6D">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418121C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43EA2C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1640</w:t>
                  </w:r>
                </w:p>
              </w:tc>
            </w:tr>
            <w:tr w14:paraId="39BC5D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738" w:type="pct"/>
                  <w:tcBorders>
                    <w:tl2br w:val="nil"/>
                    <w:tr2bl w:val="nil"/>
                  </w:tcBorders>
                  <w:noWrap w:val="0"/>
                  <w:vAlign w:val="center"/>
                </w:tcPr>
                <w:p w14:paraId="682F751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伊春市康复医院</w:t>
                  </w:r>
                </w:p>
              </w:tc>
              <w:tc>
                <w:tcPr>
                  <w:tcW w:w="1100" w:type="pct"/>
                  <w:tcBorders>
                    <w:tl2br w:val="nil"/>
                    <w:tr2bl w:val="nil"/>
                  </w:tcBorders>
                  <w:noWrap w:val="0"/>
                  <w:vAlign w:val="center"/>
                </w:tcPr>
                <w:p w14:paraId="27C8F10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128°53′35.11777″</w:t>
                  </w:r>
                </w:p>
              </w:tc>
              <w:tc>
                <w:tcPr>
                  <w:tcW w:w="1045" w:type="pct"/>
                  <w:tcBorders>
                    <w:tl2br w:val="nil"/>
                    <w:tr2bl w:val="nil"/>
                  </w:tcBorders>
                  <w:noWrap w:val="0"/>
                  <w:vAlign w:val="center"/>
                </w:tcPr>
                <w:p w14:paraId="30212CE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47°43′22.19935″</w:t>
                  </w:r>
                </w:p>
              </w:tc>
              <w:tc>
                <w:tcPr>
                  <w:tcW w:w="627" w:type="pct"/>
                  <w:vMerge w:val="restart"/>
                  <w:tcBorders>
                    <w:tl2br w:val="nil"/>
                    <w:tr2bl w:val="nil"/>
                  </w:tcBorders>
                  <w:noWrap w:val="0"/>
                  <w:vAlign w:val="center"/>
                </w:tcPr>
                <w:p w14:paraId="497259B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医疗区</w:t>
                  </w:r>
                </w:p>
              </w:tc>
              <w:tc>
                <w:tcPr>
                  <w:tcW w:w="415" w:type="pct"/>
                  <w:vMerge w:val="continue"/>
                  <w:tcBorders>
                    <w:tl2br w:val="nil"/>
                    <w:tr2bl w:val="nil"/>
                  </w:tcBorders>
                  <w:noWrap w:val="0"/>
                  <w:vAlign w:val="center"/>
                </w:tcPr>
                <w:p w14:paraId="749940B7">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1C800B9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289120E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2440</w:t>
                  </w:r>
                </w:p>
              </w:tc>
            </w:tr>
            <w:tr w14:paraId="060B38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738" w:type="pct"/>
                  <w:tcBorders>
                    <w:tl2br w:val="nil"/>
                    <w:tr2bl w:val="nil"/>
                  </w:tcBorders>
                  <w:noWrap w:val="0"/>
                  <w:vAlign w:val="center"/>
                </w:tcPr>
                <w:p w14:paraId="4D520CD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伊春市儿童医院</w:t>
                  </w:r>
                </w:p>
              </w:tc>
              <w:tc>
                <w:tcPr>
                  <w:tcW w:w="1100" w:type="pct"/>
                  <w:tcBorders>
                    <w:tl2br w:val="nil"/>
                    <w:tr2bl w:val="nil"/>
                  </w:tcBorders>
                  <w:noWrap w:val="0"/>
                  <w:vAlign w:val="center"/>
                </w:tcPr>
                <w:p w14:paraId="7281D29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128°53′38.55002″</w:t>
                  </w:r>
                </w:p>
              </w:tc>
              <w:tc>
                <w:tcPr>
                  <w:tcW w:w="1045" w:type="pct"/>
                  <w:tcBorders>
                    <w:tl2br w:val="nil"/>
                    <w:tr2bl w:val="nil"/>
                  </w:tcBorders>
                  <w:noWrap w:val="0"/>
                  <w:vAlign w:val="center"/>
                </w:tcPr>
                <w:p w14:paraId="49AB09B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47°43′18.59416″</w:t>
                  </w:r>
                </w:p>
              </w:tc>
              <w:tc>
                <w:tcPr>
                  <w:tcW w:w="627" w:type="pct"/>
                  <w:vMerge w:val="continue"/>
                  <w:tcBorders>
                    <w:tl2br w:val="nil"/>
                    <w:tr2bl w:val="nil"/>
                  </w:tcBorders>
                  <w:noWrap w:val="0"/>
                  <w:vAlign w:val="center"/>
                </w:tcPr>
                <w:p w14:paraId="6D9829F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15" w:type="pct"/>
                  <w:vMerge w:val="continue"/>
                  <w:tcBorders>
                    <w:tl2br w:val="nil"/>
                    <w:tr2bl w:val="nil"/>
                  </w:tcBorders>
                  <w:noWrap w:val="0"/>
                  <w:vAlign w:val="center"/>
                </w:tcPr>
                <w:p w14:paraId="1E38B5BB">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15DB581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3DC406B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2450</w:t>
                  </w:r>
                </w:p>
              </w:tc>
            </w:tr>
            <w:tr w14:paraId="50C523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738" w:type="pct"/>
                  <w:tcBorders>
                    <w:tl2br w:val="nil"/>
                    <w:tr2bl w:val="nil"/>
                  </w:tcBorders>
                  <w:noWrap w:val="0"/>
                  <w:vAlign w:val="center"/>
                </w:tcPr>
                <w:p w14:paraId="1224542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伊春市第一医院</w:t>
                  </w:r>
                </w:p>
              </w:tc>
              <w:tc>
                <w:tcPr>
                  <w:tcW w:w="1100" w:type="pct"/>
                  <w:tcBorders>
                    <w:tl2br w:val="nil"/>
                    <w:tr2bl w:val="nil"/>
                  </w:tcBorders>
                  <w:noWrap w:val="0"/>
                  <w:vAlign w:val="center"/>
                </w:tcPr>
                <w:p w14:paraId="311D3BF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128°53′38.15238″</w:t>
                  </w:r>
                </w:p>
              </w:tc>
              <w:tc>
                <w:tcPr>
                  <w:tcW w:w="1045" w:type="pct"/>
                  <w:tcBorders>
                    <w:tl2br w:val="nil"/>
                    <w:tr2bl w:val="nil"/>
                  </w:tcBorders>
                  <w:noWrap w:val="0"/>
                  <w:vAlign w:val="center"/>
                </w:tcPr>
                <w:p w14:paraId="239C343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47°43′20.27151″</w:t>
                  </w:r>
                </w:p>
              </w:tc>
              <w:tc>
                <w:tcPr>
                  <w:tcW w:w="627" w:type="pct"/>
                  <w:vMerge w:val="continue"/>
                  <w:tcBorders>
                    <w:tl2br w:val="nil"/>
                    <w:tr2bl w:val="nil"/>
                  </w:tcBorders>
                  <w:noWrap w:val="0"/>
                  <w:vAlign w:val="center"/>
                </w:tcPr>
                <w:p w14:paraId="4DF8E3C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15" w:type="pct"/>
                  <w:vMerge w:val="continue"/>
                  <w:tcBorders>
                    <w:tl2br w:val="nil"/>
                    <w:tr2bl w:val="nil"/>
                  </w:tcBorders>
                  <w:noWrap w:val="0"/>
                  <w:vAlign w:val="center"/>
                </w:tcPr>
                <w:p w14:paraId="674C6D90">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18B0082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1A891A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2430</w:t>
                  </w:r>
                </w:p>
              </w:tc>
            </w:tr>
            <w:tr w14:paraId="361F54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738" w:type="pct"/>
                  <w:tcBorders>
                    <w:tl2br w:val="nil"/>
                    <w:tr2bl w:val="nil"/>
                  </w:tcBorders>
                  <w:noWrap w:val="0"/>
                  <w:vAlign w:val="center"/>
                </w:tcPr>
                <w:p w14:paraId="3B38AB1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伊春永康中医医院</w:t>
                  </w:r>
                </w:p>
              </w:tc>
              <w:tc>
                <w:tcPr>
                  <w:tcW w:w="1100" w:type="pct"/>
                  <w:tcBorders>
                    <w:tl2br w:val="nil"/>
                    <w:tr2bl w:val="nil"/>
                  </w:tcBorders>
                  <w:noWrap w:val="0"/>
                  <w:vAlign w:val="center"/>
                </w:tcPr>
                <w:p w14:paraId="16F58BA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128°54′17.15190″</w:t>
                  </w:r>
                </w:p>
              </w:tc>
              <w:tc>
                <w:tcPr>
                  <w:tcW w:w="1045" w:type="pct"/>
                  <w:tcBorders>
                    <w:tl2br w:val="nil"/>
                    <w:tr2bl w:val="nil"/>
                  </w:tcBorders>
                  <w:noWrap w:val="0"/>
                  <w:vAlign w:val="center"/>
                </w:tcPr>
                <w:p w14:paraId="335B991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47°43′36.29840″</w:t>
                  </w:r>
                </w:p>
              </w:tc>
              <w:tc>
                <w:tcPr>
                  <w:tcW w:w="627" w:type="pct"/>
                  <w:vMerge w:val="continue"/>
                  <w:tcBorders>
                    <w:tl2br w:val="nil"/>
                    <w:tr2bl w:val="nil"/>
                  </w:tcBorders>
                  <w:noWrap w:val="0"/>
                  <w:vAlign w:val="center"/>
                </w:tcPr>
                <w:p w14:paraId="73B0F60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15" w:type="pct"/>
                  <w:vMerge w:val="continue"/>
                  <w:tcBorders>
                    <w:tl2br w:val="nil"/>
                    <w:tr2bl w:val="nil"/>
                  </w:tcBorders>
                  <w:noWrap w:val="0"/>
                  <w:vAlign w:val="center"/>
                </w:tcPr>
                <w:p w14:paraId="072BBDD6">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5487C1C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4B23418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1490</w:t>
                  </w:r>
                </w:p>
              </w:tc>
            </w:tr>
            <w:tr w14:paraId="3F96CF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738" w:type="pct"/>
                  <w:tcBorders>
                    <w:tl2br w:val="nil"/>
                    <w:tr2bl w:val="nil"/>
                  </w:tcBorders>
                  <w:noWrap w:val="0"/>
                  <w:vAlign w:val="center"/>
                </w:tcPr>
                <w:p w14:paraId="6E7252E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伊美区育林小学</w:t>
                  </w:r>
                </w:p>
              </w:tc>
              <w:tc>
                <w:tcPr>
                  <w:tcW w:w="1100" w:type="pct"/>
                  <w:tcBorders>
                    <w:tl2br w:val="nil"/>
                    <w:tr2bl w:val="nil"/>
                  </w:tcBorders>
                  <w:noWrap w:val="0"/>
                  <w:vAlign w:val="center"/>
                </w:tcPr>
                <w:p w14:paraId="765A5C8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128°54′17.53921″</w:t>
                  </w:r>
                </w:p>
              </w:tc>
              <w:tc>
                <w:tcPr>
                  <w:tcW w:w="1045" w:type="pct"/>
                  <w:tcBorders>
                    <w:tl2br w:val="nil"/>
                    <w:tr2bl w:val="nil"/>
                  </w:tcBorders>
                  <w:noWrap w:val="0"/>
                  <w:vAlign w:val="center"/>
                </w:tcPr>
                <w:p w14:paraId="2477B90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47°44′16.87637″</w:t>
                  </w:r>
                </w:p>
              </w:tc>
              <w:tc>
                <w:tcPr>
                  <w:tcW w:w="627" w:type="pct"/>
                  <w:vMerge w:val="restart"/>
                  <w:tcBorders>
                    <w:tl2br w:val="nil"/>
                    <w:tr2bl w:val="nil"/>
                  </w:tcBorders>
                  <w:noWrap w:val="0"/>
                  <w:vAlign w:val="center"/>
                </w:tcPr>
                <w:p w14:paraId="2293032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文化区</w:t>
                  </w:r>
                </w:p>
              </w:tc>
              <w:tc>
                <w:tcPr>
                  <w:tcW w:w="415" w:type="pct"/>
                  <w:vMerge w:val="continue"/>
                  <w:tcBorders>
                    <w:tl2br w:val="nil"/>
                    <w:tr2bl w:val="nil"/>
                  </w:tcBorders>
                  <w:noWrap w:val="0"/>
                  <w:vAlign w:val="center"/>
                </w:tcPr>
                <w:p w14:paraId="6E7C5FDB">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50BD4F4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w:t>
                  </w:r>
                </w:p>
              </w:tc>
              <w:tc>
                <w:tcPr>
                  <w:tcW w:w="551" w:type="pct"/>
                  <w:tcBorders>
                    <w:tl2br w:val="nil"/>
                    <w:tr2bl w:val="nil"/>
                  </w:tcBorders>
                  <w:noWrap w:val="0"/>
                  <w:vAlign w:val="center"/>
                </w:tcPr>
                <w:p w14:paraId="10CC77E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1100</w:t>
                  </w:r>
                </w:p>
              </w:tc>
            </w:tr>
            <w:tr w14:paraId="305C82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738" w:type="pct"/>
                  <w:tcBorders>
                    <w:tl2br w:val="nil"/>
                    <w:tr2bl w:val="nil"/>
                  </w:tcBorders>
                  <w:noWrap w:val="0"/>
                  <w:vAlign w:val="center"/>
                </w:tcPr>
                <w:p w14:paraId="0EA2E24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伊美区第二中学</w:t>
                  </w:r>
                </w:p>
              </w:tc>
              <w:tc>
                <w:tcPr>
                  <w:tcW w:w="1100" w:type="pct"/>
                  <w:tcBorders>
                    <w:tl2br w:val="nil"/>
                    <w:tr2bl w:val="nil"/>
                  </w:tcBorders>
                  <w:noWrap w:val="0"/>
                  <w:vAlign w:val="center"/>
                </w:tcPr>
                <w:p w14:paraId="27A5AEB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128°54′36.13763″</w:t>
                  </w:r>
                </w:p>
              </w:tc>
              <w:tc>
                <w:tcPr>
                  <w:tcW w:w="1045" w:type="pct"/>
                  <w:tcBorders>
                    <w:tl2br w:val="nil"/>
                    <w:tr2bl w:val="nil"/>
                  </w:tcBorders>
                  <w:noWrap w:val="0"/>
                  <w:vAlign w:val="center"/>
                </w:tcPr>
                <w:p w14:paraId="3130B4B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47°43′59.83120″</w:t>
                  </w:r>
                </w:p>
              </w:tc>
              <w:tc>
                <w:tcPr>
                  <w:tcW w:w="627" w:type="pct"/>
                  <w:vMerge w:val="continue"/>
                  <w:tcBorders>
                    <w:tl2br w:val="nil"/>
                    <w:tr2bl w:val="nil"/>
                  </w:tcBorders>
                  <w:noWrap w:val="0"/>
                  <w:vAlign w:val="center"/>
                </w:tcPr>
                <w:p w14:paraId="00BC2C8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7442BFBF">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179205F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607001D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750</w:t>
                  </w:r>
                </w:p>
              </w:tc>
            </w:tr>
            <w:tr w14:paraId="697BCC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738" w:type="pct"/>
                  <w:tcBorders>
                    <w:tl2br w:val="nil"/>
                    <w:tr2bl w:val="nil"/>
                  </w:tcBorders>
                  <w:noWrap w:val="0"/>
                  <w:vAlign w:val="center"/>
                </w:tcPr>
                <w:p w14:paraId="310F8ED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伊美区第六中学</w:t>
                  </w:r>
                </w:p>
              </w:tc>
              <w:tc>
                <w:tcPr>
                  <w:tcW w:w="1100" w:type="pct"/>
                  <w:tcBorders>
                    <w:tl2br w:val="nil"/>
                    <w:tr2bl w:val="nil"/>
                  </w:tcBorders>
                  <w:noWrap w:val="0"/>
                  <w:vAlign w:val="center"/>
                </w:tcPr>
                <w:p w14:paraId="43DF2DC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128°53′29.68784″</w:t>
                  </w:r>
                </w:p>
              </w:tc>
              <w:tc>
                <w:tcPr>
                  <w:tcW w:w="1045" w:type="pct"/>
                  <w:tcBorders>
                    <w:tl2br w:val="nil"/>
                    <w:tr2bl w:val="nil"/>
                  </w:tcBorders>
                  <w:noWrap w:val="0"/>
                  <w:vAlign w:val="center"/>
                </w:tcPr>
                <w:p w14:paraId="088AF92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47°42′58.35741″</w:t>
                  </w:r>
                </w:p>
              </w:tc>
              <w:tc>
                <w:tcPr>
                  <w:tcW w:w="627" w:type="pct"/>
                  <w:vMerge w:val="continue"/>
                  <w:tcBorders>
                    <w:tl2br w:val="nil"/>
                    <w:tr2bl w:val="nil"/>
                  </w:tcBorders>
                  <w:noWrap w:val="0"/>
                  <w:vAlign w:val="center"/>
                </w:tcPr>
                <w:p w14:paraId="1420AE0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1C644D79">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7E1A315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7A4EDD0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3020</w:t>
                  </w:r>
                </w:p>
              </w:tc>
            </w:tr>
            <w:tr w14:paraId="0ADB36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738" w:type="pct"/>
                  <w:tcBorders>
                    <w:tl2br w:val="nil"/>
                    <w:tr2bl w:val="nil"/>
                  </w:tcBorders>
                  <w:noWrap w:val="0"/>
                  <w:vAlign w:val="center"/>
                </w:tcPr>
                <w:p w14:paraId="1B5C369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伊美区南郡小学</w:t>
                  </w:r>
                </w:p>
              </w:tc>
              <w:tc>
                <w:tcPr>
                  <w:tcW w:w="1100" w:type="pct"/>
                  <w:tcBorders>
                    <w:tl2br w:val="nil"/>
                    <w:tr2bl w:val="nil"/>
                  </w:tcBorders>
                  <w:noWrap w:val="0"/>
                  <w:vAlign w:val="center"/>
                </w:tcPr>
                <w:p w14:paraId="7109419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128°53′24.69579″</w:t>
                  </w:r>
                </w:p>
              </w:tc>
              <w:tc>
                <w:tcPr>
                  <w:tcW w:w="1045" w:type="pct"/>
                  <w:tcBorders>
                    <w:tl2br w:val="nil"/>
                    <w:tr2bl w:val="nil"/>
                  </w:tcBorders>
                  <w:noWrap w:val="0"/>
                  <w:vAlign w:val="center"/>
                </w:tcPr>
                <w:p w14:paraId="179DCAB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47°43′10.39677″</w:t>
                  </w:r>
                </w:p>
              </w:tc>
              <w:tc>
                <w:tcPr>
                  <w:tcW w:w="627" w:type="pct"/>
                  <w:vMerge w:val="continue"/>
                  <w:tcBorders>
                    <w:tl2br w:val="nil"/>
                    <w:tr2bl w:val="nil"/>
                  </w:tcBorders>
                  <w:noWrap w:val="0"/>
                  <w:vAlign w:val="center"/>
                </w:tcPr>
                <w:p w14:paraId="45FE509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7FD809A5">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20" w:type="pct"/>
                  <w:tcBorders>
                    <w:tl2br w:val="nil"/>
                    <w:tr2bl w:val="nil"/>
                  </w:tcBorders>
                  <w:noWrap w:val="0"/>
                  <w:vAlign w:val="center"/>
                </w:tcPr>
                <w:p w14:paraId="22E41AC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WS</w:t>
                  </w:r>
                </w:p>
              </w:tc>
              <w:tc>
                <w:tcPr>
                  <w:tcW w:w="551" w:type="pct"/>
                  <w:tcBorders>
                    <w:tl2br w:val="nil"/>
                    <w:tr2bl w:val="nil"/>
                  </w:tcBorders>
                  <w:noWrap w:val="0"/>
                  <w:vAlign w:val="center"/>
                </w:tcPr>
                <w:p w14:paraId="689F822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2840</w:t>
                  </w:r>
                </w:p>
              </w:tc>
            </w:tr>
            <w:tr w14:paraId="3FA9F6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38" w:type="pct"/>
                  <w:vMerge w:val="restart"/>
                  <w:tcBorders>
                    <w:tl2br w:val="nil"/>
                    <w:tr2bl w:val="nil"/>
                  </w:tcBorders>
                  <w:noWrap w:val="0"/>
                  <w:vAlign w:val="center"/>
                </w:tcPr>
                <w:p w14:paraId="6AD4513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黑龙江伊春兴安国家森林公园</w:t>
                  </w:r>
                </w:p>
              </w:tc>
              <w:tc>
                <w:tcPr>
                  <w:tcW w:w="1100" w:type="pct"/>
                  <w:tcBorders>
                    <w:tl2br w:val="nil"/>
                    <w:tr2bl w:val="nil"/>
                  </w:tcBorders>
                  <w:noWrap w:val="0"/>
                  <w:vAlign w:val="center"/>
                </w:tcPr>
                <w:p w14:paraId="10F3DC5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128°55′19.61076″</w:t>
                  </w:r>
                </w:p>
              </w:tc>
              <w:tc>
                <w:tcPr>
                  <w:tcW w:w="1045" w:type="pct"/>
                  <w:tcBorders>
                    <w:tl2br w:val="nil"/>
                    <w:tr2bl w:val="nil"/>
                  </w:tcBorders>
                  <w:noWrap w:val="0"/>
                  <w:vAlign w:val="center"/>
                </w:tcPr>
                <w:p w14:paraId="1B05AC8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47°43′25.80890″</w:t>
                  </w:r>
                </w:p>
              </w:tc>
              <w:tc>
                <w:tcPr>
                  <w:tcW w:w="627" w:type="pct"/>
                  <w:vMerge w:val="restart"/>
                  <w:tcBorders>
                    <w:tl2br w:val="nil"/>
                    <w:tr2bl w:val="nil"/>
                  </w:tcBorders>
                  <w:noWrap w:val="0"/>
                  <w:vAlign w:val="center"/>
                </w:tcPr>
                <w:p w14:paraId="4A8FD5C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其他需要特殊保护的区域</w:t>
                  </w:r>
                </w:p>
              </w:tc>
              <w:tc>
                <w:tcPr>
                  <w:tcW w:w="415" w:type="pct"/>
                  <w:vMerge w:val="restart"/>
                  <w:tcBorders>
                    <w:tl2br w:val="nil"/>
                    <w:tr2bl w:val="nil"/>
                  </w:tcBorders>
                  <w:noWrap w:val="0"/>
                  <w:vAlign w:val="center"/>
                </w:tcPr>
                <w:p w14:paraId="73A421E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一类区</w:t>
                  </w:r>
                </w:p>
              </w:tc>
              <w:tc>
                <w:tcPr>
                  <w:tcW w:w="520" w:type="pct"/>
                  <w:tcBorders>
                    <w:tl2br w:val="nil"/>
                    <w:tr2bl w:val="nil"/>
                  </w:tcBorders>
                  <w:noWrap w:val="0"/>
                  <w:vAlign w:val="center"/>
                </w:tcPr>
                <w:p w14:paraId="0FD2CAD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S</w:t>
                  </w:r>
                </w:p>
              </w:tc>
              <w:tc>
                <w:tcPr>
                  <w:tcW w:w="551" w:type="pct"/>
                  <w:tcBorders>
                    <w:tl2br w:val="nil"/>
                    <w:tr2bl w:val="nil"/>
                  </w:tcBorders>
                  <w:noWrap w:val="0"/>
                  <w:vAlign w:val="center"/>
                </w:tcPr>
                <w:p w14:paraId="3C3ED15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1300</w:t>
                  </w:r>
                </w:p>
              </w:tc>
            </w:tr>
            <w:tr w14:paraId="567CD7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738" w:type="pct"/>
                  <w:vMerge w:val="continue"/>
                  <w:tcBorders>
                    <w:tl2br w:val="nil"/>
                    <w:tr2bl w:val="nil"/>
                  </w:tcBorders>
                  <w:noWrap w:val="0"/>
                  <w:vAlign w:val="center"/>
                </w:tcPr>
                <w:p w14:paraId="7CE33DD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1100" w:type="pct"/>
                  <w:tcBorders>
                    <w:tl2br w:val="nil"/>
                    <w:tr2bl w:val="nil"/>
                  </w:tcBorders>
                  <w:noWrap w:val="0"/>
                  <w:vAlign w:val="center"/>
                </w:tcPr>
                <w:p w14:paraId="1B72BB23">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128°55′8.25536″</w:t>
                  </w:r>
                </w:p>
              </w:tc>
              <w:tc>
                <w:tcPr>
                  <w:tcW w:w="1045" w:type="pct"/>
                  <w:tcBorders>
                    <w:tl2br w:val="nil"/>
                    <w:tr2bl w:val="nil"/>
                  </w:tcBorders>
                  <w:noWrap w:val="0"/>
                  <w:vAlign w:val="center"/>
                </w:tcPr>
                <w:p w14:paraId="00EAEF5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47°44′28.62387″</w:t>
                  </w:r>
                </w:p>
              </w:tc>
              <w:tc>
                <w:tcPr>
                  <w:tcW w:w="627" w:type="pct"/>
                  <w:vMerge w:val="continue"/>
                  <w:tcBorders>
                    <w:tl2br w:val="nil"/>
                    <w:tr2bl w:val="nil"/>
                  </w:tcBorders>
                  <w:noWrap w:val="0"/>
                  <w:vAlign w:val="center"/>
                </w:tcPr>
                <w:p w14:paraId="362E59A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5" w:type="pct"/>
                  <w:vMerge w:val="continue"/>
                  <w:tcBorders>
                    <w:tl2br w:val="nil"/>
                    <w:tr2bl w:val="nil"/>
                  </w:tcBorders>
                  <w:noWrap w:val="0"/>
                  <w:vAlign w:val="center"/>
                </w:tcPr>
                <w:p w14:paraId="78F5B6D4">
                  <w:pPr>
                    <w:pStyle w:val="56"/>
                    <w:keepNext w:val="0"/>
                    <w:keepLines w:val="0"/>
                    <w:pageBreakBefore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20" w:type="pct"/>
                  <w:tcBorders>
                    <w:tl2br w:val="nil"/>
                    <w:tr2bl w:val="nil"/>
                  </w:tcBorders>
                  <w:noWrap w:val="0"/>
                  <w:vAlign w:val="center"/>
                </w:tcPr>
                <w:p w14:paraId="1BB21C0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N</w:t>
                  </w:r>
                </w:p>
              </w:tc>
              <w:tc>
                <w:tcPr>
                  <w:tcW w:w="551" w:type="pct"/>
                  <w:tcBorders>
                    <w:tl2br w:val="nil"/>
                    <w:tr2bl w:val="nil"/>
                  </w:tcBorders>
                  <w:noWrap w:val="0"/>
                  <w:vAlign w:val="center"/>
                </w:tcPr>
                <w:p w14:paraId="67E5140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550</w:t>
                  </w:r>
                </w:p>
              </w:tc>
            </w:tr>
          </w:tbl>
          <w:p w14:paraId="5D93780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（2）声环境</w:t>
            </w:r>
          </w:p>
          <w:p w14:paraId="09FD9D8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本项目厂界外50m不存在医院、学校、科研单位、自然保护区等对噪声敏感的建筑物或区域，故本项目不存在声环境保护目标。</w:t>
            </w:r>
          </w:p>
          <w:p w14:paraId="6E0380D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（3）地下水</w:t>
            </w:r>
          </w:p>
          <w:p w14:paraId="6997CBF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本项目厂界500米范围内无地下水集中式饮用水水源和热水、矿泉水、温泉等特殊地下水资源。</w:t>
            </w:r>
          </w:p>
          <w:p w14:paraId="2F6A5AC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（4）生态环境保护目标</w:t>
            </w:r>
          </w:p>
          <w:p w14:paraId="5E018A3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本项目占地范围内无特殊生态敏感区及重要生态敏感区等生态环境保护目标，项目所在地无国家级、省、市级自然保护区、风景名胜区、文物保护对象。</w:t>
            </w:r>
          </w:p>
        </w:tc>
      </w:tr>
      <w:tr w14:paraId="727558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8" w:hRule="atLeast"/>
        </w:trPr>
        <w:tc>
          <w:tcPr>
            <w:tcW w:w="800" w:type="dxa"/>
            <w:noWrap w:val="0"/>
            <w:tcMar>
              <w:left w:w="28" w:type="dxa"/>
              <w:right w:w="28" w:type="dxa"/>
            </w:tcMar>
            <w:vAlign w:val="center"/>
          </w:tcPr>
          <w:p w14:paraId="22CD681A">
            <w:pPr>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污染</w:t>
            </w:r>
          </w:p>
          <w:p w14:paraId="0D3FAA1F">
            <w:pPr>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物排</w:t>
            </w:r>
          </w:p>
          <w:p w14:paraId="7A99EC00">
            <w:pPr>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放控</w:t>
            </w:r>
          </w:p>
          <w:p w14:paraId="36594C88">
            <w:pPr>
              <w:adjustRightInd w:val="0"/>
              <w:snapToGrid w:val="0"/>
              <w:jc w:val="center"/>
              <w:rPr>
                <w:rFonts w:hint="eastAsia"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制标</w:t>
            </w:r>
          </w:p>
          <w:p w14:paraId="6E784109">
            <w:pPr>
              <w:adjustRightInd w:val="0"/>
              <w:snapToGrid w:val="0"/>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准</w:t>
            </w:r>
          </w:p>
        </w:tc>
        <w:tc>
          <w:tcPr>
            <w:tcW w:w="8190" w:type="dxa"/>
            <w:noWrap w:val="0"/>
            <w:vAlign w:val="top"/>
          </w:tcPr>
          <w:p w14:paraId="037A6584">
            <w:pPr>
              <w:spacing w:line="500" w:lineRule="exact"/>
              <w:ind w:firstLine="482" w:firstLineChars="200"/>
              <w:contextualSpacing/>
              <w:rPr>
                <w:rFonts w:hint="default" w:ascii="Times New Roman" w:hAnsi="Times New Roman" w:eastAsia="宋体" w:cs="Times New Roman"/>
                <w:b/>
                <w:color w:val="000000" w:themeColor="text1"/>
                <w:kern w:val="0"/>
                <w:sz w:val="24"/>
                <w:highlight w:val="none"/>
                <w14:textFill>
                  <w14:solidFill>
                    <w14:schemeClr w14:val="tx1"/>
                  </w14:solidFill>
                </w14:textFill>
              </w:rPr>
            </w:pPr>
            <w:r>
              <w:rPr>
                <w:rFonts w:hint="default" w:ascii="Times New Roman" w:hAnsi="Times New Roman" w:eastAsia="宋体" w:cs="Times New Roman"/>
                <w:b/>
                <w:color w:val="000000" w:themeColor="text1"/>
                <w:kern w:val="0"/>
                <w:sz w:val="24"/>
                <w:highlight w:val="none"/>
                <w14:textFill>
                  <w14:solidFill>
                    <w14:schemeClr w14:val="tx1"/>
                  </w14:solidFill>
                </w14:textFill>
              </w:rPr>
              <w:t>1、废气</w:t>
            </w:r>
          </w:p>
          <w:p w14:paraId="1C6D7D2D">
            <w:pPr>
              <w:numPr>
                <w:ilvl w:val="0"/>
                <w:numId w:val="8"/>
              </w:numPr>
              <w:spacing w:line="500" w:lineRule="exact"/>
              <w:ind w:firstLine="480" w:firstLineChars="200"/>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施工期</w:t>
            </w:r>
          </w:p>
          <w:p w14:paraId="74183511">
            <w:pPr>
              <w:spacing w:line="500" w:lineRule="exact"/>
              <w:ind w:firstLine="480" w:firstLineChars="200"/>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施工期粉尘排放执行《大气污染物综合排放标准》（GB16297-1996）表2中颗粒物无组织排放监控浓度限值≤1.0mg/m</w:t>
            </w:r>
            <w:r>
              <w:rPr>
                <w:rFonts w:hint="default" w:ascii="Times New Roman" w:hAnsi="Times New Roman" w:eastAsia="宋体" w:cs="Times New Roman"/>
                <w:color w:val="000000" w:themeColor="text1"/>
                <w:kern w:val="0"/>
                <w:sz w:val="24"/>
                <w:highlight w:val="none"/>
                <w:vertAlign w:val="superscript"/>
                <w14:textFill>
                  <w14:solidFill>
                    <w14:schemeClr w14:val="tx1"/>
                  </w14:solidFill>
                </w14:textFill>
              </w:rPr>
              <w:t>3</w:t>
            </w:r>
            <w:r>
              <w:rPr>
                <w:rFonts w:hint="default" w:ascii="Times New Roman" w:hAnsi="Times New Roman" w:eastAsia="宋体" w:cs="Times New Roman"/>
                <w:color w:val="000000" w:themeColor="text1"/>
                <w:kern w:val="0"/>
                <w:sz w:val="24"/>
                <w:highlight w:val="none"/>
                <w14:textFill>
                  <w14:solidFill>
                    <w14:schemeClr w14:val="tx1"/>
                  </w14:solidFill>
                </w14:textFill>
              </w:rPr>
              <w:t>。</w:t>
            </w:r>
          </w:p>
          <w:p w14:paraId="3D92004B">
            <w:pPr>
              <w:spacing w:line="500" w:lineRule="exact"/>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表3-</w:t>
            </w:r>
            <w:r>
              <w:rPr>
                <w:rFonts w:hint="eastAsia" w:cs="Times New Roman"/>
                <w:b/>
                <w:bCs/>
                <w:color w:val="000000" w:themeColor="text1"/>
                <w:sz w:val="24"/>
                <w:szCs w:val="24"/>
                <w:highlight w:val="none"/>
                <w:lang w:val="en-US" w:eastAsia="zh-CN"/>
                <w14:textFill>
                  <w14:solidFill>
                    <w14:schemeClr w14:val="tx1"/>
                  </w14:solidFill>
                </w14:textFill>
              </w:rPr>
              <w:t>10</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 xml:space="preserve"> 《大气污染物综合排放标准》（GB16297-1996）</w:t>
            </w:r>
          </w:p>
          <w:tbl>
            <w:tblPr>
              <w:tblStyle w:val="28"/>
              <w:tblW w:w="8109" w:type="dxa"/>
              <w:tblInd w:w="4"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277"/>
              <w:gridCol w:w="1391"/>
              <w:gridCol w:w="1118"/>
              <w:gridCol w:w="1173"/>
              <w:gridCol w:w="3150"/>
            </w:tblGrid>
            <w:tr w14:paraId="222093B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1277" w:type="dxa"/>
                  <w:noWrap w:val="0"/>
                  <w:vAlign w:val="center"/>
                </w:tcPr>
                <w:p w14:paraId="65A97932">
                  <w:pPr>
                    <w:pStyle w:val="60"/>
                    <w:adjustRightInd w:val="0"/>
                    <w:snapToGrid w:val="0"/>
                    <w:spacing w:line="240" w:lineRule="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污染源</w:t>
                  </w:r>
                </w:p>
              </w:tc>
              <w:tc>
                <w:tcPr>
                  <w:tcW w:w="1391" w:type="dxa"/>
                  <w:noWrap w:val="0"/>
                  <w:vAlign w:val="center"/>
                </w:tcPr>
                <w:p w14:paraId="7E8D2764">
                  <w:pPr>
                    <w:pStyle w:val="60"/>
                    <w:adjustRightInd w:val="0"/>
                    <w:snapToGrid w:val="0"/>
                    <w:spacing w:line="240" w:lineRule="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污染因子</w:t>
                  </w:r>
                </w:p>
              </w:tc>
              <w:tc>
                <w:tcPr>
                  <w:tcW w:w="1118" w:type="dxa"/>
                  <w:noWrap w:val="0"/>
                  <w:vAlign w:val="center"/>
                </w:tcPr>
                <w:p w14:paraId="46BEA538">
                  <w:pPr>
                    <w:pStyle w:val="60"/>
                    <w:adjustRightInd w:val="0"/>
                    <w:snapToGrid w:val="0"/>
                    <w:spacing w:line="240" w:lineRule="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排放限值</w:t>
                  </w:r>
                </w:p>
              </w:tc>
              <w:tc>
                <w:tcPr>
                  <w:tcW w:w="1173" w:type="dxa"/>
                  <w:noWrap w:val="0"/>
                  <w:vAlign w:val="center"/>
                </w:tcPr>
                <w:p w14:paraId="1A782386">
                  <w:pPr>
                    <w:pStyle w:val="60"/>
                    <w:adjustRightInd w:val="0"/>
                    <w:snapToGrid w:val="0"/>
                    <w:spacing w:line="240" w:lineRule="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单位</w:t>
                  </w:r>
                </w:p>
              </w:tc>
              <w:tc>
                <w:tcPr>
                  <w:tcW w:w="3150" w:type="dxa"/>
                  <w:noWrap w:val="0"/>
                  <w:vAlign w:val="center"/>
                </w:tcPr>
                <w:p w14:paraId="081C7D6C">
                  <w:pPr>
                    <w:pStyle w:val="60"/>
                    <w:adjustRightInd w:val="0"/>
                    <w:snapToGrid w:val="0"/>
                    <w:spacing w:line="240" w:lineRule="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标准来源</w:t>
                  </w:r>
                </w:p>
              </w:tc>
            </w:tr>
            <w:tr w14:paraId="7E6E1A7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1277" w:type="dxa"/>
                  <w:noWrap w:val="0"/>
                  <w:vAlign w:val="center"/>
                </w:tcPr>
                <w:p w14:paraId="54D57494">
                  <w:pPr>
                    <w:pStyle w:val="60"/>
                    <w:adjustRightInd w:val="0"/>
                    <w:snapToGrid w:val="0"/>
                    <w:spacing w:line="240" w:lineRule="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厂界外浓度</w:t>
                  </w:r>
                </w:p>
                <w:p w14:paraId="5BDEC073">
                  <w:pPr>
                    <w:pStyle w:val="60"/>
                    <w:adjustRightInd w:val="0"/>
                    <w:snapToGrid w:val="0"/>
                    <w:spacing w:line="240" w:lineRule="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最高点</w:t>
                  </w:r>
                </w:p>
              </w:tc>
              <w:tc>
                <w:tcPr>
                  <w:tcW w:w="1391" w:type="dxa"/>
                  <w:noWrap w:val="0"/>
                  <w:vAlign w:val="center"/>
                </w:tcPr>
                <w:p w14:paraId="723768E3">
                  <w:pPr>
                    <w:pStyle w:val="60"/>
                    <w:adjustRightInd w:val="0"/>
                    <w:snapToGrid w:val="0"/>
                    <w:spacing w:line="240" w:lineRule="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颗粒物</w:t>
                  </w:r>
                </w:p>
              </w:tc>
              <w:tc>
                <w:tcPr>
                  <w:tcW w:w="1118" w:type="dxa"/>
                  <w:noWrap w:val="0"/>
                  <w:vAlign w:val="center"/>
                </w:tcPr>
                <w:p w14:paraId="0C220435">
                  <w:pPr>
                    <w:pStyle w:val="60"/>
                    <w:adjustRightInd w:val="0"/>
                    <w:snapToGrid w:val="0"/>
                    <w:spacing w:line="240" w:lineRule="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1.0</w:t>
                  </w:r>
                </w:p>
              </w:tc>
              <w:tc>
                <w:tcPr>
                  <w:tcW w:w="1173" w:type="dxa"/>
                  <w:noWrap w:val="0"/>
                  <w:vAlign w:val="center"/>
                </w:tcPr>
                <w:p w14:paraId="438A64F0">
                  <w:pPr>
                    <w:pStyle w:val="60"/>
                    <w:adjustRightInd w:val="0"/>
                    <w:snapToGrid w:val="0"/>
                    <w:spacing w:line="240" w:lineRule="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mg/m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p>
              </w:tc>
              <w:tc>
                <w:tcPr>
                  <w:tcW w:w="3150" w:type="dxa"/>
                  <w:noWrap w:val="0"/>
                  <w:vAlign w:val="center"/>
                </w:tcPr>
                <w:p w14:paraId="45AB5FF1">
                  <w:pPr>
                    <w:pStyle w:val="60"/>
                    <w:adjustRightInd w:val="0"/>
                    <w:snapToGrid w:val="0"/>
                    <w:spacing w:line="240" w:lineRule="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《大气污染物综合排放标准》</w:t>
                  </w:r>
                </w:p>
                <w:p w14:paraId="545E1DE2">
                  <w:pPr>
                    <w:jc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（GB16297-1996）中表2排放标准</w:t>
                  </w:r>
                </w:p>
              </w:tc>
            </w:tr>
          </w:tbl>
          <w:p w14:paraId="052B29DC">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运营期</w:t>
            </w:r>
          </w:p>
          <w:p w14:paraId="656A6ED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本项目危险废物在贮存过程中涉及有机废气、酸性废气、恶臭废气</w:t>
            </w:r>
            <w:r>
              <w:rPr>
                <w:rFonts w:hint="eastAsia" w:cs="Times New Roman"/>
                <w:color w:val="000000" w:themeColor="text1"/>
                <w:sz w:val="24"/>
                <w:szCs w:val="24"/>
                <w:highlight w:val="none"/>
                <w:lang w:val="en-US" w:eastAsia="zh-CN"/>
                <w14:textFill>
                  <w14:solidFill>
                    <w14:schemeClr w14:val="tx1"/>
                  </w14:solidFill>
                </w14:textFill>
              </w:rPr>
              <w:t>等</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，主要考虑污染因子为非甲烷总烃、氨、硫化氢、臭气浓度</w:t>
            </w:r>
            <w:r>
              <w:rPr>
                <w:rFonts w:hint="eastAsia" w:cs="Times New Roman"/>
                <w:color w:val="000000" w:themeColor="text1"/>
                <w:sz w:val="24"/>
                <w:szCs w:val="24"/>
                <w:highlight w:val="none"/>
                <w:lang w:val="en-US" w:eastAsia="zh-CN"/>
                <w14:textFill>
                  <w14:solidFill>
                    <w14:schemeClr w14:val="tx1"/>
                  </w14:solidFill>
                </w14:textFill>
              </w:rPr>
              <w:t>、氯化氢等</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0CED588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本项目危险废物</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贮存库</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贮存挥发</w:t>
            </w:r>
            <w:r>
              <w:rPr>
                <w:rFonts w:hint="eastAsia" w:eastAsia="宋体" w:cs="Times New Roman"/>
                <w:color w:val="000000" w:themeColor="text1"/>
                <w:sz w:val="24"/>
                <w:szCs w:val="24"/>
                <w:highlight w:val="none"/>
                <w:lang w:val="en-US" w:eastAsia="zh-CN"/>
                <w14:textFill>
                  <w14:solidFill>
                    <w14:schemeClr w14:val="tx1"/>
                  </w14:solidFill>
                </w14:textFill>
              </w:rPr>
              <w:t>产生的</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非甲烷总烃、氯化氢的有组织排放速率、排放浓度和无组织排放浓度执行</w:t>
            </w:r>
            <w:bookmarkStart w:id="38" w:name="OLE_LINK16"/>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《大气污染物综合排放标准》（GB16297-1996）表2新污染源排放限值的要求</w:t>
            </w:r>
            <w:bookmarkEnd w:id="38"/>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；厂区内非甲烷总烃同时满足《挥发性有机物无组织排放控制标准》（GB37822-2019）附录A表A.1排放限值。</w:t>
            </w:r>
          </w:p>
          <w:p w14:paraId="478E3A50">
            <w:pPr>
              <w:pStyle w:val="35"/>
              <w:spacing w:line="360" w:lineRule="auto"/>
              <w:ind w:firstLine="480" w:firstLineChars="200"/>
              <w:jc w:val="both"/>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本项目周围200m范围内最高建筑物高度为8m。根据</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《大气污染物综合排放标准》（GB16297-1996）：排气筒高度应该高出周围200m半径范围的建筑5m以上，不能达到该要求的排气筒，应按其高度对应的表列排放速率标准值严格50%执行”，</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w:t>
            </w:r>
            <w:r>
              <w:rPr>
                <w:rFonts w:hint="eastAsia" w:ascii="Times New Roman" w:eastAsia="宋体" w:cs="Times New Roman"/>
                <w:color w:val="000000" w:themeColor="text1"/>
                <w:sz w:val="24"/>
                <w:szCs w:val="24"/>
                <w:highlight w:val="none"/>
                <w:lang w:val="en-US" w:eastAsia="zh-CN"/>
                <w14:textFill>
                  <w14:solidFill>
                    <w14:schemeClr w14:val="tx1"/>
                  </w14:solidFill>
                </w14:textFill>
              </w:rPr>
              <w:t>危险废物贮存库</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排气筒高度设置15m，高出周围</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200m半径范围的建筑7m，</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高度设置合理</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w:t>
            </w:r>
          </w:p>
          <w:p w14:paraId="0642A4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表3</w:t>
            </w:r>
            <w:r>
              <w:rPr>
                <w:rFonts w:hint="eastAsia" w:cs="Times New Roman"/>
                <w:b/>
                <w:bCs/>
                <w:color w:val="000000" w:themeColor="text1"/>
                <w:sz w:val="24"/>
                <w:szCs w:val="24"/>
                <w:highlight w:val="none"/>
                <w:lang w:val="en-US" w:eastAsia="zh-CN"/>
                <w14:textFill>
                  <w14:solidFill>
                    <w14:schemeClr w14:val="tx1"/>
                  </w14:solidFill>
                </w14:textFill>
              </w:rPr>
              <w:t>-11</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 xml:space="preserve"> 大气污染物综合排放标准</w:t>
            </w:r>
          </w:p>
          <w:tbl>
            <w:tblPr>
              <w:tblStyle w:val="29"/>
              <w:tblW w:w="7974"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94"/>
              <w:gridCol w:w="1595"/>
              <w:gridCol w:w="1595"/>
              <w:gridCol w:w="1595"/>
              <w:gridCol w:w="1595"/>
            </w:tblGrid>
            <w:tr w14:paraId="518A46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94" w:type="dxa"/>
                  <w:tcBorders>
                    <w:tl2br w:val="nil"/>
                    <w:tr2bl w:val="nil"/>
                  </w:tcBorders>
                  <w:vAlign w:val="center"/>
                </w:tcPr>
                <w:p w14:paraId="34D5BC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污染物</w:t>
                  </w:r>
                </w:p>
              </w:tc>
              <w:tc>
                <w:tcPr>
                  <w:tcW w:w="1595" w:type="dxa"/>
                  <w:tcBorders>
                    <w:tl2br w:val="nil"/>
                    <w:tr2bl w:val="nil"/>
                  </w:tcBorders>
                  <w:vAlign w:val="center"/>
                </w:tcPr>
                <w:p w14:paraId="1120BCA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最高允许排放浓度（mg/m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w:t>
                  </w:r>
                </w:p>
              </w:tc>
              <w:tc>
                <w:tcPr>
                  <w:tcW w:w="1595" w:type="dxa"/>
                  <w:tcBorders>
                    <w:tl2br w:val="nil"/>
                    <w:tr2bl w:val="nil"/>
                  </w:tcBorders>
                  <w:vAlign w:val="center"/>
                </w:tcPr>
                <w:p w14:paraId="1BF035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排气筒高度（m）</w:t>
                  </w:r>
                </w:p>
              </w:tc>
              <w:tc>
                <w:tcPr>
                  <w:tcW w:w="1595" w:type="dxa"/>
                  <w:tcBorders>
                    <w:tl2br w:val="nil"/>
                    <w:tr2bl w:val="nil"/>
                  </w:tcBorders>
                  <w:vAlign w:val="center"/>
                </w:tcPr>
                <w:p w14:paraId="437E8E9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最高允许排放</w:t>
                  </w:r>
                </w:p>
                <w:p w14:paraId="26CDBB8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速率二级标准（kg/h）</w:t>
                  </w:r>
                </w:p>
              </w:tc>
              <w:tc>
                <w:tcPr>
                  <w:tcW w:w="1595" w:type="dxa"/>
                  <w:tcBorders>
                    <w:tl2br w:val="nil"/>
                    <w:tr2bl w:val="nil"/>
                  </w:tcBorders>
                  <w:vAlign w:val="center"/>
                </w:tcPr>
                <w:p w14:paraId="784EF54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无组织排放监</w:t>
                  </w:r>
                </w:p>
                <w:p w14:paraId="63598FF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控浓度限值（mg/m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w:t>
                  </w:r>
                </w:p>
              </w:tc>
            </w:tr>
            <w:tr w14:paraId="6A60BD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94" w:type="dxa"/>
                  <w:tcBorders>
                    <w:tl2br w:val="nil"/>
                    <w:tr2bl w:val="nil"/>
                  </w:tcBorders>
                  <w:vAlign w:val="center"/>
                </w:tcPr>
                <w:p w14:paraId="03647A4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非甲烷总烃</w:t>
                  </w:r>
                </w:p>
              </w:tc>
              <w:tc>
                <w:tcPr>
                  <w:tcW w:w="1595" w:type="dxa"/>
                  <w:tcBorders>
                    <w:tl2br w:val="nil"/>
                    <w:tr2bl w:val="nil"/>
                  </w:tcBorders>
                  <w:vAlign w:val="center"/>
                </w:tcPr>
                <w:p w14:paraId="5A3FA6E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120</w:t>
                  </w:r>
                </w:p>
              </w:tc>
              <w:tc>
                <w:tcPr>
                  <w:tcW w:w="1595" w:type="dxa"/>
                  <w:tcBorders>
                    <w:tl2br w:val="nil"/>
                    <w:tr2bl w:val="nil"/>
                  </w:tcBorders>
                  <w:vAlign w:val="center"/>
                </w:tcPr>
                <w:p w14:paraId="7C09C05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15</w:t>
                  </w:r>
                </w:p>
              </w:tc>
              <w:tc>
                <w:tcPr>
                  <w:tcW w:w="1595" w:type="dxa"/>
                  <w:tcBorders>
                    <w:tl2br w:val="nil"/>
                    <w:tr2bl w:val="nil"/>
                  </w:tcBorders>
                  <w:vAlign w:val="center"/>
                </w:tcPr>
                <w:p w14:paraId="092CD8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10</w:t>
                  </w:r>
                </w:p>
              </w:tc>
              <w:tc>
                <w:tcPr>
                  <w:tcW w:w="1595" w:type="dxa"/>
                  <w:tcBorders>
                    <w:tl2br w:val="nil"/>
                    <w:tr2bl w:val="nil"/>
                  </w:tcBorders>
                  <w:vAlign w:val="center"/>
                </w:tcPr>
                <w:p w14:paraId="2B7CF87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4.0</w:t>
                  </w:r>
                </w:p>
              </w:tc>
            </w:tr>
            <w:tr w14:paraId="6849E8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94" w:type="dxa"/>
                  <w:tcBorders>
                    <w:tl2br w:val="nil"/>
                    <w:tr2bl w:val="nil"/>
                  </w:tcBorders>
                  <w:vAlign w:val="center"/>
                </w:tcPr>
                <w:p w14:paraId="5BD77B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氯化氢</w:t>
                  </w:r>
                </w:p>
              </w:tc>
              <w:tc>
                <w:tcPr>
                  <w:tcW w:w="1595" w:type="dxa"/>
                  <w:tcBorders>
                    <w:tl2br w:val="nil"/>
                    <w:tr2bl w:val="nil"/>
                  </w:tcBorders>
                  <w:vAlign w:val="center"/>
                </w:tcPr>
                <w:p w14:paraId="1C0F24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100</w:t>
                  </w:r>
                </w:p>
              </w:tc>
              <w:tc>
                <w:tcPr>
                  <w:tcW w:w="1595" w:type="dxa"/>
                  <w:tcBorders>
                    <w:tl2br w:val="nil"/>
                    <w:tr2bl w:val="nil"/>
                  </w:tcBorders>
                  <w:vAlign w:val="center"/>
                </w:tcPr>
                <w:p w14:paraId="54553D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15</w:t>
                  </w:r>
                </w:p>
              </w:tc>
              <w:tc>
                <w:tcPr>
                  <w:tcW w:w="1595" w:type="dxa"/>
                  <w:tcBorders>
                    <w:tl2br w:val="nil"/>
                    <w:tr2bl w:val="nil"/>
                  </w:tcBorders>
                  <w:vAlign w:val="center"/>
                </w:tcPr>
                <w:p w14:paraId="4BF4C0F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0.26</w:t>
                  </w:r>
                </w:p>
              </w:tc>
              <w:tc>
                <w:tcPr>
                  <w:tcW w:w="1595" w:type="dxa"/>
                  <w:tcBorders>
                    <w:tl2br w:val="nil"/>
                    <w:tr2bl w:val="nil"/>
                  </w:tcBorders>
                  <w:vAlign w:val="center"/>
                </w:tcPr>
                <w:p w14:paraId="3F682F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0.2</w:t>
                  </w:r>
                </w:p>
              </w:tc>
            </w:tr>
          </w:tbl>
          <w:p w14:paraId="5607C154">
            <w:pPr>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表3</w:t>
            </w:r>
            <w:r>
              <w:rPr>
                <w:rFonts w:hint="eastAsia" w:cs="Times New Roman"/>
                <w:b/>
                <w:bCs/>
                <w:color w:val="000000" w:themeColor="text1"/>
                <w:sz w:val="24"/>
                <w:szCs w:val="24"/>
                <w:highlight w:val="none"/>
                <w:lang w:val="en-US" w:eastAsia="zh-CN"/>
                <w14:textFill>
                  <w14:solidFill>
                    <w14:schemeClr w14:val="tx1"/>
                  </w14:solidFill>
                </w14:textFill>
              </w:rPr>
              <w:t>-12</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厂区内VOCs无组织排放限值</w:t>
            </w:r>
          </w:p>
          <w:tbl>
            <w:tblPr>
              <w:tblStyle w:val="29"/>
              <w:tblW w:w="7974"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14"/>
              <w:gridCol w:w="1875"/>
              <w:gridCol w:w="2625"/>
              <w:gridCol w:w="2160"/>
            </w:tblGrid>
            <w:tr w14:paraId="3AD400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1314" w:type="dxa"/>
                  <w:tcBorders>
                    <w:tl2br w:val="nil"/>
                    <w:tr2bl w:val="nil"/>
                  </w:tcBorders>
                  <w:vAlign w:val="center"/>
                </w:tcPr>
                <w:p w14:paraId="26276F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污染物</w:t>
                  </w:r>
                </w:p>
              </w:tc>
              <w:tc>
                <w:tcPr>
                  <w:tcW w:w="1875" w:type="dxa"/>
                  <w:tcBorders>
                    <w:tl2br w:val="nil"/>
                    <w:tr2bl w:val="nil"/>
                  </w:tcBorders>
                  <w:vAlign w:val="center"/>
                </w:tcPr>
                <w:p w14:paraId="5EF3B47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排放限值（mg/m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w:t>
                  </w:r>
                </w:p>
              </w:tc>
              <w:tc>
                <w:tcPr>
                  <w:tcW w:w="2625" w:type="dxa"/>
                  <w:tcBorders>
                    <w:tl2br w:val="nil"/>
                    <w:tr2bl w:val="nil"/>
                  </w:tcBorders>
                  <w:vAlign w:val="center"/>
                </w:tcPr>
                <w:p w14:paraId="1F90E82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限值含义</w:t>
                  </w:r>
                </w:p>
              </w:tc>
              <w:tc>
                <w:tcPr>
                  <w:tcW w:w="2160" w:type="dxa"/>
                  <w:tcBorders>
                    <w:tl2br w:val="nil"/>
                    <w:tr2bl w:val="nil"/>
                  </w:tcBorders>
                  <w:vAlign w:val="center"/>
                </w:tcPr>
                <w:p w14:paraId="189BAD9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无组织排放监控位置</w:t>
                  </w:r>
                </w:p>
              </w:tc>
            </w:tr>
            <w:tr w14:paraId="38A7A4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14" w:type="dxa"/>
                  <w:vMerge w:val="restart"/>
                  <w:tcBorders>
                    <w:tl2br w:val="nil"/>
                    <w:tr2bl w:val="nil"/>
                  </w:tcBorders>
                  <w:vAlign w:val="center"/>
                </w:tcPr>
                <w:p w14:paraId="37B9D1F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NMHC</w:t>
                  </w:r>
                </w:p>
              </w:tc>
              <w:tc>
                <w:tcPr>
                  <w:tcW w:w="1875" w:type="dxa"/>
                  <w:tcBorders>
                    <w:tl2br w:val="nil"/>
                    <w:tr2bl w:val="nil"/>
                  </w:tcBorders>
                  <w:vAlign w:val="center"/>
                </w:tcPr>
                <w:p w14:paraId="1217797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10</w:t>
                  </w:r>
                </w:p>
              </w:tc>
              <w:tc>
                <w:tcPr>
                  <w:tcW w:w="2625" w:type="dxa"/>
                  <w:tcBorders>
                    <w:tl2br w:val="nil"/>
                    <w:tr2bl w:val="nil"/>
                  </w:tcBorders>
                  <w:vAlign w:val="center"/>
                </w:tcPr>
                <w:p w14:paraId="5D3518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监控点处1h平均浓度值</w:t>
                  </w:r>
                </w:p>
              </w:tc>
              <w:tc>
                <w:tcPr>
                  <w:tcW w:w="2160" w:type="dxa"/>
                  <w:vMerge w:val="restart"/>
                  <w:tcBorders>
                    <w:tl2br w:val="nil"/>
                    <w:tr2bl w:val="nil"/>
                  </w:tcBorders>
                  <w:vAlign w:val="center"/>
                </w:tcPr>
                <w:p w14:paraId="21C2B82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在厂房外设置监控点</w:t>
                  </w:r>
                </w:p>
              </w:tc>
            </w:tr>
            <w:tr w14:paraId="74F9A6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14" w:type="dxa"/>
                  <w:vMerge w:val="continue"/>
                  <w:tcBorders>
                    <w:tl2br w:val="nil"/>
                    <w:tr2bl w:val="nil"/>
                  </w:tcBorders>
                  <w:vAlign w:val="center"/>
                </w:tcPr>
                <w:p w14:paraId="7A09AB8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p>
              </w:tc>
              <w:tc>
                <w:tcPr>
                  <w:tcW w:w="1875" w:type="dxa"/>
                  <w:tcBorders>
                    <w:tl2br w:val="nil"/>
                    <w:tr2bl w:val="nil"/>
                  </w:tcBorders>
                  <w:vAlign w:val="center"/>
                </w:tcPr>
                <w:p w14:paraId="690CDB8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30</w:t>
                  </w:r>
                </w:p>
              </w:tc>
              <w:tc>
                <w:tcPr>
                  <w:tcW w:w="2625" w:type="dxa"/>
                  <w:tcBorders>
                    <w:tl2br w:val="nil"/>
                    <w:tr2bl w:val="nil"/>
                  </w:tcBorders>
                  <w:vAlign w:val="center"/>
                </w:tcPr>
                <w:p w14:paraId="57A5F34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监控点处任意一次浓度值</w:t>
                  </w:r>
                </w:p>
              </w:tc>
              <w:tc>
                <w:tcPr>
                  <w:tcW w:w="2160" w:type="dxa"/>
                  <w:vMerge w:val="continue"/>
                  <w:tcBorders>
                    <w:tl2br w:val="nil"/>
                    <w:tr2bl w:val="nil"/>
                  </w:tcBorders>
                  <w:vAlign w:val="center"/>
                </w:tcPr>
                <w:p w14:paraId="7A04A99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p>
              </w:tc>
            </w:tr>
          </w:tbl>
          <w:p w14:paraId="15E68228">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危险废物</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贮存库</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贮存挥发氨、硫化氢及臭气浓度排放速率和排放浓度执行《恶臭污染物排放标准》（GB14554-1993）中表1恶臭污染物厂界标准值和表2恶臭污染物排放标准值。</w:t>
            </w:r>
          </w:p>
          <w:p w14:paraId="6B2C28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表3</w:t>
            </w:r>
            <w:r>
              <w:rPr>
                <w:rFonts w:hint="eastAsia" w:cs="Times New Roman"/>
                <w:b/>
                <w:bCs/>
                <w:color w:val="000000" w:themeColor="text1"/>
                <w:sz w:val="24"/>
                <w:szCs w:val="24"/>
                <w:highlight w:val="none"/>
                <w:lang w:val="en-US" w:eastAsia="zh-CN"/>
                <w14:textFill>
                  <w14:solidFill>
                    <w14:schemeClr w14:val="tx1"/>
                  </w14:solidFill>
                </w14:textFill>
              </w:rPr>
              <w:t>-13</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恶臭污染物排放标准</w:t>
            </w:r>
          </w:p>
          <w:tbl>
            <w:tblPr>
              <w:tblStyle w:val="29"/>
              <w:tblW w:w="7974"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94"/>
              <w:gridCol w:w="1595"/>
              <w:gridCol w:w="1595"/>
              <w:gridCol w:w="1482"/>
              <w:gridCol w:w="1708"/>
            </w:tblGrid>
            <w:tr w14:paraId="3300A8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94" w:type="dxa"/>
                  <w:tcBorders>
                    <w:tl2br w:val="nil"/>
                    <w:tr2bl w:val="nil"/>
                  </w:tcBorders>
                  <w:vAlign w:val="center"/>
                </w:tcPr>
                <w:p w14:paraId="4099933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污染物</w:t>
                  </w:r>
                </w:p>
              </w:tc>
              <w:tc>
                <w:tcPr>
                  <w:tcW w:w="1595" w:type="dxa"/>
                  <w:tcBorders>
                    <w:tl2br w:val="nil"/>
                    <w:tr2bl w:val="nil"/>
                  </w:tcBorders>
                  <w:vAlign w:val="center"/>
                </w:tcPr>
                <w:p w14:paraId="06D3FDA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最高允许排放浓度（mg/m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w:t>
                  </w:r>
                </w:p>
              </w:tc>
              <w:tc>
                <w:tcPr>
                  <w:tcW w:w="1595" w:type="dxa"/>
                  <w:tcBorders>
                    <w:tl2br w:val="nil"/>
                    <w:tr2bl w:val="nil"/>
                  </w:tcBorders>
                  <w:vAlign w:val="center"/>
                </w:tcPr>
                <w:p w14:paraId="3CA6B4B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排气筒高度（m）</w:t>
                  </w:r>
                </w:p>
              </w:tc>
              <w:tc>
                <w:tcPr>
                  <w:tcW w:w="1482" w:type="dxa"/>
                  <w:tcBorders>
                    <w:tl2br w:val="nil"/>
                    <w:tr2bl w:val="nil"/>
                  </w:tcBorders>
                  <w:vAlign w:val="center"/>
                </w:tcPr>
                <w:p w14:paraId="3768D6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最高允许排放</w:t>
                  </w:r>
                </w:p>
                <w:p w14:paraId="770105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速率（kg/h）</w:t>
                  </w:r>
                </w:p>
              </w:tc>
              <w:tc>
                <w:tcPr>
                  <w:tcW w:w="1708" w:type="dxa"/>
                  <w:tcBorders>
                    <w:tl2br w:val="nil"/>
                    <w:tr2bl w:val="nil"/>
                  </w:tcBorders>
                  <w:vAlign w:val="center"/>
                </w:tcPr>
                <w:p w14:paraId="39445D8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恶臭污染物厂界标准值（mg/m</w:t>
                  </w:r>
                  <w:r>
                    <w:rPr>
                      <w:rFonts w:hint="default"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w:t>
                  </w:r>
                </w:p>
              </w:tc>
            </w:tr>
            <w:tr w14:paraId="370308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94" w:type="dxa"/>
                  <w:tcBorders>
                    <w:tl2br w:val="nil"/>
                    <w:tr2bl w:val="nil"/>
                  </w:tcBorders>
                  <w:vAlign w:val="center"/>
                </w:tcPr>
                <w:p w14:paraId="406ABC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NH</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3</w:t>
                  </w:r>
                </w:p>
              </w:tc>
              <w:tc>
                <w:tcPr>
                  <w:tcW w:w="1595" w:type="dxa"/>
                  <w:tcBorders>
                    <w:tl2br w:val="nil"/>
                    <w:tr2bl w:val="nil"/>
                  </w:tcBorders>
                  <w:vAlign w:val="center"/>
                </w:tcPr>
                <w:p w14:paraId="03EFD3C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w:t>
                  </w:r>
                </w:p>
              </w:tc>
              <w:tc>
                <w:tcPr>
                  <w:tcW w:w="1595" w:type="dxa"/>
                  <w:tcBorders>
                    <w:tl2br w:val="nil"/>
                    <w:tr2bl w:val="nil"/>
                  </w:tcBorders>
                  <w:vAlign w:val="center"/>
                </w:tcPr>
                <w:p w14:paraId="102D3BC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15</w:t>
                  </w:r>
                </w:p>
              </w:tc>
              <w:tc>
                <w:tcPr>
                  <w:tcW w:w="1482" w:type="dxa"/>
                  <w:tcBorders>
                    <w:tl2br w:val="nil"/>
                    <w:tr2bl w:val="nil"/>
                  </w:tcBorders>
                  <w:vAlign w:val="center"/>
                </w:tcPr>
                <w:p w14:paraId="274E394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0.33</w:t>
                  </w:r>
                </w:p>
              </w:tc>
              <w:tc>
                <w:tcPr>
                  <w:tcW w:w="1708" w:type="dxa"/>
                  <w:tcBorders>
                    <w:tl2br w:val="nil"/>
                    <w:tr2bl w:val="nil"/>
                  </w:tcBorders>
                  <w:vAlign w:val="center"/>
                </w:tcPr>
                <w:p w14:paraId="7F7B6F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1.5</w:t>
                  </w:r>
                </w:p>
              </w:tc>
            </w:tr>
            <w:tr w14:paraId="1706DD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94" w:type="dxa"/>
                  <w:tcBorders>
                    <w:tl2br w:val="nil"/>
                    <w:tr2bl w:val="nil"/>
                  </w:tcBorders>
                  <w:vAlign w:val="center"/>
                </w:tcPr>
                <w:p w14:paraId="759597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H</w:t>
                  </w:r>
                  <w:r>
                    <w:rPr>
                      <w:rFonts w:hint="default" w:ascii="Times New Roman" w:hAnsi="Times New Roman" w:eastAsia="宋体" w:cs="Times New Roman"/>
                      <w:color w:val="000000" w:themeColor="text1"/>
                      <w:sz w:val="21"/>
                      <w:szCs w:val="21"/>
                      <w:highlight w:val="none"/>
                      <w:vertAlign w:val="subscript"/>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S</w:t>
                  </w:r>
                </w:p>
              </w:tc>
              <w:tc>
                <w:tcPr>
                  <w:tcW w:w="1595" w:type="dxa"/>
                  <w:tcBorders>
                    <w:tl2br w:val="nil"/>
                    <w:tr2bl w:val="nil"/>
                  </w:tcBorders>
                  <w:vAlign w:val="center"/>
                </w:tcPr>
                <w:p w14:paraId="10162B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w:t>
                  </w:r>
                </w:p>
              </w:tc>
              <w:tc>
                <w:tcPr>
                  <w:tcW w:w="1595" w:type="dxa"/>
                  <w:tcBorders>
                    <w:tl2br w:val="nil"/>
                    <w:tr2bl w:val="nil"/>
                  </w:tcBorders>
                  <w:vAlign w:val="center"/>
                </w:tcPr>
                <w:p w14:paraId="36A683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15</w:t>
                  </w:r>
                </w:p>
              </w:tc>
              <w:tc>
                <w:tcPr>
                  <w:tcW w:w="1482" w:type="dxa"/>
                  <w:tcBorders>
                    <w:tl2br w:val="nil"/>
                    <w:tr2bl w:val="nil"/>
                  </w:tcBorders>
                  <w:vAlign w:val="center"/>
                </w:tcPr>
                <w:p w14:paraId="2D6F651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4.9</w:t>
                  </w:r>
                </w:p>
              </w:tc>
              <w:tc>
                <w:tcPr>
                  <w:tcW w:w="1708" w:type="dxa"/>
                  <w:tcBorders>
                    <w:tl2br w:val="nil"/>
                    <w:tr2bl w:val="nil"/>
                  </w:tcBorders>
                  <w:vAlign w:val="center"/>
                </w:tcPr>
                <w:p w14:paraId="33C272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0.06</w:t>
                  </w:r>
                </w:p>
              </w:tc>
            </w:tr>
            <w:tr w14:paraId="3F5D25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94" w:type="dxa"/>
                  <w:tcBorders>
                    <w:tl2br w:val="nil"/>
                    <w:tr2bl w:val="nil"/>
                  </w:tcBorders>
                  <w:vAlign w:val="center"/>
                </w:tcPr>
                <w:p w14:paraId="748AB27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臭气浓度</w:t>
                  </w:r>
                </w:p>
              </w:tc>
              <w:tc>
                <w:tcPr>
                  <w:tcW w:w="1595" w:type="dxa"/>
                  <w:tcBorders>
                    <w:tl2br w:val="nil"/>
                    <w:tr2bl w:val="nil"/>
                  </w:tcBorders>
                  <w:vAlign w:val="center"/>
                </w:tcPr>
                <w:p w14:paraId="45E996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2000（无量纲）</w:t>
                  </w:r>
                </w:p>
              </w:tc>
              <w:tc>
                <w:tcPr>
                  <w:tcW w:w="1595" w:type="dxa"/>
                  <w:tcBorders>
                    <w:tl2br w:val="nil"/>
                    <w:tr2bl w:val="nil"/>
                  </w:tcBorders>
                  <w:vAlign w:val="center"/>
                </w:tcPr>
                <w:p w14:paraId="79609AF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15</w:t>
                  </w:r>
                </w:p>
              </w:tc>
              <w:tc>
                <w:tcPr>
                  <w:tcW w:w="1482" w:type="dxa"/>
                  <w:tcBorders>
                    <w:tl2br w:val="nil"/>
                    <w:tr2bl w:val="nil"/>
                  </w:tcBorders>
                  <w:vAlign w:val="center"/>
                </w:tcPr>
                <w:p w14:paraId="6E9C1F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w:t>
                  </w:r>
                </w:p>
              </w:tc>
              <w:tc>
                <w:tcPr>
                  <w:tcW w:w="1708" w:type="dxa"/>
                  <w:tcBorders>
                    <w:tl2br w:val="nil"/>
                    <w:tr2bl w:val="nil"/>
                  </w:tcBorders>
                  <w:vAlign w:val="center"/>
                </w:tcPr>
                <w:p w14:paraId="7B066AC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20（无量纲）</w:t>
                  </w:r>
                </w:p>
              </w:tc>
            </w:tr>
          </w:tbl>
          <w:p w14:paraId="50B20D2F">
            <w:pPr>
              <w:spacing w:line="500" w:lineRule="exact"/>
              <w:ind w:firstLine="482" w:firstLineChars="200"/>
              <w:rPr>
                <w:rFonts w:hint="default" w:ascii="Times New Roman" w:hAnsi="Times New Roman" w:eastAsia="宋体" w:cs="Times New Roman"/>
                <w:b/>
                <w:bCs/>
                <w:color w:val="000000" w:themeColor="text1"/>
                <w:kern w:val="0"/>
                <w:sz w:val="24"/>
                <w:highlight w:val="none"/>
                <w:lang w:val="en-US" w:eastAsia="zh-CN"/>
                <w14:textFill>
                  <w14:solidFill>
                    <w14:schemeClr w14:val="tx1"/>
                  </w14:solidFill>
                </w14:textFill>
              </w:rPr>
            </w:pPr>
            <w:r>
              <w:rPr>
                <w:rFonts w:hint="eastAsia" w:eastAsia="宋体" w:cs="Times New Roman"/>
                <w:b/>
                <w:bCs/>
                <w:color w:val="000000" w:themeColor="text1"/>
                <w:kern w:val="0"/>
                <w:sz w:val="24"/>
                <w:highlight w:val="none"/>
                <w:lang w:val="en-US" w:eastAsia="zh-CN"/>
                <w14:textFill>
                  <w14:solidFill>
                    <w14:schemeClr w14:val="tx1"/>
                  </w14:solidFill>
                </w14:textFill>
              </w:rPr>
              <w:t>2、废水</w:t>
            </w:r>
          </w:p>
          <w:p w14:paraId="249808EE">
            <w:pPr>
              <w:spacing w:line="500" w:lineRule="exact"/>
              <w:ind w:firstLine="480" w:firstLineChars="200"/>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eastAsia" w:eastAsia="宋体" w:cs="Times New Roman"/>
                <w:color w:val="000000" w:themeColor="text1"/>
                <w:kern w:val="0"/>
                <w:sz w:val="24"/>
                <w:szCs w:val="24"/>
                <w:highlight w:val="none"/>
                <w:lang w:val="en-US" w:eastAsia="zh-CN"/>
                <w14:textFill>
                  <w14:solidFill>
                    <w14:schemeClr w14:val="tx1"/>
                  </w14:solidFill>
                </w14:textFill>
              </w:rPr>
              <w:t>本</w:t>
            </w:r>
            <w:r>
              <w:rPr>
                <w:rFonts w:hint="default" w:ascii="Times New Roman" w:hAnsi="Times New Roman" w:eastAsia="宋体" w:cs="Times New Roman"/>
                <w:snapToGrid w:val="0"/>
                <w:color w:val="000000" w:themeColor="text1"/>
                <w:kern w:val="0"/>
                <w:sz w:val="24"/>
                <w:szCs w:val="24"/>
                <w:highlight w:val="none"/>
                <w:lang w:val="en-US" w:eastAsia="zh-CN"/>
                <w14:textFill>
                  <w14:solidFill>
                    <w14:schemeClr w14:val="tx1"/>
                  </w14:solidFill>
                </w14:textFill>
              </w:rPr>
              <w:t>项目无生产用水，无生产废水产生，</w:t>
            </w:r>
            <w:r>
              <w:rPr>
                <w:rFonts w:hint="default" w:ascii="Times New Roman" w:hAnsi="Times New Roman" w:eastAsia="宋体" w:cs="Times New Roman"/>
                <w:color w:val="000000" w:themeColor="text1"/>
                <w:kern w:val="2"/>
                <w:sz w:val="24"/>
                <w:szCs w:val="24"/>
                <w:highlight w:val="none"/>
                <w:lang w:val="en-US" w:eastAsia="zh-CN"/>
                <w14:textFill>
                  <w14:solidFill>
                    <w14:schemeClr w14:val="tx1"/>
                  </w14:solidFill>
                </w14:textFill>
              </w:rPr>
              <w:t>废气处理碱喷淋塔碱液循环使用，不外排，无废水产生</w:t>
            </w:r>
            <w:r>
              <w:rPr>
                <w:rFonts w:hint="eastAsia" w:eastAsia="宋体" w:cs="Times New Roman"/>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eastAsia="宋体" w:cs="Times New Roman"/>
                <w:snapToGrid w:val="0"/>
                <w:color w:val="000000" w:themeColor="text1"/>
                <w:kern w:val="0"/>
                <w:sz w:val="24"/>
                <w:szCs w:val="24"/>
                <w:highlight w:val="none"/>
                <w:lang w:val="en-US" w:eastAsia="zh-CN"/>
                <w14:textFill>
                  <w14:solidFill>
                    <w14:schemeClr w14:val="tx1"/>
                  </w14:solidFill>
                </w14:textFill>
              </w:rPr>
              <w:t>生活污水依托</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伊春市林源家具有限公司</w:t>
            </w:r>
            <w:r>
              <w:rPr>
                <w:rFonts w:hint="eastAsia" w:eastAsia="宋体" w:cs="Times New Roman"/>
                <w:color w:val="000000" w:themeColor="text1"/>
                <w:sz w:val="24"/>
                <w:szCs w:val="24"/>
                <w:highlight w:val="none"/>
                <w:lang w:val="en-US" w:eastAsia="zh-CN"/>
                <w14:textFill>
                  <w14:solidFill>
                    <w14:schemeClr w14:val="tx1"/>
                  </w14:solidFill>
                </w14:textFill>
              </w:rPr>
              <w:t>管网</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eastAsia="宋体" w:cs="Times New Roman"/>
                <w:color w:val="000000" w:themeColor="text1"/>
                <w:sz w:val="24"/>
                <w:szCs w:val="24"/>
                <w:highlight w:val="none"/>
                <w:lang w:val="en-US" w:eastAsia="zh-CN"/>
                <w14:textFill>
                  <w14:solidFill>
                    <w14:schemeClr w14:val="tx1"/>
                  </w14:solidFill>
                </w14:textFill>
              </w:rPr>
              <w:t>生活污水</w:t>
            </w: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满足《污水综合排放标准》（GB8978-1996）三级标准</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宋体" w:cs="Times New Roman"/>
                <w:snapToGrid w:val="0"/>
                <w:color w:val="000000" w:themeColor="text1"/>
                <w:kern w:val="0"/>
                <w:sz w:val="24"/>
                <w:szCs w:val="24"/>
                <w:highlight w:val="none"/>
                <w:lang w:val="en-US" w:eastAsia="zh-CN"/>
                <w14:textFill>
                  <w14:solidFill>
                    <w14:schemeClr w14:val="tx1"/>
                  </w14:solidFill>
                </w14:textFill>
              </w:rPr>
              <w:t>经市政管网</w:t>
            </w:r>
            <w:r>
              <w:rPr>
                <w:rFonts w:hint="default" w:ascii="Times New Roman" w:hAnsi="Times New Roman" w:eastAsia="宋体" w:cs="Times New Roman"/>
                <w:color w:val="000000" w:themeColor="text1"/>
                <w:kern w:val="2"/>
                <w:sz w:val="24"/>
                <w:szCs w:val="24"/>
                <w:highlight w:val="none"/>
                <w:lang w:eastAsia="zh-CN"/>
                <w14:textFill>
                  <w14:solidFill>
                    <w14:schemeClr w14:val="tx1"/>
                  </w14:solidFill>
                </w14:textFill>
              </w:rPr>
              <w:t>排入</w:t>
            </w:r>
            <w:bookmarkStart w:id="39" w:name="OLE_LINK2"/>
            <w:r>
              <w:rPr>
                <w:rFonts w:hint="default" w:ascii="Times New Roman" w:hAnsi="Times New Roman" w:eastAsia="宋体" w:cs="Times New Roman"/>
                <w:color w:val="000000" w:themeColor="text1"/>
                <w:kern w:val="2"/>
                <w:sz w:val="24"/>
                <w:szCs w:val="24"/>
                <w:highlight w:val="none"/>
                <w:lang w:eastAsia="zh-CN"/>
                <w14:textFill>
                  <w14:solidFill>
                    <w14:schemeClr w14:val="tx1"/>
                  </w14:solidFill>
                </w14:textFill>
              </w:rPr>
              <w:t>伊春市中心城污水处理厂</w:t>
            </w:r>
            <w:bookmarkEnd w:id="39"/>
            <w:r>
              <w:rPr>
                <w:rFonts w:hint="default" w:ascii="Times New Roman" w:hAnsi="Times New Roman" w:eastAsia="宋体" w:cs="Times New Roman"/>
                <w:color w:val="000000" w:themeColor="text1"/>
                <w:kern w:val="2"/>
                <w:sz w:val="24"/>
                <w:szCs w:val="24"/>
                <w:highlight w:val="none"/>
                <w:lang w:eastAsia="zh-CN"/>
                <w14:textFill>
                  <w14:solidFill>
                    <w14:schemeClr w14:val="tx1"/>
                  </w14:solidFill>
                </w14:textFill>
              </w:rPr>
              <w:t>处理</w:t>
            </w:r>
            <w:r>
              <w:rPr>
                <w:rFonts w:hint="eastAsia" w:eastAsia="宋体" w:cs="Times New Roman"/>
                <w:color w:val="000000" w:themeColor="text1"/>
                <w:kern w:val="2"/>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出水水质</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满足</w:t>
            </w:r>
            <w:r>
              <w:rPr>
                <w:rFonts w:hint="default" w:ascii="Times New Roman" w:hAnsi="Times New Roman" w:eastAsia="宋体" w:cs="Times New Roman"/>
                <w:color w:val="000000" w:themeColor="text1"/>
                <w:sz w:val="24"/>
                <w:szCs w:val="24"/>
                <w:highlight w:val="none"/>
                <w14:textFill>
                  <w14:solidFill>
                    <w14:schemeClr w14:val="tx1"/>
                  </w14:solidFill>
                </w14:textFill>
              </w:rPr>
              <w:t>《城镇污水处理厂污染物排放标准》（GB18918-2002）一级</w:t>
            </w:r>
            <w:r>
              <w:rPr>
                <w:rFonts w:hint="eastAsia" w:eastAsia="宋体" w:cs="Times New Roman"/>
                <w:color w:val="000000" w:themeColor="text1"/>
                <w:sz w:val="24"/>
                <w:szCs w:val="24"/>
                <w:highlight w:val="none"/>
                <w:lang w:val="en-US" w:eastAsia="zh-CN"/>
                <w14:textFill>
                  <w14:solidFill>
                    <w14:schemeClr w14:val="tx1"/>
                  </w14:solidFill>
                </w14:textFill>
              </w:rPr>
              <w:t>A</w:t>
            </w:r>
            <w:r>
              <w:rPr>
                <w:rFonts w:hint="default" w:ascii="Times New Roman" w:hAnsi="Times New Roman" w:eastAsia="宋体" w:cs="Times New Roman"/>
                <w:color w:val="000000" w:themeColor="text1"/>
                <w:sz w:val="24"/>
                <w:szCs w:val="24"/>
                <w:highlight w:val="none"/>
                <w14:textFill>
                  <w14:solidFill>
                    <w14:schemeClr w14:val="tx1"/>
                  </w14:solidFill>
                </w14:textFill>
              </w:rPr>
              <w:t>标准</w:t>
            </w:r>
            <w:r>
              <w:rPr>
                <w:rFonts w:hint="eastAsia" w:eastAsia="宋体" w:cs="Times New Roman"/>
                <w:color w:val="000000" w:themeColor="text1"/>
                <w:sz w:val="24"/>
                <w:szCs w:val="24"/>
                <w:highlight w:val="none"/>
                <w:lang w:val="en-US" w:eastAsia="zh-CN"/>
                <w14:textFill>
                  <w14:solidFill>
                    <w14:schemeClr w14:val="tx1"/>
                  </w14:solidFill>
                </w14:textFill>
              </w:rPr>
              <w:t>后排入汤旺河</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7618CFCF">
            <w:pPr>
              <w:spacing w:line="500" w:lineRule="exact"/>
              <w:jc w:val="center"/>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表3-</w:t>
            </w:r>
            <w:r>
              <w:rPr>
                <w:rFonts w:hint="eastAsia" w:cs="Times New Roman"/>
                <w:b/>
                <w:bCs/>
                <w:color w:val="000000" w:themeColor="text1"/>
                <w:sz w:val="24"/>
                <w:szCs w:val="24"/>
                <w:highlight w:val="none"/>
                <w:lang w:val="en-US" w:eastAsia="zh-CN"/>
                <w14:textFill>
                  <w14:solidFill>
                    <w14:schemeClr w14:val="tx1"/>
                  </w14:solidFill>
                </w14:textFill>
              </w:rPr>
              <w:t>14</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废水污染物排放标准</w:t>
            </w:r>
          </w:p>
          <w:tbl>
            <w:tblPr>
              <w:tblStyle w:val="28"/>
              <w:tblW w:w="495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1627"/>
              <w:gridCol w:w="4271"/>
            </w:tblGrid>
            <w:tr w14:paraId="3270D4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1265" w:type="pct"/>
                  <w:noWrap w:val="0"/>
                  <w:vAlign w:val="center"/>
                </w:tcPr>
                <w:p w14:paraId="484E3A38">
                  <w:pPr>
                    <w:pStyle w:val="93"/>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污染物名称</w:t>
                  </w:r>
                </w:p>
              </w:tc>
              <w:tc>
                <w:tcPr>
                  <w:tcW w:w="1030" w:type="pct"/>
                  <w:noWrap w:val="0"/>
                  <w:vAlign w:val="center"/>
                </w:tcPr>
                <w:p w14:paraId="4D05EA0A">
                  <w:pPr>
                    <w:pStyle w:val="93"/>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单位</w:t>
                  </w:r>
                </w:p>
              </w:tc>
              <w:tc>
                <w:tcPr>
                  <w:tcW w:w="2704" w:type="pct"/>
                  <w:noWrap w:val="0"/>
                  <w:vAlign w:val="center"/>
                </w:tcPr>
                <w:p w14:paraId="587EF22F">
                  <w:pPr>
                    <w:pStyle w:val="93"/>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《污水综合排放标准》（GB8978-1996）表4中三级标准排放限值</w:t>
                  </w:r>
                </w:p>
              </w:tc>
            </w:tr>
            <w:tr w14:paraId="43199B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1265" w:type="pct"/>
                  <w:noWrap w:val="0"/>
                  <w:vAlign w:val="center"/>
                </w:tcPr>
                <w:p w14:paraId="73E0E847">
                  <w:pPr>
                    <w:pStyle w:val="93"/>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pH</w:t>
                  </w:r>
                </w:p>
              </w:tc>
              <w:tc>
                <w:tcPr>
                  <w:tcW w:w="1030" w:type="pct"/>
                  <w:noWrap w:val="0"/>
                  <w:vAlign w:val="center"/>
                </w:tcPr>
                <w:p w14:paraId="00703A4A">
                  <w:pPr>
                    <w:pStyle w:val="93"/>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无量纲</w:t>
                  </w:r>
                </w:p>
              </w:tc>
              <w:tc>
                <w:tcPr>
                  <w:tcW w:w="2704" w:type="pct"/>
                  <w:noWrap w:val="0"/>
                  <w:vAlign w:val="center"/>
                </w:tcPr>
                <w:p w14:paraId="12897841">
                  <w:pPr>
                    <w:pStyle w:val="93"/>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6~9</w:t>
                  </w:r>
                </w:p>
              </w:tc>
            </w:tr>
            <w:tr w14:paraId="42BB0D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1265" w:type="pct"/>
                  <w:noWrap w:val="0"/>
                  <w:vAlign w:val="center"/>
                </w:tcPr>
                <w:p w14:paraId="511FA2FC">
                  <w:pPr>
                    <w:pStyle w:val="93"/>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COD</w:t>
                  </w:r>
                </w:p>
              </w:tc>
              <w:tc>
                <w:tcPr>
                  <w:tcW w:w="1030" w:type="pct"/>
                  <w:noWrap w:val="0"/>
                  <w:vAlign w:val="center"/>
                </w:tcPr>
                <w:p w14:paraId="0856CC66">
                  <w:pPr>
                    <w:pStyle w:val="93"/>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mg/L</w:t>
                  </w:r>
                </w:p>
              </w:tc>
              <w:tc>
                <w:tcPr>
                  <w:tcW w:w="2704" w:type="pct"/>
                  <w:noWrap w:val="0"/>
                  <w:vAlign w:val="center"/>
                </w:tcPr>
                <w:p w14:paraId="2F463408">
                  <w:pPr>
                    <w:pStyle w:val="93"/>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500</w:t>
                  </w:r>
                </w:p>
              </w:tc>
            </w:tr>
            <w:tr w14:paraId="29F970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1265" w:type="pct"/>
                  <w:noWrap w:val="0"/>
                  <w:vAlign w:val="center"/>
                </w:tcPr>
                <w:p w14:paraId="2747D01D">
                  <w:pPr>
                    <w:pStyle w:val="93"/>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BOD</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5</w:t>
                  </w:r>
                </w:p>
              </w:tc>
              <w:tc>
                <w:tcPr>
                  <w:tcW w:w="1030" w:type="pct"/>
                  <w:noWrap w:val="0"/>
                  <w:vAlign w:val="center"/>
                </w:tcPr>
                <w:p w14:paraId="58C8A18C">
                  <w:pPr>
                    <w:pStyle w:val="93"/>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mg/L</w:t>
                  </w:r>
                </w:p>
              </w:tc>
              <w:tc>
                <w:tcPr>
                  <w:tcW w:w="2704" w:type="pct"/>
                  <w:noWrap w:val="0"/>
                  <w:vAlign w:val="center"/>
                </w:tcPr>
                <w:p w14:paraId="13B30E3B">
                  <w:pPr>
                    <w:pStyle w:val="93"/>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300</w:t>
                  </w:r>
                </w:p>
              </w:tc>
            </w:tr>
            <w:tr w14:paraId="6CC2EC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1265" w:type="pct"/>
                  <w:noWrap w:val="0"/>
                  <w:vAlign w:val="center"/>
                </w:tcPr>
                <w:p w14:paraId="00D4FF4F">
                  <w:pPr>
                    <w:pStyle w:val="93"/>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SS</w:t>
                  </w:r>
                </w:p>
              </w:tc>
              <w:tc>
                <w:tcPr>
                  <w:tcW w:w="1030" w:type="pct"/>
                  <w:noWrap w:val="0"/>
                  <w:vAlign w:val="center"/>
                </w:tcPr>
                <w:p w14:paraId="4E28A872">
                  <w:pPr>
                    <w:pStyle w:val="93"/>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mg/L</w:t>
                  </w:r>
                </w:p>
              </w:tc>
              <w:tc>
                <w:tcPr>
                  <w:tcW w:w="2704" w:type="pct"/>
                  <w:noWrap w:val="0"/>
                  <w:vAlign w:val="center"/>
                </w:tcPr>
                <w:p w14:paraId="74D4023B">
                  <w:pPr>
                    <w:pStyle w:val="93"/>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400</w:t>
                  </w:r>
                </w:p>
              </w:tc>
            </w:tr>
            <w:tr w14:paraId="5DA85F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1265" w:type="pct"/>
                  <w:noWrap w:val="0"/>
                  <w:vAlign w:val="center"/>
                </w:tcPr>
                <w:p w14:paraId="0B1E639B">
                  <w:pPr>
                    <w:pStyle w:val="93"/>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氨氮</w:t>
                  </w:r>
                </w:p>
              </w:tc>
              <w:tc>
                <w:tcPr>
                  <w:tcW w:w="1030" w:type="pct"/>
                  <w:noWrap w:val="0"/>
                  <w:vAlign w:val="center"/>
                </w:tcPr>
                <w:p w14:paraId="499E21AF">
                  <w:pPr>
                    <w:pStyle w:val="93"/>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mg/L</w:t>
                  </w:r>
                </w:p>
              </w:tc>
              <w:tc>
                <w:tcPr>
                  <w:tcW w:w="2704" w:type="pct"/>
                  <w:noWrap w:val="0"/>
                  <w:vAlign w:val="center"/>
                </w:tcPr>
                <w:p w14:paraId="7117D355">
                  <w:pPr>
                    <w:pStyle w:val="93"/>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r>
            <w:tr w14:paraId="7B8543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7" w:hRule="atLeast"/>
                <w:jc w:val="center"/>
              </w:trPr>
              <w:tc>
                <w:tcPr>
                  <w:tcW w:w="1265" w:type="pct"/>
                  <w:noWrap w:val="0"/>
                  <w:vAlign w:val="center"/>
                </w:tcPr>
                <w:p w14:paraId="6D8346ED">
                  <w:pPr>
                    <w:pStyle w:val="93"/>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石油类</w:t>
                  </w:r>
                </w:p>
              </w:tc>
              <w:tc>
                <w:tcPr>
                  <w:tcW w:w="1030" w:type="pct"/>
                  <w:noWrap w:val="0"/>
                  <w:vAlign w:val="center"/>
                </w:tcPr>
                <w:p w14:paraId="5F3908ED">
                  <w:pPr>
                    <w:pStyle w:val="93"/>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mg/L</w:t>
                  </w:r>
                </w:p>
              </w:tc>
              <w:tc>
                <w:tcPr>
                  <w:tcW w:w="2704" w:type="pct"/>
                  <w:noWrap w:val="0"/>
                  <w:vAlign w:val="center"/>
                </w:tcPr>
                <w:p w14:paraId="1E90E675">
                  <w:pPr>
                    <w:pStyle w:val="93"/>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20</w:t>
                  </w:r>
                </w:p>
              </w:tc>
            </w:tr>
          </w:tbl>
          <w:p w14:paraId="418444B2">
            <w:pPr>
              <w:pStyle w:val="55"/>
              <w:keepNext w:val="0"/>
              <w:keepLines w:val="0"/>
              <w:pageBreakBefore w:val="0"/>
              <w:widowControl w:val="0"/>
              <w:kinsoku/>
              <w:wordWrap/>
              <w:overflowPunct/>
              <w:topLinePunct w:val="0"/>
              <w:autoSpaceDE/>
              <w:autoSpaceDN/>
              <w:bidi w:val="0"/>
              <w:adjustRightInd/>
              <w:snapToGrid/>
              <w:spacing w:before="157" w:beforeLines="50" w:line="360" w:lineRule="auto"/>
              <w:ind w:firstLine="42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2、噪声</w:t>
            </w:r>
          </w:p>
          <w:p w14:paraId="123F0338">
            <w:pPr>
              <w:spacing w:line="360" w:lineRule="auto"/>
              <w:ind w:firstLine="480" w:firstLineChars="200"/>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（1）施工期</w:t>
            </w:r>
          </w:p>
          <w:p w14:paraId="4FC0F29B">
            <w:pPr>
              <w:spacing w:line="360" w:lineRule="auto"/>
              <w:ind w:firstLine="480" w:firstLineChars="200"/>
              <w:rPr>
                <w:rFonts w:hint="default" w:ascii="Times New Roman" w:hAnsi="Times New Roman" w:eastAsia="宋体" w:cs="Times New Roman"/>
                <w:color w:val="000000" w:themeColor="text1"/>
                <w:kern w:val="0"/>
                <w:sz w:val="24"/>
                <w:highlight w:val="none"/>
                <w14:textFill>
                  <w14:solidFill>
                    <w14:schemeClr w14:val="tx1"/>
                  </w14:solidFill>
                </w14:textFill>
              </w:rPr>
            </w:pPr>
            <w:r>
              <w:rPr>
                <w:rFonts w:hint="default" w:ascii="Times New Roman" w:hAnsi="Times New Roman" w:eastAsia="宋体" w:cs="Times New Roman"/>
                <w:color w:val="000000" w:themeColor="text1"/>
                <w:kern w:val="0"/>
                <w:sz w:val="24"/>
                <w:highlight w:val="none"/>
                <w14:textFill>
                  <w14:solidFill>
                    <w14:schemeClr w14:val="tx1"/>
                  </w14:solidFill>
                </w14:textFill>
              </w:rPr>
              <w:t>本项目施工场界噪声执行《建筑施工噪声排放标准》（GB12523-2025）限值。</w:t>
            </w:r>
          </w:p>
          <w:p w14:paraId="0DB5CD85">
            <w:pPr>
              <w:adjustRightInd w:val="0"/>
              <w:snapToGrid w:val="0"/>
              <w:spacing w:line="360" w:lineRule="auto"/>
              <w:ind w:firstLine="480" w:firstLineChars="200"/>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（2）运营期</w:t>
            </w:r>
          </w:p>
          <w:p w14:paraId="6EA5D02A">
            <w:pPr>
              <w:pStyle w:val="55"/>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运营期</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厂界</w:t>
            </w:r>
            <w:r>
              <w:rPr>
                <w:rFonts w:hint="default" w:ascii="Times New Roman" w:hAnsi="Times New Roman" w:eastAsia="宋体" w:cs="Times New Roman"/>
                <w:color w:val="000000" w:themeColor="text1"/>
                <w:sz w:val="24"/>
                <w:szCs w:val="24"/>
                <w:highlight w:val="none"/>
                <w14:textFill>
                  <w14:solidFill>
                    <w14:schemeClr w14:val="tx1"/>
                  </w14:solidFill>
                </w14:textFill>
              </w:rPr>
              <w:t>噪声执行《工业企业厂界环境噪声排放标准》（GB12348-2008）表1中</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类标准。标准限值见</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下</w:t>
            </w:r>
            <w:r>
              <w:rPr>
                <w:rFonts w:hint="default" w:ascii="Times New Roman" w:hAnsi="Times New Roman" w:eastAsia="宋体" w:cs="Times New Roman"/>
                <w:color w:val="000000" w:themeColor="text1"/>
                <w:sz w:val="24"/>
                <w:szCs w:val="24"/>
                <w:highlight w:val="none"/>
                <w14:textFill>
                  <w14:solidFill>
                    <w14:schemeClr w14:val="tx1"/>
                  </w14:solidFill>
                </w14:textFill>
              </w:rPr>
              <w:t>表</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所示</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423465B6">
            <w:pPr>
              <w:pStyle w:val="67"/>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
                <w:color w:val="000000" w:themeColor="text1"/>
                <w:sz w:val="24"/>
                <w:szCs w:val="24"/>
                <w:highlight w:val="none"/>
                <w14:textFill>
                  <w14:solidFill>
                    <w14:schemeClr w14:val="tx1"/>
                  </w14:solidFill>
                </w14:textFill>
              </w:rPr>
            </w:pPr>
            <w:r>
              <w:rPr>
                <w:rFonts w:hint="default" w:ascii="Times New Roman" w:hAnsi="Times New Roman" w:eastAsia="宋体" w:cs="Times New Roman"/>
                <w:b/>
                <w:color w:val="000000" w:themeColor="text1"/>
                <w:sz w:val="24"/>
                <w:szCs w:val="24"/>
                <w:highlight w:val="none"/>
                <w14:textFill>
                  <w14:solidFill>
                    <w14:schemeClr w14:val="tx1"/>
                  </w14:solidFill>
                </w14:textFill>
              </w:rPr>
              <w:t>表</w:t>
            </w:r>
            <w:r>
              <w:rPr>
                <w:rFonts w:hint="default" w:ascii="Times New Roman" w:hAnsi="Times New Roman" w:eastAsia="宋体" w:cs="Times New Roman"/>
                <w:b/>
                <w:color w:val="000000" w:themeColor="text1"/>
                <w:sz w:val="24"/>
                <w:szCs w:val="24"/>
                <w:highlight w:val="none"/>
                <w:lang w:val="en-US" w:eastAsia="zh-CN"/>
                <w14:textFill>
                  <w14:solidFill>
                    <w14:schemeClr w14:val="tx1"/>
                  </w14:solidFill>
                </w14:textFill>
              </w:rPr>
              <w:t>3</w:t>
            </w:r>
            <w:r>
              <w:rPr>
                <w:rFonts w:hint="eastAsia" w:ascii="Times New Roman" w:hAnsi="Times New Roman" w:cs="Times New Roman"/>
                <w:b/>
                <w:color w:val="000000" w:themeColor="text1"/>
                <w:sz w:val="24"/>
                <w:szCs w:val="24"/>
                <w:highlight w:val="none"/>
                <w:lang w:val="en-US" w:eastAsia="zh-CN"/>
                <w14:textFill>
                  <w14:solidFill>
                    <w14:schemeClr w14:val="tx1"/>
                  </w14:solidFill>
                </w14:textFill>
              </w:rPr>
              <w:t>-15</w:t>
            </w:r>
            <w:r>
              <w:rPr>
                <w:rFonts w:hint="default" w:ascii="Times New Roman" w:hAnsi="Times New Roman" w:eastAsia="宋体" w:cs="Times New Roman"/>
                <w:b/>
                <w:color w:val="000000" w:themeColor="text1"/>
                <w:sz w:val="24"/>
                <w:szCs w:val="24"/>
                <w:highlight w:val="none"/>
                <w14:textFill>
                  <w14:solidFill>
                    <w14:schemeClr w14:val="tx1"/>
                  </w14:solidFill>
                </w14:textFill>
              </w:rPr>
              <w:t>噪声排放标准一览表</w:t>
            </w:r>
          </w:p>
          <w:tbl>
            <w:tblPr>
              <w:tblStyle w:val="2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96"/>
              <w:gridCol w:w="796"/>
              <w:gridCol w:w="928"/>
              <w:gridCol w:w="1064"/>
              <w:gridCol w:w="4290"/>
            </w:tblGrid>
            <w:tr w14:paraId="4EB01F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061" w:type="pct"/>
                  <w:gridSpan w:val="2"/>
                  <w:tcBorders>
                    <w:tl2br w:val="nil"/>
                    <w:tr2bl w:val="nil"/>
                  </w:tcBorders>
                  <w:noWrap w:val="0"/>
                  <w:vAlign w:val="center"/>
                </w:tcPr>
                <w:p w14:paraId="320E56EA">
                  <w:pPr>
                    <w:pStyle w:val="60"/>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t>时期</w:t>
                  </w:r>
                </w:p>
              </w:tc>
              <w:tc>
                <w:tcPr>
                  <w:tcW w:w="582" w:type="pct"/>
                  <w:tcBorders>
                    <w:tl2br w:val="nil"/>
                    <w:tr2bl w:val="nil"/>
                  </w:tcBorders>
                  <w:noWrap w:val="0"/>
                  <w:vAlign w:val="center"/>
                </w:tcPr>
                <w:p w14:paraId="375A9740">
                  <w:pPr>
                    <w:pStyle w:val="60"/>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t>单位</w:t>
                  </w:r>
                </w:p>
              </w:tc>
              <w:tc>
                <w:tcPr>
                  <w:tcW w:w="667" w:type="pct"/>
                  <w:tcBorders>
                    <w:tl2br w:val="nil"/>
                    <w:tr2bl w:val="nil"/>
                  </w:tcBorders>
                  <w:noWrap w:val="0"/>
                  <w:vAlign w:val="center"/>
                </w:tcPr>
                <w:p w14:paraId="6520BEE3">
                  <w:pPr>
                    <w:pStyle w:val="60"/>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t>排放限值</w:t>
                  </w:r>
                </w:p>
              </w:tc>
              <w:tc>
                <w:tcPr>
                  <w:tcW w:w="2688" w:type="pct"/>
                  <w:tcBorders>
                    <w:tl2br w:val="nil"/>
                    <w:tr2bl w:val="nil"/>
                  </w:tcBorders>
                  <w:noWrap w:val="0"/>
                  <w:vAlign w:val="center"/>
                </w:tcPr>
                <w:p w14:paraId="3BAA0AAB">
                  <w:pPr>
                    <w:pStyle w:val="60"/>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t>标准名称及级（类）别</w:t>
                  </w:r>
                </w:p>
              </w:tc>
            </w:tr>
            <w:tr w14:paraId="42CEC7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62" w:type="pct"/>
                  <w:vMerge w:val="restart"/>
                  <w:tcBorders>
                    <w:tl2br w:val="nil"/>
                    <w:tr2bl w:val="nil"/>
                  </w:tcBorders>
                  <w:noWrap w:val="0"/>
                  <w:vAlign w:val="center"/>
                </w:tcPr>
                <w:p w14:paraId="2AA4B43A">
                  <w:pPr>
                    <w:pStyle w:val="60"/>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t>运营期</w:t>
                  </w:r>
                </w:p>
              </w:tc>
              <w:tc>
                <w:tcPr>
                  <w:tcW w:w="499" w:type="pct"/>
                  <w:tcBorders>
                    <w:tl2br w:val="nil"/>
                    <w:tr2bl w:val="nil"/>
                  </w:tcBorders>
                  <w:noWrap w:val="0"/>
                  <w:vAlign w:val="center"/>
                </w:tcPr>
                <w:p w14:paraId="219BE9CB">
                  <w:pPr>
                    <w:pStyle w:val="60"/>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t>昼间</w:t>
                  </w:r>
                </w:p>
              </w:tc>
              <w:tc>
                <w:tcPr>
                  <w:tcW w:w="582" w:type="pct"/>
                  <w:vMerge w:val="restart"/>
                  <w:tcBorders>
                    <w:tl2br w:val="nil"/>
                    <w:tr2bl w:val="nil"/>
                  </w:tcBorders>
                  <w:noWrap w:val="0"/>
                  <w:vAlign w:val="center"/>
                </w:tcPr>
                <w:p w14:paraId="0F11BD11">
                  <w:pPr>
                    <w:pStyle w:val="60"/>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t>dB</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t>A</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667" w:type="pct"/>
                  <w:tcBorders>
                    <w:tl2br w:val="nil"/>
                    <w:tr2bl w:val="nil"/>
                  </w:tcBorders>
                  <w:noWrap w:val="0"/>
                  <w:vAlign w:val="center"/>
                </w:tcPr>
                <w:p w14:paraId="736B1475">
                  <w:pPr>
                    <w:pStyle w:val="60"/>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65</w:t>
                  </w:r>
                </w:p>
              </w:tc>
              <w:tc>
                <w:tcPr>
                  <w:tcW w:w="2688" w:type="pct"/>
                  <w:vMerge w:val="restart"/>
                  <w:tcBorders>
                    <w:tl2br w:val="nil"/>
                    <w:tr2bl w:val="nil"/>
                  </w:tcBorders>
                  <w:noWrap w:val="0"/>
                  <w:vAlign w:val="center"/>
                </w:tcPr>
                <w:p w14:paraId="47EF19C5">
                  <w:pPr>
                    <w:pStyle w:val="60"/>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t>《工业企业厂界环境噪声排放标准》</w:t>
                  </w:r>
                </w:p>
                <w:p w14:paraId="509D86C1">
                  <w:pPr>
                    <w:pStyle w:val="60"/>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t>（GB12348-2008）表1中</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t>类标准</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限值要求</w:t>
                  </w:r>
                </w:p>
              </w:tc>
            </w:tr>
            <w:tr w14:paraId="11D8AB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62" w:type="pct"/>
                  <w:vMerge w:val="continue"/>
                  <w:tcBorders>
                    <w:tl2br w:val="nil"/>
                    <w:tr2bl w:val="nil"/>
                  </w:tcBorders>
                  <w:noWrap w:val="0"/>
                  <w:vAlign w:val="center"/>
                </w:tcPr>
                <w:p w14:paraId="394C0A70">
                  <w:pPr>
                    <w:pStyle w:val="60"/>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p>
              </w:tc>
              <w:tc>
                <w:tcPr>
                  <w:tcW w:w="499" w:type="pct"/>
                  <w:tcBorders>
                    <w:tl2br w:val="nil"/>
                    <w:tr2bl w:val="nil"/>
                  </w:tcBorders>
                  <w:noWrap w:val="0"/>
                  <w:vAlign w:val="center"/>
                </w:tcPr>
                <w:p w14:paraId="306ADC0C">
                  <w:pPr>
                    <w:pStyle w:val="60"/>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t>夜间</w:t>
                  </w:r>
                </w:p>
              </w:tc>
              <w:tc>
                <w:tcPr>
                  <w:tcW w:w="582" w:type="pct"/>
                  <w:vMerge w:val="continue"/>
                  <w:tcBorders>
                    <w:tl2br w:val="nil"/>
                    <w:tr2bl w:val="nil"/>
                  </w:tcBorders>
                  <w:noWrap w:val="0"/>
                  <w:vAlign w:val="center"/>
                </w:tcPr>
                <w:p w14:paraId="01532C80">
                  <w:pPr>
                    <w:pStyle w:val="60"/>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p>
              </w:tc>
              <w:tc>
                <w:tcPr>
                  <w:tcW w:w="667" w:type="pct"/>
                  <w:tcBorders>
                    <w:tl2br w:val="nil"/>
                    <w:tr2bl w:val="nil"/>
                  </w:tcBorders>
                  <w:noWrap w:val="0"/>
                  <w:vAlign w:val="center"/>
                </w:tcPr>
                <w:p w14:paraId="223132A4">
                  <w:pPr>
                    <w:pStyle w:val="60"/>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55</w:t>
                  </w:r>
                </w:p>
              </w:tc>
              <w:tc>
                <w:tcPr>
                  <w:tcW w:w="2688" w:type="pct"/>
                  <w:vMerge w:val="continue"/>
                  <w:tcBorders>
                    <w:tl2br w:val="nil"/>
                    <w:tr2bl w:val="nil"/>
                  </w:tcBorders>
                  <w:noWrap w:val="0"/>
                  <w:vAlign w:val="center"/>
                </w:tcPr>
                <w:p w14:paraId="132C4193">
                  <w:pPr>
                    <w:pStyle w:val="60"/>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p>
              </w:tc>
            </w:tr>
          </w:tbl>
          <w:p w14:paraId="6102BA7A">
            <w:pPr>
              <w:pStyle w:val="55"/>
              <w:keepNext w:val="0"/>
              <w:keepLines w:val="0"/>
              <w:pageBreakBefore w:val="0"/>
              <w:widowControl w:val="0"/>
              <w:kinsoku/>
              <w:wordWrap/>
              <w:overflowPunct/>
              <w:topLinePunct w:val="0"/>
              <w:autoSpaceDE/>
              <w:autoSpaceDN/>
              <w:bidi w:val="0"/>
              <w:adjustRightInd/>
              <w:snapToGrid/>
              <w:spacing w:before="157" w:beforeLines="50" w:line="360" w:lineRule="auto"/>
              <w:ind w:firstLine="42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3、固体废物</w:t>
            </w:r>
          </w:p>
          <w:p w14:paraId="4AA6EF1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本项目</w:t>
            </w:r>
            <w:r>
              <w:rPr>
                <w:rFonts w:hint="default" w:ascii="Times New Roman" w:hAnsi="Times New Roman" w:eastAsia="宋体" w:cs="Times New Roman"/>
                <w:bCs/>
                <w:color w:val="000000" w:themeColor="text1"/>
                <w:sz w:val="24"/>
                <w:highlight w:val="none"/>
                <w14:textFill>
                  <w14:solidFill>
                    <w14:schemeClr w14:val="tx1"/>
                  </w14:solidFill>
                </w14:textFill>
              </w:rPr>
              <w:t>危险废物</w:t>
            </w:r>
            <w:r>
              <w:rPr>
                <w:rFonts w:hint="default" w:ascii="Times New Roman" w:hAnsi="Times New Roman" w:eastAsia="宋体" w:cs="Times New Roman"/>
                <w:bCs/>
                <w:color w:val="000000" w:themeColor="text1"/>
                <w:sz w:val="24"/>
                <w:highlight w:val="none"/>
                <w:lang w:eastAsia="zh-CN"/>
                <w14:textFill>
                  <w14:solidFill>
                    <w14:schemeClr w14:val="tx1"/>
                  </w14:solidFill>
                </w14:textFill>
              </w:rPr>
              <w:t>执行</w:t>
            </w:r>
            <w:r>
              <w:rPr>
                <w:rFonts w:hint="default" w:ascii="Times New Roman" w:hAnsi="Times New Roman" w:eastAsia="宋体" w:cs="Times New Roman"/>
                <w:bCs/>
                <w:color w:val="000000" w:themeColor="text1"/>
                <w:sz w:val="24"/>
                <w:highlight w:val="none"/>
                <w14:textFill>
                  <w14:solidFill>
                    <w14:schemeClr w14:val="tx1"/>
                  </w14:solidFill>
                </w14:textFill>
              </w:rPr>
              <w:t>《危险废物贮存污染控制标准》（GB18597-</w:t>
            </w:r>
            <w:r>
              <w:rPr>
                <w:rFonts w:hint="default" w:ascii="Times New Roman" w:hAnsi="Times New Roman" w:eastAsia="宋体" w:cs="Times New Roman"/>
                <w:bCs/>
                <w:color w:val="000000" w:themeColor="text1"/>
                <w:sz w:val="24"/>
                <w:highlight w:val="none"/>
                <w:lang w:val="en-US" w:eastAsia="zh-CN"/>
                <w14:textFill>
                  <w14:solidFill>
                    <w14:schemeClr w14:val="tx1"/>
                  </w14:solidFill>
                </w14:textFill>
              </w:rPr>
              <w:t>2023</w:t>
            </w:r>
            <w:r>
              <w:rPr>
                <w:rFonts w:hint="default" w:ascii="Times New Roman" w:hAnsi="Times New Roman" w:eastAsia="宋体" w:cs="Times New Roman"/>
                <w:bCs/>
                <w:color w:val="000000" w:themeColor="text1"/>
                <w:sz w:val="24"/>
                <w:highlight w:val="none"/>
                <w14:textFill>
                  <w14:solidFill>
                    <w14:schemeClr w14:val="tx1"/>
                  </w14:solidFill>
                </w14:textFill>
              </w:rPr>
              <w:t>）中</w:t>
            </w:r>
            <w:r>
              <w:rPr>
                <w:rFonts w:hint="default" w:ascii="Times New Roman" w:hAnsi="Times New Roman" w:eastAsia="宋体" w:cs="Times New Roman"/>
                <w:bCs/>
                <w:color w:val="000000" w:themeColor="text1"/>
                <w:sz w:val="24"/>
                <w:highlight w:val="none"/>
                <w:lang w:eastAsia="zh-CN"/>
                <w14:textFill>
                  <w14:solidFill>
                    <w14:schemeClr w14:val="tx1"/>
                  </w14:solidFill>
                </w14:textFill>
              </w:rPr>
              <w:t>相关</w:t>
            </w:r>
            <w:r>
              <w:rPr>
                <w:rFonts w:hint="default" w:ascii="Times New Roman" w:hAnsi="Times New Roman" w:eastAsia="宋体" w:cs="Times New Roman"/>
                <w:bCs/>
                <w:color w:val="000000" w:themeColor="text1"/>
                <w:sz w:val="24"/>
                <w:highlight w:val="none"/>
                <w14:textFill>
                  <w14:solidFill>
                    <w14:schemeClr w14:val="tx1"/>
                  </w14:solidFill>
                </w14:textFill>
              </w:rPr>
              <w:t>要求</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tc>
      </w:tr>
      <w:tr w14:paraId="690DE0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800" w:type="dxa"/>
            <w:noWrap w:val="0"/>
            <w:vAlign w:val="center"/>
          </w:tcPr>
          <w:p w14:paraId="23010B40">
            <w:pPr>
              <w:adjustRightInd w:val="0"/>
              <w:snapToGrid w:val="0"/>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总量控制指标</w:t>
            </w:r>
          </w:p>
        </w:tc>
        <w:tc>
          <w:tcPr>
            <w:tcW w:w="8190" w:type="dxa"/>
            <w:noWrap w:val="0"/>
            <w:vAlign w:val="center"/>
          </w:tcPr>
          <w:p w14:paraId="6E1D0D81">
            <w:pPr>
              <w:adjustRightInd w:val="0"/>
              <w:snapToGrid w:val="0"/>
              <w:spacing w:line="500" w:lineRule="exact"/>
              <w:jc w:val="center"/>
              <w:rPr>
                <w:rFonts w:hint="default" w:ascii="Times New Roman" w:hAnsi="Times New Roman" w:eastAsia="宋体" w:cs="Times New Roman"/>
                <w:b/>
                <w:bCs/>
                <w:color w:val="000000" w:themeColor="text1"/>
                <w:kern w:val="2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kern w:val="21"/>
                <w:sz w:val="24"/>
                <w:szCs w:val="24"/>
                <w:highlight w:val="none"/>
                <w14:textFill>
                  <w14:solidFill>
                    <w14:schemeClr w14:val="tx1"/>
                  </w14:solidFill>
                </w14:textFill>
              </w:rPr>
              <w:t>表3-</w:t>
            </w:r>
            <w:r>
              <w:rPr>
                <w:rFonts w:hint="eastAsia" w:cs="Times New Roman"/>
                <w:b/>
                <w:bCs/>
                <w:color w:val="000000" w:themeColor="text1"/>
                <w:kern w:val="21"/>
                <w:sz w:val="24"/>
                <w:szCs w:val="24"/>
                <w:highlight w:val="none"/>
                <w:lang w:val="en-US" w:eastAsia="zh-CN"/>
                <w14:textFill>
                  <w14:solidFill>
                    <w14:schemeClr w14:val="tx1"/>
                  </w14:solidFill>
                </w14:textFill>
              </w:rPr>
              <w:t>16</w:t>
            </w:r>
            <w:r>
              <w:rPr>
                <w:rFonts w:hint="default" w:ascii="Times New Roman" w:hAnsi="Times New Roman" w:eastAsia="宋体" w:cs="Times New Roman"/>
                <w:b/>
                <w:bCs/>
                <w:color w:val="000000" w:themeColor="text1"/>
                <w:kern w:val="21"/>
                <w:sz w:val="24"/>
                <w:szCs w:val="24"/>
                <w:highlight w:val="none"/>
                <w14:textFill>
                  <w14:solidFill>
                    <w14:schemeClr w14:val="tx1"/>
                  </w14:solidFill>
                </w14:textFill>
              </w:rPr>
              <w:t xml:space="preserve"> 总量控制表</w:t>
            </w:r>
          </w:p>
          <w:tbl>
            <w:tblPr>
              <w:tblStyle w:val="28"/>
              <w:tblW w:w="811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216"/>
              <w:gridCol w:w="2951"/>
              <w:gridCol w:w="2951"/>
            </w:tblGrid>
            <w:tr w14:paraId="03B427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2216" w:type="dxa"/>
                  <w:noWrap w:val="0"/>
                  <w:tcMar>
                    <w:left w:w="28" w:type="dxa"/>
                    <w:right w:w="28" w:type="dxa"/>
                  </w:tcMar>
                  <w:vAlign w:val="center"/>
                </w:tcPr>
                <w:p w14:paraId="00B2EDA4">
                  <w:pPr>
                    <w:pStyle w:val="50"/>
                    <w:spacing w:beforeLines="0" w:afterLines="0" w:line="240" w:lineRule="auto"/>
                    <w:rPr>
                      <w:rFonts w:hint="default" w:ascii="Times New Roman" w:hAnsi="Times New Roman" w:eastAsia="宋体" w:cs="Times New Roman"/>
                      <w:b/>
                      <w:bCs/>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宋体" w:cs="Times New Roman"/>
                      <w:b/>
                      <w:bCs/>
                      <w:snapToGrid w:val="0"/>
                      <w:color w:val="000000" w:themeColor="text1"/>
                      <w:spacing w:val="-6"/>
                      <w:kern w:val="21"/>
                      <w:szCs w:val="21"/>
                      <w:highlight w:val="none"/>
                      <w14:textFill>
                        <w14:solidFill>
                          <w14:schemeClr w14:val="tx1"/>
                        </w14:solidFill>
                      </w14:textFill>
                    </w:rPr>
                    <w:t>污染物名称</w:t>
                  </w:r>
                </w:p>
              </w:tc>
              <w:tc>
                <w:tcPr>
                  <w:tcW w:w="2951" w:type="dxa"/>
                  <w:noWrap w:val="0"/>
                  <w:tcMar>
                    <w:left w:w="28" w:type="dxa"/>
                    <w:right w:w="28" w:type="dxa"/>
                  </w:tcMar>
                  <w:vAlign w:val="center"/>
                </w:tcPr>
                <w:p w14:paraId="09B7A4B2">
                  <w:pPr>
                    <w:pStyle w:val="50"/>
                    <w:spacing w:beforeLines="0" w:afterLines="0" w:line="240" w:lineRule="auto"/>
                    <w:rPr>
                      <w:rFonts w:hint="default" w:ascii="Times New Roman" w:hAnsi="Times New Roman" w:eastAsia="宋体" w:cs="Times New Roman"/>
                      <w:b/>
                      <w:bCs/>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宋体" w:cs="Times New Roman"/>
                      <w:b/>
                      <w:bCs/>
                      <w:snapToGrid w:val="0"/>
                      <w:color w:val="000000" w:themeColor="text1"/>
                      <w:spacing w:val="-6"/>
                      <w:kern w:val="21"/>
                      <w:szCs w:val="21"/>
                      <w:highlight w:val="none"/>
                      <w14:textFill>
                        <w14:solidFill>
                          <w14:schemeClr w14:val="tx1"/>
                        </w14:solidFill>
                      </w14:textFill>
                    </w:rPr>
                    <w:t>本项目预测排放量（t/a）</w:t>
                  </w:r>
                </w:p>
              </w:tc>
              <w:tc>
                <w:tcPr>
                  <w:tcW w:w="2951" w:type="dxa"/>
                  <w:noWrap w:val="0"/>
                  <w:tcMar>
                    <w:left w:w="28" w:type="dxa"/>
                    <w:right w:w="28" w:type="dxa"/>
                  </w:tcMar>
                  <w:vAlign w:val="center"/>
                </w:tcPr>
                <w:p w14:paraId="1B6C0051">
                  <w:pPr>
                    <w:pStyle w:val="50"/>
                    <w:spacing w:beforeLines="0" w:afterLines="0" w:line="240" w:lineRule="auto"/>
                    <w:rPr>
                      <w:rFonts w:hint="default" w:ascii="Times New Roman" w:hAnsi="Times New Roman" w:eastAsia="宋体" w:cs="Times New Roman"/>
                      <w:b/>
                      <w:bCs/>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宋体" w:cs="Times New Roman"/>
                      <w:b/>
                      <w:bCs/>
                      <w:snapToGrid w:val="0"/>
                      <w:color w:val="000000" w:themeColor="text1"/>
                      <w:spacing w:val="-6"/>
                      <w:kern w:val="21"/>
                      <w:szCs w:val="21"/>
                      <w:highlight w:val="none"/>
                      <w14:textFill>
                        <w14:solidFill>
                          <w14:schemeClr w14:val="tx1"/>
                        </w14:solidFill>
                      </w14:textFill>
                    </w:rPr>
                    <w:t>本项目</w:t>
                  </w:r>
                  <w:r>
                    <w:rPr>
                      <w:rFonts w:hint="eastAsia" w:ascii="Times New Roman" w:hAnsi="Times New Roman" w:eastAsia="宋体" w:cs="Times New Roman"/>
                      <w:b/>
                      <w:bCs/>
                      <w:snapToGrid w:val="0"/>
                      <w:color w:val="000000" w:themeColor="text1"/>
                      <w:spacing w:val="-6"/>
                      <w:kern w:val="21"/>
                      <w:szCs w:val="21"/>
                      <w:highlight w:val="none"/>
                      <w:lang w:val="en-US" w:eastAsia="zh-CN"/>
                      <w14:textFill>
                        <w14:solidFill>
                          <w14:schemeClr w14:val="tx1"/>
                        </w14:solidFill>
                      </w14:textFill>
                    </w:rPr>
                    <w:t>核定</w:t>
                  </w:r>
                  <w:r>
                    <w:rPr>
                      <w:rFonts w:hint="default" w:ascii="Times New Roman" w:hAnsi="Times New Roman" w:eastAsia="宋体" w:cs="Times New Roman"/>
                      <w:b/>
                      <w:bCs/>
                      <w:snapToGrid w:val="0"/>
                      <w:color w:val="000000" w:themeColor="text1"/>
                      <w:spacing w:val="-6"/>
                      <w:kern w:val="21"/>
                      <w:szCs w:val="21"/>
                      <w:highlight w:val="none"/>
                      <w14:textFill>
                        <w14:solidFill>
                          <w14:schemeClr w14:val="tx1"/>
                        </w14:solidFill>
                      </w14:textFill>
                    </w:rPr>
                    <w:t>排放量（t/a）</w:t>
                  </w:r>
                </w:p>
              </w:tc>
            </w:tr>
            <w:tr w14:paraId="5AAF6A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2216" w:type="dxa"/>
                  <w:noWrap w:val="0"/>
                  <w:vAlign w:val="center"/>
                </w:tcPr>
                <w:p w14:paraId="3546AF91">
                  <w:pPr>
                    <w:jc w:val="center"/>
                    <w:rPr>
                      <w:rFonts w:hint="eastAsia" w:ascii="Times New Roman" w:hAnsi="Times New Roman" w:eastAsia="宋体" w:cs="Times New Roman"/>
                      <w:snapToGrid w:val="0"/>
                      <w:color w:val="000000" w:themeColor="text1"/>
                      <w:kern w:val="21"/>
                      <w:szCs w:val="21"/>
                      <w:highlight w:val="none"/>
                      <w:lang w:eastAsia="zh-CN"/>
                      <w14:textFill>
                        <w14:solidFill>
                          <w14:schemeClr w14:val="tx1"/>
                        </w14:solidFill>
                      </w14:textFill>
                    </w:rPr>
                  </w:pPr>
                  <w:r>
                    <w:rPr>
                      <w:rFonts w:hint="eastAsia" w:eastAsia="宋体" w:cs="Times New Roman"/>
                      <w:snapToGrid w:val="0"/>
                      <w:color w:val="000000" w:themeColor="text1"/>
                      <w:kern w:val="21"/>
                      <w:szCs w:val="21"/>
                      <w:highlight w:val="none"/>
                      <w:lang w:val="en-US" w:eastAsia="zh-CN"/>
                      <w14:textFill>
                        <w14:solidFill>
                          <w14:schemeClr w14:val="tx1"/>
                        </w14:solidFill>
                      </w14:textFill>
                    </w:rPr>
                    <w:t>非甲烷总烃</w:t>
                  </w:r>
                </w:p>
              </w:tc>
              <w:tc>
                <w:tcPr>
                  <w:tcW w:w="2951" w:type="dxa"/>
                  <w:noWrap w:val="0"/>
                  <w:vAlign w:val="center"/>
                </w:tcPr>
                <w:p w14:paraId="54B102C1">
                  <w:pPr>
                    <w:spacing w:line="240" w:lineRule="exact"/>
                    <w:jc w:val="center"/>
                    <w:rPr>
                      <w:rFonts w:hint="default" w:ascii="Times New Roman" w:hAnsi="Times New Roman" w:eastAsia="宋体" w:cs="Times New Roman"/>
                      <w:color w:val="000000" w:themeColor="text1"/>
                      <w:spacing w:val="5"/>
                      <w:szCs w:val="21"/>
                      <w:highlight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0.5145</w:t>
                  </w:r>
                </w:p>
              </w:tc>
              <w:tc>
                <w:tcPr>
                  <w:tcW w:w="2951" w:type="dxa"/>
                  <w:noWrap w:val="0"/>
                  <w:vAlign w:val="center"/>
                </w:tcPr>
                <w:p w14:paraId="26BAAB5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pacing w:val="5"/>
                      <w:szCs w:val="21"/>
                      <w:highlight w:val="none"/>
                      <w:lang w:val="en-US" w:eastAsia="zh-CN"/>
                      <w14:textFill>
                        <w14:solidFill>
                          <w14:schemeClr w14:val="tx1"/>
                        </w14:solidFill>
                      </w14:textFill>
                    </w:rPr>
                  </w:pPr>
                  <w:r>
                    <w:rPr>
                      <w:rFonts w:hint="eastAsia" w:cs="Times New Roman"/>
                      <w:color w:val="000000" w:themeColor="text1"/>
                      <w:spacing w:val="5"/>
                      <w:szCs w:val="21"/>
                      <w:highlight w:val="none"/>
                      <w:lang w:val="en-US" w:eastAsia="zh-CN"/>
                      <w14:textFill>
                        <w14:solidFill>
                          <w14:schemeClr w14:val="tx1"/>
                        </w14:solidFill>
                      </w14:textFill>
                    </w:rPr>
                    <w:t>42.3208</w:t>
                  </w:r>
                </w:p>
              </w:tc>
            </w:tr>
          </w:tbl>
          <w:p w14:paraId="004D26F6">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jc w:val="left"/>
              <w:textAlignment w:val="auto"/>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p>
        </w:tc>
      </w:tr>
    </w:tbl>
    <w:p w14:paraId="61EB15EC">
      <w:pPr>
        <w:pStyle w:val="24"/>
        <w:jc w:val="center"/>
        <w:outlineLvl w:val="0"/>
        <w:rPr>
          <w:rFonts w:hint="eastAsia" w:ascii="黑体" w:hAnsi="黑体" w:eastAsia="黑体"/>
          <w:snapToGrid w:val="0"/>
          <w:color w:val="000000" w:themeColor="text1"/>
          <w:sz w:val="30"/>
          <w:szCs w:val="30"/>
          <w:highlight w:val="none"/>
          <w14:textFill>
            <w14:solidFill>
              <w14:schemeClr w14:val="tx1"/>
            </w14:solidFill>
          </w14:textFill>
        </w:rPr>
        <w:sectPr>
          <w:pgSz w:w="11907" w:h="16840"/>
          <w:pgMar w:top="1281" w:right="1531" w:bottom="1897" w:left="1531" w:header="851" w:footer="851" w:gutter="0"/>
          <w:pgBorders>
            <w:top w:val="none" w:sz="0" w:space="0"/>
            <w:left w:val="none" w:sz="0" w:space="0"/>
            <w:bottom w:val="none" w:sz="0" w:space="0"/>
            <w:right w:val="none" w:sz="0" w:space="0"/>
          </w:pgBorders>
          <w:pgNumType w:fmt="decimal"/>
          <w:cols w:space="720" w:num="1"/>
          <w:docGrid w:linePitch="312" w:charSpace="0"/>
        </w:sectPr>
      </w:pPr>
      <w:bookmarkStart w:id="40" w:name="_Toc3118"/>
      <w:bookmarkStart w:id="41" w:name="_Toc8452"/>
      <w:bookmarkStart w:id="42" w:name="_Toc6591"/>
      <w:bookmarkStart w:id="43" w:name="_Toc12021"/>
    </w:p>
    <w:p w14:paraId="507EFBF2">
      <w:pPr>
        <w:pStyle w:val="24"/>
        <w:jc w:val="center"/>
        <w:outlineLvl w:val="0"/>
        <w:rPr>
          <w:rFonts w:ascii="黑体" w:hAnsi="黑体" w:eastAsia="黑体"/>
          <w:snapToGrid w:val="0"/>
          <w:color w:val="000000" w:themeColor="text1"/>
          <w:sz w:val="30"/>
          <w:szCs w:val="30"/>
          <w:highlight w:val="none"/>
          <w14:textFill>
            <w14:solidFill>
              <w14:schemeClr w14:val="tx1"/>
            </w14:solidFill>
          </w14:textFill>
        </w:rPr>
      </w:pPr>
      <w:bookmarkStart w:id="44" w:name="_Toc19994"/>
      <w:r>
        <w:rPr>
          <w:rFonts w:hint="eastAsia" w:ascii="黑体" w:hAnsi="黑体" w:eastAsia="黑体"/>
          <w:snapToGrid w:val="0"/>
          <w:color w:val="000000" w:themeColor="text1"/>
          <w:sz w:val="30"/>
          <w:szCs w:val="30"/>
          <w:highlight w:val="none"/>
          <w14:textFill>
            <w14:solidFill>
              <w14:schemeClr w14:val="tx1"/>
            </w14:solidFill>
          </w14:textFill>
        </w:rPr>
        <w:t>四、主要环境影响和保护措施</w:t>
      </w:r>
      <w:bookmarkEnd w:id="40"/>
      <w:bookmarkEnd w:id="41"/>
      <w:bookmarkEnd w:id="42"/>
      <w:bookmarkEnd w:id="43"/>
      <w:bookmarkEnd w:id="44"/>
    </w:p>
    <w:tbl>
      <w:tblPr>
        <w:tblStyle w:val="28"/>
        <w:tblpPr w:leftFromText="180" w:rightFromText="180" w:vertAnchor="text" w:tblpXSpec="center" w:tblpY="1"/>
        <w:tblOverlap w:val="never"/>
        <w:tblW w:w="965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37"/>
        <w:gridCol w:w="9313"/>
      </w:tblGrid>
      <w:tr w14:paraId="67B632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337" w:type="dxa"/>
            <w:noWrap w:val="0"/>
            <w:tcMar>
              <w:left w:w="28" w:type="dxa"/>
              <w:right w:w="28" w:type="dxa"/>
            </w:tcMar>
            <w:vAlign w:val="center"/>
          </w:tcPr>
          <w:p w14:paraId="0EC94F44">
            <w:pPr>
              <w:pStyle w:val="24"/>
              <w:adjustRightInd w:val="0"/>
              <w:snapToGrid w:val="0"/>
              <w:spacing w:before="0" w:beforeAutospacing="0" w:after="0" w:afterAutospacing="0" w:line="360" w:lineRule="auto"/>
              <w:jc w:val="center"/>
              <w:rPr>
                <w:rFonts w:hint="eastAsia"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14:textFill>
                  <w14:solidFill>
                    <w14:schemeClr w14:val="tx1"/>
                  </w14:solidFill>
                </w14:textFill>
              </w:rPr>
              <w:t>施工</w:t>
            </w:r>
          </w:p>
          <w:p w14:paraId="568B8928">
            <w:pPr>
              <w:pStyle w:val="24"/>
              <w:adjustRightInd w:val="0"/>
              <w:snapToGrid w:val="0"/>
              <w:spacing w:before="0" w:beforeAutospacing="0" w:after="0" w:afterAutospacing="0" w:line="360" w:lineRule="auto"/>
              <w:jc w:val="center"/>
              <w:rPr>
                <w:rFonts w:hint="eastAsia"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14:textFill>
                  <w14:solidFill>
                    <w14:schemeClr w14:val="tx1"/>
                  </w14:solidFill>
                </w14:textFill>
              </w:rPr>
              <w:t>期环</w:t>
            </w:r>
          </w:p>
          <w:p w14:paraId="5CCC3006">
            <w:pPr>
              <w:pStyle w:val="24"/>
              <w:adjustRightInd w:val="0"/>
              <w:snapToGrid w:val="0"/>
              <w:spacing w:before="0" w:beforeAutospacing="0" w:after="0" w:afterAutospacing="0" w:line="360" w:lineRule="auto"/>
              <w:jc w:val="center"/>
              <w:rPr>
                <w:rFonts w:hint="eastAsia"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14:textFill>
                  <w14:solidFill>
                    <w14:schemeClr w14:val="tx1"/>
                  </w14:solidFill>
                </w14:textFill>
              </w:rPr>
              <w:t>境保</w:t>
            </w:r>
          </w:p>
          <w:p w14:paraId="420F6477">
            <w:pPr>
              <w:pStyle w:val="24"/>
              <w:adjustRightInd w:val="0"/>
              <w:snapToGrid w:val="0"/>
              <w:spacing w:before="0" w:beforeAutospacing="0" w:after="0" w:afterAutospacing="0" w:line="360" w:lineRule="auto"/>
              <w:jc w:val="center"/>
              <w:rPr>
                <w:rFonts w:hint="eastAsia"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14:textFill>
                  <w14:solidFill>
                    <w14:schemeClr w14:val="tx1"/>
                  </w14:solidFill>
                </w14:textFill>
              </w:rPr>
              <w:t>护措</w:t>
            </w:r>
          </w:p>
          <w:p w14:paraId="46E1E315">
            <w:pPr>
              <w:pStyle w:val="24"/>
              <w:adjustRightInd w:val="0"/>
              <w:snapToGrid w:val="0"/>
              <w:spacing w:before="0" w:beforeAutospacing="0" w:after="0" w:afterAutospacing="0" w:line="360" w:lineRule="auto"/>
              <w:jc w:val="center"/>
              <w:rPr>
                <w:rFonts w:hint="eastAsia" w:cs="宋体"/>
                <w:bCs/>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14:textFill>
                  <w14:solidFill>
                    <w14:schemeClr w14:val="tx1"/>
                  </w14:solidFill>
                </w14:textFill>
              </w:rPr>
              <w:t>施</w:t>
            </w:r>
          </w:p>
        </w:tc>
        <w:tc>
          <w:tcPr>
            <w:tcW w:w="9313" w:type="dxa"/>
            <w:noWrap w:val="0"/>
            <w:vAlign w:val="top"/>
          </w:tcPr>
          <w:p w14:paraId="65C81FDC">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b/>
                <w:bCs/>
                <w:snapToGrid w:val="0"/>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b/>
                <w:snapToGrid w:val="0"/>
                <w:color w:val="000000" w:themeColor="text1"/>
                <w:kern w:val="0"/>
                <w:sz w:val="24"/>
                <w:szCs w:val="24"/>
                <w:highlight w:val="none"/>
                <w14:textFill>
                  <w14:solidFill>
                    <w14:schemeClr w14:val="tx1"/>
                  </w14:solidFill>
                </w14:textFill>
              </w:rPr>
              <w:t>（一）废气</w:t>
            </w:r>
          </w:p>
          <w:p w14:paraId="32E68108">
            <w:pPr>
              <w:pStyle w:val="5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项目施工过程中造成大气污染的主要产生源有：施工建筑材料（水泥、石灰、砂石料）的装卸、运输、堆砌过程以及运输过程中产生扬尘等。</w:t>
            </w:r>
          </w:p>
          <w:p w14:paraId="2D6C2BE8">
            <w:pPr>
              <w:pStyle w:val="5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建设单位应在施工期采取以下相应措施：</w:t>
            </w:r>
          </w:p>
          <w:p w14:paraId="4D6A1E50">
            <w:pPr>
              <w:pStyle w:val="5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（1）封闭施工现场，既可有效防止粉尘及扬尘的污染，又可起到隔声的作用。</w:t>
            </w:r>
          </w:p>
          <w:p w14:paraId="4AB9B18B">
            <w:pPr>
              <w:pStyle w:val="5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（2）施工中所用粉状材料运输时应对车辆</w:t>
            </w:r>
            <w:r>
              <w:rPr>
                <w:rFonts w:hint="eastAsia" w:ascii="Times New Roman" w:hAnsi="Times New Roman" w:cs="Times New Roman"/>
                <w:snapToGrid w:val="0"/>
                <w:color w:val="000000" w:themeColor="text1"/>
                <w:kern w:val="0"/>
                <w:sz w:val="24"/>
                <w:szCs w:val="24"/>
                <w:highlight w:val="none"/>
                <w:lang w:eastAsia="zh-CN"/>
                <w14:textFill>
                  <w14:solidFill>
                    <w14:schemeClr w14:val="tx1"/>
                  </w14:solidFill>
                </w14:textFill>
              </w:rPr>
              <w:t>加盖篷布</w:t>
            </w: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，并在经过居民区运输时减速慢行。</w:t>
            </w:r>
          </w:p>
          <w:p w14:paraId="25A18898">
            <w:pPr>
              <w:pStyle w:val="5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（3）施工过程中所用建筑材料，必须设固定堆放场，特别是水泥在堆放过程中应用苫布盖好，防止二次扬尘污染，不得随意堆放。</w:t>
            </w:r>
          </w:p>
          <w:p w14:paraId="43345A5C">
            <w:pPr>
              <w:pStyle w:val="5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通过以上措施处理后，施工期对环境空气影响较小。</w:t>
            </w:r>
          </w:p>
          <w:p w14:paraId="7BCC2BDE">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b/>
                <w:snapToGrid w:val="0"/>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b/>
                <w:snapToGrid w:val="0"/>
                <w:color w:val="000000" w:themeColor="text1"/>
                <w:kern w:val="0"/>
                <w:sz w:val="24"/>
                <w:szCs w:val="24"/>
                <w:highlight w:val="none"/>
                <w14:textFill>
                  <w14:solidFill>
                    <w14:schemeClr w14:val="tx1"/>
                  </w14:solidFill>
                </w14:textFill>
              </w:rPr>
              <w:t>（二）废水</w:t>
            </w:r>
          </w:p>
          <w:p w14:paraId="73F336EF">
            <w:pPr>
              <w:pStyle w:val="5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该项目施工期产生的废水主要为生活污水</w:t>
            </w:r>
            <w:r>
              <w:rPr>
                <w:rFonts w:hint="eastAsia" w:ascii="Times New Roman" w:hAnsi="Times New Roman" w:cs="Times New Roman"/>
                <w:snapToGrid w:val="0"/>
                <w:color w:val="000000" w:themeColor="text1"/>
                <w:kern w:val="0"/>
                <w:sz w:val="24"/>
                <w:szCs w:val="24"/>
                <w:highlight w:val="none"/>
                <w:lang w:eastAsia="zh-CN"/>
                <w14:textFill>
                  <w14:solidFill>
                    <w14:schemeClr w14:val="tx1"/>
                  </w14:solidFill>
                </w14:textFill>
              </w:rPr>
              <w:t>、</w:t>
            </w:r>
            <w:r>
              <w:rPr>
                <w:rFonts w:hint="eastAsia" w:ascii="Times New Roman" w:hAnsi="Times New Roman" w:cs="Times New Roman"/>
                <w:snapToGrid w:val="0"/>
                <w:color w:val="000000" w:themeColor="text1"/>
                <w:kern w:val="0"/>
                <w:sz w:val="24"/>
                <w:szCs w:val="24"/>
                <w:highlight w:val="none"/>
                <w:lang w:val="en-US" w:eastAsia="zh-CN"/>
                <w14:textFill>
                  <w14:solidFill>
                    <w14:schemeClr w14:val="tx1"/>
                  </w14:solidFill>
                </w14:textFill>
              </w:rPr>
              <w:t>施工废水</w:t>
            </w: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w:t>
            </w:r>
          </w:p>
          <w:p w14:paraId="64CE6B45">
            <w:pPr>
              <w:pStyle w:val="5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施工阶段生活污水</w:t>
            </w:r>
            <w:r>
              <w:rPr>
                <w:rFonts w:hint="default" w:ascii="Times New Roman" w:hAnsi="Times New Roman" w:cs="Times New Roman"/>
                <w:snapToGrid w:val="0"/>
                <w:color w:val="000000" w:themeColor="text1"/>
                <w:kern w:val="0"/>
                <w:sz w:val="24"/>
                <w:szCs w:val="24"/>
                <w:highlight w:val="none"/>
                <w:lang w:val="en-US" w:eastAsia="zh-CN"/>
                <w14:textFill>
                  <w14:solidFill>
                    <w14:schemeClr w14:val="tx1"/>
                  </w14:solidFill>
                </w14:textFill>
              </w:rPr>
              <w:t>依托伊春市林源家具有限公司，经市政管网</w:t>
            </w:r>
            <w:r>
              <w:rPr>
                <w:rFonts w:hint="default" w:ascii="Times New Roman" w:hAnsi="Times New Roman" w:cs="Times New Roman"/>
                <w:snapToGrid w:val="0"/>
                <w:color w:val="000000" w:themeColor="text1"/>
                <w:kern w:val="0"/>
                <w:sz w:val="24"/>
                <w:szCs w:val="24"/>
                <w:highlight w:val="none"/>
                <w:lang w:eastAsia="zh-CN"/>
                <w14:textFill>
                  <w14:solidFill>
                    <w14:schemeClr w14:val="tx1"/>
                  </w14:solidFill>
                </w14:textFill>
              </w:rPr>
              <w:t>排入伊春市中心城污水处理厂处理。</w:t>
            </w: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施工人员的生活污水对地表水体环境影响较小</w:t>
            </w:r>
            <w:r>
              <w:rPr>
                <w:rFonts w:hint="eastAsia" w:ascii="Times New Roman" w:hAnsi="Times New Roman" w:cs="Times New Roman"/>
                <w:snapToGrid w:val="0"/>
                <w:color w:val="000000" w:themeColor="text1"/>
                <w:kern w:val="0"/>
                <w:sz w:val="24"/>
                <w:szCs w:val="24"/>
                <w:highlight w:val="none"/>
                <w:lang w:eastAsia="zh-CN"/>
                <w14:textFill>
                  <w14:solidFill>
                    <w14:schemeClr w14:val="tx1"/>
                  </w14:solidFill>
                </w14:textFill>
              </w:rPr>
              <w:t>，</w:t>
            </w:r>
            <w:r>
              <w:rPr>
                <w:rFonts w:hint="eastAsia" w:ascii="Times New Roman" w:hAnsi="Times New Roman" w:cs="Times New Roman"/>
                <w:snapToGrid w:val="0"/>
                <w:color w:val="000000" w:themeColor="text1"/>
                <w:kern w:val="0"/>
                <w:sz w:val="24"/>
                <w:szCs w:val="24"/>
                <w:highlight w:val="none"/>
                <w:lang w:val="en-US" w:eastAsia="zh-CN"/>
                <w14:textFill>
                  <w14:solidFill>
                    <w14:schemeClr w14:val="tx1"/>
                  </w14:solidFill>
                </w14:textFill>
              </w:rPr>
              <w:t>施工废水经沉淀池沉淀后回用于生产，不外排</w:t>
            </w: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w:t>
            </w:r>
          </w:p>
          <w:p w14:paraId="57DD73D9">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b/>
                <w:snapToGrid w:val="0"/>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b/>
                <w:snapToGrid w:val="0"/>
                <w:color w:val="000000" w:themeColor="text1"/>
                <w:kern w:val="0"/>
                <w:sz w:val="24"/>
                <w:szCs w:val="24"/>
                <w:highlight w:val="none"/>
                <w14:textFill>
                  <w14:solidFill>
                    <w14:schemeClr w14:val="tx1"/>
                  </w14:solidFill>
                </w14:textFill>
              </w:rPr>
              <w:t>（三）噪声</w:t>
            </w:r>
          </w:p>
          <w:p w14:paraId="3AF6CFC0">
            <w:pPr>
              <w:pStyle w:val="5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施工期间噪声主要来源于施工现场的各类机械设备和物料运输的交通噪声。在5米范围内一般为70~85dB</w:t>
            </w:r>
            <w:r>
              <w:rPr>
                <w:rFonts w:hint="eastAsia" w:ascii="Times New Roman" w:hAnsi="Times New Roman" w:cs="Times New Roman"/>
                <w:snapToGrid w:val="0"/>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A</w:t>
            </w:r>
            <w:r>
              <w:rPr>
                <w:rFonts w:hint="eastAsia" w:ascii="Times New Roman" w:hAnsi="Times New Roman" w:cs="Times New Roman"/>
                <w:snapToGrid w:val="0"/>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w:t>
            </w:r>
          </w:p>
          <w:p w14:paraId="3EE6B247">
            <w:pPr>
              <w:pStyle w:val="5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（1）合理安排施工时间，严禁夜间施工。</w:t>
            </w:r>
          </w:p>
          <w:p w14:paraId="6B916B03">
            <w:pPr>
              <w:pStyle w:val="5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2）降低设备声级。设备选型上尽量采用低噪声设备，如以液压机械代替燃油机械，低频振捣器采用高频振捣器等；高噪声、高振动设备采取减振措施；维护不良的设备常因松动部件的振动或消声器的损坏而增加其工作噪声级，因此要对动力机械设备进行定期的维修、养护；闲置不用的设备应立即关闭。</w:t>
            </w:r>
          </w:p>
          <w:p w14:paraId="2C193B1A">
            <w:pPr>
              <w:pStyle w:val="5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（3）工地周围设立围护屏障，同时也可在高噪声设备附近加设可移动的简易隔声屏，尽可能减少设备噪声对环境的影响。</w:t>
            </w:r>
          </w:p>
          <w:p w14:paraId="70765F3A">
            <w:pPr>
              <w:pStyle w:val="5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（4）降低人为噪声。按照规定操作机械设备，在挡板、支架拆卸过程中，应遵守作业规定，减少碰撞噪声。</w:t>
            </w:r>
          </w:p>
          <w:p w14:paraId="4B94AE31">
            <w:pPr>
              <w:pStyle w:val="5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选用低噪声施工机械设备，采取减振、隔声措施，夜间禁止施工，</w:t>
            </w:r>
            <w:r>
              <w:rPr>
                <w:rFonts w:hint="eastAsia" w:ascii="Times New Roman" w:hAnsi="Times New Roman" w:cs="Times New Roman"/>
                <w:snapToGrid w:val="0"/>
                <w:color w:val="000000" w:themeColor="text1"/>
                <w:kern w:val="0"/>
                <w:sz w:val="24"/>
                <w:szCs w:val="24"/>
                <w:highlight w:val="none"/>
                <w:lang w:val="en-US" w:eastAsia="zh-CN"/>
                <w14:textFill>
                  <w14:solidFill>
                    <w14:schemeClr w14:val="tx1"/>
                  </w14:solidFill>
                </w14:textFill>
              </w:rPr>
              <w:t>厂</w:t>
            </w: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界噪声符合</w:t>
            </w:r>
            <w:r>
              <w:rPr>
                <w:rFonts w:hint="default" w:ascii="Times New Roman" w:hAnsi="Times New Roman" w:eastAsia="宋体" w:cs="Times New Roman"/>
                <w:color w:val="000000" w:themeColor="text1"/>
                <w:kern w:val="0"/>
                <w:sz w:val="24"/>
                <w:highlight w:val="none"/>
                <w14:textFill>
                  <w14:solidFill>
                    <w14:schemeClr w14:val="tx1"/>
                  </w14:solidFill>
                </w14:textFill>
              </w:rPr>
              <w:t>《建筑施工噪声排放标准》（GB12523-2025）</w:t>
            </w: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要求。对声环境影响较小。</w:t>
            </w:r>
          </w:p>
          <w:p w14:paraId="745808B6">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b/>
                <w:snapToGrid w:val="0"/>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b/>
                <w:snapToGrid w:val="0"/>
                <w:color w:val="000000" w:themeColor="text1"/>
                <w:kern w:val="0"/>
                <w:sz w:val="24"/>
                <w:szCs w:val="24"/>
                <w:highlight w:val="none"/>
                <w14:textFill>
                  <w14:solidFill>
                    <w14:schemeClr w14:val="tx1"/>
                  </w14:solidFill>
                </w14:textFill>
              </w:rPr>
              <w:t>（四）固体废物</w:t>
            </w:r>
          </w:p>
          <w:p w14:paraId="4EF0FAB8">
            <w:pPr>
              <w:pStyle w:val="5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Times New Roman" w:hAnsi="Times New Roman" w:cs="Times New Roman"/>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项目施工过程中产生的固体废物主要是施工人员</w:t>
            </w:r>
            <w:r>
              <w:rPr>
                <w:rFonts w:hint="default" w:ascii="Times New Roman" w:hAnsi="Times New Roman" w:eastAsia="宋体" w:cs="Times New Roman"/>
                <w:snapToGrid w:val="0"/>
                <w:color w:val="000000" w:themeColor="text1"/>
                <w:kern w:val="0"/>
                <w:sz w:val="24"/>
                <w:szCs w:val="24"/>
                <w:highlight w:val="none"/>
                <w14:textFill>
                  <w14:solidFill>
                    <w14:schemeClr w14:val="tx1"/>
                  </w14:solidFill>
                </w14:textFill>
              </w:rPr>
              <w:t>的生活垃圾</w:t>
            </w:r>
            <w:r>
              <w:rPr>
                <w:rFonts w:hint="eastAsia" w:ascii="Times New Roman" w:hAnsi="Times New Roman" w:eastAsia="宋体" w:cs="Times New Roman"/>
                <w:snapToGrid w:val="0"/>
                <w:color w:val="000000" w:themeColor="text1"/>
                <w:kern w:val="0"/>
                <w:sz w:val="24"/>
                <w:szCs w:val="24"/>
                <w:highlight w:val="none"/>
                <w:lang w:val="en-US" w:eastAsia="zh-CN"/>
                <w14:textFill>
                  <w14:solidFill>
                    <w14:schemeClr w14:val="tx1"/>
                  </w14:solidFill>
                </w14:textFill>
              </w:rPr>
              <w:t>及</w:t>
            </w:r>
            <w:r>
              <w:rPr>
                <w:rFonts w:hint="eastAsia" w:ascii="Times New Roman" w:hAnsi="Times New Roman" w:cs="Times New Roman"/>
                <w:snapToGrid w:val="0"/>
                <w:color w:val="000000" w:themeColor="text1"/>
                <w:kern w:val="0"/>
                <w:sz w:val="24"/>
                <w:szCs w:val="24"/>
                <w:highlight w:val="none"/>
                <w:lang w:val="en-US" w:eastAsia="zh-CN"/>
                <w14:textFill>
                  <w14:solidFill>
                    <w14:schemeClr w14:val="tx1"/>
                  </w14:solidFill>
                </w14:textFill>
              </w:rPr>
              <w:t>建筑垃圾</w:t>
            </w:r>
            <w:r>
              <w:rPr>
                <w:rFonts w:hint="default" w:ascii="Times New Roman" w:hAnsi="Times New Roman" w:eastAsia="宋体" w:cs="Times New Roman"/>
                <w:snapToGrid w:val="0"/>
                <w:color w:val="000000" w:themeColor="text1"/>
                <w:kern w:val="0"/>
                <w:sz w:val="24"/>
                <w:szCs w:val="24"/>
                <w:highlight w:val="none"/>
                <w14:textFill>
                  <w14:solidFill>
                    <w14:schemeClr w14:val="tx1"/>
                  </w14:solidFill>
                </w14:textFill>
              </w:rPr>
              <w:t>。</w:t>
            </w:r>
          </w:p>
          <w:p w14:paraId="6F97D36E">
            <w:pPr>
              <w:pStyle w:val="5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宋体" w:hAnsi="宋体" w:eastAsia="宋体" w:cs="宋体"/>
                <w:bCs/>
                <w:color w:val="000000" w:themeColor="text1"/>
                <w:spacing w:val="-10"/>
                <w:sz w:val="24"/>
                <w:szCs w:val="24"/>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施工人员产生的生活垃圾量较少，可设置固定垃圾箱存放，由市政部门统一清运，不得随意丢弃</w:t>
            </w:r>
            <w:r>
              <w:rPr>
                <w:rFonts w:hint="default" w:ascii="Times New Roman" w:hAnsi="Times New Roman" w:eastAsia="宋体" w:cs="Times New Roman"/>
                <w:snapToGrid w:val="0"/>
                <w:color w:val="000000" w:themeColor="text1"/>
                <w:kern w:val="0"/>
                <w:sz w:val="24"/>
                <w:szCs w:val="24"/>
                <w:highlight w:val="none"/>
                <w14:textFill>
                  <w14:solidFill>
                    <w14:schemeClr w14:val="tx1"/>
                  </w14:solidFill>
                </w14:textFill>
              </w:rPr>
              <w:t>。建筑垃圾由施工单位清理外运至的建筑垃圾临时消纳场</w:t>
            </w:r>
            <w:r>
              <w:rPr>
                <w:rFonts w:hint="eastAsia" w:ascii="Times New Roman" w:hAnsi="Times New Roman" w:cs="Times New Roman"/>
                <w:snapToGrid w:val="0"/>
                <w:color w:val="000000" w:themeColor="text1"/>
                <w:kern w:val="0"/>
                <w:sz w:val="24"/>
                <w:szCs w:val="24"/>
                <w:highlight w:val="none"/>
                <w:lang w:val="en-US" w:eastAsia="zh-CN"/>
                <w14:textFill>
                  <w14:solidFill>
                    <w14:schemeClr w14:val="tx1"/>
                  </w14:solidFill>
                </w14:textFill>
              </w:rPr>
              <w:t>处理处置</w:t>
            </w:r>
            <w:r>
              <w:rPr>
                <w:rFonts w:hint="default" w:ascii="Times New Roman" w:hAnsi="Times New Roman" w:eastAsia="宋体" w:cs="Times New Roman"/>
                <w:snapToGrid w:val="0"/>
                <w:color w:val="000000" w:themeColor="text1"/>
                <w:kern w:val="0"/>
                <w:sz w:val="24"/>
                <w:szCs w:val="24"/>
                <w:highlight w:val="none"/>
                <w14:textFill>
                  <w14:solidFill>
                    <w14:schemeClr w14:val="tx1"/>
                  </w14:solidFill>
                </w14:textFill>
              </w:rPr>
              <w:t>。</w:t>
            </w:r>
          </w:p>
        </w:tc>
      </w:tr>
      <w:tr w14:paraId="5055BD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10" w:hRule="atLeast"/>
          <w:jc w:val="center"/>
        </w:trPr>
        <w:tc>
          <w:tcPr>
            <w:tcW w:w="337" w:type="dxa"/>
            <w:noWrap w:val="0"/>
            <w:tcMar>
              <w:left w:w="28" w:type="dxa"/>
              <w:right w:w="28" w:type="dxa"/>
            </w:tcMar>
            <w:vAlign w:val="center"/>
          </w:tcPr>
          <w:p w14:paraId="2D58F63C">
            <w:pPr>
              <w:adjustRightInd w:val="0"/>
              <w:snapToGrid w:val="0"/>
              <w:jc w:val="center"/>
              <w:rPr>
                <w:rFonts w:hint="eastAsia"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运营</w:t>
            </w:r>
          </w:p>
          <w:p w14:paraId="5FC33F01">
            <w:pPr>
              <w:adjustRightInd w:val="0"/>
              <w:snapToGrid w:val="0"/>
              <w:jc w:val="center"/>
              <w:rPr>
                <w:rFonts w:hint="eastAsia"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期环</w:t>
            </w:r>
          </w:p>
          <w:p w14:paraId="417AF791">
            <w:pPr>
              <w:adjustRightInd w:val="0"/>
              <w:snapToGrid w:val="0"/>
              <w:jc w:val="center"/>
              <w:rPr>
                <w:rFonts w:hint="eastAsia"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境影</w:t>
            </w:r>
          </w:p>
          <w:p w14:paraId="25BB5A46">
            <w:pPr>
              <w:adjustRightInd w:val="0"/>
              <w:snapToGrid w:val="0"/>
              <w:jc w:val="center"/>
              <w:rPr>
                <w:rFonts w:hint="eastAsia"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响和</w:t>
            </w:r>
          </w:p>
          <w:p w14:paraId="083E655B">
            <w:pPr>
              <w:adjustRightInd w:val="0"/>
              <w:snapToGrid w:val="0"/>
              <w:jc w:val="center"/>
              <w:rPr>
                <w:rFonts w:hint="eastAsia"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保护</w:t>
            </w:r>
          </w:p>
          <w:p w14:paraId="7877075C">
            <w:pPr>
              <w:adjustRightInd w:val="0"/>
              <w:snapToGrid w:val="0"/>
              <w:jc w:val="center"/>
              <w:rPr>
                <w:rFonts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措施</w:t>
            </w:r>
          </w:p>
        </w:tc>
        <w:tc>
          <w:tcPr>
            <w:tcW w:w="9313" w:type="dxa"/>
            <w:noWrap w:val="0"/>
            <w:vAlign w:val="top"/>
          </w:tcPr>
          <w:p w14:paraId="03A97D4D">
            <w:pPr>
              <w:pStyle w:val="56"/>
              <w:numPr>
                <w:ilvl w:val="0"/>
                <w:numId w:val="0"/>
              </w:numPr>
              <w:spacing w:beforeLines="0" w:afterLines="0" w:line="360" w:lineRule="auto"/>
              <w:ind w:left="420" w:leftChars="0"/>
              <w:rPr>
                <w:rFonts w:hint="default" w:ascii="Times New Roman" w:hAnsi="Times New Roman" w:eastAsia="宋体" w:cs="Times New Roman"/>
                <w:b/>
                <w:color w:val="000000" w:themeColor="text1"/>
                <w:highlight w:val="none"/>
                <w14:textFill>
                  <w14:solidFill>
                    <w14:schemeClr w14:val="tx1"/>
                  </w14:solidFill>
                </w14:textFill>
              </w:rPr>
            </w:pPr>
            <w:r>
              <w:rPr>
                <w:rFonts w:hint="eastAsia" w:ascii="Times New Roman" w:hAnsi="Times New Roman" w:eastAsia="宋体" w:cs="Times New Roman"/>
                <w:b/>
                <w:color w:val="000000" w:themeColor="text1"/>
                <w:highlight w:val="none"/>
                <w:lang w:val="en-US" w:eastAsia="zh-CN"/>
                <w14:textFill>
                  <w14:solidFill>
                    <w14:schemeClr w14:val="tx1"/>
                  </w14:solidFill>
                </w14:textFill>
              </w:rPr>
              <w:t>一、</w:t>
            </w:r>
            <w:r>
              <w:rPr>
                <w:rFonts w:hint="default" w:ascii="Times New Roman" w:hAnsi="Times New Roman" w:eastAsia="宋体" w:cs="Times New Roman"/>
                <w:b/>
                <w:color w:val="000000" w:themeColor="text1"/>
                <w:highlight w:val="none"/>
                <w14:textFill>
                  <w14:solidFill>
                    <w14:schemeClr w14:val="tx1"/>
                  </w14:solidFill>
                </w14:textFill>
              </w:rPr>
              <w:t>大气环境影响及保护措施</w:t>
            </w:r>
          </w:p>
          <w:p w14:paraId="118CB26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firstLine="480" w:firstLineChars="200"/>
              <w:jc w:val="both"/>
              <w:textAlignment w:val="auto"/>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本项目营运期主要为贮存的危险废物挥发产生的废气。本项目液态、半固态危险废物均采用</w:t>
            </w:r>
            <w:r>
              <w:rPr>
                <w:rFonts w:hint="eastAsia" w:cs="Times New Roman" w:eastAsiaTheme="majorEastAsia"/>
                <w:color w:val="000000" w:themeColor="text1"/>
                <w:sz w:val="24"/>
                <w:szCs w:val="24"/>
                <w:highlight w:val="none"/>
                <w:lang w:val="en-US" w:eastAsia="zh-CN"/>
                <w14:textFill>
                  <w14:solidFill>
                    <w14:schemeClr w14:val="tx1"/>
                  </w14:solidFill>
                </w14:textFill>
              </w:rPr>
              <w:t>专用容器</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进行封闭贮存，各类危险废物入库和转运出库的包装方式不变，不倒罐不分装，入场前本项目工作人员进行检查，确保盛装容器密闭。</w:t>
            </w:r>
          </w:p>
          <w:p w14:paraId="180808B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firstLine="480" w:firstLineChars="200"/>
              <w:jc w:val="both"/>
              <w:textAlignment w:val="auto"/>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本项目贮存</w:t>
            </w:r>
            <w:r>
              <w:rPr>
                <w:rFonts w:hint="eastAsia" w:cs="Times New Roman" w:eastAsiaTheme="majorEastAsia"/>
                <w:color w:val="000000" w:themeColor="text1"/>
                <w:sz w:val="24"/>
                <w:szCs w:val="24"/>
                <w:highlight w:val="none"/>
                <w:lang w:val="en-US" w:eastAsia="zh-CN"/>
                <w14:textFill>
                  <w14:solidFill>
                    <w14:schemeClr w14:val="tx1"/>
                  </w14:solidFill>
                </w14:textFill>
              </w:rPr>
              <w:t>的各类危险废物</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中固态物质包装均采用内塑外编的包装袋包装，并进行密闭封口，入场前进行检验确保入库废物包装完好，并每日指派专人进行巡视，本项目危废库房内各</w:t>
            </w:r>
            <w:r>
              <w:rPr>
                <w:rFonts w:hint="eastAsia" w:cs="Times New Roman" w:eastAsiaTheme="majorEastAsia"/>
                <w:color w:val="000000" w:themeColor="text1"/>
                <w:sz w:val="24"/>
                <w:szCs w:val="24"/>
                <w:highlight w:val="none"/>
                <w:lang w:val="en-US" w:eastAsia="zh-CN"/>
                <w14:textFill>
                  <w14:solidFill>
                    <w14:schemeClr w14:val="tx1"/>
                  </w14:solidFill>
                </w14:textFill>
              </w:rPr>
              <w:t>贮存区</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均密闭，不会产生含尘气体以及含重金属气体。</w:t>
            </w:r>
          </w:p>
          <w:p w14:paraId="5B41306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firstLine="480" w:firstLineChars="200"/>
              <w:jc w:val="both"/>
              <w:textAlignment w:val="auto"/>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本项目贮存铅酸蓄电池主要由正极板PO</w:t>
            </w:r>
            <w:r>
              <w:rPr>
                <w:rFonts w:hint="default" w:ascii="Times New Roman" w:hAnsi="Times New Roman" w:cs="Times New Roman" w:eastAsiaTheme="majorEastAsia"/>
                <w:color w:val="000000" w:themeColor="text1"/>
                <w:sz w:val="24"/>
                <w:szCs w:val="24"/>
                <w:highlight w:val="none"/>
                <w:vertAlign w:val="subscript"/>
                <w:lang w:val="en-US" w:eastAsia="zh-CN"/>
                <w14:textFill>
                  <w14:solidFill>
                    <w14:schemeClr w14:val="tx1"/>
                  </w14:solidFill>
                </w14:textFill>
              </w:rPr>
              <w:t>2</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负极板P及中间隔板电解液组成，由于废旧铅酸蓄电池铅基本转化成不可逆硫酸盐化的硫酸铅，即使含有少量的二氧化铅也是被硫酸铅严重腐蚀，被包在硫酸铅晶体中，基本不会挥发产生铅尘废气。本项目贮存的含挥发性有机物以及其他可挥发气体废物，实际暂存过程中可挥发的气体可能由容器的盖与桶间极微小缝隙中挥发，故本次评价主要考虑危险废物贮存挥发产生废气。本次环评按各危险废物贮存间统计废气种类具体如下</w:t>
            </w:r>
            <w:r>
              <w:rPr>
                <w:rFonts w:hint="eastAsia" w:cs="Times New Roman" w:eastAsiaTheme="majorEastAsia"/>
                <w:color w:val="000000" w:themeColor="text1"/>
                <w:sz w:val="24"/>
                <w:szCs w:val="24"/>
                <w:highlight w:val="none"/>
                <w:lang w:val="en-US" w:eastAsia="zh-CN"/>
                <w14:textFill>
                  <w14:solidFill>
                    <w14:schemeClr w14:val="tx1"/>
                  </w14:solidFill>
                </w14:textFill>
              </w:rPr>
              <w:t>：</w:t>
            </w:r>
          </w:p>
          <w:p w14:paraId="3D901A7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480" w:firstLineChars="200"/>
              <w:jc w:val="both"/>
              <w:textAlignment w:val="auto"/>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pPr>
            <w:r>
              <w:rPr>
                <w:rFonts w:hint="eastAsia" w:cs="Times New Roman" w:eastAsiaTheme="majorEastAsia"/>
                <w:color w:val="000000" w:themeColor="text1"/>
                <w:sz w:val="24"/>
                <w:szCs w:val="24"/>
                <w:highlight w:val="none"/>
                <w:lang w:val="en-US" w:eastAsia="zh-CN"/>
                <w14:textFill>
                  <w14:solidFill>
                    <w14:schemeClr w14:val="tx1"/>
                  </w14:solidFill>
                </w14:textFill>
              </w:rPr>
              <w:t>（1）</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药物性废物</w:t>
            </w:r>
            <w:r>
              <w:rPr>
                <w:rFonts w:hint="eastAsia" w:cs="Times New Roman" w:eastAsiaTheme="majorEastAsia"/>
                <w:color w:val="000000" w:themeColor="text1"/>
                <w:sz w:val="24"/>
                <w:szCs w:val="24"/>
                <w:highlight w:val="none"/>
                <w:lang w:val="en-US" w:eastAsia="zh-CN"/>
                <w14:textFill>
                  <w14:solidFill>
                    <w14:schemeClr w14:val="tx1"/>
                  </w14:solidFill>
                </w14:textFill>
              </w:rPr>
              <w:t>（包括</w:t>
            </w:r>
            <w:r>
              <w:rPr>
                <w:rFonts w:hint="eastAsia" w:cs="Times New Roman"/>
                <w:snapToGrid w:val="0"/>
                <w:color w:val="000000" w:themeColor="text1"/>
                <w:kern w:val="0"/>
                <w:sz w:val="24"/>
                <w:szCs w:val="24"/>
                <w:highlight w:val="none"/>
                <w:lang w:val="en-US" w:eastAsia="zh-CN"/>
                <w14:textFill>
                  <w14:solidFill>
                    <w14:schemeClr w14:val="tx1"/>
                  </w14:solidFill>
                </w14:textFill>
              </w:rPr>
              <w:t>7#分区、10#分区、11#分区</w:t>
            </w:r>
            <w:r>
              <w:rPr>
                <w:rFonts w:hint="eastAsia" w:cs="Times New Roman" w:eastAsiaTheme="majorEastAsia"/>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贮存类别为HW</w:t>
            </w:r>
            <w:r>
              <w:rPr>
                <w:rFonts w:hint="eastAsia" w:cs="Times New Roman" w:eastAsiaTheme="majorEastAsia"/>
                <w:color w:val="000000" w:themeColor="text1"/>
                <w:sz w:val="24"/>
                <w:szCs w:val="24"/>
                <w:highlight w:val="none"/>
                <w:lang w:val="en-US" w:eastAsia="zh-CN"/>
                <w14:textFill>
                  <w14:solidFill>
                    <w14:schemeClr w14:val="tx1"/>
                  </w14:solidFill>
                </w14:textFill>
              </w:rPr>
              <w:t>0</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2医药废物、HW</w:t>
            </w:r>
            <w:r>
              <w:rPr>
                <w:rFonts w:hint="eastAsia" w:cs="Times New Roman" w:eastAsiaTheme="majorEastAsia"/>
                <w:color w:val="000000" w:themeColor="text1"/>
                <w:sz w:val="24"/>
                <w:szCs w:val="24"/>
                <w:highlight w:val="none"/>
                <w:lang w:val="en-US" w:eastAsia="zh-CN"/>
                <w14:textFill>
                  <w14:solidFill>
                    <w14:schemeClr w14:val="tx1"/>
                  </w14:solidFill>
                </w14:textFill>
              </w:rPr>
              <w:t>0</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3废药物、药品</w:t>
            </w:r>
            <w:r>
              <w:rPr>
                <w:rFonts w:hint="eastAsia"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HW04农药废物，此</w:t>
            </w:r>
            <w:r>
              <w:rPr>
                <w:rFonts w:hint="eastAsia" w:cs="Times New Roman" w:eastAsiaTheme="majorEastAsia"/>
                <w:color w:val="000000" w:themeColor="text1"/>
                <w:sz w:val="24"/>
                <w:szCs w:val="24"/>
                <w:highlight w:val="none"/>
                <w:lang w:val="en-US" w:eastAsia="zh-CN"/>
                <w14:textFill>
                  <w14:solidFill>
                    <w14:schemeClr w14:val="tx1"/>
                  </w14:solidFill>
                </w14:textFill>
              </w:rPr>
              <w:t>贮存区</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可能产生挥发性有机物，以非甲烷总烃计，污泥类废物可能会产生恶臭污染物，以NH</w:t>
            </w:r>
            <w:r>
              <w:rPr>
                <w:rFonts w:hint="default" w:ascii="Times New Roman" w:hAnsi="Times New Roman" w:cs="Times New Roman" w:eastAsiaTheme="majorEastAsia"/>
                <w:color w:val="000000" w:themeColor="text1"/>
                <w:sz w:val="24"/>
                <w:szCs w:val="24"/>
                <w:highlight w:val="none"/>
                <w:vertAlign w:val="subscript"/>
                <w:lang w:val="en-US" w:eastAsia="zh-CN"/>
                <w14:textFill>
                  <w14:solidFill>
                    <w14:schemeClr w14:val="tx1"/>
                  </w14:solidFill>
                </w14:textFill>
              </w:rPr>
              <w:t>3</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、H</w:t>
            </w:r>
            <w:r>
              <w:rPr>
                <w:rFonts w:hint="default" w:ascii="Times New Roman" w:hAnsi="Times New Roman" w:cs="Times New Roman" w:eastAsiaTheme="majorEastAsia"/>
                <w:color w:val="000000" w:themeColor="text1"/>
                <w:sz w:val="24"/>
                <w:szCs w:val="24"/>
                <w:highlight w:val="none"/>
                <w:vertAlign w:val="subscript"/>
                <w:lang w:val="en-US" w:eastAsia="zh-CN"/>
                <w14:textFill>
                  <w14:solidFill>
                    <w14:schemeClr w14:val="tx1"/>
                  </w14:solidFill>
                </w14:textFill>
              </w:rPr>
              <w:t>2</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S、臭气浓度计。</w:t>
            </w:r>
          </w:p>
          <w:p w14:paraId="27704E0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480" w:firstLineChars="200"/>
              <w:jc w:val="both"/>
              <w:textAlignment w:val="auto"/>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pPr>
            <w:r>
              <w:rPr>
                <w:rFonts w:hint="eastAsia" w:cs="Times New Roman" w:eastAsiaTheme="majorEastAsia"/>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废有机溶剂与含有机溶剂废物</w:t>
            </w:r>
            <w:r>
              <w:rPr>
                <w:rFonts w:hint="eastAsia" w:cs="Times New Roman" w:eastAsiaTheme="majorEastAsia"/>
                <w:color w:val="000000" w:themeColor="text1"/>
                <w:sz w:val="24"/>
                <w:szCs w:val="24"/>
                <w:highlight w:val="none"/>
                <w:lang w:val="en-US" w:eastAsia="zh-CN"/>
                <w14:textFill>
                  <w14:solidFill>
                    <w14:schemeClr w14:val="tx1"/>
                  </w14:solidFill>
                </w14:textFill>
              </w:rPr>
              <w:t>（包括</w:t>
            </w:r>
            <w:r>
              <w:rPr>
                <w:rFonts w:hint="eastAsia" w:cs="Times New Roman"/>
                <w:snapToGrid w:val="0"/>
                <w:color w:val="000000" w:themeColor="text1"/>
                <w:kern w:val="0"/>
                <w:sz w:val="24"/>
                <w:szCs w:val="24"/>
                <w:highlight w:val="none"/>
                <w:lang w:val="en-US" w:eastAsia="zh-CN"/>
                <w14:textFill>
                  <w14:solidFill>
                    <w14:schemeClr w14:val="tx1"/>
                  </w14:solidFill>
                </w14:textFill>
              </w:rPr>
              <w:t>12#分区</w:t>
            </w:r>
            <w:r>
              <w:rPr>
                <w:rFonts w:hint="eastAsia" w:cs="Times New Roman" w:eastAsiaTheme="majorEastAsia"/>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贮存类别为HW06废有机溶剂与含有机溶剂废物，此</w:t>
            </w:r>
            <w:r>
              <w:rPr>
                <w:rFonts w:hint="eastAsia" w:cs="Times New Roman" w:eastAsiaTheme="majorEastAsia"/>
                <w:color w:val="000000" w:themeColor="text1"/>
                <w:sz w:val="24"/>
                <w:szCs w:val="24"/>
                <w:highlight w:val="none"/>
                <w:lang w:val="en-US" w:eastAsia="zh-CN"/>
                <w14:textFill>
                  <w14:solidFill>
                    <w14:schemeClr w14:val="tx1"/>
                  </w14:solidFill>
                </w14:textFill>
              </w:rPr>
              <w:t>贮存区</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内收集的危险废物类别中均为挥发性有机物，成分复杂，根据《国家危险废物名录》(202</w:t>
            </w:r>
            <w:r>
              <w:rPr>
                <w:rFonts w:hint="eastAsia" w:cs="Times New Roman" w:eastAsiaTheme="majorEastAsia"/>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年版)各类废物中各类废物的成分，考虑有毒有害气体进行分析，此</w:t>
            </w:r>
            <w:r>
              <w:rPr>
                <w:rFonts w:hint="eastAsia" w:cs="Times New Roman" w:eastAsiaTheme="majorEastAsia"/>
                <w:color w:val="000000" w:themeColor="text1"/>
                <w:sz w:val="24"/>
                <w:szCs w:val="24"/>
                <w:highlight w:val="none"/>
                <w:lang w:val="en-US" w:eastAsia="zh-CN"/>
                <w14:textFill>
                  <w14:solidFill>
                    <w14:schemeClr w14:val="tx1"/>
                  </w14:solidFill>
                </w14:textFill>
              </w:rPr>
              <w:t>贮存区</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可能会产生</w:t>
            </w:r>
            <w:r>
              <w:rPr>
                <w:rFonts w:hint="eastAsia" w:cs="Times New Roman" w:eastAsiaTheme="majorEastAsia"/>
                <w:color w:val="000000" w:themeColor="text1"/>
                <w:sz w:val="24"/>
                <w:szCs w:val="24"/>
                <w:highlight w:val="none"/>
                <w:lang w:val="en-US" w:eastAsia="zh-CN"/>
                <w14:textFill>
                  <w14:solidFill>
                    <w14:schemeClr w14:val="tx1"/>
                  </w14:solidFill>
                </w14:textFill>
              </w:rPr>
              <w:t>有机</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废气，</w:t>
            </w:r>
            <w:r>
              <w:rPr>
                <w:rFonts w:hint="eastAsia" w:cs="Times New Roman" w:eastAsiaTheme="majorEastAsia"/>
                <w:color w:val="000000" w:themeColor="text1"/>
                <w:sz w:val="24"/>
                <w:szCs w:val="24"/>
                <w:highlight w:val="none"/>
                <w:lang w:val="en-US" w:eastAsia="zh-CN"/>
                <w14:textFill>
                  <w14:solidFill>
                    <w14:schemeClr w14:val="tx1"/>
                  </w14:solidFill>
                </w14:textFill>
              </w:rPr>
              <w:t>以</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非甲烷总烃计，污泥类废物可能会产生恶臭污染物，以NH</w:t>
            </w:r>
            <w:r>
              <w:rPr>
                <w:rFonts w:hint="default" w:ascii="Times New Roman" w:hAnsi="Times New Roman" w:cs="Times New Roman" w:eastAsiaTheme="majorEastAsia"/>
                <w:color w:val="000000" w:themeColor="text1"/>
                <w:sz w:val="24"/>
                <w:szCs w:val="24"/>
                <w:highlight w:val="none"/>
                <w:vertAlign w:val="subscript"/>
                <w:lang w:val="en-US" w:eastAsia="zh-CN"/>
                <w14:textFill>
                  <w14:solidFill>
                    <w14:schemeClr w14:val="tx1"/>
                  </w14:solidFill>
                </w14:textFill>
              </w:rPr>
              <w:t>3</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、H</w:t>
            </w:r>
            <w:r>
              <w:rPr>
                <w:rFonts w:hint="default" w:ascii="Times New Roman" w:hAnsi="Times New Roman" w:cs="Times New Roman" w:eastAsiaTheme="majorEastAsia"/>
                <w:color w:val="000000" w:themeColor="text1"/>
                <w:sz w:val="24"/>
                <w:szCs w:val="24"/>
                <w:highlight w:val="none"/>
                <w:vertAlign w:val="subscript"/>
                <w:lang w:val="en-US" w:eastAsia="zh-CN"/>
                <w14:textFill>
                  <w14:solidFill>
                    <w14:schemeClr w14:val="tx1"/>
                  </w14:solidFill>
                </w14:textFill>
              </w:rPr>
              <w:t>2</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S、臭气浓度计。</w:t>
            </w:r>
          </w:p>
          <w:p w14:paraId="0C90645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firstLine="480" w:firstLineChars="200"/>
              <w:jc w:val="both"/>
              <w:textAlignment w:val="auto"/>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pPr>
            <w:r>
              <w:rPr>
                <w:rFonts w:hint="eastAsia" w:cs="Times New Roman" w:eastAsiaTheme="majorEastAsia"/>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乳油类废物</w:t>
            </w:r>
            <w:r>
              <w:rPr>
                <w:rFonts w:hint="eastAsia" w:cs="Times New Roman" w:eastAsiaTheme="majorEastAsia"/>
                <w:color w:val="000000" w:themeColor="text1"/>
                <w:sz w:val="24"/>
                <w:szCs w:val="24"/>
                <w:highlight w:val="none"/>
                <w:lang w:val="en-US" w:eastAsia="zh-CN"/>
                <w14:textFill>
                  <w14:solidFill>
                    <w14:schemeClr w14:val="tx1"/>
                  </w14:solidFill>
                </w14:textFill>
              </w:rPr>
              <w:t>（包括</w:t>
            </w:r>
            <w:r>
              <w:rPr>
                <w:rFonts w:hint="eastAsia" w:cs="Times New Roman"/>
                <w:snapToGrid w:val="0"/>
                <w:color w:val="000000" w:themeColor="text1"/>
                <w:kern w:val="0"/>
                <w:sz w:val="24"/>
                <w:szCs w:val="24"/>
                <w:highlight w:val="none"/>
                <w:lang w:val="en-US" w:eastAsia="zh-CN"/>
                <w14:textFill>
                  <w14:solidFill>
                    <w14:schemeClr w14:val="tx1"/>
                  </w14:solidFill>
                </w14:textFill>
              </w:rPr>
              <w:t>1#分区、13#分区</w:t>
            </w:r>
            <w:r>
              <w:rPr>
                <w:rFonts w:hint="eastAsia" w:cs="Times New Roman" w:eastAsiaTheme="majorEastAsia"/>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贮存类别为HW</w:t>
            </w:r>
            <w:r>
              <w:rPr>
                <w:rFonts w:hint="eastAsia" w:cs="Times New Roman" w:eastAsiaTheme="majorEastAsia"/>
                <w:color w:val="000000" w:themeColor="text1"/>
                <w:sz w:val="24"/>
                <w:szCs w:val="24"/>
                <w:highlight w:val="none"/>
                <w:lang w:val="en-US" w:eastAsia="zh-CN"/>
                <w14:textFill>
                  <w14:solidFill>
                    <w14:schemeClr w14:val="tx1"/>
                  </w14:solidFill>
                </w14:textFill>
              </w:rPr>
              <w:t>0</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8类、HW</w:t>
            </w:r>
            <w:r>
              <w:rPr>
                <w:rFonts w:hint="eastAsia" w:cs="Times New Roman" w:eastAsiaTheme="majorEastAsia"/>
                <w:color w:val="000000" w:themeColor="text1"/>
                <w:sz w:val="24"/>
                <w:szCs w:val="24"/>
                <w:highlight w:val="none"/>
                <w:lang w:val="en-US" w:eastAsia="zh-CN"/>
                <w14:textFill>
                  <w14:solidFill>
                    <w14:schemeClr w14:val="tx1"/>
                  </w14:solidFill>
                </w14:textFill>
              </w:rPr>
              <w:t>0</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9类废物，此</w:t>
            </w:r>
            <w:r>
              <w:rPr>
                <w:rFonts w:hint="eastAsia" w:cs="Times New Roman" w:eastAsiaTheme="majorEastAsia"/>
                <w:color w:val="000000" w:themeColor="text1"/>
                <w:sz w:val="24"/>
                <w:szCs w:val="24"/>
                <w:highlight w:val="none"/>
                <w:lang w:val="en-US" w:eastAsia="zh-CN"/>
                <w14:textFill>
                  <w14:solidFill>
                    <w14:schemeClr w14:val="tx1"/>
                  </w14:solidFill>
                </w14:textFill>
              </w:rPr>
              <w:t>贮存区</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可能产生挥发性有机物，以非甲烷总烃计，其中污泥类废物可能会产生恶臭污染物，以NH</w:t>
            </w:r>
            <w:r>
              <w:rPr>
                <w:rFonts w:hint="default" w:ascii="Times New Roman" w:hAnsi="Times New Roman" w:cs="Times New Roman" w:eastAsiaTheme="majorEastAsia"/>
                <w:color w:val="000000" w:themeColor="text1"/>
                <w:sz w:val="24"/>
                <w:szCs w:val="24"/>
                <w:highlight w:val="none"/>
                <w:vertAlign w:val="subscript"/>
                <w:lang w:val="en-US" w:eastAsia="zh-CN"/>
                <w14:textFill>
                  <w14:solidFill>
                    <w14:schemeClr w14:val="tx1"/>
                  </w14:solidFill>
                </w14:textFill>
              </w:rPr>
              <w:t>3</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、H</w:t>
            </w:r>
            <w:r>
              <w:rPr>
                <w:rFonts w:hint="default" w:ascii="Times New Roman" w:hAnsi="Times New Roman" w:cs="Times New Roman" w:eastAsiaTheme="majorEastAsia"/>
                <w:color w:val="000000" w:themeColor="text1"/>
                <w:sz w:val="24"/>
                <w:szCs w:val="24"/>
                <w:highlight w:val="none"/>
                <w:vertAlign w:val="subscript"/>
                <w:lang w:val="en-US" w:eastAsia="zh-CN"/>
                <w14:textFill>
                  <w14:solidFill>
                    <w14:schemeClr w14:val="tx1"/>
                  </w14:solidFill>
                </w14:textFill>
              </w:rPr>
              <w:t>2</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S、臭气浓度计。</w:t>
            </w:r>
          </w:p>
          <w:p w14:paraId="4ADE2F9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firstLine="480" w:firstLineChars="200"/>
              <w:jc w:val="both"/>
              <w:textAlignment w:val="auto"/>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pPr>
            <w:r>
              <w:rPr>
                <w:rFonts w:hint="eastAsia" w:cs="Times New Roman" w:eastAsiaTheme="majorEastAsia"/>
                <w:color w:val="000000" w:themeColor="text1"/>
                <w:sz w:val="24"/>
                <w:szCs w:val="24"/>
                <w:highlight w:val="none"/>
                <w:lang w:val="en-US" w:eastAsia="zh-CN"/>
                <w14:textFill>
                  <w14:solidFill>
                    <w14:schemeClr w14:val="tx1"/>
                  </w14:solidFill>
                </w14:textFill>
              </w:rPr>
              <w:t>（4）</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精(蒸)馏残渣废物</w:t>
            </w:r>
            <w:r>
              <w:rPr>
                <w:rFonts w:hint="eastAsia" w:cs="Times New Roman" w:eastAsiaTheme="majorEastAsia"/>
                <w:color w:val="000000" w:themeColor="text1"/>
                <w:sz w:val="24"/>
                <w:szCs w:val="24"/>
                <w:highlight w:val="none"/>
                <w:lang w:val="en-US" w:eastAsia="zh-CN"/>
                <w14:textFill>
                  <w14:solidFill>
                    <w14:schemeClr w14:val="tx1"/>
                  </w14:solidFill>
                </w14:textFill>
              </w:rPr>
              <w:t>（包括</w:t>
            </w:r>
            <w:r>
              <w:rPr>
                <w:rFonts w:hint="eastAsia" w:cs="Times New Roman"/>
                <w:snapToGrid w:val="0"/>
                <w:color w:val="000000" w:themeColor="text1"/>
                <w:kern w:val="0"/>
                <w:sz w:val="24"/>
                <w:szCs w:val="24"/>
                <w:highlight w:val="none"/>
                <w:lang w:val="en-US" w:eastAsia="zh-CN"/>
                <w14:textFill>
                  <w14:solidFill>
                    <w14:schemeClr w14:val="tx1"/>
                  </w14:solidFill>
                </w14:textFill>
              </w:rPr>
              <w:t>2#分区</w:t>
            </w:r>
            <w:r>
              <w:rPr>
                <w:rFonts w:hint="eastAsia" w:cs="Times New Roman" w:eastAsiaTheme="majorEastAsia"/>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贮存类别为HW11精(蒸)馏残渣，此</w:t>
            </w:r>
            <w:r>
              <w:rPr>
                <w:rFonts w:hint="eastAsia" w:cs="Times New Roman" w:eastAsiaTheme="majorEastAsia"/>
                <w:color w:val="000000" w:themeColor="text1"/>
                <w:sz w:val="24"/>
                <w:szCs w:val="24"/>
                <w:highlight w:val="none"/>
                <w:lang w:val="en-US" w:eastAsia="zh-CN"/>
                <w14:textFill>
                  <w14:solidFill>
                    <w14:schemeClr w14:val="tx1"/>
                  </w14:solidFill>
                </w14:textFill>
              </w:rPr>
              <w:t>贮存区</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可能产生挥发性有机物，以非甲烷总烃计，污泥类废物可能会产生恶臭污染物，以NH</w:t>
            </w:r>
            <w:r>
              <w:rPr>
                <w:rFonts w:hint="default" w:ascii="Times New Roman" w:hAnsi="Times New Roman" w:cs="Times New Roman" w:eastAsiaTheme="majorEastAsia"/>
                <w:color w:val="000000" w:themeColor="text1"/>
                <w:sz w:val="24"/>
                <w:szCs w:val="24"/>
                <w:highlight w:val="none"/>
                <w:vertAlign w:val="subscript"/>
                <w:lang w:val="en-US" w:eastAsia="zh-CN"/>
                <w14:textFill>
                  <w14:solidFill>
                    <w14:schemeClr w14:val="tx1"/>
                  </w14:solidFill>
                </w14:textFill>
              </w:rPr>
              <w:t>3</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、H</w:t>
            </w:r>
            <w:r>
              <w:rPr>
                <w:rFonts w:hint="default" w:ascii="Times New Roman" w:hAnsi="Times New Roman" w:cs="Times New Roman" w:eastAsiaTheme="majorEastAsia"/>
                <w:color w:val="000000" w:themeColor="text1"/>
                <w:sz w:val="24"/>
                <w:szCs w:val="24"/>
                <w:highlight w:val="none"/>
                <w:vertAlign w:val="subscript"/>
                <w:lang w:val="en-US" w:eastAsia="zh-CN"/>
                <w14:textFill>
                  <w14:solidFill>
                    <w14:schemeClr w14:val="tx1"/>
                  </w14:solidFill>
                </w14:textFill>
              </w:rPr>
              <w:t>2</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S、臭气浓度计。</w:t>
            </w:r>
          </w:p>
          <w:p w14:paraId="375F40C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firstLine="480" w:firstLineChars="200"/>
              <w:jc w:val="both"/>
              <w:textAlignment w:val="auto"/>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pPr>
            <w:r>
              <w:rPr>
                <w:rFonts w:hint="eastAsia" w:cs="Times New Roman" w:eastAsiaTheme="majorEastAsia"/>
                <w:color w:val="000000" w:themeColor="text1"/>
                <w:sz w:val="24"/>
                <w:szCs w:val="24"/>
                <w:highlight w:val="none"/>
                <w:lang w:val="en-US" w:eastAsia="zh-CN"/>
                <w14:textFill>
                  <w14:solidFill>
                    <w14:schemeClr w14:val="tx1"/>
                  </w14:solidFill>
                </w14:textFill>
              </w:rPr>
              <w:t>（5）</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涂料树脂类废物</w:t>
            </w:r>
            <w:r>
              <w:rPr>
                <w:rFonts w:hint="eastAsia" w:cs="Times New Roman" w:eastAsiaTheme="majorEastAsia"/>
                <w:color w:val="000000" w:themeColor="text1"/>
                <w:sz w:val="24"/>
                <w:szCs w:val="24"/>
                <w:highlight w:val="none"/>
                <w:lang w:val="en-US" w:eastAsia="zh-CN"/>
                <w14:textFill>
                  <w14:solidFill>
                    <w14:schemeClr w14:val="tx1"/>
                  </w14:solidFill>
                </w14:textFill>
              </w:rPr>
              <w:t>（包括</w:t>
            </w:r>
            <w:r>
              <w:rPr>
                <w:rFonts w:hint="eastAsia" w:cs="Times New Roman"/>
                <w:snapToGrid w:val="0"/>
                <w:color w:val="000000" w:themeColor="text1"/>
                <w:kern w:val="0"/>
                <w:sz w:val="24"/>
                <w:szCs w:val="24"/>
                <w:highlight w:val="none"/>
                <w:lang w:val="en-US" w:eastAsia="zh-CN"/>
                <w14:textFill>
                  <w14:solidFill>
                    <w14:schemeClr w14:val="tx1"/>
                  </w14:solidFill>
                </w14:textFill>
              </w:rPr>
              <w:t>3#分区、4#分区</w:t>
            </w:r>
            <w:r>
              <w:rPr>
                <w:rFonts w:hint="eastAsia" w:cs="Times New Roman" w:eastAsiaTheme="majorEastAsia"/>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贮存类别为HW12染料、涂料废物、HW13有机树脂类废物，此</w:t>
            </w:r>
            <w:r>
              <w:rPr>
                <w:rFonts w:hint="eastAsia" w:cs="Times New Roman" w:eastAsiaTheme="majorEastAsia"/>
                <w:color w:val="000000" w:themeColor="text1"/>
                <w:sz w:val="24"/>
                <w:szCs w:val="24"/>
                <w:highlight w:val="none"/>
                <w:lang w:val="en-US" w:eastAsia="zh-CN"/>
                <w14:textFill>
                  <w14:solidFill>
                    <w14:schemeClr w14:val="tx1"/>
                  </w14:solidFill>
                </w14:textFill>
              </w:rPr>
              <w:t>贮存区</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可能产生挥发性有机物，以非甲烷总烃计，其中污泥类废物可能会产生恶臭污染物，以NH</w:t>
            </w:r>
            <w:r>
              <w:rPr>
                <w:rFonts w:hint="default" w:ascii="Times New Roman" w:hAnsi="Times New Roman" w:cs="Times New Roman" w:eastAsiaTheme="majorEastAsia"/>
                <w:color w:val="000000" w:themeColor="text1"/>
                <w:sz w:val="24"/>
                <w:szCs w:val="24"/>
                <w:highlight w:val="none"/>
                <w:vertAlign w:val="subscript"/>
                <w:lang w:val="en-US" w:eastAsia="zh-CN"/>
                <w14:textFill>
                  <w14:solidFill>
                    <w14:schemeClr w14:val="tx1"/>
                  </w14:solidFill>
                </w14:textFill>
              </w:rPr>
              <w:t>3</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、H</w:t>
            </w:r>
            <w:r>
              <w:rPr>
                <w:rFonts w:hint="default" w:ascii="Times New Roman" w:hAnsi="Times New Roman" w:cs="Times New Roman" w:eastAsiaTheme="majorEastAsia"/>
                <w:color w:val="000000" w:themeColor="text1"/>
                <w:sz w:val="24"/>
                <w:szCs w:val="24"/>
                <w:highlight w:val="none"/>
                <w:vertAlign w:val="subscript"/>
                <w:lang w:val="en-US" w:eastAsia="zh-CN"/>
                <w14:textFill>
                  <w14:solidFill>
                    <w14:schemeClr w14:val="tx1"/>
                  </w14:solidFill>
                </w14:textFill>
              </w:rPr>
              <w:t>2</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S、臭气浓度计。</w:t>
            </w:r>
          </w:p>
          <w:p w14:paraId="200B891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firstLine="480" w:firstLineChars="200"/>
              <w:jc w:val="both"/>
              <w:textAlignment w:val="auto"/>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pPr>
            <w:r>
              <w:rPr>
                <w:rFonts w:hint="eastAsia" w:cs="Times New Roman" w:eastAsiaTheme="majorEastAsia"/>
                <w:color w:val="000000" w:themeColor="text1"/>
                <w:sz w:val="24"/>
                <w:szCs w:val="24"/>
                <w:highlight w:val="none"/>
                <w:lang w:val="en-US" w:eastAsia="zh-CN"/>
                <w14:textFill>
                  <w14:solidFill>
                    <w14:schemeClr w14:val="tx1"/>
                  </w14:solidFill>
                </w14:textFill>
              </w:rPr>
              <w:t>（6）</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感光性废物</w:t>
            </w:r>
            <w:r>
              <w:rPr>
                <w:rFonts w:hint="eastAsia" w:cs="Times New Roman" w:eastAsiaTheme="majorEastAsia"/>
                <w:color w:val="000000" w:themeColor="text1"/>
                <w:sz w:val="24"/>
                <w:szCs w:val="24"/>
                <w:highlight w:val="none"/>
                <w:lang w:val="en-US" w:eastAsia="zh-CN"/>
                <w14:textFill>
                  <w14:solidFill>
                    <w14:schemeClr w14:val="tx1"/>
                  </w14:solidFill>
                </w14:textFill>
              </w:rPr>
              <w:t>区（包括</w:t>
            </w:r>
            <w:r>
              <w:rPr>
                <w:rFonts w:hint="eastAsia" w:cs="Times New Roman"/>
                <w:snapToGrid w:val="0"/>
                <w:color w:val="000000" w:themeColor="text1"/>
                <w:kern w:val="0"/>
                <w:sz w:val="24"/>
                <w:szCs w:val="24"/>
                <w:highlight w:val="none"/>
                <w:lang w:val="en-US" w:eastAsia="zh-CN"/>
                <w14:textFill>
                  <w14:solidFill>
                    <w14:schemeClr w14:val="tx1"/>
                  </w14:solidFill>
                </w14:textFill>
              </w:rPr>
              <w:t>8#分区</w:t>
            </w:r>
            <w:r>
              <w:rPr>
                <w:rFonts w:hint="eastAsia" w:cs="Times New Roman" w:eastAsiaTheme="majorEastAsia"/>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贮存类别为HW16感光性废物，此</w:t>
            </w:r>
            <w:r>
              <w:rPr>
                <w:rFonts w:hint="eastAsia" w:cs="Times New Roman" w:eastAsiaTheme="majorEastAsia"/>
                <w:color w:val="000000" w:themeColor="text1"/>
                <w:sz w:val="24"/>
                <w:szCs w:val="24"/>
                <w:highlight w:val="none"/>
                <w:lang w:val="en-US" w:eastAsia="zh-CN"/>
                <w14:textFill>
                  <w14:solidFill>
                    <w14:schemeClr w14:val="tx1"/>
                  </w14:solidFill>
                </w14:textFill>
              </w:rPr>
              <w:t>贮存区</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可能产生挥发性有机物，以非甲烷总烃计，污泥类废物可能会产生恶臭污染物，以NH</w:t>
            </w:r>
            <w:r>
              <w:rPr>
                <w:rFonts w:hint="default" w:ascii="Times New Roman" w:hAnsi="Times New Roman" w:cs="Times New Roman" w:eastAsiaTheme="majorEastAsia"/>
                <w:color w:val="000000" w:themeColor="text1"/>
                <w:sz w:val="24"/>
                <w:szCs w:val="24"/>
                <w:highlight w:val="none"/>
                <w:vertAlign w:val="subscript"/>
                <w:lang w:val="en-US" w:eastAsia="zh-CN"/>
                <w14:textFill>
                  <w14:solidFill>
                    <w14:schemeClr w14:val="tx1"/>
                  </w14:solidFill>
                </w14:textFill>
              </w:rPr>
              <w:t>3</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、H</w:t>
            </w:r>
            <w:r>
              <w:rPr>
                <w:rFonts w:hint="default" w:ascii="Times New Roman" w:hAnsi="Times New Roman" w:cs="Times New Roman" w:eastAsiaTheme="majorEastAsia"/>
                <w:color w:val="000000" w:themeColor="text1"/>
                <w:sz w:val="24"/>
                <w:szCs w:val="24"/>
                <w:highlight w:val="none"/>
                <w:vertAlign w:val="subscript"/>
                <w:lang w:val="en-US" w:eastAsia="zh-CN"/>
                <w14:textFill>
                  <w14:solidFill>
                    <w14:schemeClr w14:val="tx1"/>
                  </w14:solidFill>
                </w14:textFill>
              </w:rPr>
              <w:t>2</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S、臭气浓度计。</w:t>
            </w:r>
          </w:p>
          <w:p w14:paraId="28823A2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firstLine="480" w:firstLineChars="200"/>
              <w:jc w:val="both"/>
              <w:textAlignment w:val="auto"/>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pPr>
            <w:r>
              <w:rPr>
                <w:rFonts w:hint="eastAsia" w:cs="Times New Roman" w:eastAsiaTheme="majorEastAsia"/>
                <w:color w:val="000000" w:themeColor="text1"/>
                <w:sz w:val="24"/>
                <w:szCs w:val="24"/>
                <w:highlight w:val="none"/>
                <w:lang w:val="en-US" w:eastAsia="zh-CN"/>
                <w14:textFill>
                  <w14:solidFill>
                    <w14:schemeClr w14:val="tx1"/>
                  </w14:solidFill>
                </w14:textFill>
              </w:rPr>
              <w:t>（7）</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表面处理类废物</w:t>
            </w:r>
            <w:r>
              <w:rPr>
                <w:rFonts w:hint="eastAsia" w:cs="Times New Roman" w:eastAsiaTheme="majorEastAsia"/>
                <w:color w:val="000000" w:themeColor="text1"/>
                <w:sz w:val="24"/>
                <w:szCs w:val="24"/>
                <w:highlight w:val="none"/>
                <w:lang w:val="en-US" w:eastAsia="zh-CN"/>
                <w14:textFill>
                  <w14:solidFill>
                    <w14:schemeClr w14:val="tx1"/>
                  </w14:solidFill>
                </w14:textFill>
              </w:rPr>
              <w:t>（包括</w:t>
            </w:r>
            <w:r>
              <w:rPr>
                <w:rFonts w:hint="eastAsia" w:cs="Times New Roman"/>
                <w:snapToGrid w:val="0"/>
                <w:color w:val="000000" w:themeColor="text1"/>
                <w:kern w:val="0"/>
                <w:sz w:val="24"/>
                <w:szCs w:val="24"/>
                <w:highlight w:val="none"/>
                <w:lang w:val="en-US" w:eastAsia="zh-CN"/>
                <w14:textFill>
                  <w14:solidFill>
                    <w14:schemeClr w14:val="tx1"/>
                  </w14:solidFill>
                </w14:textFill>
              </w:rPr>
              <w:t>14#分区</w:t>
            </w:r>
            <w:r>
              <w:rPr>
                <w:rFonts w:hint="eastAsia" w:cs="Times New Roman" w:eastAsiaTheme="majorEastAsia"/>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贮存类别为HW17表面处理废物，此</w:t>
            </w:r>
            <w:r>
              <w:rPr>
                <w:rFonts w:hint="eastAsia" w:cs="Times New Roman" w:eastAsiaTheme="majorEastAsia"/>
                <w:color w:val="000000" w:themeColor="text1"/>
                <w:sz w:val="24"/>
                <w:szCs w:val="24"/>
                <w:highlight w:val="none"/>
                <w:lang w:val="en-US" w:eastAsia="zh-CN"/>
                <w14:textFill>
                  <w14:solidFill>
                    <w14:schemeClr w14:val="tx1"/>
                  </w14:solidFill>
                </w14:textFill>
              </w:rPr>
              <w:t>贮存区</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主要贮存污泥类废物</w:t>
            </w:r>
            <w:r>
              <w:rPr>
                <w:rFonts w:hint="eastAsia" w:cs="Times New Roman" w:eastAsiaTheme="majorEastAsia"/>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主要污染物为恶臭污染物以NH</w:t>
            </w:r>
            <w:r>
              <w:rPr>
                <w:rFonts w:hint="default" w:ascii="Times New Roman" w:hAnsi="Times New Roman" w:cs="Times New Roman" w:eastAsiaTheme="majorEastAsia"/>
                <w:color w:val="000000" w:themeColor="text1"/>
                <w:sz w:val="24"/>
                <w:szCs w:val="24"/>
                <w:highlight w:val="none"/>
                <w:vertAlign w:val="subscript"/>
                <w:lang w:val="en-US" w:eastAsia="zh-CN"/>
                <w14:textFill>
                  <w14:solidFill>
                    <w14:schemeClr w14:val="tx1"/>
                  </w14:solidFill>
                </w14:textFill>
              </w:rPr>
              <w:t>3</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、H</w:t>
            </w:r>
            <w:r>
              <w:rPr>
                <w:rFonts w:hint="default" w:ascii="Times New Roman" w:hAnsi="Times New Roman" w:cs="Times New Roman" w:eastAsiaTheme="majorEastAsia"/>
                <w:color w:val="000000" w:themeColor="text1"/>
                <w:sz w:val="24"/>
                <w:szCs w:val="24"/>
                <w:highlight w:val="none"/>
                <w:vertAlign w:val="subscript"/>
                <w:lang w:val="en-US" w:eastAsia="zh-CN"/>
                <w14:textFill>
                  <w14:solidFill>
                    <w14:schemeClr w14:val="tx1"/>
                  </w14:solidFill>
                </w14:textFill>
              </w:rPr>
              <w:t>2</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S、臭气浓度计，以及可能产生挥发性有机物，以非甲烷总烃计。</w:t>
            </w:r>
          </w:p>
          <w:p w14:paraId="687002A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firstLine="480" w:firstLineChars="200"/>
              <w:jc w:val="both"/>
              <w:textAlignment w:val="auto"/>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pPr>
            <w:r>
              <w:rPr>
                <w:rFonts w:hint="eastAsia" w:cs="Times New Roman" w:eastAsiaTheme="majorEastAsia"/>
                <w:color w:val="000000" w:themeColor="text1"/>
                <w:sz w:val="24"/>
                <w:szCs w:val="24"/>
                <w:highlight w:val="none"/>
                <w:lang w:val="en-US" w:eastAsia="zh-CN"/>
                <w14:textFill>
                  <w14:solidFill>
                    <w14:schemeClr w14:val="tx1"/>
                  </w14:solidFill>
                </w14:textFill>
              </w:rPr>
              <w:t>（8）</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焚烧处置残渣废物</w:t>
            </w:r>
            <w:r>
              <w:rPr>
                <w:rFonts w:hint="eastAsia" w:cs="Times New Roman" w:eastAsiaTheme="majorEastAsia"/>
                <w:color w:val="000000" w:themeColor="text1"/>
                <w:sz w:val="24"/>
                <w:szCs w:val="24"/>
                <w:highlight w:val="none"/>
                <w:lang w:val="en-US" w:eastAsia="zh-CN"/>
                <w14:textFill>
                  <w14:solidFill>
                    <w14:schemeClr w14:val="tx1"/>
                  </w14:solidFill>
                </w14:textFill>
              </w:rPr>
              <w:t>（包括</w:t>
            </w:r>
            <w:r>
              <w:rPr>
                <w:rFonts w:hint="eastAsia" w:cs="Times New Roman"/>
                <w:snapToGrid w:val="0"/>
                <w:color w:val="000000" w:themeColor="text1"/>
                <w:kern w:val="0"/>
                <w:sz w:val="24"/>
                <w:szCs w:val="24"/>
                <w:highlight w:val="none"/>
                <w:lang w:val="en-US" w:eastAsia="zh-CN"/>
                <w14:textFill>
                  <w14:solidFill>
                    <w14:schemeClr w14:val="tx1"/>
                  </w14:solidFill>
                </w14:textFill>
              </w:rPr>
              <w:t>20#分区</w:t>
            </w:r>
            <w:r>
              <w:rPr>
                <w:rFonts w:hint="eastAsia" w:cs="Times New Roman" w:eastAsiaTheme="majorEastAsia"/>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贮存类别为HW18焚烧处置残渣废物，此</w:t>
            </w:r>
            <w:r>
              <w:rPr>
                <w:rFonts w:hint="eastAsia" w:cs="Times New Roman" w:eastAsiaTheme="majorEastAsia"/>
                <w:color w:val="000000" w:themeColor="text1"/>
                <w:sz w:val="24"/>
                <w:szCs w:val="24"/>
                <w:highlight w:val="none"/>
                <w:lang w:val="en-US" w:eastAsia="zh-CN"/>
                <w14:textFill>
                  <w14:solidFill>
                    <w14:schemeClr w14:val="tx1"/>
                  </w14:solidFill>
                </w14:textFill>
              </w:rPr>
              <w:t>贮存区</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可能产生恶臭污染物以NH</w:t>
            </w:r>
            <w:r>
              <w:rPr>
                <w:rFonts w:hint="default" w:ascii="Times New Roman" w:hAnsi="Times New Roman" w:cs="Times New Roman" w:eastAsiaTheme="majorEastAsia"/>
                <w:color w:val="000000" w:themeColor="text1"/>
                <w:sz w:val="24"/>
                <w:szCs w:val="24"/>
                <w:highlight w:val="none"/>
                <w:vertAlign w:val="subscript"/>
                <w:lang w:val="en-US" w:eastAsia="zh-CN"/>
                <w14:textFill>
                  <w14:solidFill>
                    <w14:schemeClr w14:val="tx1"/>
                  </w14:solidFill>
                </w14:textFill>
              </w:rPr>
              <w:t>3</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、H</w:t>
            </w:r>
            <w:r>
              <w:rPr>
                <w:rFonts w:hint="default" w:ascii="Times New Roman" w:hAnsi="Times New Roman" w:cs="Times New Roman" w:eastAsiaTheme="majorEastAsia"/>
                <w:color w:val="000000" w:themeColor="text1"/>
                <w:sz w:val="24"/>
                <w:szCs w:val="24"/>
                <w:highlight w:val="none"/>
                <w:vertAlign w:val="subscript"/>
                <w:lang w:val="en-US" w:eastAsia="zh-CN"/>
                <w14:textFill>
                  <w14:solidFill>
                    <w14:schemeClr w14:val="tx1"/>
                  </w14:solidFill>
                </w14:textFill>
              </w:rPr>
              <w:t>2</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S、臭气浓度计。</w:t>
            </w:r>
          </w:p>
          <w:p w14:paraId="2D2BE4D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firstLine="480" w:firstLineChars="200"/>
              <w:jc w:val="both"/>
              <w:textAlignment w:val="auto"/>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pPr>
            <w:r>
              <w:rPr>
                <w:rFonts w:hint="eastAsia" w:cs="Times New Roman" w:eastAsiaTheme="majorEastAsia"/>
                <w:color w:val="000000" w:themeColor="text1"/>
                <w:sz w:val="24"/>
                <w:szCs w:val="24"/>
                <w:highlight w:val="none"/>
                <w:lang w:val="en-US" w:eastAsia="zh-CN"/>
                <w14:textFill>
                  <w14:solidFill>
                    <w14:schemeClr w14:val="tx1"/>
                  </w14:solidFill>
                </w14:textFill>
              </w:rPr>
              <w:t>（9）</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含金属类废物</w:t>
            </w:r>
            <w:r>
              <w:rPr>
                <w:rFonts w:hint="eastAsia" w:cs="Times New Roman" w:eastAsiaTheme="majorEastAsia"/>
                <w:color w:val="000000" w:themeColor="text1"/>
                <w:sz w:val="24"/>
                <w:szCs w:val="24"/>
                <w:highlight w:val="none"/>
                <w:lang w:val="en-US" w:eastAsia="zh-CN"/>
                <w14:textFill>
                  <w14:solidFill>
                    <w14:schemeClr w14:val="tx1"/>
                  </w14:solidFill>
                </w14:textFill>
              </w:rPr>
              <w:t>（包括</w:t>
            </w:r>
            <w:r>
              <w:rPr>
                <w:rFonts w:hint="eastAsia" w:cs="Times New Roman"/>
                <w:snapToGrid w:val="0"/>
                <w:color w:val="000000" w:themeColor="text1"/>
                <w:kern w:val="0"/>
                <w:sz w:val="24"/>
                <w:szCs w:val="24"/>
                <w:highlight w:val="none"/>
                <w:lang w:val="en-US" w:eastAsia="zh-CN"/>
                <w14:textFill>
                  <w14:solidFill>
                    <w14:schemeClr w14:val="tx1"/>
                  </w14:solidFill>
                </w14:textFill>
              </w:rPr>
              <w:t>5#分区、9#分区</w:t>
            </w:r>
            <w:r>
              <w:rPr>
                <w:rFonts w:hint="eastAsia" w:cs="Times New Roman" w:eastAsiaTheme="majorEastAsia"/>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贮存类别为HW29含汞废物、HW31</w:t>
            </w:r>
            <w:r>
              <w:rPr>
                <w:rFonts w:hint="eastAsia" w:cs="Times New Roman"/>
                <w:snapToGrid w:val="0"/>
                <w:color w:val="000000" w:themeColor="text1"/>
                <w:kern w:val="0"/>
                <w:sz w:val="24"/>
                <w:szCs w:val="24"/>
                <w:highlight w:val="none"/>
                <w:vertAlign w:val="baseline"/>
                <w:lang w:val="en-US" w:eastAsia="zh-CN"/>
                <w14:textFill>
                  <w14:solidFill>
                    <w14:schemeClr w14:val="tx1"/>
                  </w14:solidFill>
                </w14:textFill>
              </w:rPr>
              <w:t>含铅废物</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，此</w:t>
            </w:r>
            <w:r>
              <w:rPr>
                <w:rFonts w:hint="eastAsia" w:cs="Times New Roman" w:eastAsiaTheme="majorEastAsia"/>
                <w:color w:val="000000" w:themeColor="text1"/>
                <w:sz w:val="24"/>
                <w:szCs w:val="24"/>
                <w:highlight w:val="none"/>
                <w:lang w:val="en-US" w:eastAsia="zh-CN"/>
                <w14:textFill>
                  <w14:solidFill>
                    <w14:schemeClr w14:val="tx1"/>
                  </w14:solidFill>
                </w14:textFill>
              </w:rPr>
              <w:t>贮存区</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主要贮存污泥类废物主要污染物为恶臭污染物以NH</w:t>
            </w:r>
            <w:r>
              <w:rPr>
                <w:rFonts w:hint="default" w:ascii="Times New Roman" w:hAnsi="Times New Roman" w:cs="Times New Roman" w:eastAsiaTheme="majorEastAsia"/>
                <w:color w:val="000000" w:themeColor="text1"/>
                <w:sz w:val="24"/>
                <w:szCs w:val="24"/>
                <w:highlight w:val="none"/>
                <w:vertAlign w:val="subscript"/>
                <w:lang w:val="en-US" w:eastAsia="zh-CN"/>
                <w14:textFill>
                  <w14:solidFill>
                    <w14:schemeClr w14:val="tx1"/>
                  </w14:solidFill>
                </w14:textFill>
              </w:rPr>
              <w:t>3</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、H</w:t>
            </w:r>
            <w:r>
              <w:rPr>
                <w:rFonts w:hint="default" w:ascii="Times New Roman" w:hAnsi="Times New Roman" w:cs="Times New Roman" w:eastAsiaTheme="majorEastAsia"/>
                <w:color w:val="000000" w:themeColor="text1"/>
                <w:sz w:val="24"/>
                <w:szCs w:val="24"/>
                <w:highlight w:val="none"/>
                <w:vertAlign w:val="subscript"/>
                <w:lang w:val="en-US" w:eastAsia="zh-CN"/>
                <w14:textFill>
                  <w14:solidFill>
                    <w14:schemeClr w14:val="tx1"/>
                  </w14:solidFill>
                </w14:textFill>
              </w:rPr>
              <w:t>2</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S、臭气浓度计。HW31</w:t>
            </w:r>
            <w:r>
              <w:rPr>
                <w:rFonts w:hint="eastAsia" w:cs="Times New Roman"/>
                <w:snapToGrid w:val="0"/>
                <w:color w:val="000000" w:themeColor="text1"/>
                <w:kern w:val="0"/>
                <w:sz w:val="24"/>
                <w:szCs w:val="24"/>
                <w:highlight w:val="none"/>
                <w:vertAlign w:val="baseline"/>
                <w:lang w:val="en-US" w:eastAsia="zh-CN"/>
                <w14:textFill>
                  <w14:solidFill>
                    <w14:schemeClr w14:val="tx1"/>
                  </w14:solidFill>
                </w14:textFill>
              </w:rPr>
              <w:t>含铅废物</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(废铅蓄电池)类危险废物</w:t>
            </w:r>
            <w:r>
              <w:rPr>
                <w:rFonts w:hint="eastAsia" w:cs="Times New Roman" w:eastAsiaTheme="majorEastAsia"/>
                <w:color w:val="000000" w:themeColor="text1"/>
                <w:sz w:val="24"/>
                <w:szCs w:val="24"/>
                <w:highlight w:val="none"/>
                <w:lang w:val="en-US" w:eastAsia="zh-CN"/>
                <w14:textFill>
                  <w14:solidFill>
                    <w14:schemeClr w14:val="tx1"/>
                  </w14:solidFill>
                </w14:textFill>
              </w:rPr>
              <w:t>在</w:t>
            </w:r>
            <w:r>
              <w:rPr>
                <w:rFonts w:hint="eastAsia" w:cs="Times New Roman"/>
                <w:snapToGrid w:val="0"/>
                <w:color w:val="000000" w:themeColor="text1"/>
                <w:kern w:val="0"/>
                <w:sz w:val="24"/>
                <w:szCs w:val="24"/>
                <w:highlight w:val="none"/>
                <w:lang w:val="en-US" w:eastAsia="zh-CN"/>
                <w14:textFill>
                  <w14:solidFill>
                    <w14:schemeClr w14:val="tx1"/>
                  </w14:solidFill>
                </w14:textFill>
              </w:rPr>
              <w:t>5#分区单独储存</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w:t>
            </w:r>
          </w:p>
          <w:p w14:paraId="4245D4F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firstLine="480" w:firstLineChars="200"/>
              <w:jc w:val="both"/>
              <w:textAlignment w:val="auto"/>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pPr>
            <w:r>
              <w:rPr>
                <w:rFonts w:hint="eastAsia" w:cs="Times New Roman" w:eastAsiaTheme="majorEastAsia"/>
                <w:color w:val="000000" w:themeColor="text1"/>
                <w:sz w:val="24"/>
                <w:szCs w:val="24"/>
                <w:highlight w:val="none"/>
                <w:lang w:val="en-US" w:eastAsia="zh-CN"/>
                <w14:textFill>
                  <w14:solidFill>
                    <w14:schemeClr w14:val="tx1"/>
                  </w14:solidFill>
                </w14:textFill>
              </w:rPr>
              <w:t>（10）</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废酸类废物</w:t>
            </w:r>
            <w:r>
              <w:rPr>
                <w:rFonts w:hint="eastAsia" w:cs="Times New Roman" w:eastAsiaTheme="majorEastAsia"/>
                <w:color w:val="000000" w:themeColor="text1"/>
                <w:sz w:val="24"/>
                <w:szCs w:val="24"/>
                <w:highlight w:val="none"/>
                <w:lang w:val="en-US" w:eastAsia="zh-CN"/>
                <w14:textFill>
                  <w14:solidFill>
                    <w14:schemeClr w14:val="tx1"/>
                  </w14:solidFill>
                </w14:textFill>
              </w:rPr>
              <w:t>（包括15</w:t>
            </w:r>
            <w:r>
              <w:rPr>
                <w:rFonts w:hint="eastAsia" w:cs="Times New Roman"/>
                <w:snapToGrid w:val="0"/>
                <w:color w:val="000000" w:themeColor="text1"/>
                <w:kern w:val="0"/>
                <w:sz w:val="24"/>
                <w:szCs w:val="24"/>
                <w:highlight w:val="none"/>
                <w:lang w:val="en-US" w:eastAsia="zh-CN"/>
                <w14:textFill>
                  <w14:solidFill>
                    <w14:schemeClr w14:val="tx1"/>
                  </w14:solidFill>
                </w14:textFill>
              </w:rPr>
              <w:t>#分区</w:t>
            </w:r>
            <w:r>
              <w:rPr>
                <w:rFonts w:hint="eastAsia" w:cs="Times New Roman" w:eastAsiaTheme="majorEastAsia"/>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贮存类别为HW34废酸类废物，此贮存间会产生酸雾，</w:t>
            </w:r>
            <w:r>
              <w:rPr>
                <w:rFonts w:hint="eastAsia" w:cs="Times New Roman" w:eastAsiaTheme="majorEastAsia"/>
                <w:color w:val="000000" w:themeColor="text1"/>
                <w:sz w:val="24"/>
                <w:szCs w:val="24"/>
                <w:highlight w:val="none"/>
                <w:lang w:val="en-US" w:eastAsia="zh-CN"/>
                <w14:textFill>
                  <w14:solidFill>
                    <w14:schemeClr w14:val="tx1"/>
                  </w14:solidFill>
                </w14:textFill>
              </w:rPr>
              <w:t>主要</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以HCI计。</w:t>
            </w:r>
          </w:p>
          <w:p w14:paraId="70A6363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firstLine="480" w:firstLineChars="200"/>
              <w:jc w:val="both"/>
              <w:textAlignment w:val="auto"/>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pPr>
            <w:r>
              <w:rPr>
                <w:rFonts w:hint="eastAsia" w:cs="Times New Roman" w:eastAsiaTheme="majorEastAsia"/>
                <w:color w:val="000000" w:themeColor="text1"/>
                <w:sz w:val="24"/>
                <w:szCs w:val="24"/>
                <w:highlight w:val="none"/>
                <w:lang w:val="en-US" w:eastAsia="zh-CN"/>
                <w14:textFill>
                  <w14:solidFill>
                    <w14:schemeClr w14:val="tx1"/>
                  </w14:solidFill>
                </w14:textFill>
              </w:rPr>
              <w:t>（11）</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废碱类废物</w:t>
            </w:r>
            <w:r>
              <w:rPr>
                <w:rFonts w:hint="eastAsia" w:cs="Times New Roman" w:eastAsiaTheme="majorEastAsia"/>
                <w:color w:val="000000" w:themeColor="text1"/>
                <w:sz w:val="24"/>
                <w:szCs w:val="24"/>
                <w:highlight w:val="none"/>
                <w:lang w:val="en-US" w:eastAsia="zh-CN"/>
                <w14:textFill>
                  <w14:solidFill>
                    <w14:schemeClr w14:val="tx1"/>
                  </w14:solidFill>
                </w14:textFill>
              </w:rPr>
              <w:t>（包括</w:t>
            </w:r>
            <w:r>
              <w:rPr>
                <w:rFonts w:hint="eastAsia" w:cs="Times New Roman"/>
                <w:snapToGrid w:val="0"/>
                <w:color w:val="000000" w:themeColor="text1"/>
                <w:kern w:val="0"/>
                <w:sz w:val="24"/>
                <w:szCs w:val="24"/>
                <w:highlight w:val="none"/>
                <w:lang w:val="en-US" w:eastAsia="zh-CN"/>
                <w14:textFill>
                  <w14:solidFill>
                    <w14:schemeClr w14:val="tx1"/>
                  </w14:solidFill>
                </w14:textFill>
              </w:rPr>
              <w:t>6#分区</w:t>
            </w:r>
            <w:r>
              <w:rPr>
                <w:rFonts w:hint="eastAsia" w:cs="Times New Roman" w:eastAsiaTheme="majorEastAsia"/>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贮存类别为HW35废碱危险废物，可能产生的挥发性气体为氨气。</w:t>
            </w:r>
          </w:p>
          <w:p w14:paraId="483975E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firstLine="480" w:firstLineChars="200"/>
              <w:jc w:val="both"/>
              <w:textAlignment w:val="auto"/>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pPr>
            <w:r>
              <w:rPr>
                <w:rFonts w:hint="eastAsia" w:cs="Times New Roman" w:eastAsiaTheme="majorEastAsia"/>
                <w:color w:val="000000" w:themeColor="text1"/>
                <w:sz w:val="24"/>
                <w:szCs w:val="24"/>
                <w:highlight w:val="none"/>
                <w:lang w:val="en-US" w:eastAsia="zh-CN"/>
                <w14:textFill>
                  <w14:solidFill>
                    <w14:schemeClr w14:val="tx1"/>
                  </w14:solidFill>
                </w14:textFill>
              </w:rPr>
              <w:t>（12）</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重金属类废物</w:t>
            </w:r>
            <w:r>
              <w:rPr>
                <w:rFonts w:hint="eastAsia" w:cs="Times New Roman" w:eastAsiaTheme="majorEastAsia"/>
                <w:color w:val="000000" w:themeColor="text1"/>
                <w:sz w:val="24"/>
                <w:szCs w:val="24"/>
                <w:highlight w:val="none"/>
                <w:lang w:val="en-US" w:eastAsia="zh-CN"/>
                <w14:textFill>
                  <w14:solidFill>
                    <w14:schemeClr w14:val="tx1"/>
                  </w14:solidFill>
                </w14:textFill>
              </w:rPr>
              <w:t>（包括1</w:t>
            </w:r>
            <w:r>
              <w:rPr>
                <w:rFonts w:hint="eastAsia" w:cs="Times New Roman"/>
                <w:snapToGrid w:val="0"/>
                <w:color w:val="000000" w:themeColor="text1"/>
                <w:kern w:val="0"/>
                <w:sz w:val="24"/>
                <w:szCs w:val="24"/>
                <w:highlight w:val="none"/>
                <w:lang w:val="en-US" w:eastAsia="zh-CN"/>
                <w14:textFill>
                  <w14:solidFill>
                    <w14:schemeClr w14:val="tx1"/>
                  </w14:solidFill>
                </w14:textFill>
              </w:rPr>
              <w:t>7#分区</w:t>
            </w:r>
            <w:r>
              <w:rPr>
                <w:rFonts w:hint="eastAsia" w:cs="Times New Roman" w:eastAsiaTheme="majorEastAsia"/>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贮存类别为HW48有色金属采选和冶炼废物，污泥类废物可能会产生恶臭污染物，以NH</w:t>
            </w:r>
            <w:r>
              <w:rPr>
                <w:rFonts w:hint="eastAsia" w:cs="Times New Roman" w:eastAsiaTheme="majorEastAsia"/>
                <w:color w:val="000000" w:themeColor="text1"/>
                <w:sz w:val="24"/>
                <w:szCs w:val="24"/>
                <w:highlight w:val="none"/>
                <w:vertAlign w:val="subscript"/>
                <w:lang w:val="en-US" w:eastAsia="zh-CN"/>
                <w14:textFill>
                  <w14:solidFill>
                    <w14:schemeClr w14:val="tx1"/>
                  </w14:solidFill>
                </w14:textFill>
              </w:rPr>
              <w:t>3</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、H</w:t>
            </w:r>
            <w:r>
              <w:rPr>
                <w:rFonts w:hint="default" w:ascii="Times New Roman" w:hAnsi="Times New Roman" w:cs="Times New Roman" w:eastAsiaTheme="majorEastAsia"/>
                <w:color w:val="000000" w:themeColor="text1"/>
                <w:sz w:val="24"/>
                <w:szCs w:val="24"/>
                <w:highlight w:val="none"/>
                <w:vertAlign w:val="subscript"/>
                <w:lang w:val="en-US" w:eastAsia="zh-CN"/>
                <w14:textFill>
                  <w14:solidFill>
                    <w14:schemeClr w14:val="tx1"/>
                  </w14:solidFill>
                </w14:textFill>
              </w:rPr>
              <w:t>2</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S、臭气浓度计。</w:t>
            </w:r>
          </w:p>
          <w:p w14:paraId="7BD43CA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firstLine="480" w:firstLineChars="200"/>
              <w:jc w:val="both"/>
              <w:textAlignment w:val="auto"/>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pPr>
            <w:r>
              <w:rPr>
                <w:rFonts w:hint="eastAsia" w:cs="Times New Roman" w:eastAsiaTheme="majorEastAsia"/>
                <w:color w:val="000000" w:themeColor="text1"/>
                <w:sz w:val="24"/>
                <w:szCs w:val="24"/>
                <w:highlight w:val="none"/>
                <w:lang w:val="en-US" w:eastAsia="zh-CN"/>
                <w14:textFill>
                  <w14:solidFill>
                    <w14:schemeClr w14:val="tx1"/>
                  </w14:solidFill>
                </w14:textFill>
              </w:rPr>
              <w:t>（13）</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其他类废物</w:t>
            </w:r>
            <w:r>
              <w:rPr>
                <w:rFonts w:hint="eastAsia" w:cs="Times New Roman" w:eastAsiaTheme="majorEastAsia"/>
                <w:color w:val="000000" w:themeColor="text1"/>
                <w:sz w:val="24"/>
                <w:szCs w:val="24"/>
                <w:highlight w:val="none"/>
                <w:lang w:val="en-US" w:eastAsia="zh-CN"/>
                <w14:textFill>
                  <w14:solidFill>
                    <w14:schemeClr w14:val="tx1"/>
                  </w14:solidFill>
                </w14:textFill>
              </w:rPr>
              <w:t>（包括18</w:t>
            </w:r>
            <w:r>
              <w:rPr>
                <w:rFonts w:hint="eastAsia" w:cs="Times New Roman"/>
                <w:snapToGrid w:val="0"/>
                <w:color w:val="000000" w:themeColor="text1"/>
                <w:kern w:val="0"/>
                <w:sz w:val="24"/>
                <w:szCs w:val="24"/>
                <w:highlight w:val="none"/>
                <w:lang w:val="en-US" w:eastAsia="zh-CN"/>
                <w14:textFill>
                  <w14:solidFill>
                    <w14:schemeClr w14:val="tx1"/>
                  </w14:solidFill>
                </w14:textFill>
              </w:rPr>
              <w:t>#分区、</w:t>
            </w:r>
            <w:r>
              <w:rPr>
                <w:rFonts w:hint="eastAsia" w:cs="Times New Roman" w:eastAsiaTheme="majorEastAsia"/>
                <w:color w:val="000000" w:themeColor="text1"/>
                <w:sz w:val="24"/>
                <w:szCs w:val="24"/>
                <w:highlight w:val="none"/>
                <w:lang w:val="en-US" w:eastAsia="zh-CN"/>
                <w14:textFill>
                  <w14:solidFill>
                    <w14:schemeClr w14:val="tx1"/>
                  </w14:solidFill>
                </w14:textFill>
              </w:rPr>
              <w:t>19</w:t>
            </w:r>
            <w:r>
              <w:rPr>
                <w:rFonts w:hint="eastAsia" w:cs="Times New Roman"/>
                <w:snapToGrid w:val="0"/>
                <w:color w:val="000000" w:themeColor="text1"/>
                <w:kern w:val="0"/>
                <w:sz w:val="24"/>
                <w:szCs w:val="24"/>
                <w:highlight w:val="none"/>
                <w:lang w:val="en-US" w:eastAsia="zh-CN"/>
                <w14:textFill>
                  <w14:solidFill>
                    <w14:schemeClr w14:val="tx1"/>
                  </w14:solidFill>
                </w14:textFill>
              </w:rPr>
              <w:t>#分区</w:t>
            </w:r>
            <w:r>
              <w:rPr>
                <w:rFonts w:hint="eastAsia" w:cs="Times New Roman" w:eastAsiaTheme="majorEastAsia"/>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贮存类别为</w:t>
            </w:r>
            <w:r>
              <w:rPr>
                <w:rFonts w:hint="default" w:ascii="Times New Roman" w:hAnsi="Times New Roman" w:eastAsia="宋体" w:cs="Times New Roman"/>
                <w:snapToGrid w:val="0"/>
                <w:color w:val="000000" w:themeColor="text1"/>
                <w:kern w:val="0"/>
                <w:sz w:val="24"/>
                <w:szCs w:val="24"/>
                <w:highlight w:val="none"/>
                <w:vertAlign w:val="baseline"/>
                <w:lang w:val="en-US" w:eastAsia="zh-CN"/>
                <w14:textFill>
                  <w14:solidFill>
                    <w14:schemeClr w14:val="tx1"/>
                  </w14:solidFill>
                </w14:textFill>
              </w:rPr>
              <w:t>HW49其他废物</w:t>
            </w:r>
            <w:r>
              <w:rPr>
                <w:rFonts w:hint="eastAsia" w:cs="Times New Roman"/>
                <w:snapToGrid w:val="0"/>
                <w:color w:val="000000" w:themeColor="text1"/>
                <w:kern w:val="0"/>
                <w:sz w:val="24"/>
                <w:szCs w:val="24"/>
                <w:highlight w:val="none"/>
                <w:vertAlign w:val="baseline"/>
                <w:lang w:val="en-US" w:eastAsia="zh-CN"/>
                <w14:textFill>
                  <w14:solidFill>
                    <w14:schemeClr w14:val="tx1"/>
                  </w14:solidFill>
                </w14:textFill>
              </w:rPr>
              <w:t>、</w:t>
            </w:r>
            <w:r>
              <w:rPr>
                <w:rFonts w:hint="default" w:ascii="Times New Roman" w:hAnsi="Times New Roman" w:eastAsia="宋体" w:cs="Times New Roman"/>
                <w:snapToGrid w:val="0"/>
                <w:color w:val="000000" w:themeColor="text1"/>
                <w:kern w:val="0"/>
                <w:sz w:val="24"/>
                <w:szCs w:val="24"/>
                <w:highlight w:val="none"/>
                <w:vertAlign w:val="baseline"/>
                <w:lang w:val="en-US" w:eastAsia="zh-CN"/>
                <w14:textFill>
                  <w14:solidFill>
                    <w14:schemeClr w14:val="tx1"/>
                  </w14:solidFill>
                </w14:textFill>
              </w:rPr>
              <w:t>HW50废催化剂</w:t>
            </w:r>
            <w:r>
              <w:rPr>
                <w:rFonts w:hint="eastAsia" w:cs="Times New Roman"/>
                <w:snapToGrid w:val="0"/>
                <w:color w:val="000000" w:themeColor="text1"/>
                <w:kern w:val="0"/>
                <w:sz w:val="24"/>
                <w:szCs w:val="24"/>
                <w:highlight w:val="none"/>
                <w:vertAlign w:val="baseline"/>
                <w:lang w:val="en-US" w:eastAsia="zh-CN"/>
                <w14:textFill>
                  <w14:solidFill>
                    <w14:schemeClr w14:val="tx1"/>
                  </w14:solidFill>
                </w14:textFill>
              </w:rPr>
              <w:t>，</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污泥类废物可能会产生恶臭污染物，以NH</w:t>
            </w:r>
            <w:r>
              <w:rPr>
                <w:rFonts w:hint="default" w:ascii="Times New Roman" w:hAnsi="Times New Roman" w:cs="Times New Roman" w:eastAsiaTheme="majorEastAsia"/>
                <w:color w:val="000000" w:themeColor="text1"/>
                <w:sz w:val="24"/>
                <w:szCs w:val="24"/>
                <w:highlight w:val="none"/>
                <w:vertAlign w:val="subscript"/>
                <w:lang w:val="en-US" w:eastAsia="zh-CN"/>
                <w14:textFill>
                  <w14:solidFill>
                    <w14:schemeClr w14:val="tx1"/>
                  </w14:solidFill>
                </w14:textFill>
              </w:rPr>
              <w:t>3</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、H</w:t>
            </w:r>
            <w:r>
              <w:rPr>
                <w:rFonts w:hint="default" w:ascii="Times New Roman" w:hAnsi="Times New Roman" w:cs="Times New Roman" w:eastAsiaTheme="majorEastAsia"/>
                <w:color w:val="000000" w:themeColor="text1"/>
                <w:sz w:val="24"/>
                <w:szCs w:val="24"/>
                <w:highlight w:val="none"/>
                <w:vertAlign w:val="subscript"/>
                <w:lang w:val="en-US" w:eastAsia="zh-CN"/>
                <w14:textFill>
                  <w14:solidFill>
                    <w14:schemeClr w14:val="tx1"/>
                  </w14:solidFill>
                </w14:textFill>
              </w:rPr>
              <w:t>2</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S、臭气浓度计。有机类废物可能产生挥发性有机物，以非甲烷总烃计。</w:t>
            </w:r>
          </w:p>
          <w:p w14:paraId="6D95A7B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firstLine="480" w:firstLineChars="200"/>
              <w:jc w:val="both"/>
              <w:textAlignment w:val="auto"/>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本项目产生气体主要为挥发性有机物</w:t>
            </w:r>
            <w:r>
              <w:rPr>
                <w:rFonts w:hint="eastAsia" w:cs="Times New Roman" w:eastAsiaTheme="majorEastAsia"/>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酸雾和恶臭气体，将本项目大气污染物产生种类进行汇总，详见</w:t>
            </w:r>
            <w:r>
              <w:rPr>
                <w:rFonts w:hint="eastAsia" w:cs="Times New Roman" w:eastAsiaTheme="majorEastAsia"/>
                <w:color w:val="000000" w:themeColor="text1"/>
                <w:sz w:val="24"/>
                <w:szCs w:val="24"/>
                <w:highlight w:val="none"/>
                <w:lang w:val="en-US" w:eastAsia="zh-CN"/>
                <w14:textFill>
                  <w14:solidFill>
                    <w14:schemeClr w14:val="tx1"/>
                  </w14:solidFill>
                </w14:textFill>
              </w:rPr>
              <w:t>下</w:t>
            </w:r>
            <w:r>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t>表。</w:t>
            </w:r>
          </w:p>
          <w:p w14:paraId="6A7CECF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right="0" w:firstLine="482" w:firstLineChars="200"/>
              <w:jc w:val="center"/>
              <w:textAlignment w:val="auto"/>
              <w:rPr>
                <w:rFonts w:hint="default" w:ascii="Times New Roman" w:hAnsi="Times New Roman" w:cs="Times New Roman" w:eastAsiaTheme="majorEastAsia"/>
                <w:b/>
                <w:bCs/>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eastAsiaTheme="majorEastAsia"/>
                <w:b/>
                <w:bCs/>
                <w:color w:val="000000" w:themeColor="text1"/>
                <w:sz w:val="24"/>
                <w:szCs w:val="24"/>
                <w:highlight w:val="none"/>
                <w:lang w:val="en-US" w:eastAsia="zh-CN"/>
                <w14:textFill>
                  <w14:solidFill>
                    <w14:schemeClr w14:val="tx1"/>
                  </w14:solidFill>
                </w14:textFill>
              </w:rPr>
              <w:t>表4-1</w:t>
            </w:r>
            <w:r>
              <w:rPr>
                <w:rFonts w:hint="eastAsia" w:cs="Times New Roman" w:eastAsiaTheme="majorEastAsia"/>
                <w:b/>
                <w:bCs/>
                <w:color w:val="000000" w:themeColor="text1"/>
                <w:sz w:val="24"/>
                <w:szCs w:val="24"/>
                <w:highlight w:val="none"/>
                <w:lang w:val="en-US" w:eastAsia="zh-CN"/>
                <w14:textFill>
                  <w14:solidFill>
                    <w14:schemeClr w14:val="tx1"/>
                  </w14:solidFill>
                </w14:textFill>
              </w:rPr>
              <w:t xml:space="preserve"> </w:t>
            </w:r>
            <w:r>
              <w:rPr>
                <w:rFonts w:hint="eastAsia" w:ascii="Times New Roman" w:hAnsi="Times New Roman" w:cs="Times New Roman" w:eastAsiaTheme="majorEastAsia"/>
                <w:b/>
                <w:bCs/>
                <w:color w:val="000000" w:themeColor="text1"/>
                <w:sz w:val="24"/>
                <w:szCs w:val="24"/>
                <w:highlight w:val="none"/>
                <w:lang w:val="en-US" w:eastAsia="zh-CN"/>
                <w14:textFill>
                  <w14:solidFill>
                    <w14:schemeClr w14:val="tx1"/>
                  </w14:solidFill>
                </w14:textFill>
              </w:rPr>
              <w:t>本项目气体污染物产生种类一览表</w:t>
            </w:r>
          </w:p>
          <w:tbl>
            <w:tblPr>
              <w:tblStyle w:val="28"/>
              <w:tblW w:w="9059"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27"/>
              <w:gridCol w:w="6461"/>
              <w:gridCol w:w="1871"/>
            </w:tblGrid>
            <w:tr w14:paraId="205FF1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5" w:hRule="atLeast"/>
              </w:trPr>
              <w:tc>
                <w:tcPr>
                  <w:tcW w:w="3967" w:type="pct"/>
                  <w:gridSpan w:val="2"/>
                  <w:tcBorders>
                    <w:tl2br w:val="nil"/>
                    <w:tr2bl w:val="nil"/>
                  </w:tcBorders>
                  <w:noWrap w:val="0"/>
                  <w:vAlign w:val="center"/>
                </w:tcPr>
                <w:p w14:paraId="718C64C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snapToGrid w:val="0"/>
                      <w:color w:val="000000" w:themeColor="text1"/>
                      <w:kern w:val="0"/>
                      <w:sz w:val="21"/>
                      <w:szCs w:val="21"/>
                      <w:highlight w:val="none"/>
                      <w:lang w:val="en-US" w:eastAsia="zh-CN"/>
                      <w14:textFill>
                        <w14:solidFill>
                          <w14:schemeClr w14:val="tx1"/>
                        </w14:solidFill>
                      </w14:textFill>
                    </w:rPr>
                    <w:t>贮存废物类别</w:t>
                  </w:r>
                </w:p>
              </w:tc>
              <w:tc>
                <w:tcPr>
                  <w:tcW w:w="1032" w:type="pct"/>
                  <w:tcBorders>
                    <w:tl2br w:val="nil"/>
                    <w:tr2bl w:val="nil"/>
                  </w:tcBorders>
                  <w:noWrap w:val="0"/>
                  <w:vAlign w:val="center"/>
                </w:tcPr>
                <w:p w14:paraId="674E71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snapToGrid w:val="0"/>
                      <w:color w:val="000000" w:themeColor="text1"/>
                      <w:kern w:val="0"/>
                      <w:sz w:val="21"/>
                      <w:szCs w:val="21"/>
                      <w:highlight w:val="none"/>
                      <w:lang w:val="en-US" w:eastAsia="zh-CN"/>
                      <w14:textFill>
                        <w14:solidFill>
                          <w14:schemeClr w14:val="tx1"/>
                        </w14:solidFill>
                      </w14:textFill>
                    </w:rPr>
                    <w:t>污染物种类</w:t>
                  </w:r>
                </w:p>
              </w:tc>
            </w:tr>
            <w:tr w14:paraId="046A5D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57" w:hRule="atLeast"/>
              </w:trPr>
              <w:tc>
                <w:tcPr>
                  <w:tcW w:w="401" w:type="pct"/>
                  <w:tcBorders>
                    <w:tl2br w:val="nil"/>
                    <w:tr2bl w:val="nil"/>
                  </w:tcBorders>
                  <w:noWrap w:val="0"/>
                  <w:vAlign w:val="center"/>
                </w:tcPr>
                <w:p w14:paraId="0B45748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1#分区</w:t>
                  </w:r>
                </w:p>
              </w:tc>
              <w:tc>
                <w:tcPr>
                  <w:tcW w:w="3566" w:type="pct"/>
                  <w:tcBorders>
                    <w:tl2br w:val="nil"/>
                    <w:tr2bl w:val="nil"/>
                  </w:tcBorders>
                  <w:noWrap w:val="0"/>
                  <w:vAlign w:val="center"/>
                </w:tcPr>
                <w:p w14:paraId="60A120D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占地面积45m</w:t>
                  </w:r>
                  <w:r>
                    <w:rPr>
                      <w:rFonts w:hint="eastAsia"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，尺寸3</w:t>
                  </w:r>
                  <w:r>
                    <w:rPr>
                      <w:rFonts w:hint="default"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15m</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。主要</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贮存</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HW09油/水、烃/水混合物或乳液</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（全部）</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color w:val="000000" w:themeColor="text1"/>
                      <w:kern w:val="24"/>
                      <w:sz w:val="21"/>
                      <w:szCs w:val="21"/>
                      <w:highlight w:val="none"/>
                      <w:lang w:val="en-US" w:eastAsia="zh-CN"/>
                      <w14:textFill>
                        <w14:solidFill>
                          <w14:schemeClr w14:val="tx1"/>
                        </w14:solidFill>
                      </w14:textFill>
                    </w:rPr>
                    <w:t>分区</w:t>
                  </w:r>
                  <w:r>
                    <w:rPr>
                      <w:rFonts w:hint="eastAsia" w:cs="Times New Roman"/>
                      <w:bCs/>
                      <w:color w:val="000000" w:themeColor="text1"/>
                      <w:sz w:val="21"/>
                      <w:szCs w:val="21"/>
                      <w:highlight w:val="none"/>
                      <w:lang w:val="en-US" w:eastAsia="zh-CN"/>
                      <w14:textFill>
                        <w14:solidFill>
                          <w14:schemeClr w14:val="tx1"/>
                        </w14:solidFill>
                      </w14:textFill>
                    </w:rPr>
                    <w:t>设置1.5m高金属隔断，裙角高度为200mm，最大储存量为30t。</w:t>
                  </w:r>
                </w:p>
              </w:tc>
              <w:tc>
                <w:tcPr>
                  <w:tcW w:w="1032" w:type="pct"/>
                  <w:tcBorders>
                    <w:tl2br w:val="nil"/>
                    <w:tr2bl w:val="nil"/>
                  </w:tcBorders>
                  <w:noWrap w:val="0"/>
                  <w:vAlign w:val="center"/>
                </w:tcPr>
                <w:p w14:paraId="112B42C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非甲烷总烃、氨、硫化氢、臭气浓度</w:t>
                  </w:r>
                </w:p>
              </w:tc>
            </w:tr>
            <w:tr w14:paraId="775F7B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25" w:hRule="atLeast"/>
              </w:trPr>
              <w:tc>
                <w:tcPr>
                  <w:tcW w:w="401" w:type="pct"/>
                  <w:tcBorders>
                    <w:tl2br w:val="nil"/>
                    <w:tr2bl w:val="nil"/>
                  </w:tcBorders>
                  <w:noWrap w:val="0"/>
                  <w:vAlign w:val="center"/>
                </w:tcPr>
                <w:p w14:paraId="18C77EF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2#分区</w:t>
                  </w:r>
                </w:p>
              </w:tc>
              <w:tc>
                <w:tcPr>
                  <w:tcW w:w="3566" w:type="pct"/>
                  <w:tcBorders>
                    <w:tl2br w:val="nil"/>
                    <w:tr2bl w:val="nil"/>
                  </w:tcBorders>
                  <w:noWrap w:val="0"/>
                  <w:vAlign w:val="center"/>
                </w:tcPr>
                <w:p w14:paraId="1D1C781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占地面积45m</w:t>
                  </w:r>
                  <w:r>
                    <w:rPr>
                      <w:rFonts w:hint="eastAsia"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，尺寸3</w:t>
                  </w:r>
                  <w:r>
                    <w:rPr>
                      <w:rFonts w:hint="default"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15m。</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主要</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贮存</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HW11精（蒸）馏残渣</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（全部）</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color w:val="000000" w:themeColor="text1"/>
                      <w:kern w:val="24"/>
                      <w:sz w:val="21"/>
                      <w:szCs w:val="21"/>
                      <w:highlight w:val="none"/>
                      <w:lang w:val="en-US" w:eastAsia="zh-CN"/>
                      <w14:textFill>
                        <w14:solidFill>
                          <w14:schemeClr w14:val="tx1"/>
                        </w14:solidFill>
                      </w14:textFill>
                    </w:rPr>
                    <w:t>分区</w:t>
                  </w:r>
                  <w:r>
                    <w:rPr>
                      <w:rFonts w:hint="eastAsia" w:cs="Times New Roman"/>
                      <w:bCs/>
                      <w:color w:val="000000" w:themeColor="text1"/>
                      <w:sz w:val="21"/>
                      <w:szCs w:val="21"/>
                      <w:highlight w:val="none"/>
                      <w:lang w:val="en-US" w:eastAsia="zh-CN"/>
                      <w14:textFill>
                        <w14:solidFill>
                          <w14:schemeClr w14:val="tx1"/>
                        </w14:solidFill>
                      </w14:textFill>
                    </w:rPr>
                    <w:t>设置1.5m高金属隔断，裙角高度为200mm，最大储存量为30t。</w:t>
                  </w:r>
                </w:p>
              </w:tc>
              <w:tc>
                <w:tcPr>
                  <w:tcW w:w="1032" w:type="pct"/>
                  <w:tcBorders>
                    <w:tl2br w:val="nil"/>
                    <w:tr2bl w:val="nil"/>
                  </w:tcBorders>
                  <w:noWrap w:val="0"/>
                  <w:vAlign w:val="center"/>
                </w:tcPr>
                <w:p w14:paraId="4C3565D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snapToGrid w:val="0"/>
                      <w:color w:val="000000" w:themeColor="text1"/>
                      <w:kern w:val="0"/>
                      <w:sz w:val="21"/>
                      <w:szCs w:val="21"/>
                      <w:highlight w:val="none"/>
                      <w:lang w:val="en-US" w:eastAsia="zh-CN"/>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非甲烷总烃、氨、硫化氢、臭气浓度</w:t>
                  </w:r>
                </w:p>
              </w:tc>
            </w:tr>
            <w:tr w14:paraId="016828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10" w:hRule="atLeast"/>
              </w:trPr>
              <w:tc>
                <w:tcPr>
                  <w:tcW w:w="401" w:type="pct"/>
                  <w:tcBorders>
                    <w:tl2br w:val="nil"/>
                    <w:tr2bl w:val="nil"/>
                  </w:tcBorders>
                  <w:noWrap w:val="0"/>
                  <w:vAlign w:val="center"/>
                </w:tcPr>
                <w:p w14:paraId="0FA2603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3#分区</w:t>
                  </w:r>
                </w:p>
              </w:tc>
              <w:tc>
                <w:tcPr>
                  <w:tcW w:w="3566" w:type="pct"/>
                  <w:tcBorders>
                    <w:tl2br w:val="nil"/>
                    <w:tr2bl w:val="nil"/>
                  </w:tcBorders>
                  <w:noWrap w:val="0"/>
                  <w:vAlign w:val="center"/>
                </w:tcPr>
                <w:p w14:paraId="5D096B5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占地面积45m</w:t>
                  </w:r>
                  <w:r>
                    <w:rPr>
                      <w:rFonts w:hint="eastAsia"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，尺寸3</w:t>
                  </w:r>
                  <w:r>
                    <w:rPr>
                      <w:rFonts w:hint="default"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15m</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。主要</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贮存</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HW12染料、涂料废物</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（全部）</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color w:val="000000" w:themeColor="text1"/>
                      <w:kern w:val="24"/>
                      <w:sz w:val="21"/>
                      <w:szCs w:val="21"/>
                      <w:highlight w:val="none"/>
                      <w:lang w:val="en-US" w:eastAsia="zh-CN"/>
                      <w14:textFill>
                        <w14:solidFill>
                          <w14:schemeClr w14:val="tx1"/>
                        </w14:solidFill>
                      </w14:textFill>
                    </w:rPr>
                    <w:t>分区</w:t>
                  </w:r>
                  <w:r>
                    <w:rPr>
                      <w:rFonts w:hint="eastAsia" w:cs="Times New Roman"/>
                      <w:bCs/>
                      <w:color w:val="000000" w:themeColor="text1"/>
                      <w:sz w:val="21"/>
                      <w:szCs w:val="21"/>
                      <w:highlight w:val="none"/>
                      <w:lang w:val="en-US" w:eastAsia="zh-CN"/>
                      <w14:textFill>
                        <w14:solidFill>
                          <w14:schemeClr w14:val="tx1"/>
                        </w14:solidFill>
                      </w14:textFill>
                    </w:rPr>
                    <w:t>设置1.5m高金属隔断，裙角高度为200mm，最大储存量为30t。</w:t>
                  </w:r>
                </w:p>
              </w:tc>
              <w:tc>
                <w:tcPr>
                  <w:tcW w:w="1032" w:type="pct"/>
                  <w:tcBorders>
                    <w:tl2br w:val="nil"/>
                    <w:tr2bl w:val="nil"/>
                  </w:tcBorders>
                  <w:noWrap w:val="0"/>
                  <w:vAlign w:val="center"/>
                </w:tcPr>
                <w:p w14:paraId="035D717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snapToGrid w:val="0"/>
                      <w:color w:val="000000" w:themeColor="text1"/>
                      <w:kern w:val="0"/>
                      <w:sz w:val="21"/>
                      <w:szCs w:val="21"/>
                      <w:highlight w:val="none"/>
                      <w:lang w:val="en-US" w:eastAsia="zh-CN"/>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非甲烷总烃、氨、硫化氢、臭气浓度</w:t>
                  </w:r>
                </w:p>
              </w:tc>
            </w:tr>
            <w:tr w14:paraId="7BEA73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98" w:hRule="atLeast"/>
              </w:trPr>
              <w:tc>
                <w:tcPr>
                  <w:tcW w:w="401" w:type="pct"/>
                  <w:tcBorders>
                    <w:tl2br w:val="nil"/>
                    <w:tr2bl w:val="nil"/>
                  </w:tcBorders>
                  <w:noWrap w:val="0"/>
                  <w:vAlign w:val="center"/>
                </w:tcPr>
                <w:p w14:paraId="5F5C091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4#分区</w:t>
                  </w:r>
                </w:p>
              </w:tc>
              <w:tc>
                <w:tcPr>
                  <w:tcW w:w="3566" w:type="pct"/>
                  <w:tcBorders>
                    <w:tl2br w:val="nil"/>
                    <w:tr2bl w:val="nil"/>
                  </w:tcBorders>
                  <w:noWrap w:val="0"/>
                  <w:vAlign w:val="center"/>
                </w:tcPr>
                <w:p w14:paraId="69B24DF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占地面积45m</w:t>
                  </w:r>
                  <w:r>
                    <w:rPr>
                      <w:rFonts w:hint="eastAsia"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，尺寸3</w:t>
                  </w:r>
                  <w:r>
                    <w:rPr>
                      <w:rFonts w:hint="default"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15m。</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主要</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贮存HW13有机树脂类废物（全部）</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color w:val="000000" w:themeColor="text1"/>
                      <w:kern w:val="24"/>
                      <w:sz w:val="21"/>
                      <w:szCs w:val="21"/>
                      <w:highlight w:val="none"/>
                      <w:lang w:val="en-US" w:eastAsia="zh-CN"/>
                      <w14:textFill>
                        <w14:solidFill>
                          <w14:schemeClr w14:val="tx1"/>
                        </w14:solidFill>
                      </w14:textFill>
                    </w:rPr>
                    <w:t>分区</w:t>
                  </w:r>
                  <w:r>
                    <w:rPr>
                      <w:rFonts w:hint="eastAsia" w:cs="Times New Roman"/>
                      <w:bCs/>
                      <w:color w:val="000000" w:themeColor="text1"/>
                      <w:sz w:val="21"/>
                      <w:szCs w:val="21"/>
                      <w:highlight w:val="none"/>
                      <w:lang w:val="en-US" w:eastAsia="zh-CN"/>
                      <w14:textFill>
                        <w14:solidFill>
                          <w14:schemeClr w14:val="tx1"/>
                        </w14:solidFill>
                      </w14:textFill>
                    </w:rPr>
                    <w:t>设置1.5m高金属隔断，裙角高度为200mm，最大储存量为30t。</w:t>
                  </w:r>
                </w:p>
              </w:tc>
              <w:tc>
                <w:tcPr>
                  <w:tcW w:w="1032" w:type="pct"/>
                  <w:tcBorders>
                    <w:tl2br w:val="nil"/>
                    <w:tr2bl w:val="nil"/>
                  </w:tcBorders>
                  <w:noWrap w:val="0"/>
                  <w:vAlign w:val="center"/>
                </w:tcPr>
                <w:p w14:paraId="601A0AC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snapToGrid w:val="0"/>
                      <w:color w:val="000000" w:themeColor="text1"/>
                      <w:kern w:val="0"/>
                      <w:sz w:val="21"/>
                      <w:szCs w:val="21"/>
                      <w:highlight w:val="none"/>
                      <w:lang w:val="en-US" w:eastAsia="zh-CN"/>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非甲烷总烃、氨、硫化氢、臭气浓度</w:t>
                  </w:r>
                </w:p>
              </w:tc>
            </w:tr>
            <w:tr w14:paraId="4E1DA4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06" w:hRule="atLeast"/>
              </w:trPr>
              <w:tc>
                <w:tcPr>
                  <w:tcW w:w="401" w:type="pct"/>
                  <w:tcBorders>
                    <w:tl2br w:val="nil"/>
                    <w:tr2bl w:val="nil"/>
                  </w:tcBorders>
                  <w:noWrap w:val="0"/>
                  <w:vAlign w:val="center"/>
                </w:tcPr>
                <w:p w14:paraId="0717BAC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5#分区</w:t>
                  </w:r>
                </w:p>
              </w:tc>
              <w:tc>
                <w:tcPr>
                  <w:tcW w:w="3566" w:type="pct"/>
                  <w:tcBorders>
                    <w:tl2br w:val="nil"/>
                    <w:tr2bl w:val="nil"/>
                  </w:tcBorders>
                  <w:shd w:val="clear" w:color="auto" w:fill="auto"/>
                  <w:noWrap w:val="0"/>
                  <w:vAlign w:val="center"/>
                </w:tcPr>
                <w:p w14:paraId="458ECB3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占地面积45m</w:t>
                  </w:r>
                  <w:r>
                    <w:rPr>
                      <w:rFonts w:hint="eastAsia"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，尺寸3</w:t>
                  </w:r>
                  <w:r>
                    <w:rPr>
                      <w:rFonts w:hint="default"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15m</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。主要</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贮存</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HW3</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1含铅废物（全部）</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color w:val="000000" w:themeColor="text1"/>
                      <w:kern w:val="24"/>
                      <w:sz w:val="21"/>
                      <w:szCs w:val="21"/>
                      <w:highlight w:val="none"/>
                      <w:lang w:val="en-US" w:eastAsia="zh-CN"/>
                      <w14:textFill>
                        <w14:solidFill>
                          <w14:schemeClr w14:val="tx1"/>
                        </w14:solidFill>
                      </w14:textFill>
                    </w:rPr>
                    <w:t>分区</w:t>
                  </w:r>
                  <w:r>
                    <w:rPr>
                      <w:rFonts w:hint="eastAsia" w:cs="Times New Roman"/>
                      <w:bCs/>
                      <w:color w:val="000000" w:themeColor="text1"/>
                      <w:sz w:val="21"/>
                      <w:szCs w:val="21"/>
                      <w:highlight w:val="none"/>
                      <w:lang w:val="en-US" w:eastAsia="zh-CN"/>
                      <w14:textFill>
                        <w14:solidFill>
                          <w14:schemeClr w14:val="tx1"/>
                        </w14:solidFill>
                      </w14:textFill>
                    </w:rPr>
                    <w:t>设置1.5m高金属隔断，裙角高度为200mm，最大储存量为30t。</w:t>
                  </w:r>
                </w:p>
              </w:tc>
              <w:tc>
                <w:tcPr>
                  <w:tcW w:w="1032" w:type="pct"/>
                  <w:tcBorders>
                    <w:tl2br w:val="nil"/>
                    <w:tr2bl w:val="nil"/>
                  </w:tcBorders>
                  <w:noWrap w:val="0"/>
                  <w:vAlign w:val="center"/>
                </w:tcPr>
                <w:p w14:paraId="7A76AE1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snapToGrid w:val="0"/>
                      <w:color w:val="000000" w:themeColor="text1"/>
                      <w:kern w:val="0"/>
                      <w:sz w:val="21"/>
                      <w:szCs w:val="21"/>
                      <w:highlight w:val="none"/>
                      <w:lang w:val="en-US" w:eastAsia="zh-CN"/>
                      <w14:textFill>
                        <w14:solidFill>
                          <w14:schemeClr w14:val="tx1"/>
                        </w14:solidFill>
                      </w14:textFill>
                    </w:rPr>
                  </w:pPr>
                  <w:r>
                    <w:rPr>
                      <w:rFonts w:hint="default" w:cs="Times New Roman"/>
                      <w:snapToGrid w:val="0"/>
                      <w:color w:val="000000" w:themeColor="text1"/>
                      <w:kern w:val="0"/>
                      <w:sz w:val="21"/>
                      <w:szCs w:val="21"/>
                      <w:highlight w:val="none"/>
                      <w:lang w:val="en-US" w:eastAsia="zh-CN"/>
                      <w14:textFill>
                        <w14:solidFill>
                          <w14:schemeClr w14:val="tx1"/>
                        </w14:solidFill>
                      </w14:textFill>
                    </w:rPr>
                    <w:t>NH</w:t>
                  </w:r>
                  <w:r>
                    <w:rPr>
                      <w:rFonts w:hint="default" w:cs="Times New Roman"/>
                      <w:snapToGrid w:val="0"/>
                      <w:color w:val="000000" w:themeColor="text1"/>
                      <w:kern w:val="0"/>
                      <w:sz w:val="21"/>
                      <w:szCs w:val="21"/>
                      <w:highlight w:val="none"/>
                      <w:vertAlign w:val="subscript"/>
                      <w:lang w:val="en-US" w:eastAsia="zh-CN"/>
                      <w14:textFill>
                        <w14:solidFill>
                          <w14:schemeClr w14:val="tx1"/>
                        </w14:solidFill>
                      </w14:textFill>
                    </w:rPr>
                    <w:t>3</w:t>
                  </w:r>
                  <w:r>
                    <w:rPr>
                      <w:rFonts w:hint="default" w:cs="Times New Roman"/>
                      <w:snapToGrid w:val="0"/>
                      <w:color w:val="000000" w:themeColor="text1"/>
                      <w:kern w:val="0"/>
                      <w:sz w:val="21"/>
                      <w:szCs w:val="21"/>
                      <w:highlight w:val="none"/>
                      <w:lang w:val="en-US" w:eastAsia="zh-CN"/>
                      <w14:textFill>
                        <w14:solidFill>
                          <w14:schemeClr w14:val="tx1"/>
                        </w14:solidFill>
                      </w14:textFill>
                    </w:rPr>
                    <w:t>、H</w:t>
                  </w:r>
                  <w:r>
                    <w:rPr>
                      <w:rFonts w:hint="default" w:cs="Times New Roman"/>
                      <w:snapToGrid w:val="0"/>
                      <w:color w:val="000000" w:themeColor="text1"/>
                      <w:kern w:val="0"/>
                      <w:sz w:val="21"/>
                      <w:szCs w:val="21"/>
                      <w:highlight w:val="none"/>
                      <w:vertAlign w:val="subscript"/>
                      <w:lang w:val="en-US" w:eastAsia="zh-CN"/>
                      <w14:textFill>
                        <w14:solidFill>
                          <w14:schemeClr w14:val="tx1"/>
                        </w14:solidFill>
                      </w14:textFill>
                    </w:rPr>
                    <w:t>2</w:t>
                  </w:r>
                  <w:r>
                    <w:rPr>
                      <w:rFonts w:hint="default" w:cs="Times New Roman"/>
                      <w:snapToGrid w:val="0"/>
                      <w:color w:val="000000" w:themeColor="text1"/>
                      <w:kern w:val="0"/>
                      <w:sz w:val="21"/>
                      <w:szCs w:val="21"/>
                      <w:highlight w:val="none"/>
                      <w:lang w:val="en-US" w:eastAsia="zh-CN"/>
                      <w14:textFill>
                        <w14:solidFill>
                          <w14:schemeClr w14:val="tx1"/>
                        </w14:solidFill>
                      </w14:textFill>
                    </w:rPr>
                    <w:t>S、臭气浓度</w:t>
                  </w:r>
                </w:p>
              </w:tc>
            </w:tr>
            <w:tr w14:paraId="65F96A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76" w:hRule="atLeast"/>
              </w:trPr>
              <w:tc>
                <w:tcPr>
                  <w:tcW w:w="401" w:type="pct"/>
                  <w:tcBorders>
                    <w:tl2br w:val="nil"/>
                    <w:tr2bl w:val="nil"/>
                  </w:tcBorders>
                  <w:noWrap w:val="0"/>
                  <w:vAlign w:val="center"/>
                </w:tcPr>
                <w:p w14:paraId="368973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6#分区</w:t>
                  </w:r>
                </w:p>
              </w:tc>
              <w:tc>
                <w:tcPr>
                  <w:tcW w:w="3566" w:type="pct"/>
                  <w:tcBorders>
                    <w:tl2br w:val="nil"/>
                    <w:tr2bl w:val="nil"/>
                  </w:tcBorders>
                  <w:shd w:val="clear" w:color="auto" w:fill="auto"/>
                  <w:noWrap w:val="0"/>
                  <w:vAlign w:val="center"/>
                </w:tcPr>
                <w:p w14:paraId="52D8018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占地面积45m</w:t>
                  </w:r>
                  <w:r>
                    <w:rPr>
                      <w:rFonts w:hint="eastAsia"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，尺寸3</w:t>
                  </w:r>
                  <w:r>
                    <w:rPr>
                      <w:rFonts w:hint="default"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15m</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。主要</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贮存</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HW35废碱</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（全部）</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color w:val="000000" w:themeColor="text1"/>
                      <w:kern w:val="24"/>
                      <w:sz w:val="21"/>
                      <w:szCs w:val="21"/>
                      <w:highlight w:val="none"/>
                      <w:lang w:val="en-US" w:eastAsia="zh-CN"/>
                      <w14:textFill>
                        <w14:solidFill>
                          <w14:schemeClr w14:val="tx1"/>
                        </w14:solidFill>
                      </w14:textFill>
                    </w:rPr>
                    <w:t>分区</w:t>
                  </w:r>
                  <w:r>
                    <w:rPr>
                      <w:rFonts w:hint="eastAsia" w:cs="Times New Roman"/>
                      <w:bCs/>
                      <w:color w:val="000000" w:themeColor="text1"/>
                      <w:sz w:val="21"/>
                      <w:szCs w:val="21"/>
                      <w:highlight w:val="none"/>
                      <w:lang w:val="en-US" w:eastAsia="zh-CN"/>
                      <w14:textFill>
                        <w14:solidFill>
                          <w14:schemeClr w14:val="tx1"/>
                        </w14:solidFill>
                      </w14:textFill>
                    </w:rPr>
                    <w:t>设置1.5m高金属隔断，裙角高度为200mm，最大储存量为20t。</w:t>
                  </w:r>
                </w:p>
              </w:tc>
              <w:tc>
                <w:tcPr>
                  <w:tcW w:w="1032" w:type="pct"/>
                  <w:tcBorders>
                    <w:tl2br w:val="nil"/>
                    <w:tr2bl w:val="nil"/>
                  </w:tcBorders>
                  <w:noWrap w:val="0"/>
                  <w:vAlign w:val="center"/>
                </w:tcPr>
                <w:p w14:paraId="791F095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snapToGrid w:val="0"/>
                      <w:color w:val="000000" w:themeColor="text1"/>
                      <w:kern w:val="0"/>
                      <w:sz w:val="21"/>
                      <w:szCs w:val="21"/>
                      <w:highlight w:val="none"/>
                      <w:lang w:val="en-US" w:eastAsia="zh-CN"/>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氨</w:t>
                  </w:r>
                </w:p>
              </w:tc>
            </w:tr>
            <w:tr w14:paraId="284AA5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76" w:hRule="atLeast"/>
              </w:trPr>
              <w:tc>
                <w:tcPr>
                  <w:tcW w:w="401" w:type="pct"/>
                  <w:tcBorders>
                    <w:tl2br w:val="nil"/>
                    <w:tr2bl w:val="nil"/>
                  </w:tcBorders>
                  <w:shd w:val="clear" w:color="auto" w:fill="auto"/>
                  <w:noWrap w:val="0"/>
                  <w:vAlign w:val="center"/>
                </w:tcPr>
                <w:p w14:paraId="10521E0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7#分区</w:t>
                  </w:r>
                </w:p>
              </w:tc>
              <w:tc>
                <w:tcPr>
                  <w:tcW w:w="3566" w:type="pct"/>
                  <w:tcBorders>
                    <w:tl2br w:val="nil"/>
                    <w:tr2bl w:val="nil"/>
                  </w:tcBorders>
                  <w:shd w:val="clear" w:color="auto" w:fill="auto"/>
                  <w:noWrap w:val="0"/>
                  <w:vAlign w:val="center"/>
                </w:tcPr>
                <w:p w14:paraId="383FF0F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占地面积45m</w:t>
                  </w:r>
                  <w:r>
                    <w:rPr>
                      <w:rFonts w:hint="eastAsia"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，尺寸3</w:t>
                  </w:r>
                  <w:r>
                    <w:rPr>
                      <w:rFonts w:hint="default"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15m。</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HW03废药物药品</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（全部）</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color w:val="000000" w:themeColor="text1"/>
                      <w:kern w:val="24"/>
                      <w:sz w:val="21"/>
                      <w:szCs w:val="21"/>
                      <w:highlight w:val="none"/>
                      <w:lang w:val="en-US" w:eastAsia="zh-CN"/>
                      <w14:textFill>
                        <w14:solidFill>
                          <w14:schemeClr w14:val="tx1"/>
                        </w14:solidFill>
                      </w14:textFill>
                    </w:rPr>
                    <w:t>分区</w:t>
                  </w:r>
                  <w:r>
                    <w:rPr>
                      <w:rFonts w:hint="eastAsia" w:cs="Times New Roman"/>
                      <w:bCs/>
                      <w:color w:val="000000" w:themeColor="text1"/>
                      <w:sz w:val="21"/>
                      <w:szCs w:val="21"/>
                      <w:highlight w:val="none"/>
                      <w:lang w:val="en-US" w:eastAsia="zh-CN"/>
                      <w14:textFill>
                        <w14:solidFill>
                          <w14:schemeClr w14:val="tx1"/>
                        </w14:solidFill>
                      </w14:textFill>
                    </w:rPr>
                    <w:t>设置1.5m高金属隔断，裙角高度为200mm，最大储存量为20t。</w:t>
                  </w:r>
                </w:p>
              </w:tc>
              <w:tc>
                <w:tcPr>
                  <w:tcW w:w="1032" w:type="pct"/>
                  <w:tcBorders>
                    <w:tl2br w:val="nil"/>
                    <w:tr2bl w:val="nil"/>
                  </w:tcBorders>
                  <w:noWrap w:val="0"/>
                  <w:vAlign w:val="center"/>
                </w:tcPr>
                <w:p w14:paraId="12CF09C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snapToGrid w:val="0"/>
                      <w:color w:val="000000" w:themeColor="text1"/>
                      <w:kern w:val="0"/>
                      <w:sz w:val="21"/>
                      <w:szCs w:val="21"/>
                      <w:highlight w:val="none"/>
                      <w:lang w:val="en-US" w:eastAsia="zh-CN"/>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非甲烷总烃、氨、硫化氢、臭气浓度</w:t>
                  </w:r>
                </w:p>
              </w:tc>
            </w:tr>
            <w:tr w14:paraId="35EED6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76" w:hRule="atLeast"/>
              </w:trPr>
              <w:tc>
                <w:tcPr>
                  <w:tcW w:w="401" w:type="pct"/>
                  <w:tcBorders>
                    <w:tl2br w:val="nil"/>
                    <w:tr2bl w:val="nil"/>
                  </w:tcBorders>
                  <w:shd w:val="clear" w:color="auto" w:fill="auto"/>
                  <w:noWrap w:val="0"/>
                  <w:vAlign w:val="center"/>
                </w:tcPr>
                <w:p w14:paraId="63DFFF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8#分区</w:t>
                  </w:r>
                </w:p>
              </w:tc>
              <w:tc>
                <w:tcPr>
                  <w:tcW w:w="3566" w:type="pct"/>
                  <w:tcBorders>
                    <w:tl2br w:val="nil"/>
                    <w:tr2bl w:val="nil"/>
                  </w:tcBorders>
                  <w:shd w:val="clear" w:color="auto" w:fill="auto"/>
                  <w:noWrap w:val="0"/>
                  <w:vAlign w:val="center"/>
                </w:tcPr>
                <w:p w14:paraId="486D1436">
                  <w:pPr>
                    <w:keepNext w:val="0"/>
                    <w:keepLines w:val="0"/>
                    <w:widowControl/>
                    <w:suppressLineNumbers w:val="0"/>
                    <w:jc w:val="left"/>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占地面积45m</w:t>
                  </w:r>
                  <w:r>
                    <w:rPr>
                      <w:rFonts w:hint="eastAsia"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，尺寸3</w:t>
                  </w:r>
                  <w:r>
                    <w:rPr>
                      <w:rFonts w:hint="default"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15m。主要贮存HW16感光材料废物（全部）</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color w:val="000000" w:themeColor="text1"/>
                      <w:kern w:val="24"/>
                      <w:sz w:val="21"/>
                      <w:szCs w:val="21"/>
                      <w:highlight w:val="none"/>
                      <w:lang w:val="en-US" w:eastAsia="zh-CN"/>
                      <w14:textFill>
                        <w14:solidFill>
                          <w14:schemeClr w14:val="tx1"/>
                        </w14:solidFill>
                      </w14:textFill>
                    </w:rPr>
                    <w:t>分区</w:t>
                  </w:r>
                  <w:r>
                    <w:rPr>
                      <w:rFonts w:hint="eastAsia" w:cs="Times New Roman"/>
                      <w:bCs/>
                      <w:color w:val="000000" w:themeColor="text1"/>
                      <w:sz w:val="21"/>
                      <w:szCs w:val="21"/>
                      <w:highlight w:val="none"/>
                      <w:lang w:val="en-US" w:eastAsia="zh-CN"/>
                      <w14:textFill>
                        <w14:solidFill>
                          <w14:schemeClr w14:val="tx1"/>
                        </w14:solidFill>
                      </w14:textFill>
                    </w:rPr>
                    <w:t>设置1.5m高金属隔断，裙角高度为200mm，最大储存量为10t。</w:t>
                  </w:r>
                </w:p>
              </w:tc>
              <w:tc>
                <w:tcPr>
                  <w:tcW w:w="1032" w:type="pct"/>
                  <w:tcBorders>
                    <w:tl2br w:val="nil"/>
                    <w:tr2bl w:val="nil"/>
                  </w:tcBorders>
                  <w:noWrap w:val="0"/>
                  <w:vAlign w:val="center"/>
                </w:tcPr>
                <w:p w14:paraId="0FB9A66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snapToGrid w:val="0"/>
                      <w:color w:val="000000" w:themeColor="text1"/>
                      <w:kern w:val="0"/>
                      <w:sz w:val="21"/>
                      <w:szCs w:val="21"/>
                      <w:highlight w:val="none"/>
                      <w:lang w:val="en-US" w:eastAsia="zh-CN"/>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非甲烷总烃、氨、硫化氢、臭气浓度</w:t>
                  </w:r>
                </w:p>
              </w:tc>
            </w:tr>
            <w:tr w14:paraId="094DA2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76" w:hRule="atLeast"/>
              </w:trPr>
              <w:tc>
                <w:tcPr>
                  <w:tcW w:w="401" w:type="pct"/>
                  <w:tcBorders>
                    <w:tl2br w:val="nil"/>
                    <w:tr2bl w:val="nil"/>
                  </w:tcBorders>
                  <w:shd w:val="clear" w:color="auto" w:fill="auto"/>
                  <w:noWrap w:val="0"/>
                  <w:vAlign w:val="center"/>
                </w:tcPr>
                <w:p w14:paraId="176C9CE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9#分区</w:t>
                  </w:r>
                </w:p>
              </w:tc>
              <w:tc>
                <w:tcPr>
                  <w:tcW w:w="3566" w:type="pct"/>
                  <w:tcBorders>
                    <w:tl2br w:val="nil"/>
                    <w:tr2bl w:val="nil"/>
                  </w:tcBorders>
                  <w:shd w:val="clear" w:color="auto" w:fill="auto"/>
                  <w:noWrap w:val="0"/>
                  <w:vAlign w:val="center"/>
                </w:tcPr>
                <w:p w14:paraId="7C6FC533">
                  <w:pPr>
                    <w:keepNext w:val="0"/>
                    <w:keepLines w:val="0"/>
                    <w:widowControl/>
                    <w:suppressLineNumbers w:val="0"/>
                    <w:jc w:val="left"/>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pP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占地面积45m</w:t>
                  </w:r>
                  <w:r>
                    <w:rPr>
                      <w:rFonts w:hint="eastAsia"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，尺寸3</w:t>
                  </w:r>
                  <w:r>
                    <w:rPr>
                      <w:rFonts w:hint="default"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15m</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。主要</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贮存</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HW</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29含汞废物（全部）</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color w:val="000000" w:themeColor="text1"/>
                      <w:kern w:val="24"/>
                      <w:sz w:val="21"/>
                      <w:szCs w:val="21"/>
                      <w:highlight w:val="none"/>
                      <w:lang w:val="en-US" w:eastAsia="zh-CN"/>
                      <w14:textFill>
                        <w14:solidFill>
                          <w14:schemeClr w14:val="tx1"/>
                        </w14:solidFill>
                      </w14:textFill>
                    </w:rPr>
                    <w:t>分区</w:t>
                  </w:r>
                  <w:r>
                    <w:rPr>
                      <w:rFonts w:hint="eastAsia" w:cs="Times New Roman"/>
                      <w:bCs/>
                      <w:color w:val="000000" w:themeColor="text1"/>
                      <w:sz w:val="21"/>
                      <w:szCs w:val="21"/>
                      <w:highlight w:val="none"/>
                      <w:lang w:val="en-US" w:eastAsia="zh-CN"/>
                      <w14:textFill>
                        <w14:solidFill>
                          <w14:schemeClr w14:val="tx1"/>
                        </w14:solidFill>
                      </w14:textFill>
                    </w:rPr>
                    <w:t>设置1.5m高金属隔断，裙角高度为200mm，最大储存量为10t。</w:t>
                  </w:r>
                </w:p>
              </w:tc>
              <w:tc>
                <w:tcPr>
                  <w:tcW w:w="1032" w:type="pct"/>
                  <w:tcBorders>
                    <w:tl2br w:val="nil"/>
                    <w:tr2bl w:val="nil"/>
                  </w:tcBorders>
                  <w:noWrap w:val="0"/>
                  <w:vAlign w:val="center"/>
                </w:tcPr>
                <w:p w14:paraId="5A8A913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snapToGrid w:val="0"/>
                      <w:color w:val="000000" w:themeColor="text1"/>
                      <w:kern w:val="0"/>
                      <w:sz w:val="21"/>
                      <w:szCs w:val="21"/>
                      <w:highlight w:val="none"/>
                      <w:lang w:val="en-US" w:eastAsia="zh-CN"/>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氨、硫化氢、臭气浓度</w:t>
                  </w:r>
                </w:p>
              </w:tc>
            </w:tr>
            <w:tr w14:paraId="0DD54D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76" w:hRule="atLeast"/>
              </w:trPr>
              <w:tc>
                <w:tcPr>
                  <w:tcW w:w="401" w:type="pct"/>
                  <w:tcBorders>
                    <w:tl2br w:val="nil"/>
                    <w:tr2bl w:val="nil"/>
                  </w:tcBorders>
                  <w:shd w:val="clear" w:color="auto" w:fill="auto"/>
                  <w:noWrap w:val="0"/>
                  <w:vAlign w:val="center"/>
                </w:tcPr>
                <w:p w14:paraId="4607923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10#分区</w:t>
                  </w:r>
                </w:p>
              </w:tc>
              <w:tc>
                <w:tcPr>
                  <w:tcW w:w="3566" w:type="pct"/>
                  <w:tcBorders>
                    <w:tl2br w:val="nil"/>
                    <w:tr2bl w:val="nil"/>
                  </w:tcBorders>
                  <w:shd w:val="clear" w:color="auto" w:fill="auto"/>
                  <w:noWrap w:val="0"/>
                  <w:vAlign w:val="center"/>
                </w:tcPr>
                <w:p w14:paraId="3B97080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占地面积85m</w:t>
                  </w:r>
                  <w:r>
                    <w:rPr>
                      <w:rFonts w:hint="eastAsia"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，尺寸5</w:t>
                  </w:r>
                  <w:r>
                    <w:rPr>
                      <w:rFonts w:hint="default"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17m。</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主要</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贮存</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HW02医药废物</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（全部）</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color w:val="000000" w:themeColor="text1"/>
                      <w:kern w:val="24"/>
                      <w:sz w:val="21"/>
                      <w:szCs w:val="21"/>
                      <w:highlight w:val="none"/>
                      <w:lang w:val="en-US" w:eastAsia="zh-CN"/>
                      <w14:textFill>
                        <w14:solidFill>
                          <w14:schemeClr w14:val="tx1"/>
                        </w14:solidFill>
                      </w14:textFill>
                    </w:rPr>
                    <w:t>分区</w:t>
                  </w:r>
                  <w:r>
                    <w:rPr>
                      <w:rFonts w:hint="eastAsia" w:cs="Times New Roman"/>
                      <w:bCs/>
                      <w:color w:val="000000" w:themeColor="text1"/>
                      <w:sz w:val="21"/>
                      <w:szCs w:val="21"/>
                      <w:highlight w:val="none"/>
                      <w:lang w:val="en-US" w:eastAsia="zh-CN"/>
                      <w14:textFill>
                        <w14:solidFill>
                          <w14:schemeClr w14:val="tx1"/>
                        </w14:solidFill>
                      </w14:textFill>
                    </w:rPr>
                    <w:t>设置1.5m高金属隔断，裙角高度为200mm，最大储存量为50t。</w:t>
                  </w:r>
                </w:p>
              </w:tc>
              <w:tc>
                <w:tcPr>
                  <w:tcW w:w="1032" w:type="pct"/>
                  <w:tcBorders>
                    <w:tl2br w:val="nil"/>
                    <w:tr2bl w:val="nil"/>
                  </w:tcBorders>
                  <w:noWrap w:val="0"/>
                  <w:vAlign w:val="center"/>
                </w:tcPr>
                <w:p w14:paraId="2198733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snapToGrid w:val="0"/>
                      <w:color w:val="000000" w:themeColor="text1"/>
                      <w:kern w:val="0"/>
                      <w:sz w:val="21"/>
                      <w:szCs w:val="21"/>
                      <w:highlight w:val="none"/>
                      <w:lang w:val="en-US" w:eastAsia="zh-CN"/>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非甲烷总烃、氨、硫化氢、臭气浓度</w:t>
                  </w:r>
                </w:p>
              </w:tc>
            </w:tr>
            <w:tr w14:paraId="5DA050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76" w:hRule="atLeast"/>
              </w:trPr>
              <w:tc>
                <w:tcPr>
                  <w:tcW w:w="401" w:type="pct"/>
                  <w:tcBorders>
                    <w:tl2br w:val="nil"/>
                    <w:tr2bl w:val="nil"/>
                  </w:tcBorders>
                  <w:shd w:val="clear" w:color="auto" w:fill="auto"/>
                  <w:noWrap w:val="0"/>
                  <w:vAlign w:val="center"/>
                </w:tcPr>
                <w:p w14:paraId="6A545DE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11#分区</w:t>
                  </w:r>
                </w:p>
              </w:tc>
              <w:tc>
                <w:tcPr>
                  <w:tcW w:w="3566" w:type="pct"/>
                  <w:tcBorders>
                    <w:tl2br w:val="nil"/>
                    <w:tr2bl w:val="nil"/>
                  </w:tcBorders>
                  <w:shd w:val="clear" w:color="auto" w:fill="auto"/>
                  <w:noWrap w:val="0"/>
                  <w:vAlign w:val="center"/>
                </w:tcPr>
                <w:p w14:paraId="775DA5B7">
                  <w:pPr>
                    <w:keepNext w:val="0"/>
                    <w:keepLines w:val="0"/>
                    <w:widowControl/>
                    <w:suppressLineNumbers w:val="0"/>
                    <w:jc w:val="left"/>
                    <w:rPr>
                      <w:rFonts w:hint="eastAsia"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占地面积85m</w:t>
                  </w:r>
                  <w:r>
                    <w:rPr>
                      <w:rFonts w:hint="eastAsia"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，尺寸5</w:t>
                  </w:r>
                  <w:r>
                    <w:rPr>
                      <w:rFonts w:hint="default"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17m。</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主</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要贮存HW04农药废物（全部）</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color w:val="000000" w:themeColor="text1"/>
                      <w:kern w:val="24"/>
                      <w:sz w:val="21"/>
                      <w:szCs w:val="21"/>
                      <w:highlight w:val="none"/>
                      <w:lang w:val="en-US" w:eastAsia="zh-CN"/>
                      <w14:textFill>
                        <w14:solidFill>
                          <w14:schemeClr w14:val="tx1"/>
                        </w14:solidFill>
                      </w14:textFill>
                    </w:rPr>
                    <w:t>分区</w:t>
                  </w:r>
                  <w:r>
                    <w:rPr>
                      <w:rFonts w:hint="eastAsia" w:cs="Times New Roman"/>
                      <w:bCs/>
                      <w:color w:val="000000" w:themeColor="text1"/>
                      <w:sz w:val="21"/>
                      <w:szCs w:val="21"/>
                      <w:highlight w:val="none"/>
                      <w:lang w:val="en-US" w:eastAsia="zh-CN"/>
                      <w14:textFill>
                        <w14:solidFill>
                          <w14:schemeClr w14:val="tx1"/>
                        </w14:solidFill>
                      </w14:textFill>
                    </w:rPr>
                    <w:t>设置1.5m高金属隔断，裙角高度为200mm，最大储存量为50t。</w:t>
                  </w:r>
                </w:p>
              </w:tc>
              <w:tc>
                <w:tcPr>
                  <w:tcW w:w="1032" w:type="pct"/>
                  <w:tcBorders>
                    <w:tl2br w:val="nil"/>
                    <w:tr2bl w:val="nil"/>
                  </w:tcBorders>
                  <w:noWrap w:val="0"/>
                  <w:vAlign w:val="center"/>
                </w:tcPr>
                <w:p w14:paraId="3B16C6C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snapToGrid w:val="0"/>
                      <w:color w:val="000000" w:themeColor="text1"/>
                      <w:kern w:val="0"/>
                      <w:sz w:val="21"/>
                      <w:szCs w:val="21"/>
                      <w:highlight w:val="none"/>
                      <w:lang w:val="en-US" w:eastAsia="zh-CN"/>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非甲烷总烃、氨、硫化氢、臭气浓度</w:t>
                  </w:r>
                </w:p>
              </w:tc>
            </w:tr>
            <w:tr w14:paraId="041C07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76" w:hRule="atLeast"/>
              </w:trPr>
              <w:tc>
                <w:tcPr>
                  <w:tcW w:w="401" w:type="pct"/>
                  <w:tcBorders>
                    <w:tl2br w:val="nil"/>
                    <w:tr2bl w:val="nil"/>
                  </w:tcBorders>
                  <w:shd w:val="clear" w:color="auto" w:fill="auto"/>
                  <w:noWrap w:val="0"/>
                  <w:vAlign w:val="center"/>
                </w:tcPr>
                <w:p w14:paraId="23E178C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12#分区</w:t>
                  </w:r>
                </w:p>
              </w:tc>
              <w:tc>
                <w:tcPr>
                  <w:tcW w:w="3566" w:type="pct"/>
                  <w:tcBorders>
                    <w:tl2br w:val="nil"/>
                    <w:tr2bl w:val="nil"/>
                  </w:tcBorders>
                  <w:shd w:val="clear" w:color="auto" w:fill="auto"/>
                  <w:noWrap w:val="0"/>
                  <w:vAlign w:val="center"/>
                </w:tcPr>
                <w:p w14:paraId="1AB7CDF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占地面积85m</w:t>
                  </w:r>
                  <w:r>
                    <w:rPr>
                      <w:rFonts w:hint="eastAsia"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，尺寸5</w:t>
                  </w:r>
                  <w:r>
                    <w:rPr>
                      <w:rFonts w:hint="default"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17m。</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主要</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贮存</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HW06废有机溶剂与含有机溶剂废物</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（全部）</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color w:val="000000" w:themeColor="text1"/>
                      <w:kern w:val="24"/>
                      <w:sz w:val="21"/>
                      <w:szCs w:val="21"/>
                      <w:highlight w:val="none"/>
                      <w:lang w:val="en-US" w:eastAsia="zh-CN"/>
                      <w14:textFill>
                        <w14:solidFill>
                          <w14:schemeClr w14:val="tx1"/>
                        </w14:solidFill>
                      </w14:textFill>
                    </w:rPr>
                    <w:t>分区</w:t>
                  </w:r>
                  <w:r>
                    <w:rPr>
                      <w:rFonts w:hint="eastAsia" w:cs="Times New Roman"/>
                      <w:bCs/>
                      <w:color w:val="000000" w:themeColor="text1"/>
                      <w:sz w:val="21"/>
                      <w:szCs w:val="21"/>
                      <w:highlight w:val="none"/>
                      <w:lang w:val="en-US" w:eastAsia="zh-CN"/>
                      <w14:textFill>
                        <w14:solidFill>
                          <w14:schemeClr w14:val="tx1"/>
                        </w14:solidFill>
                      </w14:textFill>
                    </w:rPr>
                    <w:t>设置1.5m高金属隔断，裙角高度为200mm，最大储存量为50t。年周转量为1200t。</w:t>
                  </w:r>
                </w:p>
              </w:tc>
              <w:tc>
                <w:tcPr>
                  <w:tcW w:w="1032" w:type="pct"/>
                  <w:tcBorders>
                    <w:tl2br w:val="nil"/>
                    <w:tr2bl w:val="nil"/>
                  </w:tcBorders>
                  <w:noWrap w:val="0"/>
                  <w:vAlign w:val="center"/>
                </w:tcPr>
                <w:p w14:paraId="352444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snapToGrid w:val="0"/>
                      <w:color w:val="000000" w:themeColor="text1"/>
                      <w:kern w:val="0"/>
                      <w:sz w:val="21"/>
                      <w:szCs w:val="21"/>
                      <w:highlight w:val="none"/>
                      <w:lang w:val="en-US" w:eastAsia="zh-CN"/>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非甲烷总烃、氨、硫化氢、臭气浓度</w:t>
                  </w:r>
                </w:p>
              </w:tc>
            </w:tr>
            <w:tr w14:paraId="6F8AD5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88" w:hRule="atLeast"/>
              </w:trPr>
              <w:tc>
                <w:tcPr>
                  <w:tcW w:w="401" w:type="pct"/>
                  <w:tcBorders>
                    <w:tl2br w:val="nil"/>
                    <w:tr2bl w:val="nil"/>
                  </w:tcBorders>
                  <w:shd w:val="clear" w:color="auto" w:fill="auto"/>
                  <w:noWrap w:val="0"/>
                  <w:vAlign w:val="center"/>
                </w:tcPr>
                <w:p w14:paraId="6E3A92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13#分区</w:t>
                  </w:r>
                </w:p>
              </w:tc>
              <w:tc>
                <w:tcPr>
                  <w:tcW w:w="3566" w:type="pct"/>
                  <w:tcBorders>
                    <w:tl2br w:val="nil"/>
                    <w:tr2bl w:val="nil"/>
                  </w:tcBorders>
                  <w:shd w:val="clear" w:color="auto" w:fill="auto"/>
                  <w:noWrap w:val="0"/>
                  <w:vAlign w:val="center"/>
                </w:tcPr>
                <w:p w14:paraId="04DDE0C4">
                  <w:pPr>
                    <w:keepNext w:val="0"/>
                    <w:keepLines w:val="0"/>
                    <w:widowControl/>
                    <w:suppressLineNumbers w:val="0"/>
                    <w:jc w:val="left"/>
                    <w:rPr>
                      <w:rFonts w:hint="eastAsia"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占地面积85m</w:t>
                  </w:r>
                  <w:r>
                    <w:rPr>
                      <w:rFonts w:hint="eastAsia"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，尺寸5</w:t>
                  </w:r>
                  <w:r>
                    <w:rPr>
                      <w:rFonts w:hint="default"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17m。</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主要</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贮存</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HW0</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8废矿物油与含矿物油废物（全部）</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color w:val="000000" w:themeColor="text1"/>
                      <w:kern w:val="24"/>
                      <w:sz w:val="21"/>
                      <w:szCs w:val="21"/>
                      <w:highlight w:val="none"/>
                      <w:lang w:val="en-US" w:eastAsia="zh-CN"/>
                      <w14:textFill>
                        <w14:solidFill>
                          <w14:schemeClr w14:val="tx1"/>
                        </w14:solidFill>
                      </w14:textFill>
                    </w:rPr>
                    <w:t>分区</w:t>
                  </w:r>
                  <w:r>
                    <w:rPr>
                      <w:rFonts w:hint="eastAsia" w:cs="Times New Roman"/>
                      <w:bCs/>
                      <w:color w:val="000000" w:themeColor="text1"/>
                      <w:sz w:val="21"/>
                      <w:szCs w:val="21"/>
                      <w:highlight w:val="none"/>
                      <w:lang w:val="en-US" w:eastAsia="zh-CN"/>
                      <w14:textFill>
                        <w14:solidFill>
                          <w14:schemeClr w14:val="tx1"/>
                        </w14:solidFill>
                      </w14:textFill>
                    </w:rPr>
                    <w:t>设置1.5m高金属隔断，裙角高度为200mm，最大储存量为50t。</w:t>
                  </w:r>
                </w:p>
              </w:tc>
              <w:tc>
                <w:tcPr>
                  <w:tcW w:w="1032" w:type="pct"/>
                  <w:tcBorders>
                    <w:tl2br w:val="nil"/>
                    <w:tr2bl w:val="nil"/>
                  </w:tcBorders>
                  <w:noWrap w:val="0"/>
                  <w:vAlign w:val="center"/>
                </w:tcPr>
                <w:p w14:paraId="164EC2D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snapToGrid w:val="0"/>
                      <w:color w:val="000000" w:themeColor="text1"/>
                      <w:kern w:val="0"/>
                      <w:sz w:val="21"/>
                      <w:szCs w:val="21"/>
                      <w:highlight w:val="none"/>
                      <w:lang w:val="en-US" w:eastAsia="zh-CN"/>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非甲烷总烃、氨、硫化氢、臭气浓度</w:t>
                  </w:r>
                </w:p>
              </w:tc>
            </w:tr>
            <w:tr w14:paraId="2D1816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76" w:hRule="atLeast"/>
              </w:trPr>
              <w:tc>
                <w:tcPr>
                  <w:tcW w:w="401" w:type="pct"/>
                  <w:tcBorders>
                    <w:tl2br w:val="nil"/>
                    <w:tr2bl w:val="nil"/>
                  </w:tcBorders>
                  <w:shd w:val="clear" w:color="auto" w:fill="auto"/>
                  <w:noWrap w:val="0"/>
                  <w:vAlign w:val="center"/>
                </w:tcPr>
                <w:p w14:paraId="76480CF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14#分区</w:t>
                  </w:r>
                </w:p>
              </w:tc>
              <w:tc>
                <w:tcPr>
                  <w:tcW w:w="3566" w:type="pct"/>
                  <w:tcBorders>
                    <w:tl2br w:val="nil"/>
                    <w:tr2bl w:val="nil"/>
                  </w:tcBorders>
                  <w:shd w:val="clear" w:color="auto" w:fill="auto"/>
                  <w:noWrap w:val="0"/>
                  <w:vAlign w:val="center"/>
                </w:tcPr>
                <w:p w14:paraId="62E05720">
                  <w:pPr>
                    <w:keepNext w:val="0"/>
                    <w:keepLines w:val="0"/>
                    <w:widowControl/>
                    <w:suppressLineNumbers w:val="0"/>
                    <w:jc w:val="left"/>
                    <w:rPr>
                      <w:rFonts w:hint="eastAsia"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占地面积85m</w:t>
                  </w:r>
                  <w:r>
                    <w:rPr>
                      <w:rFonts w:hint="eastAsia"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，尺寸5</w:t>
                  </w:r>
                  <w:r>
                    <w:rPr>
                      <w:rFonts w:hint="default"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17m。主要贮存HW17表面处理废物（全部）</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color w:val="000000" w:themeColor="text1"/>
                      <w:kern w:val="24"/>
                      <w:sz w:val="21"/>
                      <w:szCs w:val="21"/>
                      <w:highlight w:val="none"/>
                      <w:lang w:val="en-US" w:eastAsia="zh-CN"/>
                      <w14:textFill>
                        <w14:solidFill>
                          <w14:schemeClr w14:val="tx1"/>
                        </w14:solidFill>
                      </w14:textFill>
                    </w:rPr>
                    <w:t>分区</w:t>
                  </w:r>
                  <w:r>
                    <w:rPr>
                      <w:rFonts w:hint="eastAsia" w:cs="Times New Roman"/>
                      <w:bCs/>
                      <w:color w:val="000000" w:themeColor="text1"/>
                      <w:sz w:val="21"/>
                      <w:szCs w:val="21"/>
                      <w:highlight w:val="none"/>
                      <w:lang w:val="en-US" w:eastAsia="zh-CN"/>
                      <w14:textFill>
                        <w14:solidFill>
                          <w14:schemeClr w14:val="tx1"/>
                        </w14:solidFill>
                      </w14:textFill>
                    </w:rPr>
                    <w:t>设置1.5m高金属隔断，裙角高度为200mm，最大储存量为50t。</w:t>
                  </w:r>
                </w:p>
              </w:tc>
              <w:tc>
                <w:tcPr>
                  <w:tcW w:w="1032" w:type="pct"/>
                  <w:tcBorders>
                    <w:tl2br w:val="nil"/>
                    <w:tr2bl w:val="nil"/>
                  </w:tcBorders>
                  <w:noWrap w:val="0"/>
                  <w:vAlign w:val="center"/>
                </w:tcPr>
                <w:p w14:paraId="5AFB420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snapToGrid w:val="0"/>
                      <w:color w:val="000000" w:themeColor="text1"/>
                      <w:kern w:val="0"/>
                      <w:sz w:val="21"/>
                      <w:szCs w:val="21"/>
                      <w:highlight w:val="none"/>
                      <w:lang w:val="en-US" w:eastAsia="zh-CN"/>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非甲烷总烃、硫化氢、臭气浓度</w:t>
                  </w:r>
                </w:p>
              </w:tc>
            </w:tr>
            <w:tr w14:paraId="17B8DE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90" w:hRule="atLeast"/>
              </w:trPr>
              <w:tc>
                <w:tcPr>
                  <w:tcW w:w="401" w:type="pct"/>
                  <w:tcBorders>
                    <w:tl2br w:val="nil"/>
                    <w:tr2bl w:val="nil"/>
                  </w:tcBorders>
                  <w:shd w:val="clear" w:color="auto" w:fill="auto"/>
                  <w:noWrap w:val="0"/>
                  <w:vAlign w:val="center"/>
                </w:tcPr>
                <w:p w14:paraId="6D9E92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15#分区</w:t>
                  </w:r>
                </w:p>
              </w:tc>
              <w:tc>
                <w:tcPr>
                  <w:tcW w:w="3566" w:type="pct"/>
                  <w:tcBorders>
                    <w:tl2br w:val="nil"/>
                    <w:tr2bl w:val="nil"/>
                  </w:tcBorders>
                  <w:shd w:val="clear" w:color="auto" w:fill="auto"/>
                  <w:noWrap w:val="0"/>
                  <w:vAlign w:val="center"/>
                </w:tcPr>
                <w:p w14:paraId="1301A2F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占地面积85m</w:t>
                  </w:r>
                  <w:r>
                    <w:rPr>
                      <w:rFonts w:hint="eastAsia"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，尺寸5</w:t>
                  </w:r>
                  <w:r>
                    <w:rPr>
                      <w:rFonts w:hint="default"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17m。</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主要</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贮存</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HW34废酸</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（全部）</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color w:val="000000" w:themeColor="text1"/>
                      <w:kern w:val="24"/>
                      <w:sz w:val="21"/>
                      <w:szCs w:val="21"/>
                      <w:highlight w:val="none"/>
                      <w:lang w:val="en-US" w:eastAsia="zh-CN"/>
                      <w14:textFill>
                        <w14:solidFill>
                          <w14:schemeClr w14:val="tx1"/>
                        </w14:solidFill>
                      </w14:textFill>
                    </w:rPr>
                    <w:t>分区</w:t>
                  </w:r>
                  <w:r>
                    <w:rPr>
                      <w:rFonts w:hint="eastAsia" w:cs="Times New Roman"/>
                      <w:bCs/>
                      <w:color w:val="000000" w:themeColor="text1"/>
                      <w:sz w:val="21"/>
                      <w:szCs w:val="21"/>
                      <w:highlight w:val="none"/>
                      <w:lang w:val="en-US" w:eastAsia="zh-CN"/>
                      <w14:textFill>
                        <w14:solidFill>
                          <w14:schemeClr w14:val="tx1"/>
                        </w14:solidFill>
                      </w14:textFill>
                    </w:rPr>
                    <w:t>设置1.5m高金属隔断，裙角高度为200mm，最大储存量为50t。</w:t>
                  </w:r>
                </w:p>
              </w:tc>
              <w:tc>
                <w:tcPr>
                  <w:tcW w:w="1032" w:type="pct"/>
                  <w:tcBorders>
                    <w:tl2br w:val="nil"/>
                    <w:tr2bl w:val="nil"/>
                  </w:tcBorders>
                  <w:noWrap w:val="0"/>
                  <w:vAlign w:val="center"/>
                </w:tcPr>
                <w:p w14:paraId="5D789C6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snapToGrid w:val="0"/>
                      <w:color w:val="000000" w:themeColor="text1"/>
                      <w:kern w:val="0"/>
                      <w:sz w:val="21"/>
                      <w:szCs w:val="21"/>
                      <w:highlight w:val="none"/>
                      <w:lang w:val="en-US" w:eastAsia="zh-CN"/>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HCl</w:t>
                  </w:r>
                </w:p>
              </w:tc>
            </w:tr>
            <w:tr w14:paraId="75FB98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54" w:hRule="atLeast"/>
              </w:trPr>
              <w:tc>
                <w:tcPr>
                  <w:tcW w:w="401" w:type="pct"/>
                  <w:tcBorders>
                    <w:tl2br w:val="nil"/>
                    <w:tr2bl w:val="nil"/>
                  </w:tcBorders>
                  <w:shd w:val="clear" w:color="auto" w:fill="auto"/>
                  <w:noWrap w:val="0"/>
                  <w:vAlign w:val="center"/>
                </w:tcPr>
                <w:p w14:paraId="63CEC0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16#分区</w:t>
                  </w:r>
                </w:p>
              </w:tc>
              <w:tc>
                <w:tcPr>
                  <w:tcW w:w="3566" w:type="pct"/>
                  <w:tcBorders>
                    <w:tl2br w:val="nil"/>
                    <w:tr2bl w:val="nil"/>
                  </w:tcBorders>
                  <w:shd w:val="clear" w:color="auto" w:fill="auto"/>
                  <w:noWrap w:val="0"/>
                  <w:vAlign w:val="center"/>
                </w:tcPr>
                <w:p w14:paraId="40B43E0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占地面积85m</w:t>
                  </w:r>
                  <w:r>
                    <w:rPr>
                      <w:rFonts w:hint="eastAsia"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，尺寸5</w:t>
                  </w:r>
                  <w:r>
                    <w:rPr>
                      <w:rFonts w:hint="default"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17m。</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主要</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贮存</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HW36石棉废物</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（全部）</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color w:val="000000" w:themeColor="text1"/>
                      <w:kern w:val="24"/>
                      <w:sz w:val="21"/>
                      <w:szCs w:val="21"/>
                      <w:highlight w:val="none"/>
                      <w:lang w:val="en-US" w:eastAsia="zh-CN"/>
                      <w14:textFill>
                        <w14:solidFill>
                          <w14:schemeClr w14:val="tx1"/>
                        </w14:solidFill>
                      </w14:textFill>
                    </w:rPr>
                    <w:t>分区</w:t>
                  </w:r>
                  <w:r>
                    <w:rPr>
                      <w:rFonts w:hint="eastAsia" w:cs="Times New Roman"/>
                      <w:bCs/>
                      <w:color w:val="000000" w:themeColor="text1"/>
                      <w:sz w:val="21"/>
                      <w:szCs w:val="21"/>
                      <w:highlight w:val="none"/>
                      <w:lang w:val="en-US" w:eastAsia="zh-CN"/>
                      <w14:textFill>
                        <w14:solidFill>
                          <w14:schemeClr w14:val="tx1"/>
                        </w14:solidFill>
                      </w14:textFill>
                    </w:rPr>
                    <w:t>设置1.5m高金属隔断，裙角高度为200mm，最大储存量为50t。</w:t>
                  </w:r>
                </w:p>
              </w:tc>
              <w:tc>
                <w:tcPr>
                  <w:tcW w:w="1032" w:type="pct"/>
                  <w:tcBorders>
                    <w:tl2br w:val="nil"/>
                    <w:tr2bl w:val="nil"/>
                  </w:tcBorders>
                  <w:noWrap w:val="0"/>
                  <w:vAlign w:val="center"/>
                </w:tcPr>
                <w:p w14:paraId="1C4640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snapToGrid w:val="0"/>
                      <w:color w:val="000000" w:themeColor="text1"/>
                      <w:kern w:val="0"/>
                      <w:sz w:val="21"/>
                      <w:szCs w:val="21"/>
                      <w:highlight w:val="none"/>
                      <w:lang w:val="en-US" w:eastAsia="zh-CN"/>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w:t>
                  </w:r>
                </w:p>
              </w:tc>
            </w:tr>
            <w:tr w14:paraId="5B5EFA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76" w:hRule="atLeast"/>
              </w:trPr>
              <w:tc>
                <w:tcPr>
                  <w:tcW w:w="401" w:type="pct"/>
                  <w:tcBorders>
                    <w:tl2br w:val="nil"/>
                    <w:tr2bl w:val="nil"/>
                  </w:tcBorders>
                  <w:shd w:val="clear" w:color="auto" w:fill="auto"/>
                  <w:noWrap w:val="0"/>
                  <w:vAlign w:val="center"/>
                </w:tcPr>
                <w:p w14:paraId="3217B8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17#分区</w:t>
                  </w:r>
                </w:p>
              </w:tc>
              <w:tc>
                <w:tcPr>
                  <w:tcW w:w="3566" w:type="pct"/>
                  <w:tcBorders>
                    <w:tl2br w:val="nil"/>
                    <w:tr2bl w:val="nil"/>
                  </w:tcBorders>
                  <w:shd w:val="clear" w:color="auto" w:fill="auto"/>
                  <w:noWrap w:val="0"/>
                  <w:vAlign w:val="center"/>
                </w:tcPr>
                <w:p w14:paraId="06FD0F9C">
                  <w:pPr>
                    <w:keepNext w:val="0"/>
                    <w:keepLines w:val="0"/>
                    <w:widowControl/>
                    <w:suppressLineNumbers w:val="0"/>
                    <w:jc w:val="left"/>
                    <w:rPr>
                      <w:rFonts w:hint="eastAsia"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占地面积85m</w:t>
                  </w:r>
                  <w:r>
                    <w:rPr>
                      <w:rFonts w:hint="eastAsia"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，尺寸5</w:t>
                  </w:r>
                  <w:r>
                    <w:rPr>
                      <w:rFonts w:hint="default"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17m。</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主要</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贮存</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HW</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48有色金属采选和冶炼废物（全部）</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color w:val="000000" w:themeColor="text1"/>
                      <w:kern w:val="24"/>
                      <w:sz w:val="21"/>
                      <w:szCs w:val="21"/>
                      <w:highlight w:val="none"/>
                      <w:lang w:val="en-US" w:eastAsia="zh-CN"/>
                      <w14:textFill>
                        <w14:solidFill>
                          <w14:schemeClr w14:val="tx1"/>
                        </w14:solidFill>
                      </w14:textFill>
                    </w:rPr>
                    <w:t>分区</w:t>
                  </w:r>
                  <w:r>
                    <w:rPr>
                      <w:rFonts w:hint="eastAsia" w:cs="Times New Roman"/>
                      <w:bCs/>
                      <w:color w:val="000000" w:themeColor="text1"/>
                      <w:sz w:val="21"/>
                      <w:szCs w:val="21"/>
                      <w:highlight w:val="none"/>
                      <w:lang w:val="en-US" w:eastAsia="zh-CN"/>
                      <w14:textFill>
                        <w14:solidFill>
                          <w14:schemeClr w14:val="tx1"/>
                        </w14:solidFill>
                      </w14:textFill>
                    </w:rPr>
                    <w:t>设置1.5m高金属隔断，裙角高度为200mm，最大储存量为50t。</w:t>
                  </w:r>
                </w:p>
              </w:tc>
              <w:tc>
                <w:tcPr>
                  <w:tcW w:w="1032" w:type="pct"/>
                  <w:tcBorders>
                    <w:tl2br w:val="nil"/>
                    <w:tr2bl w:val="nil"/>
                  </w:tcBorders>
                  <w:noWrap w:val="0"/>
                  <w:vAlign w:val="center"/>
                </w:tcPr>
                <w:p w14:paraId="6CAA8D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snapToGrid w:val="0"/>
                      <w:color w:val="000000" w:themeColor="text1"/>
                      <w:kern w:val="0"/>
                      <w:sz w:val="21"/>
                      <w:szCs w:val="21"/>
                      <w:highlight w:val="none"/>
                      <w:lang w:val="en-US" w:eastAsia="zh-CN"/>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氨、硫化氢、臭气浓度</w:t>
                  </w:r>
                </w:p>
              </w:tc>
            </w:tr>
            <w:tr w14:paraId="3D4D2A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76" w:hRule="atLeast"/>
              </w:trPr>
              <w:tc>
                <w:tcPr>
                  <w:tcW w:w="401" w:type="pct"/>
                  <w:tcBorders>
                    <w:tl2br w:val="nil"/>
                    <w:tr2bl w:val="nil"/>
                  </w:tcBorders>
                  <w:shd w:val="clear" w:color="auto" w:fill="auto"/>
                  <w:noWrap w:val="0"/>
                  <w:vAlign w:val="center"/>
                </w:tcPr>
                <w:p w14:paraId="1C037A0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18#分区</w:t>
                  </w:r>
                </w:p>
              </w:tc>
              <w:tc>
                <w:tcPr>
                  <w:tcW w:w="3566" w:type="pct"/>
                  <w:tcBorders>
                    <w:tl2br w:val="nil"/>
                    <w:tr2bl w:val="nil"/>
                  </w:tcBorders>
                  <w:shd w:val="clear" w:color="auto" w:fill="auto"/>
                  <w:noWrap w:val="0"/>
                  <w:vAlign w:val="center"/>
                </w:tcPr>
                <w:p w14:paraId="4341848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占地面积90m</w:t>
                  </w:r>
                  <w:r>
                    <w:rPr>
                      <w:rFonts w:hint="eastAsia"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，尺寸5</w:t>
                  </w:r>
                  <w:r>
                    <w:rPr>
                      <w:rFonts w:hint="default"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18m。</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主要</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贮存</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HW49其他废物</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（全部）</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color w:val="000000" w:themeColor="text1"/>
                      <w:kern w:val="24"/>
                      <w:sz w:val="21"/>
                      <w:szCs w:val="21"/>
                      <w:highlight w:val="none"/>
                      <w:lang w:val="en-US" w:eastAsia="zh-CN"/>
                      <w14:textFill>
                        <w14:solidFill>
                          <w14:schemeClr w14:val="tx1"/>
                        </w14:solidFill>
                      </w14:textFill>
                    </w:rPr>
                    <w:t>分区</w:t>
                  </w:r>
                  <w:r>
                    <w:rPr>
                      <w:rFonts w:hint="eastAsia" w:cs="Times New Roman"/>
                      <w:bCs/>
                      <w:color w:val="000000" w:themeColor="text1"/>
                      <w:sz w:val="21"/>
                      <w:szCs w:val="21"/>
                      <w:highlight w:val="none"/>
                      <w:lang w:val="en-US" w:eastAsia="zh-CN"/>
                      <w14:textFill>
                        <w14:solidFill>
                          <w14:schemeClr w14:val="tx1"/>
                        </w14:solidFill>
                      </w14:textFill>
                    </w:rPr>
                    <w:t>设置1.5m高金属隔断，裙角高度为200mm，最大储存量为50t。</w:t>
                  </w:r>
                </w:p>
              </w:tc>
              <w:tc>
                <w:tcPr>
                  <w:tcW w:w="1032" w:type="pct"/>
                  <w:tcBorders>
                    <w:tl2br w:val="nil"/>
                    <w:tr2bl w:val="nil"/>
                  </w:tcBorders>
                  <w:noWrap w:val="0"/>
                  <w:vAlign w:val="center"/>
                </w:tcPr>
                <w:p w14:paraId="4284430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snapToGrid w:val="0"/>
                      <w:color w:val="000000" w:themeColor="text1"/>
                      <w:kern w:val="0"/>
                      <w:sz w:val="21"/>
                      <w:szCs w:val="21"/>
                      <w:highlight w:val="none"/>
                      <w:lang w:val="en-US" w:eastAsia="zh-CN"/>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非甲烷总烃、氨、硫化氢、臭气浓度</w:t>
                  </w:r>
                </w:p>
              </w:tc>
            </w:tr>
            <w:tr w14:paraId="39770B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74" w:hRule="atLeast"/>
              </w:trPr>
              <w:tc>
                <w:tcPr>
                  <w:tcW w:w="401" w:type="pct"/>
                  <w:tcBorders>
                    <w:tl2br w:val="nil"/>
                    <w:tr2bl w:val="nil"/>
                  </w:tcBorders>
                  <w:shd w:val="clear" w:color="auto" w:fill="auto"/>
                  <w:noWrap w:val="0"/>
                  <w:vAlign w:val="center"/>
                </w:tcPr>
                <w:p w14:paraId="46635E9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19#分区</w:t>
                  </w:r>
                </w:p>
              </w:tc>
              <w:tc>
                <w:tcPr>
                  <w:tcW w:w="3566" w:type="pct"/>
                  <w:tcBorders>
                    <w:tl2br w:val="nil"/>
                    <w:tr2bl w:val="nil"/>
                  </w:tcBorders>
                  <w:shd w:val="clear" w:color="auto" w:fill="auto"/>
                  <w:noWrap w:val="0"/>
                  <w:vAlign w:val="center"/>
                </w:tcPr>
                <w:p w14:paraId="03BE606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占地面积90m</w:t>
                  </w:r>
                  <w:r>
                    <w:rPr>
                      <w:rFonts w:hint="eastAsia"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，尺寸5</w:t>
                  </w:r>
                  <w:r>
                    <w:rPr>
                      <w:rFonts w:hint="default"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18m。</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主要</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贮存</w:t>
                  </w:r>
                  <w:r>
                    <w:rPr>
                      <w:rFonts w:hint="default" w:ascii="Times New Roman" w:hAnsi="Times New Roman" w:eastAsia="宋体" w:cs="Times New Roman"/>
                      <w:snapToGrid w:val="0"/>
                      <w:color w:val="000000" w:themeColor="text1"/>
                      <w:kern w:val="0"/>
                      <w:sz w:val="21"/>
                      <w:szCs w:val="21"/>
                      <w:highlight w:val="none"/>
                      <w:vertAlign w:val="baseline"/>
                      <w:lang w:val="en-US" w:eastAsia="zh-CN"/>
                      <w14:textFill>
                        <w14:solidFill>
                          <w14:schemeClr w14:val="tx1"/>
                        </w14:solidFill>
                      </w14:textFill>
                    </w:rPr>
                    <w:t>HW50废催化剂</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（全部）</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color w:val="000000" w:themeColor="text1"/>
                      <w:kern w:val="24"/>
                      <w:sz w:val="21"/>
                      <w:szCs w:val="21"/>
                      <w:highlight w:val="none"/>
                      <w:lang w:val="en-US" w:eastAsia="zh-CN"/>
                      <w14:textFill>
                        <w14:solidFill>
                          <w14:schemeClr w14:val="tx1"/>
                        </w14:solidFill>
                      </w14:textFill>
                    </w:rPr>
                    <w:t>分区</w:t>
                  </w:r>
                  <w:r>
                    <w:rPr>
                      <w:rFonts w:hint="eastAsia" w:cs="Times New Roman"/>
                      <w:bCs/>
                      <w:color w:val="000000" w:themeColor="text1"/>
                      <w:sz w:val="21"/>
                      <w:szCs w:val="21"/>
                      <w:highlight w:val="none"/>
                      <w:lang w:val="en-US" w:eastAsia="zh-CN"/>
                      <w14:textFill>
                        <w14:solidFill>
                          <w14:schemeClr w14:val="tx1"/>
                        </w14:solidFill>
                      </w14:textFill>
                    </w:rPr>
                    <w:t>设置1.5m高金属隔断，裙角高度为200mm，最大储存量为50t。</w:t>
                  </w:r>
                </w:p>
              </w:tc>
              <w:tc>
                <w:tcPr>
                  <w:tcW w:w="1032" w:type="pct"/>
                  <w:tcBorders>
                    <w:tl2br w:val="nil"/>
                    <w:tr2bl w:val="nil"/>
                  </w:tcBorders>
                  <w:noWrap w:val="0"/>
                  <w:vAlign w:val="center"/>
                </w:tcPr>
                <w:p w14:paraId="111B77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cs="Times New Roman"/>
                      <w:snapToGrid w:val="0"/>
                      <w:color w:val="000000" w:themeColor="text1"/>
                      <w:kern w:val="0"/>
                      <w:sz w:val="21"/>
                      <w:szCs w:val="21"/>
                      <w:highlight w:val="none"/>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非甲烷总烃、氨、硫化氢、臭气浓度</w:t>
                  </w:r>
                </w:p>
              </w:tc>
            </w:tr>
            <w:tr w14:paraId="6CBF26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4" w:hRule="atLeast"/>
              </w:trPr>
              <w:tc>
                <w:tcPr>
                  <w:tcW w:w="401" w:type="pct"/>
                  <w:tcBorders>
                    <w:tl2br w:val="nil"/>
                    <w:tr2bl w:val="nil"/>
                  </w:tcBorders>
                  <w:shd w:val="clear" w:color="auto" w:fill="auto"/>
                  <w:noWrap w:val="0"/>
                  <w:vAlign w:val="center"/>
                </w:tcPr>
                <w:p w14:paraId="57DAAE8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20#分区</w:t>
                  </w:r>
                </w:p>
              </w:tc>
              <w:tc>
                <w:tcPr>
                  <w:tcW w:w="3566" w:type="pct"/>
                  <w:tcBorders>
                    <w:tl2br w:val="nil"/>
                    <w:tr2bl w:val="nil"/>
                  </w:tcBorders>
                  <w:shd w:val="clear" w:color="auto" w:fill="auto"/>
                  <w:noWrap w:val="0"/>
                  <w:vAlign w:val="center"/>
                </w:tcPr>
                <w:p w14:paraId="3772FE3E">
                  <w:pPr>
                    <w:keepNext w:val="0"/>
                    <w:keepLines w:val="0"/>
                    <w:widowControl/>
                    <w:suppressLineNumbers w:val="0"/>
                    <w:jc w:val="left"/>
                    <w:rPr>
                      <w:rFonts w:hint="default" w:ascii="Times New Roman" w:hAnsi="Times New Roman" w:eastAsia="宋体" w:cs="Times New Roman"/>
                      <w:snapToGrid w:val="0"/>
                      <w:color w:val="000000" w:themeColor="text1"/>
                      <w:kern w:val="0"/>
                      <w:sz w:val="21"/>
                      <w:szCs w:val="21"/>
                      <w:highlight w:val="none"/>
                      <w:vertAlign w:val="baseli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占地面积180m</w:t>
                  </w:r>
                  <w:r>
                    <w:rPr>
                      <w:rFonts w:hint="eastAsia" w:cs="Times New Roman"/>
                      <w:snapToGrid w:val="0"/>
                      <w:color w:val="000000" w:themeColor="text1"/>
                      <w:kern w:val="0"/>
                      <w:sz w:val="21"/>
                      <w:szCs w:val="21"/>
                      <w:highlight w:val="none"/>
                      <w:vertAlign w:val="superscript"/>
                      <w:lang w:val="en-US" w:eastAsia="zh-CN"/>
                      <w14:textFill>
                        <w14:solidFill>
                          <w14:schemeClr w14:val="tx1"/>
                        </w14:solidFill>
                      </w14:textFill>
                    </w:rPr>
                    <w:t>2</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，尺寸10</w:t>
                  </w:r>
                  <w:r>
                    <w:rPr>
                      <w:rFonts w:hint="default"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18m</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。主要</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贮存</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HW</w:t>
                  </w:r>
                  <w:r>
                    <w:rPr>
                      <w:rFonts w:hint="eastAsia" w:cs="Times New Roman"/>
                      <w:snapToGrid w:val="0"/>
                      <w:color w:val="000000" w:themeColor="text1"/>
                      <w:kern w:val="0"/>
                      <w:sz w:val="21"/>
                      <w:szCs w:val="21"/>
                      <w:highlight w:val="none"/>
                      <w:vertAlign w:val="baseline"/>
                      <w:lang w:val="en-US" w:eastAsia="zh-CN"/>
                      <w14:textFill>
                        <w14:solidFill>
                          <w14:schemeClr w14:val="tx1"/>
                        </w14:solidFill>
                      </w14:textFill>
                    </w:rPr>
                    <w:t>18焚烧处置残渣（全部）</w:t>
                  </w:r>
                  <w:r>
                    <w:rPr>
                      <w:rFonts w:hint="eastAsia" w:ascii="Times New Roman" w:hAnsi="Times New Roman" w:cs="Times New Roman"/>
                      <w:snapToGrid w:val="0"/>
                      <w:color w:val="000000" w:themeColor="text1"/>
                      <w:kern w:val="0"/>
                      <w:sz w:val="21"/>
                      <w:szCs w:val="21"/>
                      <w:highlight w:val="none"/>
                      <w:vertAlign w:val="baseline"/>
                      <w:lang w:val="en-US" w:eastAsia="zh-CN"/>
                      <w14:textFill>
                        <w14:solidFill>
                          <w14:schemeClr w14:val="tx1"/>
                        </w14:solidFill>
                      </w14:textFill>
                    </w:rPr>
                    <w:t>，</w:t>
                  </w:r>
                  <w:r>
                    <w:rPr>
                      <w:rFonts w:hint="eastAsia" w:cs="Times New Roman"/>
                      <w:color w:val="000000" w:themeColor="text1"/>
                      <w:kern w:val="24"/>
                      <w:sz w:val="21"/>
                      <w:szCs w:val="21"/>
                      <w:highlight w:val="none"/>
                      <w:lang w:val="en-US" w:eastAsia="zh-CN"/>
                      <w14:textFill>
                        <w14:solidFill>
                          <w14:schemeClr w14:val="tx1"/>
                        </w14:solidFill>
                      </w14:textFill>
                    </w:rPr>
                    <w:t>分区</w:t>
                  </w:r>
                  <w:r>
                    <w:rPr>
                      <w:rFonts w:hint="eastAsia" w:cs="Times New Roman"/>
                      <w:bCs/>
                      <w:color w:val="000000" w:themeColor="text1"/>
                      <w:sz w:val="21"/>
                      <w:szCs w:val="21"/>
                      <w:highlight w:val="none"/>
                      <w:lang w:val="en-US" w:eastAsia="zh-CN"/>
                      <w14:textFill>
                        <w14:solidFill>
                          <w14:schemeClr w14:val="tx1"/>
                        </w14:solidFill>
                      </w14:textFill>
                    </w:rPr>
                    <w:t>设置1.5m高金属隔断，裙角高度为200mm，最大储存量为100t。</w:t>
                  </w:r>
                </w:p>
              </w:tc>
              <w:tc>
                <w:tcPr>
                  <w:tcW w:w="1032" w:type="pct"/>
                  <w:tcBorders>
                    <w:tl2br w:val="nil"/>
                    <w:tr2bl w:val="nil"/>
                  </w:tcBorders>
                  <w:noWrap w:val="0"/>
                  <w:vAlign w:val="center"/>
                </w:tcPr>
                <w:p w14:paraId="4BD4647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snapToGrid w:val="0"/>
                      <w:color w:val="000000" w:themeColor="text1"/>
                      <w:kern w:val="0"/>
                      <w:sz w:val="21"/>
                      <w:szCs w:val="21"/>
                      <w:highlight w:val="none"/>
                      <w:lang w:val="en-US" w:eastAsia="zh-CN"/>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氨、硫化氢、臭气浓度</w:t>
                  </w:r>
                </w:p>
              </w:tc>
            </w:tr>
          </w:tbl>
          <w:p w14:paraId="69C5F5DE">
            <w:pPr>
              <w:pStyle w:val="26"/>
              <w:keepNext w:val="0"/>
              <w:keepLines w:val="0"/>
              <w:pageBreakBefore w:val="0"/>
              <w:widowControl/>
              <w:kinsoku/>
              <w:wordWrap/>
              <w:overflowPunct/>
              <w:topLinePunct w:val="0"/>
              <w:autoSpaceDE/>
              <w:autoSpaceDN/>
              <w:bidi w:val="0"/>
              <w:adjustRightInd/>
              <w:snapToGrid w:val="0"/>
              <w:spacing w:before="0" w:after="0" w:line="360" w:lineRule="auto"/>
              <w:ind w:right="0" w:firstLine="482" w:firstLineChars="200"/>
              <w:jc w:val="both"/>
              <w:textAlignment w:val="auto"/>
              <w:rPr>
                <w:rFonts w:hint="default" w:ascii="Times New Roman" w:hAnsi="Times New Roman" w:cs="Times New Roman" w:eastAsiaTheme="majorEastAsia"/>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eastAsiaTheme="majorEastAsia"/>
                <w:b/>
                <w:bCs/>
                <w:color w:val="000000" w:themeColor="text1"/>
                <w:sz w:val="24"/>
                <w:szCs w:val="24"/>
                <w:highlight w:val="none"/>
                <w:lang w:val="en-US" w:eastAsia="zh-CN"/>
                <w14:textFill>
                  <w14:solidFill>
                    <w14:schemeClr w14:val="tx1"/>
                  </w14:solidFill>
                </w14:textFill>
              </w:rPr>
              <w:t>1</w:t>
            </w:r>
            <w:r>
              <w:rPr>
                <w:rFonts w:hint="default" w:ascii="Times New Roman" w:hAnsi="Times New Roman" w:cs="Times New Roman" w:eastAsiaTheme="majorEastAsia"/>
                <w:b/>
                <w:bCs/>
                <w:color w:val="000000" w:themeColor="text1"/>
                <w:sz w:val="24"/>
                <w:szCs w:val="24"/>
                <w:highlight w:val="none"/>
                <w:lang w:val="en-US" w:eastAsia="zh-CN"/>
                <w14:textFill>
                  <w14:solidFill>
                    <w14:schemeClr w14:val="tx1"/>
                  </w14:solidFill>
                </w14:textFill>
              </w:rPr>
              <w:t>、废气源强分析</w:t>
            </w:r>
          </w:p>
          <w:p w14:paraId="1F30926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挥发性有机废气</w:t>
            </w:r>
          </w:p>
          <w:p w14:paraId="229D329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项目危废贮存过程中挥发的有机废气主要来源于</w:t>
            </w:r>
            <w:r>
              <w:rPr>
                <w:rFonts w:hint="default" w:ascii="Times New Roman" w:hAnsi="Times New Roman" w:eastAsia="宋体" w:cs="Times New Roman"/>
                <w:snapToGrid w:val="0"/>
                <w:color w:val="000000" w:themeColor="text1"/>
                <w:kern w:val="0"/>
                <w:sz w:val="24"/>
                <w:szCs w:val="24"/>
                <w:highlight w:val="none"/>
                <w:vertAlign w:val="baseline"/>
                <w:lang w:val="en-US" w:eastAsia="zh-CN"/>
                <w14:textFill>
                  <w14:solidFill>
                    <w14:schemeClr w14:val="tx1"/>
                  </w14:solidFill>
                </w14:textFill>
              </w:rPr>
              <w:t>HW09、HW11、HW12、HW13、HW03、HW16、HW02、HW04、</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HW06、</w:t>
            </w:r>
            <w:r>
              <w:rPr>
                <w:rFonts w:hint="default" w:ascii="Times New Roman" w:hAnsi="Times New Roman" w:eastAsia="宋体" w:cs="Times New Roman"/>
                <w:snapToGrid w:val="0"/>
                <w:color w:val="000000" w:themeColor="text1"/>
                <w:kern w:val="0"/>
                <w:sz w:val="24"/>
                <w:szCs w:val="24"/>
                <w:highlight w:val="none"/>
                <w:vertAlign w:val="baseline"/>
                <w:lang w:val="en-US" w:eastAsia="zh-CN"/>
                <w14:textFill>
                  <w14:solidFill>
                    <w14:schemeClr w14:val="tx1"/>
                  </w14:solidFill>
                </w14:textFill>
              </w:rPr>
              <w:t>HW08、HW17、HW49、HW50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等贮存过程中的挥发。由于本项目仅为中转暂存，危险废物用袋/桶装密封储存，同时储存过程中不存在倒罐、重新分装等，因此正常储存过程中产生的有机废气很少，有机废气的产生主要有密封不严、包装破碎等原因。</w:t>
            </w:r>
          </w:p>
          <w:p w14:paraId="3E7C3B7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类比其他同类型项目，《东阳市易源环保科技有限公司年收集转运10000吨危险废物技改项目竣工环境保护验收监测报告》：危险废物周转规模为10000t，收集类别为HW02、HW03、HW04、HW06、HW08、HW09、HW12、HW13、HW17、HW22、HW29、HW34、HW35、HW49等14个大类80个小类，与本项目收集类别</w:t>
            </w:r>
            <w:r>
              <w:rPr>
                <w:rFonts w:hint="eastAsia" w:cs="Times New Roman"/>
                <w:color w:val="000000" w:themeColor="text1"/>
                <w:sz w:val="24"/>
                <w:szCs w:val="24"/>
                <w:highlight w:val="none"/>
                <w:lang w:val="en-US" w:eastAsia="zh-CN"/>
                <w14:textFill>
                  <w14:solidFill>
                    <w14:schemeClr w14:val="tx1"/>
                  </w14:solidFill>
                </w14:textFill>
              </w:rPr>
              <w:t>类似</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，挥发性有机物进口浓度为33.6mg/m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，生产负荷为86.38%，每吨危废的VOCs（以非甲烷总烃计）产生系数约0.351kg/t。</w:t>
            </w:r>
          </w:p>
          <w:p w14:paraId="2AC7B69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《温州市环境科技有限公司苍南县小微危险废物一站式服务中心建设项目环境保护验收监测报告表》：危险废物周转规模为10000t，主要收集、贮存HW12、HW49等危险废物，与本项目收集类别</w:t>
            </w:r>
            <w:r>
              <w:rPr>
                <w:rFonts w:hint="eastAsia" w:cs="Times New Roman"/>
                <w:color w:val="000000" w:themeColor="text1"/>
                <w:sz w:val="24"/>
                <w:szCs w:val="24"/>
                <w:highlight w:val="none"/>
                <w:lang w:val="en-US" w:eastAsia="zh-CN"/>
                <w14:textFill>
                  <w14:solidFill>
                    <w14:schemeClr w14:val="tx1"/>
                  </w14:solidFill>
                </w14:textFill>
              </w:rPr>
              <w:t>类似</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，挥发性有机物进口浓度为11.6mg/m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，生产负荷为100%，每吨危废的VOCs（以非甲烷总烃计）产生系数约0.142kg/t。</w:t>
            </w:r>
          </w:p>
          <w:p w14:paraId="6D52B64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安徽省慈航环保科技有限公司六安市中小微企业危险废物集中收集贮存转运中心项目竣工环境保护验收监测报告》：危险废物周转规模为25000t，项目立足六安各区县，对全市各工业企业和各大院校化学试剂及社会源危险废物进行集中收集、临时贮存并进行分类后转移至省内危险废物处置中心进行安全处置。项目年收集、贮存、转运各类危险废物25000吨，可基本满足解决全市中小微企业危险废物的管理、去向。设置1个固体危险废物暂存区（最大暂存425t）和1个液体危险废物暂存区（最大暂存175t），主要收集贮存HW08、HW04、HW49等，共计储存危险废物种类44大类，与本项目收集类别</w:t>
            </w:r>
            <w:r>
              <w:rPr>
                <w:rFonts w:hint="eastAsia" w:cs="Times New Roman"/>
                <w:color w:val="000000" w:themeColor="text1"/>
                <w:sz w:val="24"/>
                <w:szCs w:val="24"/>
                <w:highlight w:val="none"/>
                <w:lang w:val="en-US" w:eastAsia="zh-CN"/>
                <w14:textFill>
                  <w14:solidFill>
                    <w14:schemeClr w14:val="tx1"/>
                  </w14:solidFill>
                </w14:textFill>
              </w:rPr>
              <w:t>类似</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，挥发性有机物进口浓度为29.3mg/m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，生产负荷为81.85%，每吨危废的VOCs（以非甲烷总烃计）产生系数约0.054kg/t。</w:t>
            </w:r>
          </w:p>
          <w:p w14:paraId="28EB45E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上述类似项目每吨危废的VOCs（以非甲烷总烃计）产生系数在0.054-0.351kg/t之间。本项目危险废物贮存过程中VOCs（以非甲烷总烃计）产生系数取</w:t>
            </w:r>
            <w:r>
              <w:rPr>
                <w:rFonts w:hint="eastAsia" w:cs="Times New Roman"/>
                <w:color w:val="000000" w:themeColor="text1"/>
                <w:sz w:val="24"/>
                <w:szCs w:val="24"/>
                <w:highlight w:val="none"/>
                <w:lang w:val="en-US" w:eastAsia="zh-CN"/>
                <w14:textFill>
                  <w14:solidFill>
                    <w14:schemeClr w14:val="tx1"/>
                  </w14:solidFill>
                </w14:textFill>
              </w:rPr>
              <w:t>平均值</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0.182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kg/t。本项目产生有机废气的危险废物年最大中转量约为</w:t>
            </w:r>
            <w:r>
              <w:rPr>
                <w:rFonts w:hint="eastAsia" w:cs="Times New Roman"/>
                <w:color w:val="000000" w:themeColor="text1"/>
                <w:sz w:val="24"/>
                <w:szCs w:val="24"/>
                <w:highlight w:val="none"/>
                <w:lang w:val="en-US" w:eastAsia="zh-CN"/>
                <w14:textFill>
                  <w14:solidFill>
                    <w14:schemeClr w14:val="tx1"/>
                  </w14:solidFill>
                </w14:textFill>
              </w:rPr>
              <w:t>14880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t，因此VOCs（非甲烷总烃计）产生量约为</w:t>
            </w:r>
            <w:r>
              <w:rPr>
                <w:rFonts w:hint="eastAsia" w:cs="Times New Roman"/>
                <w:color w:val="000000" w:themeColor="text1"/>
                <w:sz w:val="24"/>
                <w:szCs w:val="24"/>
                <w:highlight w:val="none"/>
                <w:lang w:val="en-US" w:eastAsia="zh-CN"/>
                <w14:textFill>
                  <w14:solidFill>
                    <w14:schemeClr w14:val="tx1"/>
                  </w14:solidFill>
                </w14:textFill>
              </w:rPr>
              <w:t>2.7082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t/a，0.</w:t>
            </w:r>
            <w:r>
              <w:rPr>
                <w:rFonts w:hint="eastAsia" w:cs="Times New Roman"/>
                <w:color w:val="000000" w:themeColor="text1"/>
                <w:sz w:val="24"/>
                <w:szCs w:val="24"/>
                <w:highlight w:val="none"/>
                <w:lang w:val="en-US" w:eastAsia="zh-CN"/>
                <w14:textFill>
                  <w14:solidFill>
                    <w14:schemeClr w14:val="tx1"/>
                  </w14:solidFill>
                </w14:textFill>
              </w:rPr>
              <w:t>3092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kg/h。本项目危险废物</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贮存库</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为全密闭，风机总量设置为</w:t>
            </w:r>
            <w:r>
              <w:rPr>
                <w:rFonts w:hint="eastAsia" w:cs="Times New Roman"/>
                <w:color w:val="000000" w:themeColor="text1"/>
                <w:sz w:val="24"/>
                <w:szCs w:val="24"/>
                <w:highlight w:val="none"/>
                <w:lang w:val="en-US" w:eastAsia="zh-CN"/>
                <w14:textFill>
                  <w14:solidFill>
                    <w14:schemeClr w14:val="tx1"/>
                  </w14:solidFill>
                </w14:textFill>
              </w:rPr>
              <w:t>40000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/h，废气负压收集，废气捕集率可在90%以上。废气经</w:t>
            </w:r>
            <w:r>
              <w:rPr>
                <w:rFonts w:hint="eastAsia" w:cs="Times New Roman"/>
                <w:color w:val="000000" w:themeColor="text1"/>
                <w:sz w:val="24"/>
                <w:szCs w:val="24"/>
                <w:highlight w:val="none"/>
                <w:lang w:val="en-US" w:eastAsia="zh-CN"/>
                <w14:textFill>
                  <w14:solidFill>
                    <w14:schemeClr w14:val="tx1"/>
                  </w14:solidFill>
                </w14:textFill>
              </w:rPr>
              <w:t>负压收集</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碱液喷淋吸附装置+二级活性炭吸附装置+15m高排气筒（DA001）高空排放，废气处理效率可达</w:t>
            </w:r>
            <w:r>
              <w:rPr>
                <w:rFonts w:hint="eastAsia" w:cs="Times New Roman"/>
                <w:color w:val="000000" w:themeColor="text1"/>
                <w:sz w:val="24"/>
                <w:szCs w:val="24"/>
                <w:highlight w:val="none"/>
                <w:lang w:val="en-US" w:eastAsia="zh-CN"/>
                <w14:textFill>
                  <w14:solidFill>
                    <w14:schemeClr w14:val="tx1"/>
                  </w14:solidFill>
                </w14:textFill>
              </w:rPr>
              <w:t>9</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0%，则VOCs排放量为0.</w:t>
            </w:r>
            <w:r>
              <w:rPr>
                <w:rFonts w:hint="eastAsia" w:cs="Times New Roman"/>
                <w:color w:val="000000" w:themeColor="text1"/>
                <w:sz w:val="24"/>
                <w:szCs w:val="24"/>
                <w:highlight w:val="none"/>
                <w:lang w:val="en-US" w:eastAsia="zh-CN"/>
                <w14:textFill>
                  <w14:solidFill>
                    <w14:schemeClr w14:val="tx1"/>
                  </w14:solidFill>
                </w14:textFill>
              </w:rPr>
              <w:t>2437</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t/a，排放速率为</w:t>
            </w:r>
            <w:r>
              <w:rPr>
                <w:rFonts w:hint="eastAsia" w:cs="Times New Roman"/>
                <w:color w:val="000000" w:themeColor="text1"/>
                <w:sz w:val="24"/>
                <w:szCs w:val="24"/>
                <w:highlight w:val="none"/>
                <w:lang w:val="en-US" w:eastAsia="zh-CN"/>
                <w14:textFill>
                  <w14:solidFill>
                    <w14:schemeClr w14:val="tx1"/>
                  </w14:solidFill>
                </w14:textFill>
              </w:rPr>
              <w:t>0.0278</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kg/h，排放浓度为</w:t>
            </w:r>
            <w:r>
              <w:rPr>
                <w:rFonts w:hint="eastAsia" w:cs="Times New Roman"/>
                <w:color w:val="000000" w:themeColor="text1"/>
                <w:sz w:val="24"/>
                <w:szCs w:val="24"/>
                <w:highlight w:val="none"/>
                <w:vertAlign w:val="baseline"/>
                <w:lang w:val="en-US" w:eastAsia="zh-CN"/>
                <w14:textFill>
                  <w14:solidFill>
                    <w14:schemeClr w14:val="tx1"/>
                  </w14:solidFill>
                </w14:textFill>
              </w:rPr>
              <w:t>0.70</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mg/m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，满足《大气污染物综合排放标准》（GB16297-1996）表2中二级标准要求（15m高排气筒，10kg/h，120mg/m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）。无组织废气排放量为0.</w:t>
            </w:r>
            <w:r>
              <w:rPr>
                <w:rFonts w:hint="eastAsia" w:cs="Times New Roman"/>
                <w:color w:val="000000" w:themeColor="text1"/>
                <w:sz w:val="24"/>
                <w:szCs w:val="24"/>
                <w:highlight w:val="none"/>
                <w:vertAlign w:val="baseline"/>
                <w:lang w:val="en-US" w:eastAsia="zh-CN"/>
                <w14:textFill>
                  <w14:solidFill>
                    <w14:schemeClr w14:val="tx1"/>
                  </w14:solidFill>
                </w14:textFill>
              </w:rPr>
              <w:t>2708</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t/a</w:t>
            </w:r>
            <w:r>
              <w:rPr>
                <w:rFonts w:hint="eastAsia" w:cs="Times New Roman"/>
                <w:color w:val="000000" w:themeColor="text1"/>
                <w:sz w:val="24"/>
                <w:szCs w:val="24"/>
                <w:highlight w:val="none"/>
                <w:vertAlign w:val="baseline"/>
                <w:lang w:val="en-US" w:eastAsia="zh-CN"/>
                <w14:textFill>
                  <w14:solidFill>
                    <w14:schemeClr w14:val="tx1"/>
                  </w14:solidFill>
                </w14:textFill>
              </w:rPr>
              <w:t>，0.0309</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kg/h。</w:t>
            </w:r>
          </w:p>
          <w:p w14:paraId="3C5DA3D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恶臭气体</w:t>
            </w:r>
          </w:p>
          <w:p w14:paraId="0FBB040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氨、硫化氢和臭气浓度主要来源于各类危废中污泥等贮存过程中的挥发。参照《宿迁宇新固体废物处置有限公司VOC废气综合提升治理与改造项目竣工验收监测报告》，危险废物周转规模为40000t，危废储存类别共计42大类，与本项目收集类别</w:t>
            </w:r>
            <w:r>
              <w:rPr>
                <w:rFonts w:hint="eastAsia" w:cs="Times New Roman"/>
                <w:color w:val="000000" w:themeColor="text1"/>
                <w:sz w:val="24"/>
                <w:szCs w:val="24"/>
                <w:highlight w:val="none"/>
                <w:lang w:val="en-US" w:eastAsia="zh-CN"/>
                <w14:textFill>
                  <w14:solidFill>
                    <w14:schemeClr w14:val="tx1"/>
                  </w14:solidFill>
                </w14:textFill>
              </w:rPr>
              <w:t>类似</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，例行监测报告中，NH</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、H</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S最大产生速率分别为0.365kg/h、</w:t>
            </w:r>
            <w:bookmarkStart w:id="45" w:name="OLE_LINK4"/>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0.00553</w:t>
            </w:r>
            <w:bookmarkEnd w:id="45"/>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kg/h。</w:t>
            </w:r>
          </w:p>
          <w:p w14:paraId="665FF13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本项目危险废物与其相似，类比可得危废贮存库NH</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bookmarkStart w:id="46" w:name="OLE_LINK5"/>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H</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S</w:t>
            </w:r>
            <w:bookmarkEnd w:id="46"/>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最大产生速率分别为0.</w:t>
            </w:r>
            <w:r>
              <w:rPr>
                <w:rFonts w:hint="eastAsia" w:cs="Times New Roman"/>
                <w:color w:val="000000" w:themeColor="text1"/>
                <w:sz w:val="24"/>
                <w:szCs w:val="24"/>
                <w:highlight w:val="none"/>
                <w:lang w:val="en-US" w:eastAsia="zh-CN"/>
                <w14:textFill>
                  <w14:solidFill>
                    <w14:schemeClr w14:val="tx1"/>
                  </w14:solidFill>
                </w14:textFill>
              </w:rPr>
              <w:t>1774</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kg/h、0.00</w:t>
            </w:r>
            <w:r>
              <w:rPr>
                <w:rFonts w:hint="eastAsia" w:cs="Times New Roman"/>
                <w:color w:val="000000" w:themeColor="text1"/>
                <w:sz w:val="24"/>
                <w:szCs w:val="24"/>
                <w:highlight w:val="none"/>
                <w:lang w:val="en-US" w:eastAsia="zh-CN"/>
                <w14:textFill>
                  <w14:solidFill>
                    <w14:schemeClr w14:val="tx1"/>
                  </w14:solidFill>
                </w14:textFill>
              </w:rPr>
              <w:t>27</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kg/h。</w:t>
            </w:r>
            <w:bookmarkStart w:id="47" w:name="OLE_LINK7"/>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风机总风量设置为</w:t>
            </w:r>
            <w:r>
              <w:rPr>
                <w:rFonts w:hint="eastAsia" w:cs="Times New Roman"/>
                <w:color w:val="000000" w:themeColor="text1"/>
                <w:sz w:val="24"/>
                <w:szCs w:val="24"/>
                <w:highlight w:val="none"/>
                <w:lang w:val="en-US" w:eastAsia="zh-CN"/>
                <w14:textFill>
                  <w14:solidFill>
                    <w14:schemeClr w14:val="tx1"/>
                  </w14:solidFill>
                </w14:textFill>
              </w:rPr>
              <w:t>40000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/h，废气捕集率可在90%以上。</w:t>
            </w:r>
            <w:r>
              <w:rPr>
                <w:rFonts w:hint="eastAsia" w:cs="Times New Roman"/>
                <w:color w:val="000000" w:themeColor="text1"/>
                <w:sz w:val="24"/>
                <w:szCs w:val="24"/>
                <w:highlight w:val="none"/>
                <w:lang w:val="en-US" w:eastAsia="zh-CN"/>
                <w14:textFill>
                  <w14:solidFill>
                    <w14:schemeClr w14:val="tx1"/>
                  </w14:solidFill>
                </w14:textFill>
              </w:rPr>
              <w:t>废气经负压收集</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+碱液喷淋吸附装置+二级活性炭吸附装置+15m高排气筒（DA001）高空排放</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，废气处理效率可达</w:t>
            </w:r>
            <w:r>
              <w:rPr>
                <w:rFonts w:hint="eastAsia" w:cs="Times New Roman"/>
                <w:color w:val="000000" w:themeColor="text1"/>
                <w:sz w:val="24"/>
                <w:szCs w:val="24"/>
                <w:highlight w:val="none"/>
                <w:lang w:val="en-US" w:eastAsia="zh-CN"/>
                <w14:textFill>
                  <w14:solidFill>
                    <w14:schemeClr w14:val="tx1"/>
                  </w14:solidFill>
                </w14:textFill>
              </w:rPr>
              <w:t>9</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0%。</w:t>
            </w:r>
          </w:p>
          <w:bookmarkEnd w:id="47"/>
          <w:p w14:paraId="6B8B6F0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所以本项目危废贮存库NH</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有组织排放量为0.1</w:t>
            </w:r>
            <w:r>
              <w:rPr>
                <w:rFonts w:hint="eastAsia" w:cs="Times New Roman"/>
                <w:color w:val="000000" w:themeColor="text1"/>
                <w:sz w:val="24"/>
                <w:szCs w:val="24"/>
                <w:highlight w:val="none"/>
                <w:lang w:val="en-US" w:eastAsia="zh-CN"/>
                <w14:textFill>
                  <w14:solidFill>
                    <w14:schemeClr w14:val="tx1"/>
                  </w14:solidFill>
                </w14:textFill>
              </w:rPr>
              <w:t>554</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t/a</w:t>
            </w:r>
            <w:r>
              <w:rPr>
                <w:rFonts w:hint="eastAsia"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排放速率0.</w:t>
            </w:r>
            <w:r>
              <w:rPr>
                <w:rFonts w:hint="eastAsia" w:cs="Times New Roman"/>
                <w:color w:val="000000" w:themeColor="text1"/>
                <w:sz w:val="24"/>
                <w:szCs w:val="24"/>
                <w:highlight w:val="none"/>
                <w:lang w:val="en-US" w:eastAsia="zh-CN"/>
                <w14:textFill>
                  <w14:solidFill>
                    <w14:schemeClr w14:val="tx1"/>
                  </w14:solidFill>
                </w14:textFill>
              </w:rPr>
              <w:t>0177</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kg/h，排放浓度为</w:t>
            </w:r>
            <w:r>
              <w:rPr>
                <w:rFonts w:hint="eastAsia" w:cs="Times New Roman"/>
                <w:color w:val="000000" w:themeColor="text1"/>
                <w:sz w:val="24"/>
                <w:szCs w:val="24"/>
                <w:highlight w:val="none"/>
                <w:lang w:val="en-US" w:eastAsia="zh-CN"/>
                <w14:textFill>
                  <w14:solidFill>
                    <w14:schemeClr w14:val="tx1"/>
                  </w14:solidFill>
                </w14:textFill>
              </w:rPr>
              <w:t>0.44</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eastAsia"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H</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S有组织排放量为0.</w:t>
            </w:r>
            <w:r>
              <w:rPr>
                <w:rFonts w:hint="eastAsia" w:cs="Times New Roman"/>
                <w:color w:val="000000" w:themeColor="text1"/>
                <w:sz w:val="24"/>
                <w:szCs w:val="24"/>
                <w:highlight w:val="none"/>
                <w:lang w:val="en-US" w:eastAsia="zh-CN"/>
                <w14:textFill>
                  <w14:solidFill>
                    <w14:schemeClr w14:val="tx1"/>
                  </w14:solidFill>
                </w14:textFill>
              </w:rPr>
              <w:t>0024</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t/a</w:t>
            </w:r>
            <w:r>
              <w:rPr>
                <w:rFonts w:hint="eastAsia"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排放速率0.</w:t>
            </w:r>
            <w:r>
              <w:rPr>
                <w:rFonts w:hint="eastAsia" w:cs="Times New Roman"/>
                <w:color w:val="000000" w:themeColor="text1"/>
                <w:sz w:val="24"/>
                <w:szCs w:val="24"/>
                <w:highlight w:val="none"/>
                <w:lang w:val="en-US" w:eastAsia="zh-CN"/>
                <w14:textFill>
                  <w14:solidFill>
                    <w14:schemeClr w14:val="tx1"/>
                  </w14:solidFill>
                </w14:textFill>
              </w:rPr>
              <w:t>0003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kg/h，排放浓度为</w:t>
            </w:r>
            <w:r>
              <w:rPr>
                <w:rFonts w:hint="eastAsia" w:cs="Times New Roman"/>
                <w:color w:val="000000" w:themeColor="text1"/>
                <w:sz w:val="24"/>
                <w:szCs w:val="24"/>
                <w:highlight w:val="none"/>
                <w:lang w:val="en-US" w:eastAsia="zh-CN"/>
                <w14:textFill>
                  <w14:solidFill>
                    <w14:schemeClr w14:val="tx1"/>
                  </w14:solidFill>
                </w14:textFill>
              </w:rPr>
              <w:t>0.01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。NH</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无组织排放量为0.</w:t>
            </w:r>
            <w:r>
              <w:rPr>
                <w:rFonts w:hint="eastAsia" w:cs="Times New Roman"/>
                <w:color w:val="000000" w:themeColor="text1"/>
                <w:sz w:val="24"/>
                <w:szCs w:val="24"/>
                <w:highlight w:val="none"/>
                <w:lang w:val="en-US" w:eastAsia="zh-CN"/>
                <w14:textFill>
                  <w14:solidFill>
                    <w14:schemeClr w14:val="tx1"/>
                  </w14:solidFill>
                </w14:textFill>
              </w:rPr>
              <w:t>1727</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t/a、</w:t>
            </w:r>
            <w:r>
              <w:rPr>
                <w:rFonts w:hint="eastAsia" w:cs="Times New Roman"/>
                <w:color w:val="000000" w:themeColor="text1"/>
                <w:sz w:val="24"/>
                <w:szCs w:val="24"/>
                <w:highlight w:val="none"/>
                <w:lang w:val="en-US" w:eastAsia="zh-CN"/>
                <w14:textFill>
                  <w14:solidFill>
                    <w14:schemeClr w14:val="tx1"/>
                  </w14:solidFill>
                </w14:textFill>
              </w:rPr>
              <w:t>0.0197</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kg/h，H</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S无组织排放量为0.</w:t>
            </w:r>
            <w:r>
              <w:rPr>
                <w:rFonts w:hint="eastAsia" w:cs="Times New Roman"/>
                <w:color w:val="000000" w:themeColor="text1"/>
                <w:sz w:val="24"/>
                <w:szCs w:val="24"/>
                <w:highlight w:val="none"/>
                <w:lang w:val="en-US" w:eastAsia="zh-CN"/>
                <w14:textFill>
                  <w14:solidFill>
                    <w14:schemeClr w14:val="tx1"/>
                  </w14:solidFill>
                </w14:textFill>
              </w:rPr>
              <w:t>0026</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t/a、</w:t>
            </w:r>
            <w:r>
              <w:rPr>
                <w:rFonts w:hint="eastAsia" w:cs="Times New Roman"/>
                <w:color w:val="000000" w:themeColor="text1"/>
                <w:sz w:val="24"/>
                <w:szCs w:val="24"/>
                <w:highlight w:val="none"/>
                <w:lang w:val="en-US" w:eastAsia="zh-CN"/>
                <w14:textFill>
                  <w14:solidFill>
                    <w14:schemeClr w14:val="tx1"/>
                  </w14:solidFill>
                </w14:textFill>
              </w:rPr>
              <w:t>0.0003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kg/h</w:t>
            </w:r>
            <w:r>
              <w:rPr>
                <w:rFonts w:hint="eastAsia" w:cs="Times New Roman"/>
                <w:color w:val="000000" w:themeColor="text1"/>
                <w:sz w:val="24"/>
                <w:szCs w:val="24"/>
                <w:highlight w:val="none"/>
                <w:lang w:val="en-US" w:eastAsia="zh-CN"/>
                <w14:textFill>
                  <w14:solidFill>
                    <w14:schemeClr w14:val="tx1"/>
                  </w14:solidFill>
                </w14:textFill>
              </w:rPr>
              <w:t>。</w:t>
            </w:r>
          </w:p>
          <w:p w14:paraId="725FE5F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类比其他同类型项目，《小微企业危险废物集中收集贮存项目竣工环境保护验收报告》（扬州市长海再生资源有限公司，2023年4月）：危险废物周转规模为5000t，主要收集、贮存HW03、HW08、HW09、HW17、HW34、HW36、HW49等20类危险废物，与本项目收集类别基本项目相同，其验收监测表明，臭气浓度进口最大浓度为977（无量纲），出口最大浓度为131（无量纲），厂界下风向最大浓度为17（无量纲）。因此，通过类比可知，排气筒臭气浓度指标及厂界臭气浓度指标可满足《恶臭污染物排放标准》（GB14554-1993）中标准限值。</w:t>
            </w:r>
          </w:p>
          <w:p w14:paraId="16DC594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酸性废气</w:t>
            </w:r>
          </w:p>
          <w:p w14:paraId="3C8177F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eastAsia"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分区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中HW34废酸贮存过程中有酸雾挥发。经企业提供相关资料，本项目收集的废酸主要以盐酸为主。</w:t>
            </w:r>
          </w:p>
          <w:p w14:paraId="4BA687A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因桶装废酸收运进本项目后，不进行倒桶分装等，同时均处于密闭容器中，存储过程中不打开，则在存储过程中挥发至空气环境中的酸雾极小。根据《环境统计讲义》中介绍的方法，酸雾蒸发量计算公式为：</w:t>
            </w:r>
          </w:p>
          <w:p w14:paraId="22E0408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GZ=M</w:t>
            </w:r>
            <w:r>
              <w:rPr>
                <w:rFonts w:hint="default" w:ascii="Arial" w:hAnsi="Arial" w:eastAsia="宋体" w:cs="Arial"/>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0.000352+0.000786U</w:t>
            </w:r>
            <w:r>
              <w:rPr>
                <w:rFonts w:hint="eastAsia"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×P×F</w:t>
            </w:r>
          </w:p>
          <w:p w14:paraId="78CDB04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式中，GZ—酸雾量，kg/h；</w:t>
            </w:r>
          </w:p>
          <w:p w14:paraId="77025AA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M—液体分子量，氯化氢分子量为36.5；</w:t>
            </w:r>
          </w:p>
          <w:p w14:paraId="702AFF0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U—蒸发液体表面上的空气流速（m/s），查表取0.3m/s；</w:t>
            </w:r>
          </w:p>
          <w:p w14:paraId="2EE82FC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P—相应于液体温度下空气中的饱和蒸汽分压力（mmHg）。根据《环境统计手册》（四川科学技术出版社）盐酸10%，温度为20℃，经查 P=0.004mmHg；</w:t>
            </w:r>
          </w:p>
          <w:p w14:paraId="74D9E5F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F—液体蒸发面地表面积，m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，贮存区面积</w:t>
            </w:r>
            <w:r>
              <w:rPr>
                <w:rFonts w:hint="eastAsia" w:cs="Times New Roman"/>
                <w:color w:val="000000" w:themeColor="text1"/>
                <w:sz w:val="24"/>
                <w:szCs w:val="24"/>
                <w:highlight w:val="none"/>
                <w:lang w:val="en-US" w:eastAsia="zh-CN"/>
                <w14:textFill>
                  <w14:solidFill>
                    <w14:schemeClr w14:val="tx1"/>
                  </w14:solidFill>
                </w14:textFill>
              </w:rPr>
              <w:t>85</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63A76B7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根据公式计算，则危废贮存库中氯化氢产生速率为0.00</w:t>
            </w:r>
            <w:r>
              <w:rPr>
                <w:rFonts w:hint="eastAsia" w:cs="Times New Roman"/>
                <w:color w:val="000000" w:themeColor="text1"/>
                <w:sz w:val="24"/>
                <w:szCs w:val="24"/>
                <w:highlight w:val="none"/>
                <w:lang w:val="en-US" w:eastAsia="zh-CN"/>
                <w14:textFill>
                  <w14:solidFill>
                    <w14:schemeClr w14:val="tx1"/>
                  </w14:solidFill>
                </w14:textFill>
              </w:rPr>
              <w:t>73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kg/h，产生量为0.0</w:t>
            </w:r>
            <w:r>
              <w:rPr>
                <w:rFonts w:hint="eastAsia" w:cs="Times New Roman"/>
                <w:color w:val="000000" w:themeColor="text1"/>
                <w:sz w:val="24"/>
                <w:szCs w:val="24"/>
                <w:highlight w:val="none"/>
                <w:lang w:val="en-US" w:eastAsia="zh-CN"/>
                <w14:textFill>
                  <w14:solidFill>
                    <w14:schemeClr w14:val="tx1"/>
                  </w14:solidFill>
                </w14:textFill>
              </w:rPr>
              <w:t>639</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t/a；风机风量为</w:t>
            </w:r>
            <w:r>
              <w:rPr>
                <w:rFonts w:hint="eastAsia" w:cs="Times New Roman"/>
                <w:color w:val="000000" w:themeColor="text1"/>
                <w:sz w:val="24"/>
                <w:szCs w:val="24"/>
                <w:highlight w:val="none"/>
                <w:lang w:val="en-US" w:eastAsia="zh-CN"/>
                <w14:textFill>
                  <w14:solidFill>
                    <w14:schemeClr w14:val="tx1"/>
                  </w14:solidFill>
                </w14:textFill>
              </w:rPr>
              <w:t>40000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/h，废气</w:t>
            </w:r>
            <w:r>
              <w:rPr>
                <w:rFonts w:hint="eastAsia" w:cs="Times New Roman"/>
                <w:color w:val="000000" w:themeColor="text1"/>
                <w:sz w:val="24"/>
                <w:szCs w:val="24"/>
                <w:highlight w:val="none"/>
                <w:lang w:val="en-US" w:eastAsia="zh-CN"/>
                <w14:textFill>
                  <w14:solidFill>
                    <w14:schemeClr w14:val="tx1"/>
                  </w14:solidFill>
                </w14:textFill>
              </w:rPr>
              <w:t>负压抽吸，收集效</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率可在90%以上。</w:t>
            </w:r>
            <w:r>
              <w:rPr>
                <w:rFonts w:hint="eastAsia" w:cs="Times New Roman"/>
                <w:color w:val="000000" w:themeColor="text1"/>
                <w:sz w:val="24"/>
                <w:szCs w:val="24"/>
                <w:highlight w:val="none"/>
                <w:lang w:val="en-US" w:eastAsia="zh-CN"/>
                <w14:textFill>
                  <w14:solidFill>
                    <w14:schemeClr w14:val="tx1"/>
                  </w14:solidFill>
                </w14:textFill>
              </w:rPr>
              <w:t>废气</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经</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负压收集+碱液喷淋吸附装置+二级活性炭吸附装置+15m高排气筒（DA001）高空排放，废气处理效率可达</w:t>
            </w:r>
            <w:r>
              <w:rPr>
                <w:rFonts w:hint="eastAsia" w:cs="Times New Roman"/>
                <w:color w:val="000000" w:themeColor="text1"/>
                <w:sz w:val="24"/>
                <w:szCs w:val="24"/>
                <w:highlight w:val="none"/>
                <w:lang w:val="en-US" w:eastAsia="zh-CN"/>
                <w14:textFill>
                  <w14:solidFill>
                    <w14:schemeClr w14:val="tx1"/>
                  </w14:solidFill>
                </w14:textFill>
              </w:rPr>
              <w:t>9</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0%。则项目有组织排放量为0.00</w:t>
            </w:r>
            <w:r>
              <w:rPr>
                <w:rFonts w:hint="eastAsia" w:cs="Times New Roman"/>
                <w:color w:val="000000" w:themeColor="text1"/>
                <w:sz w:val="24"/>
                <w:szCs w:val="24"/>
                <w:highlight w:val="none"/>
                <w:lang w:val="en-US" w:eastAsia="zh-CN"/>
                <w14:textFill>
                  <w14:solidFill>
                    <w14:schemeClr w14:val="tx1"/>
                  </w14:solidFill>
                </w14:textFill>
              </w:rPr>
              <w:t>58</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t/a，排放速率为</w:t>
            </w:r>
            <w:bookmarkStart w:id="48" w:name="OLE_LINK6"/>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0.000</w:t>
            </w:r>
            <w:r>
              <w:rPr>
                <w:rFonts w:hint="eastAsia" w:cs="Times New Roman"/>
                <w:color w:val="000000" w:themeColor="text1"/>
                <w:sz w:val="24"/>
                <w:szCs w:val="24"/>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kg/h</w:t>
            </w:r>
            <w:bookmarkEnd w:id="48"/>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，排放浓度为0.</w:t>
            </w:r>
            <w:r>
              <w:rPr>
                <w:rFonts w:hint="eastAsia" w:cs="Times New Roman"/>
                <w:color w:val="000000" w:themeColor="text1"/>
                <w:sz w:val="24"/>
                <w:szCs w:val="24"/>
                <w:highlight w:val="none"/>
                <w:lang w:val="en-US" w:eastAsia="zh-CN"/>
                <w14:textFill>
                  <w14:solidFill>
                    <w14:schemeClr w14:val="tx1"/>
                  </w14:solidFill>
                </w14:textFill>
              </w:rPr>
              <w:t>02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。无组织排放量为0.00</w:t>
            </w:r>
            <w:r>
              <w:rPr>
                <w:rFonts w:hint="eastAsia" w:cs="Times New Roman"/>
                <w:color w:val="000000" w:themeColor="text1"/>
                <w:sz w:val="24"/>
                <w:szCs w:val="24"/>
                <w:highlight w:val="none"/>
                <w:lang w:val="en-US" w:eastAsia="zh-CN"/>
                <w14:textFill>
                  <w14:solidFill>
                    <w14:schemeClr w14:val="tx1"/>
                  </w14:solidFill>
                </w14:textFill>
              </w:rPr>
              <w:t>64</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t/a</w:t>
            </w:r>
            <w:r>
              <w:rPr>
                <w:rFonts w:hint="eastAsia"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0.000</w:t>
            </w:r>
            <w:r>
              <w:rPr>
                <w:rFonts w:hint="eastAsia" w:cs="Times New Roman"/>
                <w:color w:val="000000" w:themeColor="text1"/>
                <w:sz w:val="24"/>
                <w:szCs w:val="24"/>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kg/h。</w:t>
            </w:r>
          </w:p>
          <w:p w14:paraId="5E39C62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highlight w:val="none"/>
                <w14:textFill>
                  <w14:solidFill>
                    <w14:schemeClr w14:val="tx1"/>
                  </w14:solidFill>
                </w14:textFill>
              </w:rPr>
              <w:t>）废气污染源汇总</w:t>
            </w:r>
          </w:p>
          <w:p w14:paraId="6C60E7E4">
            <w:pPr>
              <w:spacing w:line="360" w:lineRule="auto"/>
              <w:ind w:firstLine="480" w:firstLineChars="200"/>
              <w:jc w:val="left"/>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本项目废气污染源汇总情况详见</w:t>
            </w:r>
            <w:r>
              <w:rPr>
                <w:rFonts w:hint="eastAsia" w:cs="Times New Roman"/>
                <w:color w:val="000000" w:themeColor="text1"/>
                <w:sz w:val="24"/>
                <w:szCs w:val="24"/>
                <w:highlight w:val="none"/>
                <w:lang w:val="en-US" w:eastAsia="zh-CN"/>
                <w14:textFill>
                  <w14:solidFill>
                    <w14:schemeClr w14:val="tx1"/>
                  </w14:solidFill>
                </w14:textFill>
              </w:rPr>
              <w:t>下</w:t>
            </w:r>
            <w:r>
              <w:rPr>
                <w:rFonts w:hint="default" w:ascii="Times New Roman" w:hAnsi="Times New Roman" w:eastAsia="宋体" w:cs="Times New Roman"/>
                <w:color w:val="000000" w:themeColor="text1"/>
                <w:sz w:val="24"/>
                <w:szCs w:val="24"/>
                <w:highlight w:val="none"/>
                <w14:textFill>
                  <w14:solidFill>
                    <w14:schemeClr w14:val="tx1"/>
                  </w14:solidFill>
                </w14:textFill>
              </w:rPr>
              <w:t>表所示。</w:t>
            </w:r>
          </w:p>
          <w:p w14:paraId="6E641AA2">
            <w:pPr>
              <w:spacing w:line="240" w:lineRule="auto"/>
              <w:jc w:val="center"/>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表4</w:t>
            </w:r>
            <w:r>
              <w:rPr>
                <w:rFonts w:hint="eastAsia" w:cs="Times New Roman"/>
                <w:b/>
                <w:bCs/>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本项目</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废气污染源</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源强核算</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汇总表</w:t>
            </w:r>
          </w:p>
          <w:tbl>
            <w:tblPr>
              <w:tblStyle w:val="2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62"/>
              <w:gridCol w:w="1094"/>
              <w:gridCol w:w="406"/>
              <w:gridCol w:w="506"/>
              <w:gridCol w:w="808"/>
              <w:gridCol w:w="700"/>
              <w:gridCol w:w="685"/>
              <w:gridCol w:w="630"/>
              <w:gridCol w:w="670"/>
              <w:gridCol w:w="506"/>
              <w:gridCol w:w="988"/>
              <w:gridCol w:w="931"/>
              <w:gridCol w:w="711"/>
            </w:tblGrid>
            <w:tr w14:paraId="736F1D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253" w:type="pct"/>
                  <w:vMerge w:val="restart"/>
                  <w:noWrap w:val="0"/>
                  <w:vAlign w:val="center"/>
                </w:tcPr>
                <w:p w14:paraId="576F136A">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pPr>
                  <w: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t>产排污环节</w:t>
                  </w:r>
                </w:p>
              </w:tc>
              <w:tc>
                <w:tcPr>
                  <w:tcW w:w="601" w:type="pct"/>
                  <w:vMerge w:val="restart"/>
                  <w:noWrap w:val="0"/>
                  <w:vAlign w:val="center"/>
                </w:tcPr>
                <w:p w14:paraId="5FFBBDAE">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pPr>
                  <w: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t>污染物</w:t>
                  </w:r>
                </w:p>
              </w:tc>
              <w:tc>
                <w:tcPr>
                  <w:tcW w:w="223" w:type="pct"/>
                  <w:vMerge w:val="restart"/>
                  <w:noWrap w:val="0"/>
                  <w:vAlign w:val="center"/>
                </w:tcPr>
                <w:p w14:paraId="1ABE3E40">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pPr>
                  <w: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t>排放方式</w:t>
                  </w:r>
                </w:p>
              </w:tc>
              <w:tc>
                <w:tcPr>
                  <w:tcW w:w="278" w:type="pct"/>
                  <w:vMerge w:val="restart"/>
                  <w:noWrap w:val="0"/>
                  <w:vAlign w:val="center"/>
                </w:tcPr>
                <w:p w14:paraId="02897671">
                  <w:pPr>
                    <w:keepNext w:val="0"/>
                    <w:keepLines w:val="0"/>
                    <w:pageBreakBefore w:val="0"/>
                    <w:kinsoku/>
                    <w:wordWrap/>
                    <w:overflowPunct/>
                    <w:topLinePunct w:val="0"/>
                    <w:autoSpaceDE w:val="0"/>
                    <w:autoSpaceDN w:val="0"/>
                    <w:bidi w:val="0"/>
                    <w:adjustRightInd w:val="0"/>
                    <w:snapToGrid w:val="0"/>
                    <w:spacing w:beforeAutospacing="0" w:afterAutospacing="0" w:line="240" w:lineRule="auto"/>
                    <w:jc w:val="center"/>
                    <w:rPr>
                      <w:rFonts w:hint="default" w:ascii="Times New Roman" w:hAnsi="Times New Roman" w:cs="Times New Roman" w:eastAsiaTheme="majorEastAsia"/>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b/>
                      <w:bCs/>
                      <w:color w:val="000000" w:themeColor="text1"/>
                      <w:sz w:val="21"/>
                      <w:szCs w:val="21"/>
                      <w:highlight w:val="none"/>
                      <w:lang w:val="en-US" w:eastAsia="zh-CN"/>
                      <w14:textFill>
                        <w14:solidFill>
                          <w14:schemeClr w14:val="tx1"/>
                        </w14:solidFill>
                      </w14:textFill>
                    </w:rPr>
                    <w:t>核算方法</w:t>
                  </w:r>
                </w:p>
              </w:tc>
              <w:tc>
                <w:tcPr>
                  <w:tcW w:w="1205" w:type="pct"/>
                  <w:gridSpan w:val="3"/>
                  <w:noWrap w:val="0"/>
                  <w:vAlign w:val="center"/>
                </w:tcPr>
                <w:p w14:paraId="194509BE">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pPr>
                  <w: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t>污染物产生</w:t>
                  </w:r>
                </w:p>
              </w:tc>
              <w:tc>
                <w:tcPr>
                  <w:tcW w:w="992" w:type="pct"/>
                  <w:gridSpan w:val="3"/>
                  <w:noWrap w:val="0"/>
                  <w:vAlign w:val="center"/>
                </w:tcPr>
                <w:p w14:paraId="66435BB9">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pPr>
                  <w: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t>治理设施</w:t>
                  </w:r>
                </w:p>
              </w:tc>
              <w:tc>
                <w:tcPr>
                  <w:tcW w:w="1445" w:type="pct"/>
                  <w:gridSpan w:val="3"/>
                  <w:noWrap w:val="0"/>
                  <w:vAlign w:val="center"/>
                </w:tcPr>
                <w:p w14:paraId="7F874092">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pPr>
                  <w: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t>污染物排放</w:t>
                  </w:r>
                </w:p>
              </w:tc>
            </w:tr>
            <w:tr w14:paraId="409BFE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40" w:hRule="atLeast"/>
                <w:jc w:val="center"/>
              </w:trPr>
              <w:tc>
                <w:tcPr>
                  <w:tcW w:w="253" w:type="pct"/>
                  <w:vMerge w:val="continue"/>
                  <w:noWrap w:val="0"/>
                  <w:vAlign w:val="center"/>
                </w:tcPr>
                <w:p w14:paraId="5FEB0C66">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pPr>
                </w:p>
              </w:tc>
              <w:tc>
                <w:tcPr>
                  <w:tcW w:w="601" w:type="pct"/>
                  <w:vMerge w:val="continue"/>
                  <w:noWrap w:val="0"/>
                  <w:vAlign w:val="center"/>
                </w:tcPr>
                <w:p w14:paraId="2C0CECBB">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pPr>
                </w:p>
              </w:tc>
              <w:tc>
                <w:tcPr>
                  <w:tcW w:w="223" w:type="pct"/>
                  <w:vMerge w:val="continue"/>
                  <w:noWrap w:val="0"/>
                  <w:vAlign w:val="center"/>
                </w:tcPr>
                <w:p w14:paraId="6BBD12EE">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pPr>
                </w:p>
              </w:tc>
              <w:tc>
                <w:tcPr>
                  <w:tcW w:w="278" w:type="pct"/>
                  <w:vMerge w:val="continue"/>
                  <w:noWrap w:val="0"/>
                  <w:vAlign w:val="center"/>
                </w:tcPr>
                <w:p w14:paraId="48A6223C">
                  <w:pPr>
                    <w:keepNext w:val="0"/>
                    <w:keepLines w:val="0"/>
                    <w:pageBreakBefore w:val="0"/>
                    <w:kinsoku/>
                    <w:wordWrap/>
                    <w:overflowPunct/>
                    <w:topLinePunct w:val="0"/>
                    <w:autoSpaceDE w:val="0"/>
                    <w:autoSpaceDN w:val="0"/>
                    <w:bidi w:val="0"/>
                    <w:adjustRightInd w:val="0"/>
                    <w:snapToGrid w:val="0"/>
                    <w:spacing w:beforeAutospacing="0" w:afterAutospacing="0" w:line="240" w:lineRule="auto"/>
                    <w:jc w:val="center"/>
                    <w:rPr>
                      <w:rFonts w:hint="default" w:ascii="Times New Roman" w:hAnsi="Times New Roman" w:cs="Times New Roman" w:eastAsiaTheme="majorEastAsia"/>
                      <w:b/>
                      <w:bCs/>
                      <w:color w:val="000000" w:themeColor="text1"/>
                      <w:sz w:val="21"/>
                      <w:szCs w:val="21"/>
                      <w:highlight w:val="none"/>
                      <w:lang w:val="en-US" w:eastAsia="zh-CN"/>
                      <w14:textFill>
                        <w14:solidFill>
                          <w14:schemeClr w14:val="tx1"/>
                        </w14:solidFill>
                      </w14:textFill>
                    </w:rPr>
                  </w:pPr>
                </w:p>
              </w:tc>
              <w:tc>
                <w:tcPr>
                  <w:tcW w:w="444" w:type="pct"/>
                  <w:noWrap w:val="0"/>
                  <w:vAlign w:val="center"/>
                </w:tcPr>
                <w:p w14:paraId="0ECDE9D3">
                  <w:pPr>
                    <w:keepNext w:val="0"/>
                    <w:keepLines w:val="0"/>
                    <w:pageBreakBefore w:val="0"/>
                    <w:kinsoku/>
                    <w:wordWrap/>
                    <w:overflowPunct/>
                    <w:topLinePunct w:val="0"/>
                    <w:autoSpaceDE w:val="0"/>
                    <w:autoSpaceDN w:val="0"/>
                    <w:bidi w:val="0"/>
                    <w:adjustRightInd w:val="0"/>
                    <w:snapToGrid w:val="0"/>
                    <w:spacing w:beforeAutospacing="0" w:afterAutospacing="0" w:line="240" w:lineRule="auto"/>
                    <w:jc w:val="cente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pPr>
                  <w: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t>产生量(t/a)</w:t>
                  </w:r>
                </w:p>
              </w:tc>
              <w:tc>
                <w:tcPr>
                  <w:tcW w:w="384" w:type="pct"/>
                  <w:noWrap w:val="0"/>
                  <w:vAlign w:val="center"/>
                </w:tcPr>
                <w:p w14:paraId="4370FF83">
                  <w:pPr>
                    <w:keepNext w:val="0"/>
                    <w:keepLines w:val="0"/>
                    <w:pageBreakBefore w:val="0"/>
                    <w:kinsoku/>
                    <w:wordWrap/>
                    <w:overflowPunct/>
                    <w:topLinePunct w:val="0"/>
                    <w:autoSpaceDE w:val="0"/>
                    <w:autoSpaceDN w:val="0"/>
                    <w:bidi w:val="0"/>
                    <w:adjustRightInd w:val="0"/>
                    <w:snapToGrid w:val="0"/>
                    <w:spacing w:beforeAutospacing="0" w:afterAutospacing="0" w:line="240" w:lineRule="auto"/>
                    <w:jc w:val="cente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pPr>
                  <w: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t>产生</w:t>
                  </w:r>
                </w:p>
                <w:p w14:paraId="796B36B6">
                  <w:pPr>
                    <w:keepNext w:val="0"/>
                    <w:keepLines w:val="0"/>
                    <w:pageBreakBefore w:val="0"/>
                    <w:kinsoku/>
                    <w:wordWrap/>
                    <w:overflowPunct/>
                    <w:topLinePunct w:val="0"/>
                    <w:autoSpaceDE w:val="0"/>
                    <w:autoSpaceDN w:val="0"/>
                    <w:bidi w:val="0"/>
                    <w:adjustRightInd w:val="0"/>
                    <w:snapToGrid w:val="0"/>
                    <w:spacing w:beforeAutospacing="0" w:afterAutospacing="0" w:line="240" w:lineRule="auto"/>
                    <w:jc w:val="cente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pPr>
                  <w: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t>速率kg/h</w:t>
                  </w:r>
                </w:p>
              </w:tc>
              <w:tc>
                <w:tcPr>
                  <w:tcW w:w="376" w:type="pct"/>
                  <w:noWrap w:val="0"/>
                  <w:vAlign w:val="center"/>
                </w:tcPr>
                <w:p w14:paraId="24AF8EA2">
                  <w:pPr>
                    <w:keepNext w:val="0"/>
                    <w:keepLines w:val="0"/>
                    <w:pageBreakBefore w:val="0"/>
                    <w:kinsoku/>
                    <w:wordWrap/>
                    <w:overflowPunct/>
                    <w:topLinePunct w:val="0"/>
                    <w:autoSpaceDE w:val="0"/>
                    <w:autoSpaceDN w:val="0"/>
                    <w:bidi w:val="0"/>
                    <w:adjustRightInd w:val="0"/>
                    <w:snapToGrid w:val="0"/>
                    <w:spacing w:beforeAutospacing="0" w:afterAutospacing="0" w:line="240" w:lineRule="auto"/>
                    <w:jc w:val="cente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pPr>
                  <w: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t>产生浓度</w:t>
                  </w:r>
                </w:p>
                <w:p w14:paraId="1CEA711D">
                  <w:pPr>
                    <w:keepNext w:val="0"/>
                    <w:keepLines w:val="0"/>
                    <w:pageBreakBefore w:val="0"/>
                    <w:kinsoku/>
                    <w:wordWrap/>
                    <w:overflowPunct/>
                    <w:topLinePunct w:val="0"/>
                    <w:autoSpaceDE w:val="0"/>
                    <w:autoSpaceDN w:val="0"/>
                    <w:bidi w:val="0"/>
                    <w:adjustRightInd w:val="0"/>
                    <w:snapToGrid w:val="0"/>
                    <w:spacing w:beforeAutospacing="0" w:afterAutospacing="0" w:line="240" w:lineRule="auto"/>
                    <w:jc w:val="cente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pPr>
                  <w: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t>mg/m</w:t>
                  </w:r>
                  <w:r>
                    <w:rPr>
                      <w:rFonts w:hint="default" w:ascii="Times New Roman" w:hAnsi="Times New Roman" w:cs="Times New Roman" w:eastAsiaTheme="majorEastAsia"/>
                      <w:b/>
                      <w:bCs/>
                      <w:color w:val="000000" w:themeColor="text1"/>
                      <w:sz w:val="21"/>
                      <w:szCs w:val="21"/>
                      <w:highlight w:val="none"/>
                      <w:vertAlign w:val="superscript"/>
                      <w14:textFill>
                        <w14:solidFill>
                          <w14:schemeClr w14:val="tx1"/>
                        </w14:solidFill>
                      </w14:textFill>
                    </w:rPr>
                    <w:t>3</w:t>
                  </w:r>
                </w:p>
              </w:tc>
              <w:tc>
                <w:tcPr>
                  <w:tcW w:w="346" w:type="pct"/>
                  <w:noWrap w:val="0"/>
                  <w:vAlign w:val="center"/>
                </w:tcPr>
                <w:p w14:paraId="1A7E96E0">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pPr>
                  <w: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t>处理措施</w:t>
                  </w:r>
                </w:p>
              </w:tc>
              <w:tc>
                <w:tcPr>
                  <w:tcW w:w="368" w:type="pct"/>
                  <w:noWrap w:val="0"/>
                  <w:vAlign w:val="center"/>
                </w:tcPr>
                <w:p w14:paraId="235F1BE0">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t>去除率</w:t>
                  </w:r>
                  <w:r>
                    <w:rPr>
                      <w:rFonts w:hint="default" w:ascii="Times New Roman" w:hAnsi="Times New Roman" w:cs="Times New Roman" w:eastAsiaTheme="majorEastAsia"/>
                      <w:b/>
                      <w:bCs/>
                      <w:color w:val="000000" w:themeColor="text1"/>
                      <w:sz w:val="21"/>
                      <w:szCs w:val="21"/>
                      <w:highlight w:val="none"/>
                      <w:lang w:val="en-US" w:eastAsia="zh-CN"/>
                      <w14:textFill>
                        <w14:solidFill>
                          <w14:schemeClr w14:val="tx1"/>
                        </w14:solidFill>
                      </w14:textFill>
                    </w:rPr>
                    <w:t>%</w:t>
                  </w:r>
                </w:p>
              </w:tc>
              <w:tc>
                <w:tcPr>
                  <w:tcW w:w="278" w:type="pct"/>
                  <w:noWrap w:val="0"/>
                  <w:vAlign w:val="center"/>
                </w:tcPr>
                <w:p w14:paraId="739297D7">
                  <w:pPr>
                    <w:keepNext w:val="0"/>
                    <w:keepLines w:val="0"/>
                    <w:pageBreakBefore w:val="0"/>
                    <w:widowControl/>
                    <w:kinsoku/>
                    <w:wordWrap/>
                    <w:overflowPunct/>
                    <w:topLinePunct w:val="0"/>
                    <w:bidi w:val="0"/>
                    <w:spacing w:beforeAutospacing="0" w:afterAutospacing="0"/>
                    <w:jc w:val="cente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pPr>
                  <w: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t>是否为可行技术</w:t>
                  </w:r>
                </w:p>
              </w:tc>
              <w:tc>
                <w:tcPr>
                  <w:tcW w:w="543" w:type="pct"/>
                  <w:noWrap w:val="0"/>
                  <w:vAlign w:val="center"/>
                </w:tcPr>
                <w:p w14:paraId="3A05F082">
                  <w:pPr>
                    <w:keepNext w:val="0"/>
                    <w:keepLines w:val="0"/>
                    <w:pageBreakBefore w:val="0"/>
                    <w:kinsoku/>
                    <w:wordWrap/>
                    <w:overflowPunct/>
                    <w:topLinePunct w:val="0"/>
                    <w:autoSpaceDE w:val="0"/>
                    <w:autoSpaceDN w:val="0"/>
                    <w:bidi w:val="0"/>
                    <w:adjustRightInd w:val="0"/>
                    <w:snapToGrid w:val="0"/>
                    <w:spacing w:beforeAutospacing="0" w:afterAutospacing="0" w:line="240" w:lineRule="auto"/>
                    <w:jc w:val="cente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pPr>
                  <w: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t>排放量（t/a)</w:t>
                  </w:r>
                </w:p>
              </w:tc>
              <w:tc>
                <w:tcPr>
                  <w:tcW w:w="511" w:type="pct"/>
                  <w:noWrap w:val="0"/>
                  <w:vAlign w:val="center"/>
                </w:tcPr>
                <w:p w14:paraId="38624B7C">
                  <w:pPr>
                    <w:keepNext w:val="0"/>
                    <w:keepLines w:val="0"/>
                    <w:pageBreakBefore w:val="0"/>
                    <w:kinsoku/>
                    <w:wordWrap/>
                    <w:overflowPunct/>
                    <w:topLinePunct w:val="0"/>
                    <w:autoSpaceDE w:val="0"/>
                    <w:autoSpaceDN w:val="0"/>
                    <w:bidi w:val="0"/>
                    <w:adjustRightInd w:val="0"/>
                    <w:snapToGrid w:val="0"/>
                    <w:spacing w:beforeAutospacing="0" w:afterAutospacing="0" w:line="240" w:lineRule="auto"/>
                    <w:jc w:val="cente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pPr>
                  <w: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t>排放速率kg/h</w:t>
                  </w:r>
                </w:p>
              </w:tc>
              <w:tc>
                <w:tcPr>
                  <w:tcW w:w="390" w:type="pct"/>
                  <w:noWrap w:val="0"/>
                  <w:vAlign w:val="center"/>
                </w:tcPr>
                <w:p w14:paraId="2242F8D7">
                  <w:pPr>
                    <w:keepNext w:val="0"/>
                    <w:keepLines w:val="0"/>
                    <w:pageBreakBefore w:val="0"/>
                    <w:kinsoku/>
                    <w:wordWrap/>
                    <w:overflowPunct/>
                    <w:topLinePunct w:val="0"/>
                    <w:autoSpaceDE w:val="0"/>
                    <w:autoSpaceDN w:val="0"/>
                    <w:bidi w:val="0"/>
                    <w:adjustRightInd w:val="0"/>
                    <w:snapToGrid w:val="0"/>
                    <w:spacing w:beforeAutospacing="0" w:afterAutospacing="0" w:line="240" w:lineRule="auto"/>
                    <w:jc w:val="cente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pPr>
                  <w:r>
                    <w:rPr>
                      <w:rFonts w:hint="default" w:ascii="Times New Roman" w:hAnsi="Times New Roman" w:cs="Times New Roman" w:eastAsiaTheme="majorEastAsia"/>
                      <w:b/>
                      <w:bCs/>
                      <w:color w:val="000000" w:themeColor="text1"/>
                      <w:sz w:val="21"/>
                      <w:szCs w:val="21"/>
                      <w:highlight w:val="none"/>
                      <w14:textFill>
                        <w14:solidFill>
                          <w14:schemeClr w14:val="tx1"/>
                        </w14:solidFill>
                      </w14:textFill>
                    </w:rPr>
                    <w:t>排放浓度mg/m</w:t>
                  </w:r>
                  <w:r>
                    <w:rPr>
                      <w:rFonts w:hint="default" w:ascii="Times New Roman" w:hAnsi="Times New Roman" w:cs="Times New Roman" w:eastAsiaTheme="majorEastAsia"/>
                      <w:b/>
                      <w:bCs/>
                      <w:color w:val="000000" w:themeColor="text1"/>
                      <w:sz w:val="21"/>
                      <w:szCs w:val="21"/>
                      <w:highlight w:val="none"/>
                      <w:vertAlign w:val="superscript"/>
                      <w14:textFill>
                        <w14:solidFill>
                          <w14:schemeClr w14:val="tx1"/>
                        </w14:solidFill>
                      </w14:textFill>
                    </w:rPr>
                    <w:t>3</w:t>
                  </w:r>
                </w:p>
              </w:tc>
            </w:tr>
            <w:tr w14:paraId="26DB4E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253" w:type="pct"/>
                  <w:vMerge w:val="restart"/>
                  <w:noWrap w:val="0"/>
                  <w:vAlign w:val="center"/>
                </w:tcPr>
                <w:p w14:paraId="58843DC7">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t>危险废物贮存库</w:t>
                  </w:r>
                </w:p>
              </w:tc>
              <w:tc>
                <w:tcPr>
                  <w:tcW w:w="601" w:type="pct"/>
                  <w:noWrap w:val="0"/>
                  <w:vAlign w:val="center"/>
                </w:tcPr>
                <w:p w14:paraId="1F8C8DD4">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t>NMHC</w:t>
                  </w:r>
                </w:p>
              </w:tc>
              <w:tc>
                <w:tcPr>
                  <w:tcW w:w="223" w:type="pct"/>
                  <w:vMerge w:val="restart"/>
                  <w:noWrap w:val="0"/>
                  <w:vAlign w:val="center"/>
                </w:tcPr>
                <w:p w14:paraId="75E4A3AF">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t>有组织</w:t>
                  </w:r>
                </w:p>
              </w:tc>
              <w:tc>
                <w:tcPr>
                  <w:tcW w:w="278" w:type="pct"/>
                  <w:vMerge w:val="restart"/>
                  <w:noWrap w:val="0"/>
                  <w:vAlign w:val="center"/>
                </w:tcPr>
                <w:p w14:paraId="3C5B88B4">
                  <w:pPr>
                    <w:keepNext w:val="0"/>
                    <w:keepLines w:val="0"/>
                    <w:pageBreakBefore w:val="0"/>
                    <w:widowControl/>
                    <w:suppressLineNumbers w:val="0"/>
                    <w:kinsoku/>
                    <w:wordWrap/>
                    <w:overflowPunct/>
                    <w:topLinePunct w:val="0"/>
                    <w:bidi w:val="0"/>
                    <w:spacing w:beforeAutospacing="0" w:afterAutospacing="0"/>
                    <w:jc w:val="center"/>
                    <w:textAlignment w:val="cente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类比法</w:t>
                  </w:r>
                </w:p>
                <w:p w14:paraId="0A832D4F">
                  <w:pPr>
                    <w:keepNext w:val="0"/>
                    <w:keepLines w:val="0"/>
                    <w:pageBreakBefore w:val="0"/>
                    <w:widowControl/>
                    <w:suppressLineNumbers w:val="0"/>
                    <w:kinsoku/>
                    <w:wordWrap/>
                    <w:overflowPunct/>
                    <w:topLinePunct w:val="0"/>
                    <w:bidi w:val="0"/>
                    <w:spacing w:beforeAutospacing="0" w:afterAutospacing="0"/>
                    <w:jc w:val="center"/>
                    <w:textAlignment w:val="cente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pPr>
                </w:p>
              </w:tc>
              <w:tc>
                <w:tcPr>
                  <w:tcW w:w="444" w:type="pct"/>
                  <w:noWrap w:val="0"/>
                  <w:vAlign w:val="center"/>
                </w:tcPr>
                <w:p w14:paraId="44542719">
                  <w:pPr>
                    <w:keepNext w:val="0"/>
                    <w:keepLines w:val="0"/>
                    <w:widowControl/>
                    <w:suppressLineNumbers w:val="0"/>
                    <w:jc w:val="center"/>
                    <w:textAlignment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2.4373</w:t>
                  </w:r>
                </w:p>
              </w:tc>
              <w:tc>
                <w:tcPr>
                  <w:tcW w:w="384" w:type="pct"/>
                  <w:noWrap w:val="0"/>
                  <w:vAlign w:val="center"/>
                </w:tcPr>
                <w:p w14:paraId="6174A4D2">
                  <w:pPr>
                    <w:keepNext w:val="0"/>
                    <w:keepLines w:val="0"/>
                    <w:widowControl/>
                    <w:suppressLineNumbers w:val="0"/>
                    <w:jc w:val="center"/>
                    <w:textAlignment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0.2782</w:t>
                  </w:r>
                </w:p>
              </w:tc>
              <w:tc>
                <w:tcPr>
                  <w:tcW w:w="376" w:type="pct"/>
                  <w:noWrap w:val="0"/>
                  <w:vAlign w:val="center"/>
                </w:tcPr>
                <w:p w14:paraId="5B42A388">
                  <w:pPr>
                    <w:keepNext w:val="0"/>
                    <w:keepLines w:val="0"/>
                    <w:widowControl/>
                    <w:suppressLineNumbers w:val="0"/>
                    <w:jc w:val="center"/>
                    <w:textAlignment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6.96</w:t>
                  </w:r>
                </w:p>
              </w:tc>
              <w:tc>
                <w:tcPr>
                  <w:tcW w:w="346" w:type="pct"/>
                  <w:vMerge w:val="restart"/>
                  <w:noWrap w:val="0"/>
                  <w:vAlign w:val="center"/>
                </w:tcPr>
                <w:p w14:paraId="1FA9A1FD">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jc w:val="center"/>
                    <w:textAlignment w:val="auto"/>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t>收集+碱喷淋+两级活性炭</w:t>
                  </w:r>
                </w:p>
              </w:tc>
              <w:tc>
                <w:tcPr>
                  <w:tcW w:w="368" w:type="pct"/>
                  <w:vMerge w:val="restart"/>
                  <w:noWrap w:val="0"/>
                  <w:vAlign w:val="center"/>
                </w:tcPr>
                <w:p w14:paraId="6BA48A64">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t>收集90，去除效率90</w:t>
                  </w:r>
                </w:p>
                <w:p w14:paraId="53934DED">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p>
              </w:tc>
              <w:tc>
                <w:tcPr>
                  <w:tcW w:w="278" w:type="pct"/>
                  <w:vMerge w:val="restart"/>
                  <w:noWrap w:val="0"/>
                  <w:vAlign w:val="center"/>
                </w:tcPr>
                <w:p w14:paraId="69F08D58">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eastAsia="zh-CN"/>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lang w:eastAsia="zh-CN"/>
                      <w14:textFill>
                        <w14:solidFill>
                          <w14:schemeClr w14:val="tx1"/>
                        </w14:solidFill>
                      </w14:textFill>
                    </w:rPr>
                    <w:t>是</w:t>
                  </w:r>
                </w:p>
                <w:p w14:paraId="11CF483F">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p>
              </w:tc>
              <w:tc>
                <w:tcPr>
                  <w:tcW w:w="543" w:type="pct"/>
                  <w:noWrap w:val="0"/>
                  <w:vAlign w:val="center"/>
                </w:tcPr>
                <w:p w14:paraId="7A91CF53">
                  <w:pPr>
                    <w:keepNext w:val="0"/>
                    <w:keepLines w:val="0"/>
                    <w:widowControl/>
                    <w:suppressLineNumbers w:val="0"/>
                    <w:jc w:val="center"/>
                    <w:textAlignment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0.2437</w:t>
                  </w:r>
                </w:p>
              </w:tc>
              <w:tc>
                <w:tcPr>
                  <w:tcW w:w="511" w:type="pct"/>
                  <w:noWrap w:val="0"/>
                  <w:vAlign w:val="center"/>
                </w:tcPr>
                <w:p w14:paraId="09818D5B">
                  <w:pPr>
                    <w:keepNext w:val="0"/>
                    <w:keepLines w:val="0"/>
                    <w:widowControl/>
                    <w:suppressLineNumbers w:val="0"/>
                    <w:jc w:val="center"/>
                    <w:textAlignment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0.0278</w:t>
                  </w:r>
                </w:p>
              </w:tc>
              <w:tc>
                <w:tcPr>
                  <w:tcW w:w="390" w:type="pct"/>
                  <w:noWrap w:val="0"/>
                  <w:vAlign w:val="center"/>
                </w:tcPr>
                <w:p w14:paraId="5E0ACC03">
                  <w:pPr>
                    <w:keepNext w:val="0"/>
                    <w:keepLines w:val="0"/>
                    <w:widowControl/>
                    <w:suppressLineNumbers w:val="0"/>
                    <w:jc w:val="center"/>
                    <w:textAlignment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0.70</w:t>
                  </w:r>
                </w:p>
              </w:tc>
            </w:tr>
            <w:tr w14:paraId="248FF8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253" w:type="pct"/>
                  <w:vMerge w:val="continue"/>
                  <w:noWrap w:val="0"/>
                  <w:vAlign w:val="center"/>
                </w:tcPr>
                <w:p w14:paraId="7036BA6C">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eastAsia="zh-CN"/>
                      <w14:textFill>
                        <w14:solidFill>
                          <w14:schemeClr w14:val="tx1"/>
                        </w14:solidFill>
                      </w14:textFill>
                    </w:rPr>
                  </w:pPr>
                </w:p>
              </w:tc>
              <w:tc>
                <w:tcPr>
                  <w:tcW w:w="601" w:type="pct"/>
                  <w:noWrap w:val="0"/>
                  <w:vAlign w:val="center"/>
                </w:tcPr>
                <w:p w14:paraId="6E64EEC1">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vertAlign w:val="baseline"/>
                      <w:lang w:val="en-US" w:eastAsia="zh-CN"/>
                      <w14:textFill>
                        <w14:solidFill>
                          <w14:schemeClr w14:val="tx1"/>
                        </w14:solidFill>
                      </w14:textFill>
                    </w:rPr>
                    <w:t>氨</w:t>
                  </w:r>
                </w:p>
              </w:tc>
              <w:tc>
                <w:tcPr>
                  <w:tcW w:w="223" w:type="pct"/>
                  <w:vMerge w:val="continue"/>
                  <w:noWrap w:val="0"/>
                  <w:vAlign w:val="center"/>
                </w:tcPr>
                <w:p w14:paraId="5830EF29">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14:textFill>
                        <w14:solidFill>
                          <w14:schemeClr w14:val="tx1"/>
                        </w14:solidFill>
                      </w14:textFill>
                    </w:rPr>
                  </w:pPr>
                </w:p>
              </w:tc>
              <w:tc>
                <w:tcPr>
                  <w:tcW w:w="278" w:type="pct"/>
                  <w:vMerge w:val="continue"/>
                  <w:noWrap w:val="0"/>
                  <w:vAlign w:val="center"/>
                </w:tcPr>
                <w:p w14:paraId="4443F1C6">
                  <w:pPr>
                    <w:keepNext w:val="0"/>
                    <w:keepLines w:val="0"/>
                    <w:pageBreakBefore w:val="0"/>
                    <w:widowControl/>
                    <w:suppressLineNumbers w:val="0"/>
                    <w:kinsoku/>
                    <w:wordWrap/>
                    <w:overflowPunct/>
                    <w:topLinePunct w:val="0"/>
                    <w:bidi w:val="0"/>
                    <w:spacing w:beforeAutospacing="0" w:afterAutospacing="0"/>
                    <w:jc w:val="center"/>
                    <w:textAlignment w:val="cente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pPr>
                </w:p>
              </w:tc>
              <w:tc>
                <w:tcPr>
                  <w:tcW w:w="444" w:type="pct"/>
                  <w:noWrap w:val="0"/>
                  <w:vAlign w:val="center"/>
                </w:tcPr>
                <w:p w14:paraId="1E654273">
                  <w:pPr>
                    <w:keepNext w:val="0"/>
                    <w:keepLines w:val="0"/>
                    <w:widowControl/>
                    <w:suppressLineNumbers w:val="0"/>
                    <w:jc w:val="center"/>
                    <w:textAlignment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1.5539</w:t>
                  </w:r>
                </w:p>
              </w:tc>
              <w:tc>
                <w:tcPr>
                  <w:tcW w:w="384" w:type="pct"/>
                  <w:noWrap w:val="0"/>
                  <w:vAlign w:val="center"/>
                </w:tcPr>
                <w:p w14:paraId="7016BD7D">
                  <w:pPr>
                    <w:keepNext w:val="0"/>
                    <w:keepLines w:val="0"/>
                    <w:widowControl/>
                    <w:suppressLineNumbers w:val="0"/>
                    <w:jc w:val="center"/>
                    <w:textAlignment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0.1774</w:t>
                  </w:r>
                </w:p>
              </w:tc>
              <w:tc>
                <w:tcPr>
                  <w:tcW w:w="376" w:type="pct"/>
                  <w:noWrap w:val="0"/>
                  <w:vAlign w:val="center"/>
                </w:tcPr>
                <w:p w14:paraId="06C15DCB">
                  <w:pPr>
                    <w:keepNext w:val="0"/>
                    <w:keepLines w:val="0"/>
                    <w:widowControl/>
                    <w:suppressLineNumbers w:val="0"/>
                    <w:jc w:val="center"/>
                    <w:textAlignment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4.43</w:t>
                  </w:r>
                </w:p>
              </w:tc>
              <w:tc>
                <w:tcPr>
                  <w:tcW w:w="346" w:type="pct"/>
                  <w:vMerge w:val="continue"/>
                  <w:noWrap w:val="0"/>
                  <w:vAlign w:val="center"/>
                </w:tcPr>
                <w:p w14:paraId="45E263E7">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p>
              </w:tc>
              <w:tc>
                <w:tcPr>
                  <w:tcW w:w="368" w:type="pct"/>
                  <w:vMerge w:val="continue"/>
                  <w:noWrap w:val="0"/>
                  <w:vAlign w:val="center"/>
                </w:tcPr>
                <w:p w14:paraId="54AA9241">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p>
              </w:tc>
              <w:tc>
                <w:tcPr>
                  <w:tcW w:w="278" w:type="pct"/>
                  <w:vMerge w:val="continue"/>
                  <w:noWrap w:val="0"/>
                  <w:vAlign w:val="center"/>
                </w:tcPr>
                <w:p w14:paraId="42DDF732">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p>
              </w:tc>
              <w:tc>
                <w:tcPr>
                  <w:tcW w:w="543" w:type="pct"/>
                  <w:noWrap w:val="0"/>
                  <w:vAlign w:val="center"/>
                </w:tcPr>
                <w:p w14:paraId="144591E5">
                  <w:pPr>
                    <w:keepNext w:val="0"/>
                    <w:keepLines w:val="0"/>
                    <w:widowControl/>
                    <w:suppressLineNumbers w:val="0"/>
                    <w:jc w:val="center"/>
                    <w:textAlignment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0.1554</w:t>
                  </w:r>
                </w:p>
              </w:tc>
              <w:tc>
                <w:tcPr>
                  <w:tcW w:w="511" w:type="pct"/>
                  <w:noWrap w:val="0"/>
                  <w:vAlign w:val="center"/>
                </w:tcPr>
                <w:p w14:paraId="1B667DBA">
                  <w:pPr>
                    <w:keepNext w:val="0"/>
                    <w:keepLines w:val="0"/>
                    <w:widowControl/>
                    <w:suppressLineNumbers w:val="0"/>
                    <w:jc w:val="center"/>
                    <w:textAlignment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0.0177</w:t>
                  </w:r>
                </w:p>
              </w:tc>
              <w:tc>
                <w:tcPr>
                  <w:tcW w:w="390" w:type="pct"/>
                  <w:noWrap w:val="0"/>
                  <w:vAlign w:val="center"/>
                </w:tcPr>
                <w:p w14:paraId="40611F5F">
                  <w:pPr>
                    <w:keepNext w:val="0"/>
                    <w:keepLines w:val="0"/>
                    <w:widowControl/>
                    <w:suppressLineNumbers w:val="0"/>
                    <w:jc w:val="center"/>
                    <w:textAlignment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0.44</w:t>
                  </w:r>
                </w:p>
              </w:tc>
            </w:tr>
            <w:tr w14:paraId="1C0D4D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253" w:type="pct"/>
                  <w:vMerge w:val="continue"/>
                  <w:noWrap w:val="0"/>
                  <w:vAlign w:val="center"/>
                </w:tcPr>
                <w:p w14:paraId="1575C503">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eastAsia="zh-CN"/>
                      <w14:textFill>
                        <w14:solidFill>
                          <w14:schemeClr w14:val="tx1"/>
                        </w14:solidFill>
                      </w14:textFill>
                    </w:rPr>
                  </w:pPr>
                </w:p>
              </w:tc>
              <w:tc>
                <w:tcPr>
                  <w:tcW w:w="601" w:type="pct"/>
                  <w:noWrap w:val="0"/>
                  <w:vAlign w:val="center"/>
                </w:tcPr>
                <w:p w14:paraId="28884F0F">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t>硫化氢</w:t>
                  </w:r>
                </w:p>
              </w:tc>
              <w:tc>
                <w:tcPr>
                  <w:tcW w:w="223" w:type="pct"/>
                  <w:vMerge w:val="continue"/>
                  <w:noWrap w:val="0"/>
                  <w:vAlign w:val="center"/>
                </w:tcPr>
                <w:p w14:paraId="52CEA482">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14:textFill>
                        <w14:solidFill>
                          <w14:schemeClr w14:val="tx1"/>
                        </w14:solidFill>
                      </w14:textFill>
                    </w:rPr>
                  </w:pPr>
                </w:p>
              </w:tc>
              <w:tc>
                <w:tcPr>
                  <w:tcW w:w="278" w:type="pct"/>
                  <w:vMerge w:val="continue"/>
                  <w:noWrap w:val="0"/>
                  <w:vAlign w:val="center"/>
                </w:tcPr>
                <w:p w14:paraId="587F31CB">
                  <w:pPr>
                    <w:keepNext w:val="0"/>
                    <w:keepLines w:val="0"/>
                    <w:pageBreakBefore w:val="0"/>
                    <w:widowControl/>
                    <w:suppressLineNumbers w:val="0"/>
                    <w:kinsoku/>
                    <w:wordWrap/>
                    <w:overflowPunct/>
                    <w:topLinePunct w:val="0"/>
                    <w:bidi w:val="0"/>
                    <w:spacing w:beforeAutospacing="0" w:afterAutospacing="0"/>
                    <w:jc w:val="center"/>
                    <w:textAlignment w:val="cente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pPr>
                </w:p>
              </w:tc>
              <w:tc>
                <w:tcPr>
                  <w:tcW w:w="444" w:type="pct"/>
                  <w:noWrap w:val="0"/>
                  <w:vAlign w:val="center"/>
                </w:tcPr>
                <w:p w14:paraId="160777C7">
                  <w:pPr>
                    <w:keepNext w:val="0"/>
                    <w:keepLines w:val="0"/>
                    <w:widowControl/>
                    <w:suppressLineNumbers w:val="0"/>
                    <w:jc w:val="center"/>
                    <w:textAlignment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0.0235</w:t>
                  </w:r>
                </w:p>
              </w:tc>
              <w:tc>
                <w:tcPr>
                  <w:tcW w:w="384" w:type="pct"/>
                  <w:noWrap w:val="0"/>
                  <w:vAlign w:val="center"/>
                </w:tcPr>
                <w:p w14:paraId="3EA0A118">
                  <w:pPr>
                    <w:keepNext w:val="0"/>
                    <w:keepLines w:val="0"/>
                    <w:widowControl/>
                    <w:suppressLineNumbers w:val="0"/>
                    <w:jc w:val="center"/>
                    <w:textAlignment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0.0027</w:t>
                  </w:r>
                </w:p>
              </w:tc>
              <w:tc>
                <w:tcPr>
                  <w:tcW w:w="376" w:type="pct"/>
                  <w:noWrap w:val="0"/>
                  <w:vAlign w:val="center"/>
                </w:tcPr>
                <w:p w14:paraId="39FC5089">
                  <w:pPr>
                    <w:keepNext w:val="0"/>
                    <w:keepLines w:val="0"/>
                    <w:widowControl/>
                    <w:suppressLineNumbers w:val="0"/>
                    <w:jc w:val="center"/>
                    <w:textAlignment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0.07</w:t>
                  </w:r>
                </w:p>
              </w:tc>
              <w:tc>
                <w:tcPr>
                  <w:tcW w:w="346" w:type="pct"/>
                  <w:vMerge w:val="continue"/>
                  <w:noWrap w:val="0"/>
                  <w:vAlign w:val="center"/>
                </w:tcPr>
                <w:p w14:paraId="2F6F7BEA">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p>
              </w:tc>
              <w:tc>
                <w:tcPr>
                  <w:tcW w:w="368" w:type="pct"/>
                  <w:vMerge w:val="continue"/>
                  <w:noWrap w:val="0"/>
                  <w:vAlign w:val="center"/>
                </w:tcPr>
                <w:p w14:paraId="18C52344">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14:textFill>
                        <w14:solidFill>
                          <w14:schemeClr w14:val="tx1"/>
                        </w14:solidFill>
                      </w14:textFill>
                    </w:rPr>
                  </w:pPr>
                </w:p>
              </w:tc>
              <w:tc>
                <w:tcPr>
                  <w:tcW w:w="278" w:type="pct"/>
                  <w:vMerge w:val="continue"/>
                  <w:noWrap w:val="0"/>
                  <w:vAlign w:val="center"/>
                </w:tcPr>
                <w:p w14:paraId="7F0090AB">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14:textFill>
                        <w14:solidFill>
                          <w14:schemeClr w14:val="tx1"/>
                        </w14:solidFill>
                      </w14:textFill>
                    </w:rPr>
                  </w:pPr>
                </w:p>
              </w:tc>
              <w:tc>
                <w:tcPr>
                  <w:tcW w:w="543" w:type="pct"/>
                  <w:noWrap w:val="0"/>
                  <w:vAlign w:val="center"/>
                </w:tcPr>
                <w:p w14:paraId="2EBA9C99">
                  <w:pPr>
                    <w:keepNext w:val="0"/>
                    <w:keepLines w:val="0"/>
                    <w:widowControl/>
                    <w:suppressLineNumbers w:val="0"/>
                    <w:jc w:val="center"/>
                    <w:textAlignment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0.0024</w:t>
                  </w:r>
                </w:p>
              </w:tc>
              <w:tc>
                <w:tcPr>
                  <w:tcW w:w="511" w:type="pct"/>
                  <w:noWrap w:val="0"/>
                  <w:vAlign w:val="center"/>
                </w:tcPr>
                <w:p w14:paraId="7EDC5A6F">
                  <w:pPr>
                    <w:keepNext w:val="0"/>
                    <w:keepLines w:val="0"/>
                    <w:widowControl/>
                    <w:suppressLineNumbers w:val="0"/>
                    <w:jc w:val="center"/>
                    <w:textAlignment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0.0003</w:t>
                  </w:r>
                </w:p>
              </w:tc>
              <w:tc>
                <w:tcPr>
                  <w:tcW w:w="390" w:type="pct"/>
                  <w:noWrap w:val="0"/>
                  <w:vAlign w:val="center"/>
                </w:tcPr>
                <w:p w14:paraId="28BBD913">
                  <w:pPr>
                    <w:keepNext w:val="0"/>
                    <w:keepLines w:val="0"/>
                    <w:widowControl/>
                    <w:suppressLineNumbers w:val="0"/>
                    <w:jc w:val="center"/>
                    <w:textAlignment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0.01</w:t>
                  </w:r>
                </w:p>
              </w:tc>
            </w:tr>
            <w:tr w14:paraId="604621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253" w:type="pct"/>
                  <w:vMerge w:val="continue"/>
                  <w:noWrap w:val="0"/>
                  <w:vAlign w:val="center"/>
                </w:tcPr>
                <w:p w14:paraId="4D26661E">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eastAsia="zh-CN"/>
                      <w14:textFill>
                        <w14:solidFill>
                          <w14:schemeClr w14:val="tx1"/>
                        </w14:solidFill>
                      </w14:textFill>
                    </w:rPr>
                  </w:pPr>
                </w:p>
              </w:tc>
              <w:tc>
                <w:tcPr>
                  <w:tcW w:w="601" w:type="pct"/>
                  <w:noWrap w:val="0"/>
                  <w:vAlign w:val="center"/>
                </w:tcPr>
                <w:p w14:paraId="0B89B8B0">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t>氯化氢</w:t>
                  </w:r>
                </w:p>
              </w:tc>
              <w:tc>
                <w:tcPr>
                  <w:tcW w:w="223" w:type="pct"/>
                  <w:vMerge w:val="continue"/>
                  <w:noWrap w:val="0"/>
                  <w:vAlign w:val="center"/>
                </w:tcPr>
                <w:p w14:paraId="182C6FFF">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14:textFill>
                        <w14:solidFill>
                          <w14:schemeClr w14:val="tx1"/>
                        </w14:solidFill>
                      </w14:textFill>
                    </w:rPr>
                  </w:pPr>
                </w:p>
              </w:tc>
              <w:tc>
                <w:tcPr>
                  <w:tcW w:w="278" w:type="pct"/>
                  <w:vMerge w:val="continue"/>
                  <w:noWrap w:val="0"/>
                  <w:vAlign w:val="center"/>
                </w:tcPr>
                <w:p w14:paraId="5DEFA041">
                  <w:pPr>
                    <w:keepNext w:val="0"/>
                    <w:keepLines w:val="0"/>
                    <w:pageBreakBefore w:val="0"/>
                    <w:widowControl/>
                    <w:suppressLineNumbers w:val="0"/>
                    <w:kinsoku/>
                    <w:wordWrap/>
                    <w:overflowPunct/>
                    <w:topLinePunct w:val="0"/>
                    <w:bidi w:val="0"/>
                    <w:spacing w:beforeAutospacing="0" w:afterAutospacing="0"/>
                    <w:jc w:val="center"/>
                    <w:textAlignment w:val="cente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pPr>
                </w:p>
              </w:tc>
              <w:tc>
                <w:tcPr>
                  <w:tcW w:w="444" w:type="pct"/>
                  <w:noWrap w:val="0"/>
                  <w:vAlign w:val="center"/>
                </w:tcPr>
                <w:p w14:paraId="480DE92C">
                  <w:pPr>
                    <w:keepNext w:val="0"/>
                    <w:keepLines w:val="0"/>
                    <w:widowControl/>
                    <w:suppressLineNumbers w:val="0"/>
                    <w:jc w:val="center"/>
                    <w:textAlignment w:val="cente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0.0575</w:t>
                  </w:r>
                </w:p>
              </w:tc>
              <w:tc>
                <w:tcPr>
                  <w:tcW w:w="384" w:type="pct"/>
                  <w:noWrap w:val="0"/>
                  <w:vAlign w:val="center"/>
                </w:tcPr>
                <w:p w14:paraId="5C937398">
                  <w:pPr>
                    <w:keepNext w:val="0"/>
                    <w:keepLines w:val="0"/>
                    <w:widowControl/>
                    <w:suppressLineNumbers w:val="0"/>
                    <w:jc w:val="center"/>
                    <w:textAlignment w:val="cente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0.0066</w:t>
                  </w:r>
                </w:p>
              </w:tc>
              <w:tc>
                <w:tcPr>
                  <w:tcW w:w="376" w:type="pct"/>
                  <w:noWrap w:val="0"/>
                  <w:vAlign w:val="center"/>
                </w:tcPr>
                <w:p w14:paraId="548C9ADE">
                  <w:pPr>
                    <w:keepNext w:val="0"/>
                    <w:keepLines w:val="0"/>
                    <w:widowControl/>
                    <w:suppressLineNumbers w:val="0"/>
                    <w:jc w:val="center"/>
                    <w:textAlignment w:val="cente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0.16</w:t>
                  </w:r>
                </w:p>
              </w:tc>
              <w:tc>
                <w:tcPr>
                  <w:tcW w:w="346" w:type="pct"/>
                  <w:vMerge w:val="continue"/>
                  <w:noWrap w:val="0"/>
                  <w:vAlign w:val="center"/>
                </w:tcPr>
                <w:p w14:paraId="208361D8">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p>
              </w:tc>
              <w:tc>
                <w:tcPr>
                  <w:tcW w:w="368" w:type="pct"/>
                  <w:vMerge w:val="continue"/>
                  <w:noWrap w:val="0"/>
                  <w:vAlign w:val="center"/>
                </w:tcPr>
                <w:p w14:paraId="5FBE5A62">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p>
              </w:tc>
              <w:tc>
                <w:tcPr>
                  <w:tcW w:w="278" w:type="pct"/>
                  <w:vMerge w:val="continue"/>
                  <w:noWrap w:val="0"/>
                  <w:vAlign w:val="center"/>
                </w:tcPr>
                <w:p w14:paraId="45D8F3A7">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p>
              </w:tc>
              <w:tc>
                <w:tcPr>
                  <w:tcW w:w="543" w:type="pct"/>
                  <w:noWrap w:val="0"/>
                  <w:vAlign w:val="center"/>
                </w:tcPr>
                <w:p w14:paraId="5B5552B2">
                  <w:pPr>
                    <w:keepNext w:val="0"/>
                    <w:keepLines w:val="0"/>
                    <w:widowControl/>
                    <w:suppressLineNumbers w:val="0"/>
                    <w:jc w:val="center"/>
                    <w:textAlignment w:val="cente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0.0058</w:t>
                  </w:r>
                </w:p>
              </w:tc>
              <w:tc>
                <w:tcPr>
                  <w:tcW w:w="511" w:type="pct"/>
                  <w:noWrap w:val="0"/>
                  <w:vAlign w:val="center"/>
                </w:tcPr>
                <w:p w14:paraId="748FD26A">
                  <w:pPr>
                    <w:keepNext w:val="0"/>
                    <w:keepLines w:val="0"/>
                    <w:widowControl/>
                    <w:suppressLineNumbers w:val="0"/>
                    <w:jc w:val="center"/>
                    <w:textAlignment w:val="cente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0.0007</w:t>
                  </w:r>
                </w:p>
              </w:tc>
              <w:tc>
                <w:tcPr>
                  <w:tcW w:w="390" w:type="pct"/>
                  <w:noWrap w:val="0"/>
                  <w:vAlign w:val="center"/>
                </w:tcPr>
                <w:p w14:paraId="786D4981">
                  <w:pPr>
                    <w:keepNext w:val="0"/>
                    <w:keepLines w:val="0"/>
                    <w:widowControl/>
                    <w:suppressLineNumbers w:val="0"/>
                    <w:jc w:val="center"/>
                    <w:textAlignment w:val="cente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0.02</w:t>
                  </w:r>
                </w:p>
              </w:tc>
            </w:tr>
            <w:tr w14:paraId="067267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253" w:type="pct"/>
                  <w:vMerge w:val="continue"/>
                  <w:noWrap w:val="0"/>
                  <w:vAlign w:val="center"/>
                </w:tcPr>
                <w:p w14:paraId="54B97E36">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eastAsia="zh-CN"/>
                      <w14:textFill>
                        <w14:solidFill>
                          <w14:schemeClr w14:val="tx1"/>
                        </w14:solidFill>
                      </w14:textFill>
                    </w:rPr>
                  </w:pPr>
                </w:p>
              </w:tc>
              <w:tc>
                <w:tcPr>
                  <w:tcW w:w="601" w:type="pct"/>
                  <w:shd w:val="clear" w:color="auto" w:fill="auto"/>
                  <w:noWrap w:val="0"/>
                  <w:vAlign w:val="center"/>
                </w:tcPr>
                <w:p w14:paraId="7081A421">
                  <w:pPr>
                    <w:jc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t>臭气浓度</w:t>
                  </w:r>
                </w:p>
              </w:tc>
              <w:tc>
                <w:tcPr>
                  <w:tcW w:w="223" w:type="pct"/>
                  <w:vMerge w:val="continue"/>
                  <w:shd w:val="clear" w:color="auto" w:fill="auto"/>
                  <w:noWrap w:val="0"/>
                  <w:vAlign w:val="center"/>
                </w:tcPr>
                <w:p w14:paraId="1C84350F">
                  <w:pPr>
                    <w:jc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p>
              </w:tc>
              <w:tc>
                <w:tcPr>
                  <w:tcW w:w="278" w:type="pct"/>
                  <w:vMerge w:val="continue"/>
                  <w:noWrap w:val="0"/>
                  <w:vAlign w:val="center"/>
                </w:tcPr>
                <w:p w14:paraId="32E1C218">
                  <w:pPr>
                    <w:keepNext w:val="0"/>
                    <w:keepLines w:val="0"/>
                    <w:pageBreakBefore w:val="0"/>
                    <w:widowControl/>
                    <w:suppressLineNumbers w:val="0"/>
                    <w:kinsoku/>
                    <w:wordWrap/>
                    <w:overflowPunct/>
                    <w:topLinePunct w:val="0"/>
                    <w:bidi w:val="0"/>
                    <w:spacing w:beforeAutospacing="0" w:afterAutospacing="0"/>
                    <w:jc w:val="center"/>
                    <w:textAlignment w:val="cente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pPr>
                </w:p>
              </w:tc>
              <w:tc>
                <w:tcPr>
                  <w:tcW w:w="1205" w:type="pct"/>
                  <w:gridSpan w:val="3"/>
                  <w:noWrap w:val="0"/>
                  <w:vAlign w:val="center"/>
                </w:tcPr>
                <w:p w14:paraId="1797B167">
                  <w:pPr>
                    <w:keepNext w:val="0"/>
                    <w:keepLines w:val="0"/>
                    <w:widowControl/>
                    <w:suppressLineNumbers w:val="0"/>
                    <w:jc w:val="center"/>
                    <w:textAlignment w:val="cente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vertAlign w:val="baseline"/>
                      <w:lang w:val="en-US" w:eastAsia="zh-CN"/>
                      <w14:textFill>
                        <w14:solidFill>
                          <w14:schemeClr w14:val="tx1"/>
                        </w14:solidFill>
                      </w14:textFill>
                    </w:rPr>
                    <w:t>977</w:t>
                  </w:r>
                  <w:bookmarkStart w:id="49" w:name="OLE_LINK12"/>
                  <w:r>
                    <w:rPr>
                      <w:rFonts w:hint="default" w:ascii="Times New Roman" w:hAnsi="Times New Roman" w:cs="Times New Roman" w:eastAsiaTheme="majorEastAsia"/>
                      <w:color w:val="000000" w:themeColor="text1"/>
                      <w:sz w:val="21"/>
                      <w:szCs w:val="21"/>
                      <w:highlight w:val="none"/>
                      <w:vertAlign w:val="baseline"/>
                      <w:lang w:val="en-US" w:eastAsia="zh-CN"/>
                      <w14:textFill>
                        <w14:solidFill>
                          <w14:schemeClr w14:val="tx1"/>
                        </w14:solidFill>
                      </w14:textFill>
                    </w:rPr>
                    <w:t>（无量纲）</w:t>
                  </w:r>
                  <w:bookmarkEnd w:id="49"/>
                </w:p>
              </w:tc>
              <w:tc>
                <w:tcPr>
                  <w:tcW w:w="346" w:type="pct"/>
                  <w:vMerge w:val="continue"/>
                  <w:noWrap w:val="0"/>
                  <w:vAlign w:val="center"/>
                </w:tcPr>
                <w:p w14:paraId="65A8700F">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p>
              </w:tc>
              <w:tc>
                <w:tcPr>
                  <w:tcW w:w="368" w:type="pct"/>
                  <w:vMerge w:val="continue"/>
                  <w:noWrap w:val="0"/>
                  <w:vAlign w:val="center"/>
                </w:tcPr>
                <w:p w14:paraId="4026FC37">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p>
              </w:tc>
              <w:tc>
                <w:tcPr>
                  <w:tcW w:w="278" w:type="pct"/>
                  <w:vMerge w:val="continue"/>
                  <w:noWrap w:val="0"/>
                  <w:vAlign w:val="center"/>
                </w:tcPr>
                <w:p w14:paraId="5F051CA8">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p>
              </w:tc>
              <w:tc>
                <w:tcPr>
                  <w:tcW w:w="1445" w:type="pct"/>
                  <w:gridSpan w:val="3"/>
                  <w:noWrap w:val="0"/>
                  <w:vAlign w:val="center"/>
                </w:tcPr>
                <w:p w14:paraId="38802AD8">
                  <w:pPr>
                    <w:keepNext w:val="0"/>
                    <w:keepLines w:val="0"/>
                    <w:widowControl/>
                    <w:suppressLineNumbers w:val="0"/>
                    <w:jc w:val="center"/>
                    <w:textAlignment w:val="cente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vertAlign w:val="baseline"/>
                      <w:lang w:val="en-US" w:eastAsia="zh-CN"/>
                      <w14:textFill>
                        <w14:solidFill>
                          <w14:schemeClr w14:val="tx1"/>
                        </w14:solidFill>
                      </w14:textFill>
                    </w:rPr>
                    <w:t>131（无量纲）</w:t>
                  </w:r>
                </w:p>
              </w:tc>
            </w:tr>
            <w:tr w14:paraId="3FDE75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253" w:type="pct"/>
                  <w:vMerge w:val="restart"/>
                  <w:noWrap w:val="0"/>
                  <w:vAlign w:val="center"/>
                </w:tcPr>
                <w:p w14:paraId="01B61F82">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t>危险废物贮存库</w:t>
                  </w:r>
                </w:p>
              </w:tc>
              <w:tc>
                <w:tcPr>
                  <w:tcW w:w="601" w:type="pct"/>
                  <w:noWrap w:val="0"/>
                  <w:vAlign w:val="center"/>
                </w:tcPr>
                <w:p w14:paraId="0B06FF73">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t>非甲烷总烃</w:t>
                  </w:r>
                </w:p>
              </w:tc>
              <w:tc>
                <w:tcPr>
                  <w:tcW w:w="223" w:type="pct"/>
                  <w:vMerge w:val="restart"/>
                  <w:noWrap w:val="0"/>
                  <w:vAlign w:val="center"/>
                </w:tcPr>
                <w:p w14:paraId="67563296">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eastAsia="zh-CN"/>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lang w:eastAsia="zh-CN"/>
                      <w14:textFill>
                        <w14:solidFill>
                          <w14:schemeClr w14:val="tx1"/>
                        </w14:solidFill>
                      </w14:textFill>
                    </w:rPr>
                    <w:t>无组织</w:t>
                  </w:r>
                </w:p>
              </w:tc>
              <w:tc>
                <w:tcPr>
                  <w:tcW w:w="278" w:type="pct"/>
                  <w:vMerge w:val="restart"/>
                  <w:noWrap w:val="0"/>
                  <w:vAlign w:val="center"/>
                </w:tcPr>
                <w:p w14:paraId="0168708B">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t>系数法</w:t>
                  </w:r>
                </w:p>
              </w:tc>
              <w:tc>
                <w:tcPr>
                  <w:tcW w:w="444" w:type="pct"/>
                  <w:noWrap w:val="0"/>
                  <w:vAlign w:val="center"/>
                </w:tcPr>
                <w:p w14:paraId="642CF047">
                  <w:pPr>
                    <w:keepNext w:val="0"/>
                    <w:keepLines w:val="0"/>
                    <w:widowControl/>
                    <w:suppressLineNumbers w:val="0"/>
                    <w:jc w:val="right"/>
                    <w:textAlignment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 xml:space="preserve">0.2708 </w:t>
                  </w:r>
                </w:p>
              </w:tc>
              <w:tc>
                <w:tcPr>
                  <w:tcW w:w="384" w:type="pct"/>
                  <w:noWrap w:val="0"/>
                  <w:vAlign w:val="center"/>
                </w:tcPr>
                <w:p w14:paraId="6918F1EE">
                  <w:pPr>
                    <w:keepNext w:val="0"/>
                    <w:keepLines w:val="0"/>
                    <w:widowControl/>
                    <w:suppressLineNumbers w:val="0"/>
                    <w:jc w:val="right"/>
                    <w:textAlignment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 xml:space="preserve">0.0309 </w:t>
                  </w:r>
                </w:p>
              </w:tc>
              <w:tc>
                <w:tcPr>
                  <w:tcW w:w="376" w:type="pct"/>
                  <w:noWrap w:val="0"/>
                  <w:vAlign w:val="center"/>
                </w:tcPr>
                <w:p w14:paraId="73AB400C">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t>/</w:t>
                  </w:r>
                </w:p>
              </w:tc>
              <w:tc>
                <w:tcPr>
                  <w:tcW w:w="346" w:type="pct"/>
                  <w:vMerge w:val="restart"/>
                  <w:noWrap w:val="0"/>
                  <w:vAlign w:val="center"/>
                </w:tcPr>
                <w:p w14:paraId="3560F848">
                  <w:pPr>
                    <w:keepNext w:val="0"/>
                    <w:keepLines w:val="0"/>
                    <w:pageBreakBefore w:val="0"/>
                    <w:kinsoku/>
                    <w:wordWrap/>
                    <w:overflowPunct/>
                    <w:topLinePunct w:val="0"/>
                    <w:bidi w:val="0"/>
                    <w:adjustRightInd w:val="0"/>
                    <w:snapToGrid w:val="0"/>
                    <w:spacing w:beforeAutospacing="0" w:afterAutospacing="0"/>
                    <w:jc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lang w:eastAsia="zh-CN"/>
                      <w14:textFill>
                        <w14:solidFill>
                          <w14:schemeClr w14:val="tx1"/>
                        </w14:solidFill>
                      </w14:textFill>
                    </w:rPr>
                    <w:t>密闭</w:t>
                  </w:r>
                  <w:r>
                    <w:rPr>
                      <w:rFonts w:hint="default" w:ascii="Times New Roman" w:hAnsi="Times New Roman" w:cs="Times New Roman" w:eastAsiaTheme="majorEastAsia"/>
                      <w:color w:val="000000" w:themeColor="text1"/>
                      <w:sz w:val="21"/>
                      <w:szCs w:val="21"/>
                      <w:highlight w:val="none"/>
                      <w14:textFill>
                        <w14:solidFill>
                          <w14:schemeClr w14:val="tx1"/>
                        </w14:solidFill>
                      </w14:textFill>
                    </w:rPr>
                    <w:t>库房</w:t>
                  </w:r>
                </w:p>
              </w:tc>
              <w:tc>
                <w:tcPr>
                  <w:tcW w:w="368" w:type="pct"/>
                  <w:noWrap w:val="0"/>
                  <w:vAlign w:val="center"/>
                </w:tcPr>
                <w:p w14:paraId="555F8904">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t>/</w:t>
                  </w:r>
                </w:p>
              </w:tc>
              <w:tc>
                <w:tcPr>
                  <w:tcW w:w="278" w:type="pct"/>
                  <w:noWrap w:val="0"/>
                  <w:vAlign w:val="center"/>
                </w:tcPr>
                <w:p w14:paraId="7E277E22">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t>/</w:t>
                  </w:r>
                </w:p>
              </w:tc>
              <w:tc>
                <w:tcPr>
                  <w:tcW w:w="543" w:type="pct"/>
                  <w:noWrap w:val="0"/>
                  <w:vAlign w:val="center"/>
                </w:tcPr>
                <w:p w14:paraId="5CB9A229">
                  <w:pPr>
                    <w:keepNext w:val="0"/>
                    <w:keepLines w:val="0"/>
                    <w:widowControl/>
                    <w:suppressLineNumbers w:val="0"/>
                    <w:jc w:val="center"/>
                    <w:textAlignment w:val="center"/>
                    <w:rPr>
                      <w:rFonts w:hint="default" w:ascii="Times New Roman" w:hAnsi="Times New Roman" w:cs="Times New Roman" w:eastAsiaTheme="maj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0.2708</w:t>
                  </w:r>
                </w:p>
              </w:tc>
              <w:tc>
                <w:tcPr>
                  <w:tcW w:w="511" w:type="pct"/>
                  <w:noWrap w:val="0"/>
                  <w:vAlign w:val="center"/>
                </w:tcPr>
                <w:p w14:paraId="3C29B3D9">
                  <w:pPr>
                    <w:keepNext w:val="0"/>
                    <w:keepLines w:val="0"/>
                    <w:widowControl/>
                    <w:suppressLineNumbers w:val="0"/>
                    <w:jc w:val="center"/>
                    <w:textAlignment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0.0309</w:t>
                  </w:r>
                </w:p>
              </w:tc>
              <w:tc>
                <w:tcPr>
                  <w:tcW w:w="390" w:type="pct"/>
                  <w:noWrap w:val="0"/>
                  <w:vAlign w:val="center"/>
                </w:tcPr>
                <w:p w14:paraId="3048587C">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t>/</w:t>
                  </w:r>
                </w:p>
              </w:tc>
            </w:tr>
            <w:tr w14:paraId="122992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253" w:type="pct"/>
                  <w:vMerge w:val="continue"/>
                  <w:noWrap w:val="0"/>
                  <w:vAlign w:val="center"/>
                </w:tcPr>
                <w:p w14:paraId="4E15E52B">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eastAsia="zh-CN"/>
                      <w14:textFill>
                        <w14:solidFill>
                          <w14:schemeClr w14:val="tx1"/>
                        </w14:solidFill>
                      </w14:textFill>
                    </w:rPr>
                  </w:pPr>
                </w:p>
              </w:tc>
              <w:tc>
                <w:tcPr>
                  <w:tcW w:w="601" w:type="pct"/>
                  <w:noWrap w:val="0"/>
                  <w:vAlign w:val="center"/>
                </w:tcPr>
                <w:p w14:paraId="194BA215">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eastAsia="zh-CN"/>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vertAlign w:val="baseline"/>
                      <w:lang w:val="en-US" w:eastAsia="zh-CN"/>
                      <w14:textFill>
                        <w14:solidFill>
                          <w14:schemeClr w14:val="tx1"/>
                        </w14:solidFill>
                      </w14:textFill>
                    </w:rPr>
                    <w:t>氨</w:t>
                  </w:r>
                </w:p>
              </w:tc>
              <w:tc>
                <w:tcPr>
                  <w:tcW w:w="223" w:type="pct"/>
                  <w:vMerge w:val="continue"/>
                  <w:noWrap w:val="0"/>
                  <w:vAlign w:val="center"/>
                </w:tcPr>
                <w:p w14:paraId="6E481256">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14:textFill>
                        <w14:solidFill>
                          <w14:schemeClr w14:val="tx1"/>
                        </w14:solidFill>
                      </w14:textFill>
                    </w:rPr>
                  </w:pPr>
                </w:p>
              </w:tc>
              <w:tc>
                <w:tcPr>
                  <w:tcW w:w="278" w:type="pct"/>
                  <w:vMerge w:val="continue"/>
                  <w:noWrap w:val="0"/>
                  <w:vAlign w:val="center"/>
                </w:tcPr>
                <w:p w14:paraId="2B2757AA">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p>
              </w:tc>
              <w:tc>
                <w:tcPr>
                  <w:tcW w:w="444" w:type="pct"/>
                  <w:noWrap w:val="0"/>
                  <w:vAlign w:val="center"/>
                </w:tcPr>
                <w:p w14:paraId="2274B786">
                  <w:pPr>
                    <w:keepNext w:val="0"/>
                    <w:keepLines w:val="0"/>
                    <w:widowControl/>
                    <w:suppressLineNumbers w:val="0"/>
                    <w:jc w:val="center"/>
                    <w:textAlignment w:val="center"/>
                    <w:rPr>
                      <w:rFonts w:hint="default" w:ascii="Times New Roman" w:hAnsi="Times New Roman" w:cs="Times New Roman" w:eastAsiaTheme="maj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 xml:space="preserve">0.1727 </w:t>
                  </w:r>
                </w:p>
              </w:tc>
              <w:tc>
                <w:tcPr>
                  <w:tcW w:w="384" w:type="pct"/>
                  <w:noWrap w:val="0"/>
                  <w:vAlign w:val="center"/>
                </w:tcPr>
                <w:p w14:paraId="58BC8F53">
                  <w:pPr>
                    <w:keepNext w:val="0"/>
                    <w:keepLines w:val="0"/>
                    <w:widowControl/>
                    <w:suppressLineNumbers w:val="0"/>
                    <w:jc w:val="center"/>
                    <w:textAlignment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 xml:space="preserve">0.0197 </w:t>
                  </w:r>
                </w:p>
              </w:tc>
              <w:tc>
                <w:tcPr>
                  <w:tcW w:w="376" w:type="pct"/>
                  <w:noWrap w:val="0"/>
                  <w:vAlign w:val="center"/>
                </w:tcPr>
                <w:p w14:paraId="628BF852">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t>/</w:t>
                  </w:r>
                </w:p>
              </w:tc>
              <w:tc>
                <w:tcPr>
                  <w:tcW w:w="346" w:type="pct"/>
                  <w:vMerge w:val="continue"/>
                  <w:noWrap w:val="0"/>
                  <w:vAlign w:val="center"/>
                </w:tcPr>
                <w:p w14:paraId="7D88D9E5">
                  <w:pPr>
                    <w:keepNext w:val="0"/>
                    <w:keepLines w:val="0"/>
                    <w:pageBreakBefore w:val="0"/>
                    <w:kinsoku/>
                    <w:wordWrap/>
                    <w:overflowPunct/>
                    <w:topLinePunct w:val="0"/>
                    <w:bidi w:val="0"/>
                    <w:adjustRightInd w:val="0"/>
                    <w:snapToGrid w:val="0"/>
                    <w:spacing w:beforeAutospacing="0" w:afterAutospacing="0"/>
                    <w:jc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p>
              </w:tc>
              <w:tc>
                <w:tcPr>
                  <w:tcW w:w="368" w:type="pct"/>
                  <w:noWrap w:val="0"/>
                  <w:vAlign w:val="center"/>
                </w:tcPr>
                <w:p w14:paraId="63ED34F1">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t>/</w:t>
                  </w:r>
                </w:p>
              </w:tc>
              <w:tc>
                <w:tcPr>
                  <w:tcW w:w="278" w:type="pct"/>
                  <w:noWrap w:val="0"/>
                  <w:vAlign w:val="center"/>
                </w:tcPr>
                <w:p w14:paraId="22BAD36B">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t>/</w:t>
                  </w:r>
                </w:p>
              </w:tc>
              <w:tc>
                <w:tcPr>
                  <w:tcW w:w="543" w:type="pct"/>
                  <w:noWrap w:val="0"/>
                  <w:vAlign w:val="center"/>
                </w:tcPr>
                <w:p w14:paraId="34B56FC2">
                  <w:pPr>
                    <w:keepNext w:val="0"/>
                    <w:keepLines w:val="0"/>
                    <w:widowControl/>
                    <w:suppressLineNumbers w:val="0"/>
                    <w:jc w:val="center"/>
                    <w:textAlignment w:val="center"/>
                    <w:rPr>
                      <w:rFonts w:hint="default" w:ascii="Times New Roman" w:hAnsi="Times New Roman" w:cs="Times New Roman" w:eastAsiaTheme="majorEastAsia"/>
                      <w:color w:val="000000" w:themeColor="text1"/>
                      <w:sz w:val="21"/>
                      <w:szCs w:val="21"/>
                      <w:highlight w:val="none"/>
                      <w:lang w:val="en-US"/>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0.1727</w:t>
                  </w:r>
                </w:p>
              </w:tc>
              <w:tc>
                <w:tcPr>
                  <w:tcW w:w="511" w:type="pct"/>
                  <w:noWrap w:val="0"/>
                  <w:vAlign w:val="center"/>
                </w:tcPr>
                <w:p w14:paraId="1E955984">
                  <w:pPr>
                    <w:keepNext w:val="0"/>
                    <w:keepLines w:val="0"/>
                    <w:widowControl/>
                    <w:suppressLineNumbers w:val="0"/>
                    <w:jc w:val="center"/>
                    <w:textAlignment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0.0197</w:t>
                  </w:r>
                </w:p>
              </w:tc>
              <w:tc>
                <w:tcPr>
                  <w:tcW w:w="390" w:type="pct"/>
                  <w:noWrap w:val="0"/>
                  <w:vAlign w:val="center"/>
                </w:tcPr>
                <w:p w14:paraId="7FE5DE0A">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t>/</w:t>
                  </w:r>
                </w:p>
              </w:tc>
            </w:tr>
            <w:tr w14:paraId="300A47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253" w:type="pct"/>
                  <w:vMerge w:val="continue"/>
                  <w:noWrap w:val="0"/>
                  <w:vAlign w:val="center"/>
                </w:tcPr>
                <w:p w14:paraId="3597D009">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p>
              </w:tc>
              <w:tc>
                <w:tcPr>
                  <w:tcW w:w="601" w:type="pct"/>
                  <w:noWrap w:val="0"/>
                  <w:vAlign w:val="center"/>
                </w:tcPr>
                <w:p w14:paraId="4418A4D5">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t>硫化氢</w:t>
                  </w:r>
                </w:p>
              </w:tc>
              <w:tc>
                <w:tcPr>
                  <w:tcW w:w="223" w:type="pct"/>
                  <w:vMerge w:val="continue"/>
                  <w:noWrap w:val="0"/>
                  <w:vAlign w:val="center"/>
                </w:tcPr>
                <w:p w14:paraId="1C4D6C2F">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p>
              </w:tc>
              <w:tc>
                <w:tcPr>
                  <w:tcW w:w="278" w:type="pct"/>
                  <w:vMerge w:val="continue"/>
                  <w:noWrap w:val="0"/>
                  <w:vAlign w:val="center"/>
                </w:tcPr>
                <w:p w14:paraId="603AA6D1">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p>
              </w:tc>
              <w:tc>
                <w:tcPr>
                  <w:tcW w:w="444" w:type="pct"/>
                  <w:noWrap w:val="0"/>
                  <w:vAlign w:val="center"/>
                </w:tcPr>
                <w:p w14:paraId="28BFB3D8">
                  <w:pPr>
                    <w:keepNext w:val="0"/>
                    <w:keepLines w:val="0"/>
                    <w:widowControl/>
                    <w:suppressLineNumbers w:val="0"/>
                    <w:jc w:val="center"/>
                    <w:textAlignment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 xml:space="preserve">0.0026 </w:t>
                  </w:r>
                </w:p>
              </w:tc>
              <w:tc>
                <w:tcPr>
                  <w:tcW w:w="384" w:type="pct"/>
                  <w:noWrap w:val="0"/>
                  <w:vAlign w:val="center"/>
                </w:tcPr>
                <w:p w14:paraId="7CC2C6E8">
                  <w:pPr>
                    <w:keepNext w:val="0"/>
                    <w:keepLines w:val="0"/>
                    <w:widowControl/>
                    <w:suppressLineNumbers w:val="0"/>
                    <w:jc w:val="center"/>
                    <w:textAlignment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 xml:space="preserve">0.0003 </w:t>
                  </w:r>
                </w:p>
              </w:tc>
              <w:tc>
                <w:tcPr>
                  <w:tcW w:w="376" w:type="pct"/>
                  <w:noWrap w:val="0"/>
                  <w:vAlign w:val="center"/>
                </w:tcPr>
                <w:p w14:paraId="2FD5A4D3">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t>/</w:t>
                  </w:r>
                </w:p>
              </w:tc>
              <w:tc>
                <w:tcPr>
                  <w:tcW w:w="346" w:type="pct"/>
                  <w:vMerge w:val="continue"/>
                  <w:noWrap w:val="0"/>
                  <w:vAlign w:val="center"/>
                </w:tcPr>
                <w:p w14:paraId="6F7E98B0">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jc w:val="center"/>
                    <w:textAlignment w:val="auto"/>
                    <w:rPr>
                      <w:rFonts w:hint="default" w:ascii="Times New Roman" w:hAnsi="Times New Roman" w:cs="Times New Roman" w:eastAsiaTheme="majorEastAsia"/>
                      <w:bCs/>
                      <w:color w:val="000000" w:themeColor="text1"/>
                      <w:kern w:val="2"/>
                      <w:sz w:val="21"/>
                      <w:szCs w:val="21"/>
                      <w:highlight w:val="none"/>
                      <w:lang w:val="en-US" w:eastAsia="zh-CN" w:bidi="ar-SA"/>
                      <w14:textFill>
                        <w14:solidFill>
                          <w14:schemeClr w14:val="tx1"/>
                        </w14:solidFill>
                      </w14:textFill>
                    </w:rPr>
                  </w:pPr>
                </w:p>
              </w:tc>
              <w:tc>
                <w:tcPr>
                  <w:tcW w:w="368" w:type="pct"/>
                  <w:noWrap w:val="0"/>
                  <w:vAlign w:val="center"/>
                </w:tcPr>
                <w:p w14:paraId="266A5FF9">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t>/</w:t>
                  </w:r>
                </w:p>
              </w:tc>
              <w:tc>
                <w:tcPr>
                  <w:tcW w:w="278" w:type="pct"/>
                  <w:noWrap w:val="0"/>
                  <w:vAlign w:val="center"/>
                </w:tcPr>
                <w:p w14:paraId="1FA7F77A">
                  <w:pPr>
                    <w:keepNext w:val="0"/>
                    <w:keepLines w:val="0"/>
                    <w:pageBreakBefore w:val="0"/>
                    <w:widowControl/>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t>/</w:t>
                  </w:r>
                </w:p>
              </w:tc>
              <w:tc>
                <w:tcPr>
                  <w:tcW w:w="543" w:type="pct"/>
                  <w:noWrap w:val="0"/>
                  <w:vAlign w:val="center"/>
                </w:tcPr>
                <w:p w14:paraId="07AAB5A2">
                  <w:pPr>
                    <w:keepNext w:val="0"/>
                    <w:keepLines w:val="0"/>
                    <w:widowControl/>
                    <w:suppressLineNumbers w:val="0"/>
                    <w:jc w:val="center"/>
                    <w:textAlignment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0.0026</w:t>
                  </w:r>
                </w:p>
              </w:tc>
              <w:tc>
                <w:tcPr>
                  <w:tcW w:w="511" w:type="pct"/>
                  <w:noWrap w:val="0"/>
                  <w:vAlign w:val="center"/>
                </w:tcPr>
                <w:p w14:paraId="2101EBBB">
                  <w:pPr>
                    <w:keepNext w:val="0"/>
                    <w:keepLines w:val="0"/>
                    <w:widowControl/>
                    <w:suppressLineNumbers w:val="0"/>
                    <w:jc w:val="center"/>
                    <w:textAlignment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0.0003</w:t>
                  </w:r>
                </w:p>
              </w:tc>
              <w:tc>
                <w:tcPr>
                  <w:tcW w:w="390" w:type="pct"/>
                  <w:noWrap w:val="0"/>
                  <w:vAlign w:val="center"/>
                </w:tcPr>
                <w:p w14:paraId="69DB6F38">
                  <w:pPr>
                    <w:keepNext w:val="0"/>
                    <w:keepLines w:val="0"/>
                    <w:pageBreakBefore w:val="0"/>
                    <w:widowControl/>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t>/</w:t>
                  </w:r>
                </w:p>
              </w:tc>
            </w:tr>
            <w:tr w14:paraId="715565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253" w:type="pct"/>
                  <w:vMerge w:val="continue"/>
                  <w:noWrap w:val="0"/>
                  <w:vAlign w:val="center"/>
                </w:tcPr>
                <w:p w14:paraId="3BBB139B">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p>
              </w:tc>
              <w:tc>
                <w:tcPr>
                  <w:tcW w:w="601" w:type="pct"/>
                  <w:noWrap w:val="0"/>
                  <w:vAlign w:val="center"/>
                </w:tcPr>
                <w:p w14:paraId="4A2E4FF1">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eastAsia="zh-CN"/>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t>氯化氢</w:t>
                  </w:r>
                </w:p>
              </w:tc>
              <w:tc>
                <w:tcPr>
                  <w:tcW w:w="223" w:type="pct"/>
                  <w:vMerge w:val="continue"/>
                  <w:noWrap w:val="0"/>
                  <w:vAlign w:val="center"/>
                </w:tcPr>
                <w:p w14:paraId="145F02FD">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eastAsia="zh-CN"/>
                      <w14:textFill>
                        <w14:solidFill>
                          <w14:schemeClr w14:val="tx1"/>
                        </w14:solidFill>
                      </w14:textFill>
                    </w:rPr>
                  </w:pPr>
                </w:p>
              </w:tc>
              <w:tc>
                <w:tcPr>
                  <w:tcW w:w="278" w:type="pct"/>
                  <w:vMerge w:val="continue"/>
                  <w:noWrap w:val="0"/>
                  <w:vAlign w:val="center"/>
                </w:tcPr>
                <w:p w14:paraId="075FCEA7">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p>
              </w:tc>
              <w:tc>
                <w:tcPr>
                  <w:tcW w:w="444" w:type="pct"/>
                  <w:noWrap w:val="0"/>
                  <w:vAlign w:val="center"/>
                </w:tcPr>
                <w:p w14:paraId="366E3B39">
                  <w:pPr>
                    <w:keepNext w:val="0"/>
                    <w:keepLines w:val="0"/>
                    <w:widowControl/>
                    <w:suppressLineNumbers w:val="0"/>
                    <w:jc w:val="center"/>
                    <w:textAlignment w:val="cente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 xml:space="preserve">0.0064 </w:t>
                  </w:r>
                </w:p>
              </w:tc>
              <w:tc>
                <w:tcPr>
                  <w:tcW w:w="384" w:type="pct"/>
                  <w:noWrap w:val="0"/>
                  <w:vAlign w:val="center"/>
                </w:tcPr>
                <w:p w14:paraId="484140DC">
                  <w:pPr>
                    <w:keepNext w:val="0"/>
                    <w:keepLines w:val="0"/>
                    <w:widowControl/>
                    <w:suppressLineNumbers w:val="0"/>
                    <w:jc w:val="center"/>
                    <w:textAlignment w:val="cente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 xml:space="preserve">0.0007 </w:t>
                  </w:r>
                </w:p>
              </w:tc>
              <w:tc>
                <w:tcPr>
                  <w:tcW w:w="376" w:type="pct"/>
                  <w:noWrap w:val="0"/>
                  <w:vAlign w:val="center"/>
                </w:tcPr>
                <w:p w14:paraId="2F1DA3DB">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t>/</w:t>
                  </w:r>
                </w:p>
              </w:tc>
              <w:tc>
                <w:tcPr>
                  <w:tcW w:w="346" w:type="pct"/>
                  <w:vMerge w:val="continue"/>
                  <w:noWrap w:val="0"/>
                  <w:vAlign w:val="center"/>
                </w:tcPr>
                <w:p w14:paraId="4F3F925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jc w:val="center"/>
                    <w:textAlignment w:val="auto"/>
                    <w:rPr>
                      <w:rFonts w:hint="default" w:ascii="Times New Roman" w:hAnsi="Times New Roman" w:cs="Times New Roman" w:eastAsiaTheme="majorEastAsia"/>
                      <w:b w:val="0"/>
                      <w:bCs w:val="0"/>
                      <w:color w:val="000000" w:themeColor="text1"/>
                      <w:sz w:val="21"/>
                      <w:szCs w:val="21"/>
                      <w:highlight w:val="none"/>
                      <w:lang w:val="en-US" w:eastAsia="zh-CN"/>
                      <w14:textFill>
                        <w14:solidFill>
                          <w14:schemeClr w14:val="tx1"/>
                        </w14:solidFill>
                      </w14:textFill>
                    </w:rPr>
                  </w:pPr>
                </w:p>
              </w:tc>
              <w:tc>
                <w:tcPr>
                  <w:tcW w:w="368" w:type="pct"/>
                  <w:noWrap w:val="0"/>
                  <w:vAlign w:val="center"/>
                </w:tcPr>
                <w:p w14:paraId="65D0736A">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t>/</w:t>
                  </w:r>
                </w:p>
              </w:tc>
              <w:tc>
                <w:tcPr>
                  <w:tcW w:w="278" w:type="pct"/>
                  <w:noWrap w:val="0"/>
                  <w:vAlign w:val="center"/>
                </w:tcPr>
                <w:p w14:paraId="0E528CB6">
                  <w:pPr>
                    <w:keepNext w:val="0"/>
                    <w:keepLines w:val="0"/>
                    <w:pageBreakBefore w:val="0"/>
                    <w:widowControl/>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t>/</w:t>
                  </w:r>
                </w:p>
              </w:tc>
              <w:tc>
                <w:tcPr>
                  <w:tcW w:w="543" w:type="pct"/>
                  <w:noWrap w:val="0"/>
                  <w:vAlign w:val="center"/>
                </w:tcPr>
                <w:p w14:paraId="126D677A">
                  <w:pPr>
                    <w:keepNext w:val="0"/>
                    <w:keepLines w:val="0"/>
                    <w:widowControl/>
                    <w:suppressLineNumbers w:val="0"/>
                    <w:jc w:val="center"/>
                    <w:textAlignment w:val="cente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0.0064</w:t>
                  </w:r>
                </w:p>
              </w:tc>
              <w:tc>
                <w:tcPr>
                  <w:tcW w:w="511" w:type="pct"/>
                  <w:noWrap w:val="0"/>
                  <w:vAlign w:val="center"/>
                </w:tcPr>
                <w:p w14:paraId="0E05366F">
                  <w:pPr>
                    <w:keepNext w:val="0"/>
                    <w:keepLines w:val="0"/>
                    <w:widowControl/>
                    <w:suppressLineNumbers w:val="0"/>
                    <w:jc w:val="center"/>
                    <w:textAlignment w:val="cente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0.0007</w:t>
                  </w:r>
                </w:p>
              </w:tc>
              <w:tc>
                <w:tcPr>
                  <w:tcW w:w="390" w:type="pct"/>
                  <w:noWrap w:val="0"/>
                  <w:vAlign w:val="center"/>
                </w:tcPr>
                <w:p w14:paraId="34EB85FF">
                  <w:pPr>
                    <w:keepNext w:val="0"/>
                    <w:keepLines w:val="0"/>
                    <w:pageBreakBefore w:val="0"/>
                    <w:widowControl/>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t>/</w:t>
                  </w:r>
                </w:p>
              </w:tc>
            </w:tr>
            <w:tr w14:paraId="0D4FC3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253" w:type="pct"/>
                  <w:vMerge w:val="continue"/>
                  <w:noWrap w:val="0"/>
                  <w:vAlign w:val="center"/>
                </w:tcPr>
                <w:p w14:paraId="1026B30B">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p>
              </w:tc>
              <w:tc>
                <w:tcPr>
                  <w:tcW w:w="601" w:type="pct"/>
                  <w:noWrap w:val="0"/>
                  <w:vAlign w:val="center"/>
                </w:tcPr>
                <w:p w14:paraId="6548F494">
                  <w:pPr>
                    <w:jc w:val="center"/>
                    <w:rPr>
                      <w:rFonts w:hint="default" w:ascii="Times New Roman" w:hAnsi="Times New Roman" w:cs="Times New Roman" w:eastAsiaTheme="majorEastAsia"/>
                      <w:color w:val="000000" w:themeColor="text1"/>
                      <w:sz w:val="21"/>
                      <w:szCs w:val="21"/>
                      <w:highlight w:val="none"/>
                      <w:lang w:eastAsia="zh-CN"/>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t>臭气浓度</w:t>
                  </w:r>
                </w:p>
              </w:tc>
              <w:tc>
                <w:tcPr>
                  <w:tcW w:w="223" w:type="pct"/>
                  <w:vMerge w:val="continue"/>
                  <w:noWrap w:val="0"/>
                  <w:vAlign w:val="center"/>
                </w:tcPr>
                <w:p w14:paraId="6618AEFB">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eastAsia="zh-CN"/>
                      <w14:textFill>
                        <w14:solidFill>
                          <w14:schemeClr w14:val="tx1"/>
                        </w14:solidFill>
                      </w14:textFill>
                    </w:rPr>
                  </w:pPr>
                </w:p>
              </w:tc>
              <w:tc>
                <w:tcPr>
                  <w:tcW w:w="278" w:type="pct"/>
                  <w:vMerge w:val="continue"/>
                  <w:noWrap w:val="0"/>
                  <w:vAlign w:val="center"/>
                </w:tcPr>
                <w:p w14:paraId="4AA672EF">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pPr>
                </w:p>
              </w:tc>
              <w:tc>
                <w:tcPr>
                  <w:tcW w:w="1205" w:type="pct"/>
                  <w:gridSpan w:val="3"/>
                  <w:noWrap w:val="0"/>
                  <w:vAlign w:val="center"/>
                </w:tcPr>
                <w:p w14:paraId="236E527D">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17</w:t>
                  </w:r>
                  <w:r>
                    <w:rPr>
                      <w:rFonts w:hint="default" w:ascii="Times New Roman" w:hAnsi="Times New Roman" w:cs="Times New Roman" w:eastAsiaTheme="majorEastAsia"/>
                      <w:color w:val="000000" w:themeColor="text1"/>
                      <w:sz w:val="21"/>
                      <w:szCs w:val="21"/>
                      <w:highlight w:val="none"/>
                      <w:vertAlign w:val="baseline"/>
                      <w:lang w:val="en-US" w:eastAsia="zh-CN"/>
                      <w14:textFill>
                        <w14:solidFill>
                          <w14:schemeClr w14:val="tx1"/>
                        </w14:solidFill>
                      </w14:textFill>
                    </w:rPr>
                    <w:t>（无量纲）</w:t>
                  </w:r>
                </w:p>
              </w:tc>
              <w:tc>
                <w:tcPr>
                  <w:tcW w:w="346" w:type="pct"/>
                  <w:vMerge w:val="continue"/>
                  <w:noWrap w:val="0"/>
                  <w:vAlign w:val="center"/>
                </w:tcPr>
                <w:p w14:paraId="2B84FD94">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jc w:val="center"/>
                    <w:textAlignment w:val="auto"/>
                    <w:rPr>
                      <w:rFonts w:hint="default" w:ascii="Times New Roman" w:hAnsi="Times New Roman" w:cs="Times New Roman" w:eastAsiaTheme="majorEastAsia"/>
                      <w:b w:val="0"/>
                      <w:bCs w:val="0"/>
                      <w:color w:val="000000" w:themeColor="text1"/>
                      <w:sz w:val="21"/>
                      <w:szCs w:val="21"/>
                      <w:highlight w:val="none"/>
                      <w:lang w:val="en-US" w:eastAsia="zh-CN"/>
                      <w14:textFill>
                        <w14:solidFill>
                          <w14:schemeClr w14:val="tx1"/>
                        </w14:solidFill>
                      </w14:textFill>
                    </w:rPr>
                  </w:pPr>
                </w:p>
              </w:tc>
              <w:tc>
                <w:tcPr>
                  <w:tcW w:w="368" w:type="pct"/>
                  <w:noWrap w:val="0"/>
                  <w:vAlign w:val="center"/>
                </w:tcPr>
                <w:p w14:paraId="57DD67F6">
                  <w:pPr>
                    <w:keepNext w:val="0"/>
                    <w:keepLines w:val="0"/>
                    <w:pageBreakBefore w:val="0"/>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t>/</w:t>
                  </w:r>
                </w:p>
              </w:tc>
              <w:tc>
                <w:tcPr>
                  <w:tcW w:w="278" w:type="pct"/>
                  <w:noWrap w:val="0"/>
                  <w:vAlign w:val="center"/>
                </w:tcPr>
                <w:p w14:paraId="31D218CF">
                  <w:pPr>
                    <w:keepNext w:val="0"/>
                    <w:keepLines w:val="0"/>
                    <w:pageBreakBefore w:val="0"/>
                    <w:widowControl/>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t>/</w:t>
                  </w:r>
                </w:p>
              </w:tc>
              <w:tc>
                <w:tcPr>
                  <w:tcW w:w="1445" w:type="pct"/>
                  <w:gridSpan w:val="3"/>
                  <w:noWrap w:val="0"/>
                  <w:vAlign w:val="center"/>
                </w:tcPr>
                <w:p w14:paraId="1645CE98">
                  <w:pPr>
                    <w:keepNext w:val="0"/>
                    <w:keepLines w:val="0"/>
                    <w:pageBreakBefore w:val="0"/>
                    <w:widowControl/>
                    <w:kinsoku/>
                    <w:wordWrap/>
                    <w:overflowPunct/>
                    <w:topLinePunct w:val="0"/>
                    <w:bidi w:val="0"/>
                    <w:spacing w:beforeAutospacing="0" w:afterAutospacing="0"/>
                    <w:jc w:val="center"/>
                    <w:rPr>
                      <w:rFonts w:hint="default" w:ascii="Times New Roman" w:hAnsi="Times New Roman" w:cs="Times New Roman" w:eastAsiaTheme="majorEastAsia"/>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ajorEastAsia"/>
                      <w:i w:val="0"/>
                      <w:iCs w:val="0"/>
                      <w:color w:val="000000" w:themeColor="text1"/>
                      <w:kern w:val="0"/>
                      <w:sz w:val="21"/>
                      <w:szCs w:val="21"/>
                      <w:highlight w:val="none"/>
                      <w:u w:val="none"/>
                      <w:lang w:val="en-US" w:eastAsia="zh-CN" w:bidi="ar"/>
                      <w14:textFill>
                        <w14:solidFill>
                          <w14:schemeClr w14:val="tx1"/>
                        </w14:solidFill>
                      </w14:textFill>
                    </w:rPr>
                    <w:t>17</w:t>
                  </w:r>
                  <w:r>
                    <w:rPr>
                      <w:rFonts w:hint="default" w:ascii="Times New Roman" w:hAnsi="Times New Roman" w:cs="Times New Roman" w:eastAsiaTheme="majorEastAsia"/>
                      <w:color w:val="000000" w:themeColor="text1"/>
                      <w:sz w:val="21"/>
                      <w:szCs w:val="21"/>
                      <w:highlight w:val="none"/>
                      <w:vertAlign w:val="baseline"/>
                      <w:lang w:val="en-US" w:eastAsia="zh-CN"/>
                      <w14:textFill>
                        <w14:solidFill>
                          <w14:schemeClr w14:val="tx1"/>
                        </w14:solidFill>
                      </w14:textFill>
                    </w:rPr>
                    <w:t>（无量纲）</w:t>
                  </w:r>
                </w:p>
              </w:tc>
            </w:tr>
          </w:tbl>
          <w:p w14:paraId="6043CAB8">
            <w:pPr>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表4.</w:t>
            </w:r>
            <w:r>
              <w:rPr>
                <w:rFonts w:hint="eastAsia" w:cs="Times New Roman"/>
                <w:b/>
                <w:bCs/>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 xml:space="preserve"> </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本项目</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废气污染源</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源强核算</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汇总表</w:t>
            </w:r>
          </w:p>
          <w:tbl>
            <w:tblPr>
              <w:tblStyle w:val="29"/>
              <w:tblW w:w="9135"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02"/>
              <w:gridCol w:w="1302"/>
              <w:gridCol w:w="1311"/>
              <w:gridCol w:w="1305"/>
              <w:gridCol w:w="1305"/>
              <w:gridCol w:w="1305"/>
              <w:gridCol w:w="1305"/>
            </w:tblGrid>
            <w:tr w14:paraId="687BD2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302" w:type="dxa"/>
                  <w:vMerge w:val="restart"/>
                  <w:tcBorders>
                    <w:tl2br w:val="nil"/>
                    <w:tr2bl w:val="nil"/>
                  </w:tcBorders>
                  <w:vAlign w:val="center"/>
                </w:tcPr>
                <w:p w14:paraId="4B8A6C10">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编号</w:t>
                  </w:r>
                </w:p>
              </w:tc>
              <w:tc>
                <w:tcPr>
                  <w:tcW w:w="2613" w:type="dxa"/>
                  <w:gridSpan w:val="2"/>
                  <w:tcBorders>
                    <w:tl2br w:val="nil"/>
                    <w:tr2bl w:val="nil"/>
                  </w:tcBorders>
                  <w:vAlign w:val="center"/>
                </w:tcPr>
                <w:p w14:paraId="28F1B485">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宋体" w:cs="Times New Roman"/>
                      <w:b w:val="0"/>
                      <w:bCs w:val="0"/>
                      <w:color w:val="000000" w:themeColor="text1"/>
                      <w:sz w:val="21"/>
                      <w:szCs w:val="21"/>
                      <w:highlight w:val="none"/>
                      <w:vertAlign w:val="baseli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14:textFill>
                        <w14:solidFill>
                          <w14:schemeClr w14:val="tx1"/>
                        </w14:solidFill>
                      </w14:textFill>
                    </w:rPr>
                    <w:t>排气筒底部中心坐标/m</w:t>
                  </w:r>
                </w:p>
              </w:tc>
              <w:tc>
                <w:tcPr>
                  <w:tcW w:w="1305" w:type="dxa"/>
                  <w:vMerge w:val="restart"/>
                  <w:tcBorders>
                    <w:tl2br w:val="nil"/>
                    <w:tr2bl w:val="nil"/>
                  </w:tcBorders>
                  <w:vAlign w:val="center"/>
                </w:tcPr>
                <w:p w14:paraId="5B7CF346">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snapToGrid w:val="0"/>
                      <w:color w:val="000000" w:themeColor="text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14:textFill>
                        <w14:solidFill>
                          <w14:schemeClr w14:val="tx1"/>
                        </w14:solidFill>
                      </w14:textFill>
                    </w:rPr>
                    <w:t>排气筒</w:t>
                  </w:r>
                </w:p>
                <w:p w14:paraId="623E2895">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snapToGrid w:val="0"/>
                      <w:color w:val="000000" w:themeColor="text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14:textFill>
                        <w14:solidFill>
                          <w14:schemeClr w14:val="tx1"/>
                        </w14:solidFill>
                      </w14:textFill>
                    </w:rPr>
                    <w:t>高度</w:t>
                  </w:r>
                </w:p>
                <w:p w14:paraId="71A0F3F6">
                  <w:pPr>
                    <w:keepNext w:val="0"/>
                    <w:keepLines w:val="0"/>
                    <w:widowControl/>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000000" w:themeColor="text1"/>
                      <w:sz w:val="21"/>
                      <w:szCs w:val="21"/>
                      <w:highlight w:val="none"/>
                      <w:vertAlign w:val="baseline"/>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14:textFill>
                        <w14:solidFill>
                          <w14:schemeClr w14:val="tx1"/>
                        </w14:solidFill>
                      </w14:textFill>
                    </w:rPr>
                    <w:t>/m</w:t>
                  </w:r>
                </w:p>
              </w:tc>
              <w:tc>
                <w:tcPr>
                  <w:tcW w:w="1305" w:type="dxa"/>
                  <w:vMerge w:val="restart"/>
                  <w:tcBorders>
                    <w:tl2br w:val="nil"/>
                    <w:tr2bl w:val="nil"/>
                  </w:tcBorders>
                  <w:vAlign w:val="center"/>
                </w:tcPr>
                <w:p w14:paraId="044E1885">
                  <w:pPr>
                    <w:keepNext w:val="0"/>
                    <w:keepLines w:val="0"/>
                    <w:widowControl/>
                    <w:suppressLineNumbers w:val="0"/>
                    <w:adjustRightInd w:val="0"/>
                    <w:snapToGrid w:val="0"/>
                    <w:spacing w:before="0" w:beforeAutospacing="0" w:after="0" w:afterAutospacing="0" w:line="240" w:lineRule="auto"/>
                    <w:ind w:left="0" w:right="0"/>
                    <w:jc w:val="left"/>
                    <w:rPr>
                      <w:rFonts w:hint="default" w:ascii="Times New Roman" w:hAnsi="Times New Roman" w:eastAsia="宋体" w:cs="Times New Roman"/>
                      <w:b w:val="0"/>
                      <w:bCs w:val="0"/>
                      <w:color w:val="000000" w:themeColor="text1"/>
                      <w:sz w:val="21"/>
                      <w:szCs w:val="21"/>
                      <w:highlight w:val="none"/>
                      <w:vertAlign w:val="baseline"/>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14:textFill>
                        <w14:solidFill>
                          <w14:schemeClr w14:val="tx1"/>
                        </w14:solidFill>
                      </w14:textFill>
                    </w:rPr>
                    <w:t>排气筒出口内径/m</w:t>
                  </w:r>
                </w:p>
              </w:tc>
              <w:tc>
                <w:tcPr>
                  <w:tcW w:w="1305" w:type="dxa"/>
                  <w:vMerge w:val="restart"/>
                  <w:tcBorders>
                    <w:tl2br w:val="nil"/>
                    <w:tr2bl w:val="nil"/>
                  </w:tcBorders>
                  <w:vAlign w:val="center"/>
                </w:tcPr>
                <w:p w14:paraId="1383BBEA">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snapToGrid w:val="0"/>
                      <w:color w:val="000000" w:themeColor="text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14:textFill>
                        <w14:solidFill>
                          <w14:schemeClr w14:val="tx1"/>
                        </w14:solidFill>
                      </w14:textFill>
                    </w:rPr>
                    <w:t>烟气</w:t>
                  </w:r>
                </w:p>
                <w:p w14:paraId="16443D80">
                  <w:pPr>
                    <w:keepNext w:val="0"/>
                    <w:keepLines w:val="0"/>
                    <w:widowControl/>
                    <w:suppressLineNumbers w:val="0"/>
                    <w:adjustRightInd w:val="0"/>
                    <w:snapToGrid w:val="0"/>
                    <w:spacing w:before="0" w:beforeAutospacing="0" w:after="0" w:afterAutospacing="0" w:line="240" w:lineRule="auto"/>
                    <w:ind w:left="0" w:right="0"/>
                    <w:jc w:val="center"/>
                    <w:rPr>
                      <w:rFonts w:hint="default" w:ascii="Times New Roman" w:hAnsi="Times New Roman" w:eastAsia="宋体" w:cs="Times New Roman"/>
                      <w:snapToGrid w:val="0"/>
                      <w:color w:val="000000" w:themeColor="text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14:textFill>
                        <w14:solidFill>
                          <w14:schemeClr w14:val="tx1"/>
                        </w14:solidFill>
                      </w14:textFill>
                    </w:rPr>
                    <w:t>温度</w:t>
                  </w:r>
                </w:p>
                <w:p w14:paraId="20D33794">
                  <w:pPr>
                    <w:keepNext w:val="0"/>
                    <w:keepLines w:val="0"/>
                    <w:widowControl/>
                    <w:suppressLineNumbers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000000" w:themeColor="text1"/>
                      <w:sz w:val="21"/>
                      <w:szCs w:val="21"/>
                      <w:highlight w:val="none"/>
                      <w:vertAlign w:val="baseline"/>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14:textFill>
                        <w14:solidFill>
                          <w14:schemeClr w14:val="tx1"/>
                        </w14:solidFill>
                      </w14:textFill>
                    </w:rPr>
                    <w:t>/℃</w:t>
                  </w:r>
                </w:p>
              </w:tc>
              <w:tc>
                <w:tcPr>
                  <w:tcW w:w="1305" w:type="dxa"/>
                  <w:vMerge w:val="restart"/>
                  <w:tcBorders>
                    <w:tl2br w:val="nil"/>
                    <w:tr2bl w:val="nil"/>
                  </w:tcBorders>
                  <w:vAlign w:val="center"/>
                </w:tcPr>
                <w:p w14:paraId="78E45570">
                  <w:pPr>
                    <w:keepNext w:val="0"/>
                    <w:keepLines w:val="0"/>
                    <w:widowControl/>
                    <w:suppressLineNumbers w:val="0"/>
                    <w:adjustRightInd w:val="0"/>
                    <w:snapToGrid w:val="0"/>
                    <w:spacing w:before="0" w:beforeAutospacing="0" w:after="0" w:afterAutospacing="0" w:line="240" w:lineRule="auto"/>
                    <w:ind w:left="0" w:leftChars="0" w:right="0" w:rightChars="0"/>
                    <w:jc w:val="left"/>
                    <w:rPr>
                      <w:rFonts w:hint="default" w:ascii="Times New Roman" w:hAnsi="Times New Roman" w:eastAsia="宋体" w:cs="Times New Roman"/>
                      <w:b w:val="0"/>
                      <w:bCs w:val="0"/>
                      <w:color w:val="000000" w:themeColor="text1"/>
                      <w:sz w:val="21"/>
                      <w:szCs w:val="21"/>
                      <w:highlight w:val="none"/>
                      <w:vertAlign w:val="baseline"/>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14:textFill>
                        <w14:solidFill>
                          <w14:schemeClr w14:val="tx1"/>
                        </w14:solidFill>
                      </w14:textFill>
                    </w:rPr>
                    <w:t>排放口类型</w:t>
                  </w:r>
                </w:p>
              </w:tc>
            </w:tr>
            <w:tr w14:paraId="7DAC4F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302" w:type="dxa"/>
                  <w:vMerge w:val="continue"/>
                  <w:tcBorders>
                    <w:tl2br w:val="nil"/>
                    <w:tr2bl w:val="nil"/>
                  </w:tcBorders>
                  <w:vAlign w:val="center"/>
                </w:tcPr>
                <w:p w14:paraId="6BA2926F">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宋体" w:cs="Times New Roman"/>
                      <w:b w:val="0"/>
                      <w:bCs w:val="0"/>
                      <w:color w:val="000000" w:themeColor="text1"/>
                      <w:sz w:val="21"/>
                      <w:szCs w:val="21"/>
                      <w:highlight w:val="none"/>
                      <w:vertAlign w:val="baseline"/>
                      <w14:textFill>
                        <w14:solidFill>
                          <w14:schemeClr w14:val="tx1"/>
                        </w14:solidFill>
                      </w14:textFill>
                    </w:rPr>
                  </w:pPr>
                </w:p>
              </w:tc>
              <w:tc>
                <w:tcPr>
                  <w:tcW w:w="1302" w:type="dxa"/>
                  <w:tcBorders>
                    <w:tl2br w:val="nil"/>
                    <w:tr2bl w:val="nil"/>
                  </w:tcBorders>
                  <w:vAlign w:val="center"/>
                </w:tcPr>
                <w:p w14:paraId="14AFA5A6">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X</w:t>
                  </w:r>
                </w:p>
              </w:tc>
              <w:tc>
                <w:tcPr>
                  <w:tcW w:w="1311" w:type="dxa"/>
                  <w:tcBorders>
                    <w:tl2br w:val="nil"/>
                    <w:tr2bl w:val="nil"/>
                  </w:tcBorders>
                  <w:vAlign w:val="center"/>
                </w:tcPr>
                <w:p w14:paraId="2734CA52">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Y</w:t>
                  </w:r>
                </w:p>
              </w:tc>
              <w:tc>
                <w:tcPr>
                  <w:tcW w:w="1305" w:type="dxa"/>
                  <w:vMerge w:val="continue"/>
                  <w:tcBorders>
                    <w:tl2br w:val="nil"/>
                    <w:tr2bl w:val="nil"/>
                  </w:tcBorders>
                  <w:vAlign w:val="center"/>
                </w:tcPr>
                <w:p w14:paraId="29D3F08E">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宋体" w:cs="Times New Roman"/>
                      <w:b w:val="0"/>
                      <w:bCs w:val="0"/>
                      <w:color w:val="000000" w:themeColor="text1"/>
                      <w:sz w:val="21"/>
                      <w:szCs w:val="21"/>
                      <w:highlight w:val="none"/>
                      <w:vertAlign w:val="baseline"/>
                      <w14:textFill>
                        <w14:solidFill>
                          <w14:schemeClr w14:val="tx1"/>
                        </w14:solidFill>
                      </w14:textFill>
                    </w:rPr>
                  </w:pPr>
                </w:p>
              </w:tc>
              <w:tc>
                <w:tcPr>
                  <w:tcW w:w="1305" w:type="dxa"/>
                  <w:vMerge w:val="continue"/>
                  <w:tcBorders>
                    <w:tl2br w:val="nil"/>
                    <w:tr2bl w:val="nil"/>
                  </w:tcBorders>
                  <w:vAlign w:val="center"/>
                </w:tcPr>
                <w:p w14:paraId="2D00A92D">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宋体" w:cs="Times New Roman"/>
                      <w:b w:val="0"/>
                      <w:bCs w:val="0"/>
                      <w:color w:val="000000" w:themeColor="text1"/>
                      <w:sz w:val="21"/>
                      <w:szCs w:val="21"/>
                      <w:highlight w:val="none"/>
                      <w:vertAlign w:val="baseline"/>
                      <w14:textFill>
                        <w14:solidFill>
                          <w14:schemeClr w14:val="tx1"/>
                        </w14:solidFill>
                      </w14:textFill>
                    </w:rPr>
                  </w:pPr>
                </w:p>
              </w:tc>
              <w:tc>
                <w:tcPr>
                  <w:tcW w:w="1305" w:type="dxa"/>
                  <w:vMerge w:val="continue"/>
                  <w:tcBorders>
                    <w:tl2br w:val="nil"/>
                    <w:tr2bl w:val="nil"/>
                  </w:tcBorders>
                  <w:vAlign w:val="center"/>
                </w:tcPr>
                <w:p w14:paraId="547979F8">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宋体" w:cs="Times New Roman"/>
                      <w:b w:val="0"/>
                      <w:bCs w:val="0"/>
                      <w:color w:val="000000" w:themeColor="text1"/>
                      <w:sz w:val="21"/>
                      <w:szCs w:val="21"/>
                      <w:highlight w:val="none"/>
                      <w:vertAlign w:val="baseline"/>
                      <w14:textFill>
                        <w14:solidFill>
                          <w14:schemeClr w14:val="tx1"/>
                        </w14:solidFill>
                      </w14:textFill>
                    </w:rPr>
                  </w:pPr>
                </w:p>
              </w:tc>
              <w:tc>
                <w:tcPr>
                  <w:tcW w:w="1305" w:type="dxa"/>
                  <w:vMerge w:val="continue"/>
                  <w:tcBorders>
                    <w:tl2br w:val="nil"/>
                    <w:tr2bl w:val="nil"/>
                  </w:tcBorders>
                  <w:vAlign w:val="center"/>
                </w:tcPr>
                <w:p w14:paraId="30296221">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宋体" w:cs="Times New Roman"/>
                      <w:b w:val="0"/>
                      <w:bCs w:val="0"/>
                      <w:color w:val="000000" w:themeColor="text1"/>
                      <w:sz w:val="21"/>
                      <w:szCs w:val="21"/>
                      <w:highlight w:val="none"/>
                      <w:vertAlign w:val="baseline"/>
                      <w14:textFill>
                        <w14:solidFill>
                          <w14:schemeClr w14:val="tx1"/>
                        </w14:solidFill>
                      </w14:textFill>
                    </w:rPr>
                  </w:pPr>
                </w:p>
              </w:tc>
            </w:tr>
            <w:tr w14:paraId="3B2EE6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302" w:type="dxa"/>
                  <w:tcBorders>
                    <w:tl2br w:val="nil"/>
                    <w:tr2bl w:val="nil"/>
                  </w:tcBorders>
                  <w:vAlign w:val="center"/>
                </w:tcPr>
                <w:p w14:paraId="157F13D7">
                  <w:pPr>
                    <w:pStyle w:val="89"/>
                    <w:shd w:val="clear" w:color="auto" w:fill="auto"/>
                    <w:spacing w:line="240" w:lineRule="auto"/>
                    <w:ind w:firstLine="0" w:firstLineChars="0"/>
                    <w:jc w:val="center"/>
                    <w:rPr>
                      <w:rFonts w:hint="default" w:ascii="Times New Roman" w:hAnsi="Times New Roman" w:eastAsia="宋体" w:cs="Times New Roman"/>
                      <w:b w:val="0"/>
                      <w:bCs w:val="0"/>
                      <w:color w:val="000000" w:themeColor="text1"/>
                      <w:sz w:val="21"/>
                      <w:szCs w:val="21"/>
                      <w:highlight w:val="none"/>
                      <w:vertAlign w:val="baseli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排气筒DA001</w:t>
                  </w:r>
                </w:p>
              </w:tc>
              <w:tc>
                <w:tcPr>
                  <w:tcW w:w="1302" w:type="dxa"/>
                  <w:tcBorders>
                    <w:tl2br w:val="nil"/>
                    <w:tr2bl w:val="nil"/>
                  </w:tcBorders>
                  <w:vAlign w:val="center"/>
                </w:tcPr>
                <w:p w14:paraId="0D5E2B35">
                  <w:pPr>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128°55′11.98331″</w:t>
                  </w:r>
                </w:p>
              </w:tc>
              <w:tc>
                <w:tcPr>
                  <w:tcW w:w="1311" w:type="dxa"/>
                  <w:tcBorders>
                    <w:tl2br w:val="nil"/>
                    <w:tr2bl w:val="nil"/>
                  </w:tcBorders>
                  <w:vAlign w:val="center"/>
                </w:tcPr>
                <w:p w14:paraId="3747639E">
                  <w:pPr>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47°44′9.52137″</w:t>
                  </w:r>
                </w:p>
              </w:tc>
              <w:tc>
                <w:tcPr>
                  <w:tcW w:w="1305" w:type="dxa"/>
                  <w:tcBorders>
                    <w:tl2br w:val="nil"/>
                    <w:tr2bl w:val="nil"/>
                  </w:tcBorders>
                  <w:vAlign w:val="center"/>
                </w:tcPr>
                <w:p w14:paraId="24DAF08D">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15</w:t>
                  </w:r>
                </w:p>
              </w:tc>
              <w:tc>
                <w:tcPr>
                  <w:tcW w:w="1305" w:type="dxa"/>
                  <w:tcBorders>
                    <w:tl2br w:val="nil"/>
                    <w:tr2bl w:val="nil"/>
                  </w:tcBorders>
                  <w:vAlign w:val="center"/>
                </w:tcPr>
                <w:p w14:paraId="2EE38460">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0.</w:t>
                  </w: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8</w:t>
                  </w:r>
                </w:p>
              </w:tc>
              <w:tc>
                <w:tcPr>
                  <w:tcW w:w="1305" w:type="dxa"/>
                  <w:tcBorders>
                    <w:tl2br w:val="nil"/>
                    <w:tr2bl w:val="nil"/>
                  </w:tcBorders>
                  <w:vAlign w:val="center"/>
                </w:tcPr>
                <w:p w14:paraId="0A3C8581">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2</w:t>
                  </w: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0</w:t>
                  </w:r>
                </w:p>
              </w:tc>
              <w:tc>
                <w:tcPr>
                  <w:tcW w:w="1305" w:type="dxa"/>
                  <w:tcBorders>
                    <w:tl2br w:val="nil"/>
                    <w:tr2bl w:val="nil"/>
                  </w:tcBorders>
                  <w:vAlign w:val="center"/>
                </w:tcPr>
                <w:p w14:paraId="4F5CD68D">
                  <w:pPr>
                    <w:pStyle w:val="2"/>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一般排放口</w:t>
                  </w:r>
                </w:p>
              </w:tc>
            </w:tr>
          </w:tbl>
          <w:p w14:paraId="58D484A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2.污染防治措施可行性分析</w:t>
            </w:r>
          </w:p>
          <w:p w14:paraId="5A4990F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碱液喷淋塔工作原理：</w:t>
            </w:r>
          </w:p>
          <w:p w14:paraId="199B5DD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酸性废气进入碱液喷淋塔，通过循环喷淋作用，使酸性物质成分直接与吸收液接触发生中和反应而去除。喷淋塔吸收液为稀NaOH溶液（浓度2%~8%）</w:t>
            </w:r>
            <w:r>
              <w:rPr>
                <w:rFonts w:hint="eastAsia"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企业设碱液喷淋塔收集处理酸性废气，由于酸性废气产生量较小，配套碱液喷淋装置，</w:t>
            </w:r>
            <w:r>
              <w:rPr>
                <w:rFonts w:hint="eastAsia" w:cs="Times New Roman"/>
                <w:color w:val="000000" w:themeColor="text1"/>
                <w:sz w:val="24"/>
                <w:szCs w:val="24"/>
                <w:highlight w:val="none"/>
                <w:lang w:val="en-US" w:eastAsia="zh-CN"/>
                <w14:textFill>
                  <w14:solidFill>
                    <w14:schemeClr w14:val="tx1"/>
                  </w14:solidFill>
                </w14:textFill>
              </w:rPr>
              <w:t>片碱</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加入量为2</w:t>
            </w:r>
            <w:r>
              <w:rPr>
                <w:rFonts w:hint="eastAsia"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kg/次，根据使用情况定时添加配置好的碱液，每年用</w:t>
            </w:r>
            <w:r>
              <w:rPr>
                <w:rFonts w:hint="eastAsia" w:cs="Times New Roman"/>
                <w:color w:val="000000" w:themeColor="text1"/>
                <w:sz w:val="24"/>
                <w:szCs w:val="24"/>
                <w:highlight w:val="none"/>
                <w:lang w:val="en-US" w:eastAsia="zh-CN"/>
                <w14:textFill>
                  <w14:solidFill>
                    <w14:schemeClr w14:val="tx1"/>
                  </w14:solidFill>
                </w14:textFill>
              </w:rPr>
              <w:t>片碱</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量为</w:t>
            </w:r>
            <w:r>
              <w:rPr>
                <w:rFonts w:hint="eastAsia" w:cs="Times New Roman"/>
                <w:color w:val="000000" w:themeColor="text1"/>
                <w:sz w:val="24"/>
                <w:szCs w:val="24"/>
                <w:highlight w:val="none"/>
                <w:lang w:val="en-US" w:eastAsia="zh-CN"/>
                <w14:textFill>
                  <w14:solidFill>
                    <w14:schemeClr w14:val="tx1"/>
                  </w14:solidFill>
                </w14:textFill>
              </w:rPr>
              <w:t>0.65t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133B5EB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两级</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活性炭吸附</w:t>
            </w:r>
            <w:r>
              <w:rPr>
                <w:rFonts w:hint="eastAsia" w:cs="Times New Roman"/>
                <w:color w:val="000000" w:themeColor="text1"/>
                <w:sz w:val="24"/>
                <w:szCs w:val="24"/>
                <w:highlight w:val="none"/>
                <w:lang w:val="en-US" w:eastAsia="zh-CN"/>
                <w14:textFill>
                  <w14:solidFill>
                    <w14:schemeClr w14:val="tx1"/>
                  </w14:solidFill>
                </w14:textFill>
              </w:rPr>
              <w:t>装置</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工作原理：</w:t>
            </w:r>
          </w:p>
          <w:p w14:paraId="2E0BE94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活性炭吸附法是利用活性炭作为吸附剂，把气体中的有害物质成分在活性炭庞大的固相表面进行吸附浓缩，从而达到净化废气目的的方法。它拥有处理效率高，投资较小等优点，尤其适用于间隙式小批量生产。活性炭净化箱分进风、活性炭过滤段和出风段组成，有机废气及恶臭废气从进风口进入箱体，净化。</w:t>
            </w:r>
          </w:p>
          <w:p w14:paraId="075E84D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集气系统风机总风量为</w:t>
            </w:r>
            <w:r>
              <w:rPr>
                <w:rFonts w:hint="eastAsia" w:cs="Times New Roman"/>
                <w:color w:val="000000" w:themeColor="text1"/>
                <w:sz w:val="24"/>
                <w:szCs w:val="24"/>
                <w:highlight w:val="none"/>
                <w:lang w:val="en-US" w:eastAsia="zh-CN"/>
                <w14:textFill>
                  <w14:solidFill>
                    <w14:schemeClr w14:val="tx1"/>
                  </w14:solidFill>
                </w14:textFill>
              </w:rPr>
              <w:t>40000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h，可有效确保大部分废气不溢出室外。项目拟建设排气筒有效高度为15m，符合《大气污染物综合排放标准》（GB16297-1996）中表2新污染源大气污染物排放限值的要求。项目废气经收集处理后，各项污染物的排放可达到《大气污染物综合排放标准》（GB16297-1996）中表2新污染源大气污染物排放限值的要求、《恶臭污染物排放标准》（GB14554-93）、等相应标准要求。</w:t>
            </w:r>
            <w:r>
              <w:rPr>
                <w:rFonts w:hint="eastAsia" w:ascii="宋体" w:hAnsi="宋体" w:eastAsia="宋体" w:cs="宋体"/>
                <w:color w:val="000000" w:themeColor="text1"/>
                <w:sz w:val="24"/>
                <w:szCs w:val="24"/>
                <w:highlight w:val="none"/>
                <w:lang w:val="en-US" w:eastAsia="zh-CN"/>
                <w14:textFill>
                  <w14:solidFill>
                    <w14:schemeClr w14:val="tx1"/>
                  </w14:solidFill>
                </w14:textFill>
              </w:rPr>
              <w:t>根据</w:t>
            </w:r>
            <w:r>
              <w:rPr>
                <w:rFonts w:ascii="宋体" w:hAnsi="宋体" w:eastAsia="宋体" w:cs="宋体"/>
                <w:color w:val="000000" w:themeColor="text1"/>
                <w:sz w:val="24"/>
                <w:szCs w:val="24"/>
                <w:highlight w:val="none"/>
                <w14:textFill>
                  <w14:solidFill>
                    <w14:schemeClr w14:val="tx1"/>
                  </w14:solidFill>
                </w14:textFill>
              </w:rPr>
              <w:t>《排污许可证申请与核发技术规范 工业固体废物和危险废物治理》</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ascii="宋体" w:hAnsi="宋体" w:eastAsia="宋体" w:cs="宋体"/>
                <w:color w:val="000000" w:themeColor="text1"/>
                <w:sz w:val="24"/>
                <w:szCs w:val="24"/>
                <w:highlight w:val="none"/>
                <w14:textFill>
                  <w14:solidFill>
                    <w14:schemeClr w14:val="tx1"/>
                  </w14:solidFill>
                </w14:textFill>
              </w:rPr>
              <w:t>HJ1033—2019</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废气处理措施可行。</w:t>
            </w:r>
          </w:p>
          <w:p w14:paraId="33DF05A9">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废气</w:t>
            </w:r>
            <w:r>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污染物达标排放分析</w:t>
            </w:r>
          </w:p>
          <w:p w14:paraId="63DDF491">
            <w:pPr>
              <w:adjustRightInd w:val="0"/>
              <w:snapToGrid w:val="0"/>
              <w:spacing w:line="360" w:lineRule="auto"/>
              <w:ind w:firstLine="480" w:firstLineChars="200"/>
              <w:jc w:val="left"/>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本项目危废贮存过程只进行上架、下架作业，全程不对其进行拆封、倾倒、分装、混装等操作，各类危险废物根据其种类、形态、挥发性特征储存在相应的包装容器内，液态危险废物采用加盖钢桶；废酸PE桶；固态危险废物采用内衬高密度聚乙烯膜吨袋。当暂存的每种危险废物达到储存量，便转移交由危废处置单位处置。故正常贮存情况下，无明显废气污染物产生。但当发生危险废物包装容器密封圈老化，局部跑、冒、滴、漏，以及容器表面残留物未及时擦拭干净等情况时，可能挥发产生少量废气，包括有机废气、</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酸性废气</w:t>
            </w:r>
            <w:r>
              <w:rPr>
                <w:rFonts w:hint="default" w:ascii="Times New Roman" w:hAnsi="Times New Roman" w:eastAsia="宋体" w:cs="Times New Roman"/>
                <w:color w:val="000000" w:themeColor="text1"/>
                <w:sz w:val="24"/>
                <w:szCs w:val="24"/>
                <w:highlight w:val="none"/>
                <w14:textFill>
                  <w14:solidFill>
                    <w14:schemeClr w14:val="tx1"/>
                  </w14:solidFill>
                </w14:textFill>
              </w:rPr>
              <w:t>、恶臭废气等，分别以非甲烷总烃、氯化氢、硫化氢、氨</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臭气浓度</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等</w:t>
            </w:r>
            <w:r>
              <w:rPr>
                <w:rFonts w:hint="default" w:ascii="Times New Roman" w:hAnsi="Times New Roman" w:eastAsia="宋体" w:cs="Times New Roman"/>
                <w:color w:val="000000" w:themeColor="text1"/>
                <w:sz w:val="24"/>
                <w:szCs w:val="24"/>
                <w:highlight w:val="none"/>
                <w14:textFill>
                  <w14:solidFill>
                    <w14:schemeClr w14:val="tx1"/>
                  </w14:solidFill>
                </w14:textFill>
              </w:rPr>
              <w:t>表征。</w:t>
            </w:r>
          </w:p>
          <w:p w14:paraId="1776B8C8">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项目危废贮存库均设置为密闭的贮存库，废气</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经负压收集+碱液喷淋吸附装置+二级活性炭吸附装置+15m高排气筒（DA001）高空排放。为杜绝废气非正常排放</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本项目危险废物</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贮存库</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贮存挥发</w:t>
            </w:r>
            <w:r>
              <w:rPr>
                <w:rFonts w:hint="eastAsia" w:eastAsia="宋体" w:cs="Times New Roman"/>
                <w:color w:val="000000" w:themeColor="text1"/>
                <w:sz w:val="24"/>
                <w:szCs w:val="24"/>
                <w:highlight w:val="none"/>
                <w:lang w:val="en-US" w:eastAsia="zh-CN"/>
                <w14:textFill>
                  <w14:solidFill>
                    <w14:schemeClr w14:val="tx1"/>
                  </w14:solidFill>
                </w14:textFill>
              </w:rPr>
              <w:t>产生的</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非甲烷总烃、氯化氢的有组织排放速率、排放浓度和无组织排放浓度执行《大气污染物综合排放标准》（GB16297-1996）表2新污染源排放限值的要求；厂区内非甲烷总烃同时满足《挥发性有机物无组织排放控制标准》（GB37822-2019）附录A表A.1排放限值。危险废物</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贮存库</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贮存挥发</w:t>
            </w:r>
            <w:r>
              <w:rPr>
                <w:rFonts w:hint="eastAsia" w:eastAsia="宋体" w:cs="Times New Roman"/>
                <w:color w:val="000000" w:themeColor="text1"/>
                <w:sz w:val="24"/>
                <w:szCs w:val="24"/>
                <w:highlight w:val="none"/>
                <w:lang w:val="en-US" w:eastAsia="zh-CN"/>
                <w14:textFill>
                  <w14:solidFill>
                    <w14:schemeClr w14:val="tx1"/>
                  </w14:solidFill>
                </w14:textFill>
              </w:rPr>
              <w:t>产生的</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氨、硫化氢及臭气浓度排放速率和排放浓度执行《恶臭污染物排放标准》（GB14554-1993）中表1恶臭污染物厂界标准值和表2恶臭污染物排放标准值。</w:t>
            </w:r>
          </w:p>
          <w:p w14:paraId="67CC5DFE">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contextualSpacing/>
              <w:jc w:val="both"/>
              <w:textAlignment w:val="auto"/>
              <w:rPr>
                <w:rFonts w:hint="default" w:ascii="Times New Roman" w:hAnsi="Times New Roman" w:eastAsia="宋体" w:cs="Times New Roman"/>
                <w:bCs/>
                <w:color w:val="000000" w:themeColor="text1"/>
                <w:spacing w:val="0"/>
                <w:kern w:val="21"/>
                <w:sz w:val="32"/>
                <w:szCs w:val="32"/>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综上所述，在采取有效的污染防治措施后，本项目运营期间废气污染物可达标排放，不会对周边环境空气产生明显的不利影响。</w:t>
            </w:r>
          </w:p>
          <w:p w14:paraId="2763900A">
            <w:pPr>
              <w:adjustRightInd w:val="0"/>
              <w:snapToGrid w:val="0"/>
              <w:spacing w:line="360" w:lineRule="auto"/>
              <w:ind w:firstLine="482" w:firstLineChars="200"/>
              <w:jc w:val="left"/>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大气环境防护距离</w:t>
            </w:r>
          </w:p>
          <w:p w14:paraId="1F9C5C21">
            <w:pPr>
              <w:adjustRightInd w:val="0"/>
              <w:snapToGrid w:val="0"/>
              <w:spacing w:line="360" w:lineRule="auto"/>
              <w:ind w:firstLine="480" w:firstLineChars="200"/>
              <w:jc w:val="left"/>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本项目污染物厂界浓度均满足大气污染物厂界浓度限值，且厂界外大气污染物短期贡献浓度均未超过环境质量浓度限值，因此根据《环境影响评价技术导则—大气环境》（HJ2.2-2018），本项目不需设置大气环境防护距离。</w:t>
            </w:r>
          </w:p>
          <w:p w14:paraId="1E90BED0">
            <w:pPr>
              <w:keepNext w:val="0"/>
              <w:keepLines w:val="0"/>
              <w:pageBreakBefore w:val="0"/>
              <w:widowControl w:val="0"/>
              <w:kinsoku/>
              <w:wordWrap/>
              <w:overflowPunct/>
              <w:topLinePunct w:val="0"/>
              <w:autoSpaceDE w:val="0"/>
              <w:autoSpaceDN w:val="0"/>
              <w:bidi w:val="0"/>
              <w:adjustRightInd/>
              <w:snapToGrid/>
              <w:spacing w:line="360" w:lineRule="auto"/>
              <w:ind w:left="0" w:firstLine="482" w:firstLineChars="200"/>
              <w:jc w:val="both"/>
              <w:textAlignment w:val="auto"/>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非正常工况</w:t>
            </w:r>
          </w:p>
          <w:p w14:paraId="612FA6C6">
            <w:pPr>
              <w:pStyle w:val="110"/>
              <w:keepNext w:val="0"/>
              <w:keepLines w:val="0"/>
              <w:pageBreakBefore w:val="0"/>
              <w:widowControl w:val="0"/>
              <w:kinsoku/>
              <w:wordWrap/>
              <w:overflowPunct/>
              <w:topLinePunct w:val="0"/>
              <w:autoSpaceDE/>
              <w:autoSpaceDN/>
              <w:bidi w:val="0"/>
              <w:adjustRightInd/>
              <w:snapToGrid/>
              <w:ind w:left="0" w:leftChars="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bidi="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bidi="zh-CN"/>
                <w14:textFill>
                  <w14:solidFill>
                    <w14:schemeClr w14:val="tx1"/>
                  </w14:solidFill>
                </w14:textFill>
              </w:rPr>
              <w:t>本项目非正常工况以废气污染物防治措施净化效率</w:t>
            </w:r>
            <w:r>
              <w:rPr>
                <w:rFonts w:hint="eastAsia" w:ascii="Times New Roman" w:hAnsi="Times New Roman" w:eastAsia="宋体" w:cs="Times New Roman"/>
                <w:color w:val="000000" w:themeColor="text1"/>
                <w:sz w:val="24"/>
                <w:szCs w:val="24"/>
                <w:highlight w:val="none"/>
                <w:lang w:val="en-US" w:eastAsia="zh-CN" w:bidi="zh-CN"/>
                <w14:textFill>
                  <w14:solidFill>
                    <w14:schemeClr w14:val="tx1"/>
                  </w14:solidFill>
                </w14:textFill>
              </w:rPr>
              <w:t>5</w:t>
            </w:r>
            <w:r>
              <w:rPr>
                <w:rFonts w:hint="default" w:ascii="Times New Roman" w:hAnsi="Times New Roman" w:eastAsia="宋体" w:cs="Times New Roman"/>
                <w:color w:val="000000" w:themeColor="text1"/>
                <w:sz w:val="24"/>
                <w:szCs w:val="24"/>
                <w:highlight w:val="none"/>
                <w:lang w:val="en-US" w:eastAsia="zh-CN" w:bidi="zh-CN"/>
                <w14:textFill>
                  <w14:solidFill>
                    <w14:schemeClr w14:val="tx1"/>
                  </w14:solidFill>
                </w14:textFill>
              </w:rPr>
              <w:t>0%的情况进行分析，非正常排放情况详见</w:t>
            </w:r>
            <w:r>
              <w:rPr>
                <w:rFonts w:hint="eastAsia" w:ascii="Times New Roman" w:hAnsi="Times New Roman" w:eastAsia="宋体" w:cs="Times New Roman"/>
                <w:color w:val="000000" w:themeColor="text1"/>
                <w:sz w:val="24"/>
                <w:szCs w:val="24"/>
                <w:highlight w:val="none"/>
                <w:lang w:val="en-US" w:eastAsia="zh-CN" w:bidi="zh-CN"/>
                <w14:textFill>
                  <w14:solidFill>
                    <w14:schemeClr w14:val="tx1"/>
                  </w14:solidFill>
                </w14:textFill>
              </w:rPr>
              <w:t>下</w:t>
            </w:r>
            <w:r>
              <w:rPr>
                <w:rFonts w:hint="default" w:ascii="Times New Roman" w:hAnsi="Times New Roman" w:eastAsia="宋体" w:cs="Times New Roman"/>
                <w:color w:val="000000" w:themeColor="text1"/>
                <w:sz w:val="24"/>
                <w:szCs w:val="24"/>
                <w:highlight w:val="none"/>
                <w:lang w:val="en-US" w:eastAsia="zh-CN" w:bidi="zh-CN"/>
                <w14:textFill>
                  <w14:solidFill>
                    <w14:schemeClr w14:val="tx1"/>
                  </w14:solidFill>
                </w14:textFill>
              </w:rPr>
              <w:t>表。</w:t>
            </w:r>
          </w:p>
          <w:p w14:paraId="2567F470">
            <w:pPr>
              <w:pStyle w:val="12"/>
              <w:keepNext w:val="0"/>
              <w:keepLines w:val="0"/>
              <w:pageBreakBefore w:val="0"/>
              <w:widowControl w:val="0"/>
              <w:kinsoku/>
              <w:wordWrap/>
              <w:overflowPunct/>
              <w:topLinePunct w:val="0"/>
              <w:autoSpaceDE w:val="0"/>
              <w:autoSpaceDN w:val="0"/>
              <w:bidi w:val="0"/>
              <w:adjustRightInd/>
              <w:snapToGrid/>
              <w:spacing w:before="157" w:beforeLines="50" w:after="0" w:line="240" w:lineRule="auto"/>
              <w:ind w:left="0" w:lef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14:textFill>
                  <w14:solidFill>
                    <w14:schemeClr w14:val="tx1"/>
                  </w14:solidFill>
                </w14:textFill>
              </w:rPr>
              <w:t>表</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4-</w:t>
            </w:r>
            <w:r>
              <w:rPr>
                <w:rFonts w:hint="eastAsia" w:cs="Times New Roman"/>
                <w:b/>
                <w:bCs/>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szCs w:val="24"/>
                <w:highlight w:val="none"/>
                <w:lang w:val="en-US"/>
                <w14:textFill>
                  <w14:solidFill>
                    <w14:schemeClr w14:val="tx1"/>
                  </w14:solidFill>
                </w14:textFill>
              </w:rPr>
              <w:t>本项目</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污染源</w:t>
            </w:r>
            <w:r>
              <w:rPr>
                <w:rFonts w:hint="default" w:ascii="Times New Roman" w:hAnsi="Times New Roman" w:eastAsia="宋体" w:cs="Times New Roman"/>
                <w:b/>
                <w:bCs/>
                <w:color w:val="000000" w:themeColor="text1"/>
                <w:sz w:val="24"/>
                <w:szCs w:val="24"/>
                <w:highlight w:val="none"/>
                <w:lang w:val="en-US"/>
                <w14:textFill>
                  <w14:solidFill>
                    <w14:schemeClr w14:val="tx1"/>
                  </w14:solidFill>
                </w14:textFill>
              </w:rPr>
              <w:t>非正常排放一览表</w:t>
            </w:r>
          </w:p>
          <w:tbl>
            <w:tblPr>
              <w:tblStyle w:val="28"/>
              <w:tblW w:w="4967"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189"/>
              <w:gridCol w:w="1230"/>
              <w:gridCol w:w="950"/>
              <w:gridCol w:w="1766"/>
              <w:gridCol w:w="1189"/>
              <w:gridCol w:w="1114"/>
              <w:gridCol w:w="1599"/>
            </w:tblGrid>
            <w:tr w14:paraId="7768AB4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2" w:hRule="atLeast"/>
                <w:jc w:val="center"/>
              </w:trPr>
              <w:tc>
                <w:tcPr>
                  <w:tcW w:w="657" w:type="pct"/>
                  <w:tcBorders>
                    <w:tl2br w:val="nil"/>
                    <w:tr2bl w:val="nil"/>
                  </w:tcBorders>
                  <w:noWrap w:val="0"/>
                  <w:vAlign w:val="center"/>
                </w:tcPr>
                <w:p w14:paraId="080EB70F">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pacing w:val="5"/>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pacing w:val="5"/>
                      <w:sz w:val="21"/>
                      <w:szCs w:val="21"/>
                      <w:highlight w:val="none"/>
                      <w:lang w:val="en-US" w:eastAsia="zh-CN"/>
                      <w14:textFill>
                        <w14:solidFill>
                          <w14:schemeClr w14:val="tx1"/>
                        </w14:solidFill>
                      </w14:textFill>
                    </w:rPr>
                    <w:t>非正常排放源</w:t>
                  </w:r>
                </w:p>
              </w:tc>
              <w:tc>
                <w:tcPr>
                  <w:tcW w:w="680" w:type="pct"/>
                  <w:tcBorders>
                    <w:tl2br w:val="nil"/>
                    <w:tr2bl w:val="nil"/>
                  </w:tcBorders>
                  <w:noWrap w:val="0"/>
                  <w:vAlign w:val="center"/>
                </w:tcPr>
                <w:p w14:paraId="0DB54035">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pacing w:val="5"/>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pacing w:val="5"/>
                      <w:sz w:val="21"/>
                      <w:szCs w:val="21"/>
                      <w:highlight w:val="none"/>
                      <w14:textFill>
                        <w14:solidFill>
                          <w14:schemeClr w14:val="tx1"/>
                        </w14:solidFill>
                      </w14:textFill>
                    </w:rPr>
                    <w:t>非正常排放原因</w:t>
                  </w:r>
                </w:p>
              </w:tc>
              <w:tc>
                <w:tcPr>
                  <w:tcW w:w="525" w:type="pct"/>
                  <w:tcBorders>
                    <w:tl2br w:val="nil"/>
                    <w:tr2bl w:val="nil"/>
                  </w:tcBorders>
                  <w:noWrap w:val="0"/>
                  <w:vAlign w:val="center"/>
                </w:tcPr>
                <w:p w14:paraId="7949A9FA">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pacing w:val="5"/>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pacing w:val="5"/>
                      <w:sz w:val="21"/>
                      <w:szCs w:val="21"/>
                      <w:highlight w:val="none"/>
                      <w14:textFill>
                        <w14:solidFill>
                          <w14:schemeClr w14:val="tx1"/>
                        </w14:solidFill>
                      </w14:textFill>
                    </w:rPr>
                    <w:t>污染物</w:t>
                  </w:r>
                </w:p>
              </w:tc>
              <w:tc>
                <w:tcPr>
                  <w:tcW w:w="977" w:type="pct"/>
                  <w:tcBorders>
                    <w:tl2br w:val="nil"/>
                    <w:tr2bl w:val="nil"/>
                  </w:tcBorders>
                  <w:noWrap w:val="0"/>
                  <w:vAlign w:val="center"/>
                </w:tcPr>
                <w:p w14:paraId="1BD2E279">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pacing w:val="5"/>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pacing w:val="5"/>
                      <w:sz w:val="21"/>
                      <w:szCs w:val="21"/>
                      <w:highlight w:val="none"/>
                      <w14:textFill>
                        <w14:solidFill>
                          <w14:schemeClr w14:val="tx1"/>
                        </w14:solidFill>
                      </w14:textFill>
                    </w:rPr>
                    <w:t>非正常排放速率/（kg/h）</w:t>
                  </w:r>
                </w:p>
              </w:tc>
              <w:tc>
                <w:tcPr>
                  <w:tcW w:w="657" w:type="pct"/>
                  <w:tcBorders>
                    <w:tl2br w:val="nil"/>
                    <w:tr2bl w:val="nil"/>
                  </w:tcBorders>
                  <w:noWrap w:val="0"/>
                  <w:vAlign w:val="center"/>
                </w:tcPr>
                <w:p w14:paraId="5CA2EE7E">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pacing w:val="5"/>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pacing w:val="5"/>
                      <w:sz w:val="21"/>
                      <w:szCs w:val="21"/>
                      <w:highlight w:val="none"/>
                      <w14:textFill>
                        <w14:solidFill>
                          <w14:schemeClr w14:val="tx1"/>
                        </w14:solidFill>
                      </w14:textFill>
                    </w:rPr>
                    <w:t>单次持续时间/h</w:t>
                  </w:r>
                </w:p>
              </w:tc>
              <w:tc>
                <w:tcPr>
                  <w:tcW w:w="616" w:type="pct"/>
                  <w:tcBorders>
                    <w:tl2br w:val="nil"/>
                    <w:tr2bl w:val="nil"/>
                  </w:tcBorders>
                  <w:noWrap w:val="0"/>
                  <w:vAlign w:val="center"/>
                </w:tcPr>
                <w:p w14:paraId="4E4CA8E5">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pacing w:val="5"/>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pacing w:val="5"/>
                      <w:sz w:val="21"/>
                      <w:szCs w:val="21"/>
                      <w:highlight w:val="none"/>
                      <w14:textFill>
                        <w14:solidFill>
                          <w14:schemeClr w14:val="tx1"/>
                        </w14:solidFill>
                      </w14:textFill>
                    </w:rPr>
                    <w:t>年发生频次/次</w:t>
                  </w:r>
                </w:p>
              </w:tc>
              <w:tc>
                <w:tcPr>
                  <w:tcW w:w="884" w:type="pct"/>
                  <w:tcBorders>
                    <w:tl2br w:val="nil"/>
                    <w:tr2bl w:val="nil"/>
                  </w:tcBorders>
                  <w:noWrap w:val="0"/>
                  <w:vAlign w:val="center"/>
                </w:tcPr>
                <w:p w14:paraId="7A0F5A9B">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spacing w:val="5"/>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pacing w:val="5"/>
                      <w:sz w:val="21"/>
                      <w:szCs w:val="21"/>
                      <w:highlight w:val="none"/>
                      <w14:textFill>
                        <w14:solidFill>
                          <w14:schemeClr w14:val="tx1"/>
                        </w14:solidFill>
                      </w14:textFill>
                    </w:rPr>
                    <w:t>应对措施</w:t>
                  </w:r>
                </w:p>
              </w:tc>
            </w:tr>
            <w:tr w14:paraId="2100616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657" w:type="pct"/>
                  <w:vMerge w:val="restart"/>
                  <w:tcBorders>
                    <w:tl2br w:val="nil"/>
                    <w:tr2bl w:val="nil"/>
                  </w:tcBorders>
                  <w:noWrap w:val="0"/>
                  <w:vAlign w:val="center"/>
                </w:tcPr>
                <w:p w14:paraId="00EC177E">
                  <w:pPr>
                    <w:keepNext w:val="0"/>
                    <w:keepLines w:val="0"/>
                    <w:pageBreakBefore w:val="0"/>
                    <w:widowControl w:val="0"/>
                    <w:kinsoku/>
                    <w:wordWrap/>
                    <w:overflowPunct/>
                    <w:topLinePunct w:val="0"/>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DA001</w:t>
                  </w:r>
                </w:p>
              </w:tc>
              <w:tc>
                <w:tcPr>
                  <w:tcW w:w="680" w:type="pct"/>
                  <w:vMerge w:val="restart"/>
                  <w:tcBorders>
                    <w:tl2br w:val="nil"/>
                    <w:tr2bl w:val="nil"/>
                  </w:tcBorders>
                  <w:noWrap w:val="0"/>
                  <w:vAlign w:val="center"/>
                </w:tcPr>
                <w:p w14:paraId="639EB45E">
                  <w:pPr>
                    <w:keepNext w:val="0"/>
                    <w:keepLines w:val="0"/>
                    <w:pageBreakBefore w:val="0"/>
                    <w:widowControl w:val="0"/>
                    <w:kinsoku/>
                    <w:wordWrap/>
                    <w:overflowPunct/>
                    <w:topLinePunct w:val="0"/>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5"/>
                      <w:sz w:val="21"/>
                      <w:szCs w:val="21"/>
                      <w:highlight w:val="none"/>
                      <w:lang w:eastAsia="zh-CN"/>
                      <w14:textFill>
                        <w14:solidFill>
                          <w14:schemeClr w14:val="tx1"/>
                        </w14:solidFill>
                      </w14:textFill>
                    </w:rPr>
                  </w:pPr>
                  <w:r>
                    <w:rPr>
                      <w:rFonts w:hint="eastAsia" w:cs="Times New Roman"/>
                      <w:color w:val="000000" w:themeColor="text1"/>
                      <w:spacing w:val="5"/>
                      <w:sz w:val="21"/>
                      <w:szCs w:val="21"/>
                      <w:highlight w:val="none"/>
                      <w:lang w:val="en-US" w:eastAsia="zh-CN"/>
                      <w14:textFill>
                        <w14:solidFill>
                          <w14:schemeClr w14:val="tx1"/>
                        </w14:solidFill>
                      </w14:textFill>
                    </w:rPr>
                    <w:t>碱喷淋塔+活性炭吸附装置</w:t>
                  </w:r>
                  <w:r>
                    <w:rPr>
                      <w:rFonts w:hint="default" w:ascii="Times New Roman" w:hAnsi="Times New Roman" w:eastAsia="宋体" w:cs="Times New Roman"/>
                      <w:color w:val="000000" w:themeColor="text1"/>
                      <w:spacing w:val="5"/>
                      <w:sz w:val="21"/>
                      <w:szCs w:val="21"/>
                      <w:highlight w:val="none"/>
                      <w:lang w:eastAsia="zh-CN"/>
                      <w14:textFill>
                        <w14:solidFill>
                          <w14:schemeClr w14:val="tx1"/>
                        </w14:solidFill>
                      </w14:textFill>
                    </w:rPr>
                    <w:t>故障</w:t>
                  </w:r>
                </w:p>
              </w:tc>
              <w:tc>
                <w:tcPr>
                  <w:tcW w:w="525" w:type="pct"/>
                  <w:tcBorders>
                    <w:tl2br w:val="nil"/>
                    <w:tr2bl w:val="nil"/>
                  </w:tcBorders>
                  <w:noWrap w:val="0"/>
                  <w:vAlign w:val="center"/>
                </w:tcPr>
                <w:p w14:paraId="287B1141">
                  <w:pPr>
                    <w:keepNext w:val="0"/>
                    <w:keepLines w:val="0"/>
                    <w:pageBreakBefore w:val="0"/>
                    <w:kinsoku/>
                    <w:wordWrap/>
                    <w:overflowPunct/>
                    <w:topLinePunct w:val="0"/>
                    <w:bidi w:val="0"/>
                    <w:spacing w:beforeAutospacing="0" w:afterAutospacing="0"/>
                    <w:jc w:val="center"/>
                    <w:rPr>
                      <w:rFonts w:hint="default" w:ascii="Times New Roman" w:hAnsi="Times New Roman" w:eastAsia="宋体" w:cs="Times New Roman"/>
                      <w:color w:val="000000" w:themeColor="text1"/>
                      <w:spacing w:val="5"/>
                      <w:sz w:val="21"/>
                      <w:szCs w:val="21"/>
                      <w:highlight w:val="none"/>
                      <w:lang w:eastAsia="zh-CN"/>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t>非甲烷总烃</w:t>
                  </w:r>
                </w:p>
              </w:tc>
              <w:tc>
                <w:tcPr>
                  <w:tcW w:w="977" w:type="pct"/>
                  <w:tcBorders>
                    <w:tl2br w:val="nil"/>
                    <w:tr2bl w:val="nil"/>
                  </w:tcBorders>
                  <w:noWrap w:val="0"/>
                  <w:vAlign w:val="center"/>
                </w:tcPr>
                <w:p w14:paraId="744D968D">
                  <w:pPr>
                    <w:keepNext w:val="0"/>
                    <w:keepLines w:val="0"/>
                    <w:widowControl/>
                    <w:suppressLineNumbers w:val="0"/>
                    <w:jc w:val="center"/>
                    <w:textAlignment w:val="center"/>
                    <w:rPr>
                      <w:rFonts w:hint="default" w:ascii="Times New Roman" w:hAnsi="Times New Roman" w:eastAsia="宋体" w:cs="Times New Roman"/>
                      <w:color w:val="000000" w:themeColor="text1"/>
                      <w:spacing w:val="5"/>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highlight w:val="none"/>
                      <w:u w:val="none"/>
                      <w:lang w:val="en-US" w:eastAsia="zh-CN" w:bidi="ar"/>
                      <w14:textFill>
                        <w14:solidFill>
                          <w14:schemeClr w14:val="tx1"/>
                        </w14:solidFill>
                      </w14:textFill>
                    </w:rPr>
                    <w:t>0.1391</w:t>
                  </w:r>
                </w:p>
              </w:tc>
              <w:tc>
                <w:tcPr>
                  <w:tcW w:w="657" w:type="pct"/>
                  <w:vMerge w:val="restart"/>
                  <w:tcBorders>
                    <w:tl2br w:val="nil"/>
                    <w:tr2bl w:val="nil"/>
                  </w:tcBorders>
                  <w:noWrap w:val="0"/>
                  <w:vAlign w:val="center"/>
                </w:tcPr>
                <w:p w14:paraId="2ED5AAB9">
                  <w:pPr>
                    <w:keepNext w:val="0"/>
                    <w:keepLines w:val="0"/>
                    <w:pageBreakBefore w:val="0"/>
                    <w:widowControl w:val="0"/>
                    <w:kinsoku/>
                    <w:wordWrap/>
                    <w:overflowPunct/>
                    <w:topLinePunct w:val="0"/>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5"/>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5"/>
                      <w:sz w:val="21"/>
                      <w:szCs w:val="21"/>
                      <w:highlight w:val="none"/>
                      <w:lang w:val="en-US" w:eastAsia="zh-CN"/>
                      <w14:textFill>
                        <w14:solidFill>
                          <w14:schemeClr w14:val="tx1"/>
                        </w14:solidFill>
                      </w14:textFill>
                    </w:rPr>
                    <w:t>1</w:t>
                  </w:r>
                </w:p>
              </w:tc>
              <w:tc>
                <w:tcPr>
                  <w:tcW w:w="616" w:type="pct"/>
                  <w:vMerge w:val="restart"/>
                  <w:tcBorders>
                    <w:tl2br w:val="nil"/>
                    <w:tr2bl w:val="nil"/>
                  </w:tcBorders>
                  <w:noWrap w:val="0"/>
                  <w:vAlign w:val="center"/>
                </w:tcPr>
                <w:p w14:paraId="6F6613DF">
                  <w:pPr>
                    <w:keepNext w:val="0"/>
                    <w:keepLines w:val="0"/>
                    <w:pageBreakBefore w:val="0"/>
                    <w:widowControl w:val="0"/>
                    <w:kinsoku/>
                    <w:wordWrap/>
                    <w:overflowPunct/>
                    <w:topLinePunct w:val="0"/>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5"/>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5"/>
                      <w:sz w:val="21"/>
                      <w:szCs w:val="21"/>
                      <w:highlight w:val="none"/>
                      <w:lang w:val="en-US" w:eastAsia="zh-CN"/>
                      <w14:textFill>
                        <w14:solidFill>
                          <w14:schemeClr w14:val="tx1"/>
                        </w14:solidFill>
                      </w14:textFill>
                    </w:rPr>
                    <w:t>1</w:t>
                  </w:r>
                </w:p>
              </w:tc>
              <w:tc>
                <w:tcPr>
                  <w:tcW w:w="884" w:type="pct"/>
                  <w:vMerge w:val="restart"/>
                  <w:tcBorders>
                    <w:tl2br w:val="nil"/>
                    <w:tr2bl w:val="nil"/>
                  </w:tcBorders>
                  <w:noWrap w:val="0"/>
                  <w:vAlign w:val="center"/>
                </w:tcPr>
                <w:p w14:paraId="4291081C">
                  <w:pPr>
                    <w:keepNext w:val="0"/>
                    <w:keepLines w:val="0"/>
                    <w:pageBreakBefore w:val="0"/>
                    <w:widowControl w:val="0"/>
                    <w:kinsoku/>
                    <w:wordWrap/>
                    <w:overflowPunct/>
                    <w:topLinePunct w:val="0"/>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5"/>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5"/>
                      <w:sz w:val="21"/>
                      <w:szCs w:val="21"/>
                      <w:highlight w:val="none"/>
                      <w:lang w:eastAsia="zh-CN"/>
                      <w14:textFill>
                        <w14:solidFill>
                          <w14:schemeClr w14:val="tx1"/>
                        </w14:solidFill>
                      </w14:textFill>
                    </w:rPr>
                    <w:t>经常检查，定期检修、</w:t>
                  </w:r>
                  <w:r>
                    <w:rPr>
                      <w:rFonts w:hint="eastAsia" w:cs="Times New Roman"/>
                      <w:color w:val="000000" w:themeColor="text1"/>
                      <w:spacing w:val="5"/>
                      <w:sz w:val="21"/>
                      <w:szCs w:val="21"/>
                      <w:highlight w:val="none"/>
                      <w:lang w:val="en-US" w:eastAsia="zh-CN"/>
                      <w14:textFill>
                        <w14:solidFill>
                          <w14:schemeClr w14:val="tx1"/>
                        </w14:solidFill>
                      </w14:textFill>
                    </w:rPr>
                    <w:t>定期</w:t>
                  </w:r>
                  <w:r>
                    <w:rPr>
                      <w:rFonts w:hint="default" w:ascii="Times New Roman" w:hAnsi="Times New Roman" w:eastAsia="宋体" w:cs="Times New Roman"/>
                      <w:color w:val="000000" w:themeColor="text1"/>
                      <w:spacing w:val="5"/>
                      <w:sz w:val="21"/>
                      <w:szCs w:val="21"/>
                      <w:highlight w:val="none"/>
                      <w:lang w:val="en-US" w:eastAsia="zh-CN"/>
                      <w14:textFill>
                        <w14:solidFill>
                          <w14:schemeClr w14:val="tx1"/>
                        </w14:solidFill>
                      </w14:textFill>
                    </w:rPr>
                    <w:t>更换</w:t>
                  </w:r>
                  <w:r>
                    <w:rPr>
                      <w:rFonts w:hint="eastAsia" w:cs="Times New Roman"/>
                      <w:color w:val="000000" w:themeColor="text1"/>
                      <w:spacing w:val="5"/>
                      <w:sz w:val="21"/>
                      <w:szCs w:val="21"/>
                      <w:highlight w:val="none"/>
                      <w:lang w:val="en-US" w:eastAsia="zh-CN"/>
                      <w14:textFill>
                        <w14:solidFill>
                          <w14:schemeClr w14:val="tx1"/>
                        </w14:solidFill>
                      </w14:textFill>
                    </w:rPr>
                    <w:t>活性炭</w:t>
                  </w:r>
                </w:p>
              </w:tc>
            </w:tr>
            <w:tr w14:paraId="7CF468E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657" w:type="pct"/>
                  <w:vMerge w:val="continue"/>
                  <w:tcBorders>
                    <w:tl2br w:val="nil"/>
                    <w:tr2bl w:val="nil"/>
                  </w:tcBorders>
                  <w:noWrap w:val="0"/>
                  <w:vAlign w:val="center"/>
                </w:tcPr>
                <w:p w14:paraId="2EDF0CA0">
                  <w:pPr>
                    <w:keepNext w:val="0"/>
                    <w:keepLines w:val="0"/>
                    <w:pageBreakBefore w:val="0"/>
                    <w:widowControl w:val="0"/>
                    <w:kinsoku/>
                    <w:wordWrap/>
                    <w:overflowPunct/>
                    <w:topLinePunct w:val="0"/>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80" w:type="pct"/>
                  <w:vMerge w:val="continue"/>
                  <w:tcBorders>
                    <w:tl2br w:val="nil"/>
                    <w:tr2bl w:val="nil"/>
                  </w:tcBorders>
                  <w:noWrap w:val="0"/>
                  <w:vAlign w:val="center"/>
                </w:tcPr>
                <w:p w14:paraId="1A4772B1">
                  <w:pPr>
                    <w:keepNext w:val="0"/>
                    <w:keepLines w:val="0"/>
                    <w:pageBreakBefore w:val="0"/>
                    <w:widowControl w:val="0"/>
                    <w:kinsoku/>
                    <w:wordWrap/>
                    <w:overflowPunct/>
                    <w:topLinePunct w:val="0"/>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5"/>
                      <w:sz w:val="21"/>
                      <w:szCs w:val="21"/>
                      <w:highlight w:val="none"/>
                      <w:lang w:eastAsia="zh-CN"/>
                      <w14:textFill>
                        <w14:solidFill>
                          <w14:schemeClr w14:val="tx1"/>
                        </w14:solidFill>
                      </w14:textFill>
                    </w:rPr>
                  </w:pPr>
                </w:p>
              </w:tc>
              <w:tc>
                <w:tcPr>
                  <w:tcW w:w="525" w:type="pct"/>
                  <w:tcBorders>
                    <w:tl2br w:val="nil"/>
                    <w:tr2bl w:val="nil"/>
                  </w:tcBorders>
                  <w:noWrap w:val="0"/>
                  <w:vAlign w:val="center"/>
                </w:tcPr>
                <w:p w14:paraId="3D9AF4AC">
                  <w:pPr>
                    <w:keepNext w:val="0"/>
                    <w:keepLines w:val="0"/>
                    <w:pageBreakBefore w:val="0"/>
                    <w:kinsoku/>
                    <w:wordWrap/>
                    <w:overflowPunct/>
                    <w:topLinePunct w:val="0"/>
                    <w:bidi w:val="0"/>
                    <w:spacing w:beforeAutospacing="0" w:afterAutospacing="0"/>
                    <w:jc w:val="center"/>
                    <w:rPr>
                      <w:rFonts w:hint="default" w:ascii="Times New Roman" w:hAnsi="Times New Roman" w:eastAsia="宋体" w:cs="Times New Roman"/>
                      <w:color w:val="000000" w:themeColor="text1"/>
                      <w:spacing w:val="5"/>
                      <w:sz w:val="21"/>
                      <w:szCs w:val="21"/>
                      <w:highlight w:val="none"/>
                      <w:lang w:eastAsia="zh-CN"/>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vertAlign w:val="baseline"/>
                      <w:lang w:val="en-US" w:eastAsia="zh-CN"/>
                      <w14:textFill>
                        <w14:solidFill>
                          <w14:schemeClr w14:val="tx1"/>
                        </w14:solidFill>
                      </w14:textFill>
                    </w:rPr>
                    <w:t>氨</w:t>
                  </w:r>
                </w:p>
              </w:tc>
              <w:tc>
                <w:tcPr>
                  <w:tcW w:w="977" w:type="pct"/>
                  <w:tcBorders>
                    <w:tl2br w:val="nil"/>
                    <w:tr2bl w:val="nil"/>
                  </w:tcBorders>
                  <w:noWrap w:val="0"/>
                  <w:vAlign w:val="center"/>
                </w:tcPr>
                <w:p w14:paraId="36B148CE">
                  <w:pPr>
                    <w:keepNext w:val="0"/>
                    <w:keepLines w:val="0"/>
                    <w:widowControl/>
                    <w:suppressLineNumbers w:val="0"/>
                    <w:jc w:val="center"/>
                    <w:textAlignment w:val="center"/>
                    <w:rPr>
                      <w:rFonts w:hint="default" w:ascii="Times New Roman" w:hAnsi="Times New Roman" w:eastAsia="宋体" w:cs="Times New Roman"/>
                      <w:color w:val="000000" w:themeColor="text1"/>
                      <w:spacing w:val="5"/>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highlight w:val="none"/>
                      <w:u w:val="none"/>
                      <w:lang w:val="en-US" w:eastAsia="zh-CN" w:bidi="ar"/>
                      <w14:textFill>
                        <w14:solidFill>
                          <w14:schemeClr w14:val="tx1"/>
                        </w14:solidFill>
                      </w14:textFill>
                    </w:rPr>
                    <w:t>0.0887</w:t>
                  </w:r>
                </w:p>
              </w:tc>
              <w:tc>
                <w:tcPr>
                  <w:tcW w:w="657" w:type="pct"/>
                  <w:vMerge w:val="continue"/>
                  <w:tcBorders>
                    <w:tl2br w:val="nil"/>
                    <w:tr2bl w:val="nil"/>
                  </w:tcBorders>
                  <w:noWrap w:val="0"/>
                  <w:vAlign w:val="center"/>
                </w:tcPr>
                <w:p w14:paraId="155A678A">
                  <w:pPr>
                    <w:keepNext w:val="0"/>
                    <w:keepLines w:val="0"/>
                    <w:pageBreakBefore w:val="0"/>
                    <w:widowControl w:val="0"/>
                    <w:kinsoku/>
                    <w:wordWrap/>
                    <w:overflowPunct/>
                    <w:topLinePunct w:val="0"/>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5"/>
                      <w:sz w:val="21"/>
                      <w:szCs w:val="21"/>
                      <w:highlight w:val="none"/>
                      <w:lang w:val="en-US" w:eastAsia="zh-CN"/>
                      <w14:textFill>
                        <w14:solidFill>
                          <w14:schemeClr w14:val="tx1"/>
                        </w14:solidFill>
                      </w14:textFill>
                    </w:rPr>
                  </w:pPr>
                </w:p>
              </w:tc>
              <w:tc>
                <w:tcPr>
                  <w:tcW w:w="616" w:type="pct"/>
                  <w:vMerge w:val="continue"/>
                  <w:tcBorders>
                    <w:tl2br w:val="nil"/>
                    <w:tr2bl w:val="nil"/>
                  </w:tcBorders>
                  <w:noWrap w:val="0"/>
                  <w:vAlign w:val="center"/>
                </w:tcPr>
                <w:p w14:paraId="3EBE1DA5">
                  <w:pPr>
                    <w:keepNext w:val="0"/>
                    <w:keepLines w:val="0"/>
                    <w:pageBreakBefore w:val="0"/>
                    <w:widowControl w:val="0"/>
                    <w:kinsoku/>
                    <w:wordWrap/>
                    <w:overflowPunct/>
                    <w:topLinePunct w:val="0"/>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5"/>
                      <w:sz w:val="21"/>
                      <w:szCs w:val="21"/>
                      <w:highlight w:val="none"/>
                      <w:lang w:val="en-US" w:eastAsia="zh-CN"/>
                      <w14:textFill>
                        <w14:solidFill>
                          <w14:schemeClr w14:val="tx1"/>
                        </w14:solidFill>
                      </w14:textFill>
                    </w:rPr>
                  </w:pPr>
                </w:p>
              </w:tc>
              <w:tc>
                <w:tcPr>
                  <w:tcW w:w="884" w:type="pct"/>
                  <w:vMerge w:val="continue"/>
                  <w:tcBorders>
                    <w:tl2br w:val="nil"/>
                    <w:tr2bl w:val="nil"/>
                  </w:tcBorders>
                  <w:noWrap w:val="0"/>
                  <w:vAlign w:val="center"/>
                </w:tcPr>
                <w:p w14:paraId="70C6D871">
                  <w:pPr>
                    <w:keepNext w:val="0"/>
                    <w:keepLines w:val="0"/>
                    <w:pageBreakBefore w:val="0"/>
                    <w:widowControl w:val="0"/>
                    <w:kinsoku/>
                    <w:wordWrap/>
                    <w:overflowPunct/>
                    <w:topLinePunct w:val="0"/>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5"/>
                      <w:sz w:val="21"/>
                      <w:szCs w:val="21"/>
                      <w:highlight w:val="none"/>
                      <w:lang w:eastAsia="zh-CN"/>
                      <w14:textFill>
                        <w14:solidFill>
                          <w14:schemeClr w14:val="tx1"/>
                        </w14:solidFill>
                      </w14:textFill>
                    </w:rPr>
                  </w:pPr>
                </w:p>
              </w:tc>
            </w:tr>
            <w:tr w14:paraId="409CC81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657" w:type="pct"/>
                  <w:vMerge w:val="continue"/>
                  <w:tcBorders>
                    <w:tl2br w:val="nil"/>
                    <w:tr2bl w:val="nil"/>
                  </w:tcBorders>
                  <w:noWrap w:val="0"/>
                  <w:vAlign w:val="center"/>
                </w:tcPr>
                <w:p w14:paraId="13F73365">
                  <w:pPr>
                    <w:keepNext w:val="0"/>
                    <w:keepLines w:val="0"/>
                    <w:pageBreakBefore w:val="0"/>
                    <w:widowControl w:val="0"/>
                    <w:kinsoku/>
                    <w:wordWrap/>
                    <w:overflowPunct/>
                    <w:topLinePunct w:val="0"/>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80" w:type="pct"/>
                  <w:vMerge w:val="continue"/>
                  <w:tcBorders>
                    <w:tl2br w:val="nil"/>
                    <w:tr2bl w:val="nil"/>
                  </w:tcBorders>
                  <w:noWrap w:val="0"/>
                  <w:vAlign w:val="center"/>
                </w:tcPr>
                <w:p w14:paraId="2234EAC3">
                  <w:pPr>
                    <w:keepNext w:val="0"/>
                    <w:keepLines w:val="0"/>
                    <w:pageBreakBefore w:val="0"/>
                    <w:widowControl w:val="0"/>
                    <w:kinsoku/>
                    <w:wordWrap/>
                    <w:overflowPunct/>
                    <w:topLinePunct w:val="0"/>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5"/>
                      <w:sz w:val="21"/>
                      <w:szCs w:val="21"/>
                      <w:highlight w:val="none"/>
                      <w:lang w:eastAsia="zh-CN"/>
                      <w14:textFill>
                        <w14:solidFill>
                          <w14:schemeClr w14:val="tx1"/>
                        </w14:solidFill>
                      </w14:textFill>
                    </w:rPr>
                  </w:pPr>
                </w:p>
              </w:tc>
              <w:tc>
                <w:tcPr>
                  <w:tcW w:w="525" w:type="pct"/>
                  <w:tcBorders>
                    <w:tl2br w:val="nil"/>
                    <w:tr2bl w:val="nil"/>
                  </w:tcBorders>
                  <w:noWrap w:val="0"/>
                  <w:vAlign w:val="center"/>
                </w:tcPr>
                <w:p w14:paraId="65ACC15C">
                  <w:pPr>
                    <w:keepNext w:val="0"/>
                    <w:keepLines w:val="0"/>
                    <w:pageBreakBefore w:val="0"/>
                    <w:kinsoku/>
                    <w:wordWrap/>
                    <w:overflowPunct/>
                    <w:topLinePunct w:val="0"/>
                    <w:bidi w:val="0"/>
                    <w:spacing w:beforeAutospacing="0" w:afterAutospacing="0"/>
                    <w:jc w:val="center"/>
                    <w:rPr>
                      <w:rFonts w:hint="default" w:ascii="Times New Roman" w:hAnsi="Times New Roman" w:eastAsia="宋体" w:cs="Times New Roman"/>
                      <w:color w:val="000000" w:themeColor="text1"/>
                      <w:spacing w:val="5"/>
                      <w:sz w:val="21"/>
                      <w:szCs w:val="21"/>
                      <w:highlight w:val="none"/>
                      <w:lang w:eastAsia="zh-CN"/>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t>硫化氢</w:t>
                  </w:r>
                </w:p>
              </w:tc>
              <w:tc>
                <w:tcPr>
                  <w:tcW w:w="977" w:type="pct"/>
                  <w:tcBorders>
                    <w:tl2br w:val="nil"/>
                    <w:tr2bl w:val="nil"/>
                  </w:tcBorders>
                  <w:noWrap w:val="0"/>
                  <w:vAlign w:val="center"/>
                </w:tcPr>
                <w:p w14:paraId="1DA4D6F5">
                  <w:pPr>
                    <w:keepNext w:val="0"/>
                    <w:keepLines w:val="0"/>
                    <w:widowControl/>
                    <w:suppressLineNumbers w:val="0"/>
                    <w:jc w:val="center"/>
                    <w:textAlignment w:val="center"/>
                    <w:rPr>
                      <w:rFonts w:hint="default" w:ascii="Times New Roman" w:hAnsi="Times New Roman" w:eastAsia="宋体" w:cs="Times New Roman"/>
                      <w:color w:val="000000" w:themeColor="text1"/>
                      <w:spacing w:val="5"/>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highlight w:val="none"/>
                      <w:u w:val="none"/>
                      <w:lang w:val="en-US" w:eastAsia="zh-CN" w:bidi="ar"/>
                      <w14:textFill>
                        <w14:solidFill>
                          <w14:schemeClr w14:val="tx1"/>
                        </w14:solidFill>
                      </w14:textFill>
                    </w:rPr>
                    <w:t>0.0014</w:t>
                  </w:r>
                </w:p>
              </w:tc>
              <w:tc>
                <w:tcPr>
                  <w:tcW w:w="657" w:type="pct"/>
                  <w:vMerge w:val="continue"/>
                  <w:tcBorders>
                    <w:tl2br w:val="nil"/>
                    <w:tr2bl w:val="nil"/>
                  </w:tcBorders>
                  <w:noWrap w:val="0"/>
                  <w:vAlign w:val="center"/>
                </w:tcPr>
                <w:p w14:paraId="75465DC5">
                  <w:pPr>
                    <w:keepNext w:val="0"/>
                    <w:keepLines w:val="0"/>
                    <w:pageBreakBefore w:val="0"/>
                    <w:widowControl w:val="0"/>
                    <w:kinsoku/>
                    <w:wordWrap/>
                    <w:overflowPunct/>
                    <w:topLinePunct w:val="0"/>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5"/>
                      <w:sz w:val="21"/>
                      <w:szCs w:val="21"/>
                      <w:highlight w:val="none"/>
                      <w:lang w:val="en-US" w:eastAsia="zh-CN"/>
                      <w14:textFill>
                        <w14:solidFill>
                          <w14:schemeClr w14:val="tx1"/>
                        </w14:solidFill>
                      </w14:textFill>
                    </w:rPr>
                  </w:pPr>
                </w:p>
              </w:tc>
              <w:tc>
                <w:tcPr>
                  <w:tcW w:w="616" w:type="pct"/>
                  <w:vMerge w:val="continue"/>
                  <w:tcBorders>
                    <w:tl2br w:val="nil"/>
                    <w:tr2bl w:val="nil"/>
                  </w:tcBorders>
                  <w:noWrap w:val="0"/>
                  <w:vAlign w:val="center"/>
                </w:tcPr>
                <w:p w14:paraId="2016884A">
                  <w:pPr>
                    <w:keepNext w:val="0"/>
                    <w:keepLines w:val="0"/>
                    <w:pageBreakBefore w:val="0"/>
                    <w:widowControl w:val="0"/>
                    <w:kinsoku/>
                    <w:wordWrap/>
                    <w:overflowPunct/>
                    <w:topLinePunct w:val="0"/>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5"/>
                      <w:sz w:val="21"/>
                      <w:szCs w:val="21"/>
                      <w:highlight w:val="none"/>
                      <w:lang w:val="en-US" w:eastAsia="zh-CN"/>
                      <w14:textFill>
                        <w14:solidFill>
                          <w14:schemeClr w14:val="tx1"/>
                        </w14:solidFill>
                      </w14:textFill>
                    </w:rPr>
                  </w:pPr>
                </w:p>
              </w:tc>
              <w:tc>
                <w:tcPr>
                  <w:tcW w:w="884" w:type="pct"/>
                  <w:vMerge w:val="continue"/>
                  <w:tcBorders>
                    <w:tl2br w:val="nil"/>
                    <w:tr2bl w:val="nil"/>
                  </w:tcBorders>
                  <w:noWrap w:val="0"/>
                  <w:vAlign w:val="center"/>
                </w:tcPr>
                <w:p w14:paraId="2270A296">
                  <w:pPr>
                    <w:keepNext w:val="0"/>
                    <w:keepLines w:val="0"/>
                    <w:pageBreakBefore w:val="0"/>
                    <w:widowControl w:val="0"/>
                    <w:kinsoku/>
                    <w:wordWrap/>
                    <w:overflowPunct/>
                    <w:topLinePunct w:val="0"/>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5"/>
                      <w:sz w:val="21"/>
                      <w:szCs w:val="21"/>
                      <w:highlight w:val="none"/>
                      <w:lang w:eastAsia="zh-CN"/>
                      <w14:textFill>
                        <w14:solidFill>
                          <w14:schemeClr w14:val="tx1"/>
                        </w14:solidFill>
                      </w14:textFill>
                    </w:rPr>
                  </w:pPr>
                </w:p>
              </w:tc>
            </w:tr>
            <w:tr w14:paraId="6E0AF11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61" w:hRule="atLeast"/>
                <w:jc w:val="center"/>
              </w:trPr>
              <w:tc>
                <w:tcPr>
                  <w:tcW w:w="657" w:type="pct"/>
                  <w:vMerge w:val="continue"/>
                  <w:tcBorders>
                    <w:tl2br w:val="nil"/>
                    <w:tr2bl w:val="nil"/>
                  </w:tcBorders>
                  <w:noWrap w:val="0"/>
                  <w:vAlign w:val="center"/>
                </w:tcPr>
                <w:p w14:paraId="3080816B">
                  <w:pPr>
                    <w:keepNext w:val="0"/>
                    <w:keepLines w:val="0"/>
                    <w:pageBreakBefore w:val="0"/>
                    <w:widowControl w:val="0"/>
                    <w:kinsoku/>
                    <w:wordWrap/>
                    <w:overflowPunct/>
                    <w:topLinePunct w:val="0"/>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680" w:type="pct"/>
                  <w:vMerge w:val="continue"/>
                  <w:tcBorders>
                    <w:tl2br w:val="nil"/>
                    <w:tr2bl w:val="nil"/>
                  </w:tcBorders>
                  <w:noWrap w:val="0"/>
                  <w:vAlign w:val="center"/>
                </w:tcPr>
                <w:p w14:paraId="2A4DECBA">
                  <w:pPr>
                    <w:keepNext w:val="0"/>
                    <w:keepLines w:val="0"/>
                    <w:pageBreakBefore w:val="0"/>
                    <w:widowControl w:val="0"/>
                    <w:kinsoku/>
                    <w:wordWrap/>
                    <w:overflowPunct/>
                    <w:topLinePunct w:val="0"/>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5"/>
                      <w:sz w:val="21"/>
                      <w:szCs w:val="21"/>
                      <w:highlight w:val="none"/>
                      <w:lang w:eastAsia="zh-CN"/>
                      <w14:textFill>
                        <w14:solidFill>
                          <w14:schemeClr w14:val="tx1"/>
                        </w14:solidFill>
                      </w14:textFill>
                    </w:rPr>
                  </w:pPr>
                </w:p>
              </w:tc>
              <w:tc>
                <w:tcPr>
                  <w:tcW w:w="525" w:type="pct"/>
                  <w:tcBorders>
                    <w:tl2br w:val="nil"/>
                    <w:tr2bl w:val="nil"/>
                  </w:tcBorders>
                  <w:noWrap w:val="0"/>
                  <w:vAlign w:val="center"/>
                </w:tcPr>
                <w:p w14:paraId="7BF839F0">
                  <w:pPr>
                    <w:keepNext w:val="0"/>
                    <w:keepLines w:val="0"/>
                    <w:pageBreakBefore w:val="0"/>
                    <w:kinsoku/>
                    <w:wordWrap/>
                    <w:overflowPunct/>
                    <w:topLinePunct w:val="0"/>
                    <w:bidi w:val="0"/>
                    <w:spacing w:beforeAutospacing="0" w:afterAutospacing="0"/>
                    <w:jc w:val="center"/>
                    <w:rPr>
                      <w:rFonts w:hint="default" w:ascii="Times New Roman" w:hAnsi="Times New Roman" w:eastAsia="宋体" w:cs="Times New Roman"/>
                      <w:color w:val="000000" w:themeColor="text1"/>
                      <w:spacing w:val="5"/>
                      <w:sz w:val="21"/>
                      <w:szCs w:val="21"/>
                      <w:highlight w:val="none"/>
                      <w:lang w:eastAsia="zh-CN"/>
                      <w14:textFill>
                        <w14:solidFill>
                          <w14:schemeClr w14:val="tx1"/>
                        </w14:solidFill>
                      </w14:textFill>
                    </w:rPr>
                  </w:pPr>
                  <w:r>
                    <w:rPr>
                      <w:rFonts w:hint="default" w:ascii="Times New Roman" w:hAnsi="Times New Roman" w:cs="Times New Roman" w:eastAsiaTheme="majorEastAsia"/>
                      <w:color w:val="000000" w:themeColor="text1"/>
                      <w:sz w:val="21"/>
                      <w:szCs w:val="21"/>
                      <w:highlight w:val="none"/>
                      <w:lang w:val="en-US" w:eastAsia="zh-CN"/>
                      <w14:textFill>
                        <w14:solidFill>
                          <w14:schemeClr w14:val="tx1"/>
                        </w14:solidFill>
                      </w14:textFill>
                    </w:rPr>
                    <w:t>氯化氢</w:t>
                  </w:r>
                </w:p>
              </w:tc>
              <w:tc>
                <w:tcPr>
                  <w:tcW w:w="977" w:type="pct"/>
                  <w:tcBorders>
                    <w:tl2br w:val="nil"/>
                    <w:tr2bl w:val="nil"/>
                  </w:tcBorders>
                  <w:noWrap w:val="0"/>
                  <w:vAlign w:val="center"/>
                </w:tcPr>
                <w:p w14:paraId="20DD45D9">
                  <w:pPr>
                    <w:keepNext w:val="0"/>
                    <w:keepLines w:val="0"/>
                    <w:widowControl/>
                    <w:suppressLineNumbers w:val="0"/>
                    <w:jc w:val="center"/>
                    <w:textAlignment w:val="center"/>
                    <w:rPr>
                      <w:rFonts w:hint="default" w:ascii="Times New Roman" w:hAnsi="Times New Roman" w:eastAsia="宋体" w:cs="Times New Roman"/>
                      <w:color w:val="000000" w:themeColor="text1"/>
                      <w:spacing w:val="5"/>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highlight w:val="none"/>
                      <w:u w:val="none"/>
                      <w:lang w:val="en-US" w:eastAsia="zh-CN" w:bidi="ar"/>
                      <w14:textFill>
                        <w14:solidFill>
                          <w14:schemeClr w14:val="tx1"/>
                        </w14:solidFill>
                      </w14:textFill>
                    </w:rPr>
                    <w:t>0.0033</w:t>
                  </w:r>
                </w:p>
              </w:tc>
              <w:tc>
                <w:tcPr>
                  <w:tcW w:w="657" w:type="pct"/>
                  <w:vMerge w:val="continue"/>
                  <w:tcBorders>
                    <w:tl2br w:val="nil"/>
                    <w:tr2bl w:val="nil"/>
                  </w:tcBorders>
                  <w:noWrap w:val="0"/>
                  <w:vAlign w:val="center"/>
                </w:tcPr>
                <w:p w14:paraId="0D540F17">
                  <w:pPr>
                    <w:keepNext w:val="0"/>
                    <w:keepLines w:val="0"/>
                    <w:pageBreakBefore w:val="0"/>
                    <w:widowControl w:val="0"/>
                    <w:kinsoku/>
                    <w:wordWrap/>
                    <w:overflowPunct/>
                    <w:topLinePunct w:val="0"/>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5"/>
                      <w:sz w:val="21"/>
                      <w:szCs w:val="21"/>
                      <w:highlight w:val="none"/>
                      <w:lang w:val="en-US" w:eastAsia="zh-CN"/>
                      <w14:textFill>
                        <w14:solidFill>
                          <w14:schemeClr w14:val="tx1"/>
                        </w14:solidFill>
                      </w14:textFill>
                    </w:rPr>
                  </w:pPr>
                </w:p>
              </w:tc>
              <w:tc>
                <w:tcPr>
                  <w:tcW w:w="616" w:type="pct"/>
                  <w:vMerge w:val="continue"/>
                  <w:tcBorders>
                    <w:tl2br w:val="nil"/>
                    <w:tr2bl w:val="nil"/>
                  </w:tcBorders>
                  <w:noWrap w:val="0"/>
                  <w:vAlign w:val="center"/>
                </w:tcPr>
                <w:p w14:paraId="4BC6A2B6">
                  <w:pPr>
                    <w:keepNext w:val="0"/>
                    <w:keepLines w:val="0"/>
                    <w:pageBreakBefore w:val="0"/>
                    <w:widowControl w:val="0"/>
                    <w:kinsoku/>
                    <w:wordWrap/>
                    <w:overflowPunct/>
                    <w:topLinePunct w:val="0"/>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5"/>
                      <w:sz w:val="21"/>
                      <w:szCs w:val="21"/>
                      <w:highlight w:val="none"/>
                      <w:lang w:val="en-US" w:eastAsia="zh-CN"/>
                      <w14:textFill>
                        <w14:solidFill>
                          <w14:schemeClr w14:val="tx1"/>
                        </w14:solidFill>
                      </w14:textFill>
                    </w:rPr>
                  </w:pPr>
                </w:p>
              </w:tc>
              <w:tc>
                <w:tcPr>
                  <w:tcW w:w="884" w:type="pct"/>
                  <w:vMerge w:val="continue"/>
                  <w:tcBorders>
                    <w:tl2br w:val="nil"/>
                    <w:tr2bl w:val="nil"/>
                  </w:tcBorders>
                  <w:noWrap w:val="0"/>
                  <w:vAlign w:val="center"/>
                </w:tcPr>
                <w:p w14:paraId="4DD385F8">
                  <w:pPr>
                    <w:keepNext w:val="0"/>
                    <w:keepLines w:val="0"/>
                    <w:pageBreakBefore w:val="0"/>
                    <w:widowControl w:val="0"/>
                    <w:kinsoku/>
                    <w:wordWrap/>
                    <w:overflowPunct/>
                    <w:topLinePunct w:val="0"/>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5"/>
                      <w:sz w:val="21"/>
                      <w:szCs w:val="21"/>
                      <w:highlight w:val="none"/>
                      <w:lang w:eastAsia="zh-CN"/>
                      <w14:textFill>
                        <w14:solidFill>
                          <w14:schemeClr w14:val="tx1"/>
                        </w14:solidFill>
                      </w14:textFill>
                    </w:rPr>
                  </w:pPr>
                </w:p>
              </w:tc>
            </w:tr>
          </w:tbl>
          <w:p w14:paraId="55597849">
            <w:pPr>
              <w:numPr>
                <w:ilvl w:val="0"/>
                <w:numId w:val="0"/>
              </w:numPr>
              <w:spacing w:line="360" w:lineRule="auto"/>
              <w:ind w:left="482" w:leftChars="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b/>
                <w:color w:val="000000" w:themeColor="text1"/>
                <w:kern w:val="24"/>
                <w:sz w:val="24"/>
                <w:highlight w:val="none"/>
                <w:lang w:val="en-US" w:eastAsia="zh-CN"/>
                <w14:textFill>
                  <w14:solidFill>
                    <w14:schemeClr w14:val="tx1"/>
                  </w14:solidFill>
                </w14:textFill>
              </w:rPr>
              <w:t>二、</w:t>
            </w:r>
            <w:r>
              <w:rPr>
                <w:rFonts w:hint="default" w:ascii="Times New Roman" w:hAnsi="Times New Roman" w:eastAsia="宋体" w:cs="Times New Roman"/>
                <w:b/>
                <w:color w:val="000000" w:themeColor="text1"/>
                <w:kern w:val="24"/>
                <w:sz w:val="24"/>
                <w:highlight w:val="none"/>
                <w14:textFill>
                  <w14:solidFill>
                    <w14:schemeClr w14:val="tx1"/>
                  </w14:solidFill>
                </w14:textFill>
              </w:rPr>
              <w:t>水环境影响及保护措施</w:t>
            </w:r>
          </w:p>
          <w:p w14:paraId="5B8C016E">
            <w:pPr>
              <w:pStyle w:val="9"/>
              <w:spacing w:line="360" w:lineRule="auto"/>
              <w:ind w:firstLine="422" w:firstLineChars="200"/>
              <w:rPr>
                <w:rFonts w:hint="default" w:ascii="Times New Roman" w:hAnsi="Times New Roman" w:eastAsia="宋体" w:cs="Times New Roman"/>
                <w:b/>
                <w:bCs/>
                <w:snapToGrid w:val="0"/>
                <w:color w:val="000000" w:themeColor="text1"/>
                <w:szCs w:val="21"/>
                <w:highlight w:val="none"/>
                <w14:textFill>
                  <w14:solidFill>
                    <w14:schemeClr w14:val="tx1"/>
                  </w14:solidFill>
                </w14:textFill>
              </w:rPr>
            </w:pPr>
            <w:r>
              <w:rPr>
                <w:rFonts w:hint="default" w:ascii="Times New Roman" w:hAnsi="Times New Roman" w:eastAsia="宋体" w:cs="Times New Roman"/>
                <w:b/>
                <w:bCs/>
                <w:snapToGrid w:val="0"/>
                <w:color w:val="000000" w:themeColor="text1"/>
                <w:szCs w:val="21"/>
                <w:highlight w:val="none"/>
                <w14:textFill>
                  <w14:solidFill>
                    <w14:schemeClr w14:val="tx1"/>
                  </w14:solidFill>
                </w14:textFill>
              </w:rPr>
              <w:t>1、</w:t>
            </w:r>
            <w:r>
              <w:rPr>
                <w:rFonts w:hint="default" w:ascii="Times New Roman" w:hAnsi="Times New Roman" w:eastAsia="宋体" w:cs="Times New Roman"/>
                <w:b/>
                <w:bCs/>
                <w:color w:val="000000" w:themeColor="text1"/>
                <w:sz w:val="24"/>
                <w:highlight w:val="none"/>
                <w14:textFill>
                  <w14:solidFill>
                    <w14:schemeClr w14:val="tx1"/>
                  </w14:solidFill>
                </w14:textFill>
              </w:rPr>
              <w:t>源强核算过程</w:t>
            </w:r>
          </w:p>
          <w:p w14:paraId="7A4778B2">
            <w:pPr>
              <w:pStyle w:val="104"/>
              <w:spacing w:line="360" w:lineRule="auto"/>
              <w:ind w:firstLine="480" w:firstLineChars="200"/>
              <w:contextualSpacing/>
              <w:jc w:val="both"/>
              <w:rPr>
                <w:rFonts w:hint="default" w:ascii="Times New Roman" w:hAnsi="Times New Roman" w:eastAsia="宋体" w:cs="Times New Roman"/>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2"/>
                <w:sz w:val="24"/>
                <w:szCs w:val="24"/>
                <w:highlight w:val="none"/>
                <w:lang w:val="en-US" w:eastAsia="zh-CN" w:bidi="ar-SA"/>
                <w14:textFill>
                  <w14:solidFill>
                    <w14:schemeClr w14:val="tx1"/>
                  </w14:solidFill>
                </w14:textFill>
              </w:rPr>
              <w:t>本项目无生产用水，无生产废水产生，生活污水依托伊春市林源家具有限公司，经市政管网排入伊春市中心城污水处理厂处理。废气处理碱喷淋塔碱液循环使用，不外排，无废水产生。</w:t>
            </w:r>
          </w:p>
          <w:p w14:paraId="2E2C4DE3">
            <w:pPr>
              <w:pStyle w:val="104"/>
              <w:spacing w:line="360" w:lineRule="auto"/>
              <w:ind w:firstLine="480" w:firstLineChars="200"/>
              <w:contextualSpacing/>
              <w:jc w:val="both"/>
              <w:rPr>
                <w:rFonts w:hint="default" w:ascii="Times New Roman" w:hAnsi="Times New Roman" w:eastAsia="宋体" w:cs="Times New Roman"/>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2"/>
                <w:sz w:val="24"/>
                <w:szCs w:val="24"/>
                <w:highlight w:val="none"/>
                <w:lang w:val="en-US" w:eastAsia="zh-CN" w:bidi="ar-SA"/>
                <w14:textFill>
                  <w14:solidFill>
                    <w14:schemeClr w14:val="tx1"/>
                  </w14:solidFill>
                </w14:textFill>
              </w:rPr>
              <w:t>（1）生活污水</w:t>
            </w:r>
          </w:p>
          <w:p w14:paraId="78E0BE94">
            <w:pPr>
              <w:pStyle w:val="104"/>
              <w:spacing w:line="360" w:lineRule="auto"/>
              <w:ind w:firstLine="480" w:firstLineChars="200"/>
              <w:contextualSpacing/>
              <w:jc w:val="both"/>
              <w:rPr>
                <w:rFonts w:hint="default" w:ascii="Times New Roman" w:hAnsi="Times New Roman" w:eastAsia="宋体" w:cs="Times New Roman"/>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kern w:val="2"/>
                <w:sz w:val="24"/>
                <w:szCs w:val="24"/>
                <w:highlight w:val="none"/>
                <w:lang w:val="en-US" w:eastAsia="zh-CN" w:bidi="ar-SA"/>
                <w14:textFill>
                  <w14:solidFill>
                    <w14:schemeClr w14:val="tx1"/>
                  </w14:solidFill>
                </w14:textFill>
              </w:rPr>
              <w:t>本项目生活污水产生量为</w:t>
            </w:r>
            <w:r>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0.</w:t>
            </w:r>
            <w:r>
              <w:rPr>
                <w:rFonts w:hint="eastAsia"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384</w:t>
            </w:r>
            <w:r>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m</w:t>
            </w:r>
            <w:r>
              <w:rPr>
                <w:rFonts w:hint="default" w:ascii="Times New Roman" w:hAnsi="Times New Roman" w:eastAsia="宋体" w:cs="Times New Roman"/>
                <w:bCs/>
                <w:color w:val="000000" w:themeColor="text1"/>
                <w:sz w:val="24"/>
                <w:szCs w:val="24"/>
                <w:highlight w:val="none"/>
                <w:shd w:val="clear" w:color="auto" w:fill="auto"/>
                <w:vertAlign w:val="superscript"/>
                <w:lang w:val="en-US" w:eastAsia="zh-CN"/>
                <w14:textFill>
                  <w14:solidFill>
                    <w14:schemeClr w14:val="tx1"/>
                  </w14:solidFill>
                </w14:textFill>
              </w:rPr>
              <w:t>3</w:t>
            </w:r>
            <w:r>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/d</w:t>
            </w:r>
            <w:r>
              <w:rPr>
                <w:rFonts w:hint="eastAsia" w:cs="Times New Roman"/>
                <w:bCs/>
                <w:color w:val="000000" w:themeColor="text1"/>
                <w:sz w:val="24"/>
                <w:szCs w:val="24"/>
                <w:highlight w:val="none"/>
                <w:shd w:val="clear" w:color="auto" w:fill="auto"/>
                <w:lang w:val="en-US" w:eastAsia="zh-CN"/>
                <w14:textFill>
                  <w14:solidFill>
                    <w14:schemeClr w14:val="tx1"/>
                  </w14:solidFill>
                </w14:textFill>
              </w:rPr>
              <w:t>，</w:t>
            </w:r>
            <w:r>
              <w:rPr>
                <w:rFonts w:hint="eastAsia"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130.56</w:t>
            </w:r>
            <w:r>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m</w:t>
            </w:r>
            <w:r>
              <w:rPr>
                <w:rFonts w:hint="default" w:ascii="Times New Roman" w:hAnsi="Times New Roman" w:eastAsia="宋体" w:cs="Times New Roman"/>
                <w:bCs/>
                <w:color w:val="000000" w:themeColor="text1"/>
                <w:sz w:val="24"/>
                <w:szCs w:val="24"/>
                <w:highlight w:val="none"/>
                <w:shd w:val="clear" w:color="auto" w:fill="auto"/>
                <w:vertAlign w:val="superscript"/>
                <w:lang w:val="en-US" w:eastAsia="zh-CN"/>
                <w14:textFill>
                  <w14:solidFill>
                    <w14:schemeClr w14:val="tx1"/>
                  </w14:solidFill>
                </w14:textFill>
              </w:rPr>
              <w:t>3</w:t>
            </w:r>
            <w:r>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/a</w:t>
            </w:r>
            <w:r>
              <w:rPr>
                <w:rFonts w:hint="default" w:ascii="Times New Roman" w:hAnsi="Times New Roman" w:eastAsia="宋体" w:cs="Times New Roman"/>
                <w:bCs/>
                <w:color w:val="000000" w:themeColor="text1"/>
                <w:kern w:val="2"/>
                <w:sz w:val="24"/>
                <w:szCs w:val="24"/>
                <w:highlight w:val="none"/>
                <w:lang w:val="en-US" w:eastAsia="zh-CN" w:bidi="ar-SA"/>
                <w14:textFill>
                  <w14:solidFill>
                    <w14:schemeClr w14:val="tx1"/>
                  </w14:solidFill>
                </w14:textFill>
              </w:rPr>
              <w:t>。根据《水工业工程设计手册-建筑和小区给排水》中“12.2.2污水水量和水质”中给出的住宅、各类公共建筑污水水质平均浓度，得出本项目生活污水水质为COD：350mg/</w:t>
            </w:r>
            <w:r>
              <w:rPr>
                <w:rFonts w:hint="default" w:ascii="Times New Roman" w:hAnsi="Times New Roman" w:eastAsia="宋体" w:cs="Times New Roman"/>
                <w:color w:val="000000" w:themeColor="text1"/>
                <w:sz w:val="21"/>
                <w:szCs w:val="21"/>
                <w:highlight w:val="none"/>
                <w14:textFill>
                  <w14:solidFill>
                    <w14:schemeClr w14:val="tx1"/>
                  </w14:solidFill>
                </w14:textFill>
              </w:rPr>
              <w:t>L</w:t>
            </w:r>
            <w:r>
              <w:rPr>
                <w:rFonts w:hint="default" w:ascii="Times New Roman" w:hAnsi="Times New Roman" w:eastAsia="宋体" w:cs="Times New Roman"/>
                <w:bCs/>
                <w:color w:val="000000" w:themeColor="text1"/>
                <w:kern w:val="2"/>
                <w:sz w:val="24"/>
                <w:szCs w:val="24"/>
                <w:highlight w:val="none"/>
                <w:lang w:val="en-US" w:eastAsia="zh-CN" w:bidi="ar-SA"/>
                <w14:textFill>
                  <w14:solidFill>
                    <w14:schemeClr w14:val="tx1"/>
                  </w14:solidFill>
                </w14:textFill>
              </w:rPr>
              <w:t>、BOD</w:t>
            </w:r>
            <w:r>
              <w:rPr>
                <w:rFonts w:hint="default" w:ascii="Times New Roman" w:hAnsi="Times New Roman" w:eastAsia="宋体" w:cs="Times New Roman"/>
                <w:bCs/>
                <w:color w:val="000000" w:themeColor="text1"/>
                <w:kern w:val="2"/>
                <w:sz w:val="24"/>
                <w:szCs w:val="24"/>
                <w:highlight w:val="none"/>
                <w:vertAlign w:val="subscript"/>
                <w:lang w:val="en-US" w:eastAsia="zh-CN" w:bidi="ar-SA"/>
                <w14:textFill>
                  <w14:solidFill>
                    <w14:schemeClr w14:val="tx1"/>
                  </w14:solidFill>
                </w14:textFill>
              </w:rPr>
              <w:t>5</w:t>
            </w:r>
            <w:r>
              <w:rPr>
                <w:rFonts w:hint="default" w:ascii="Times New Roman" w:hAnsi="Times New Roman" w:eastAsia="宋体" w:cs="Times New Roman"/>
                <w:bCs/>
                <w:color w:val="000000" w:themeColor="text1"/>
                <w:kern w:val="2"/>
                <w:sz w:val="24"/>
                <w:szCs w:val="24"/>
                <w:highlight w:val="none"/>
                <w:vertAlign w:val="baseline"/>
                <w:lang w:val="en-US" w:eastAsia="zh-CN" w:bidi="ar-SA"/>
                <w14:textFill>
                  <w14:solidFill>
                    <w14:schemeClr w14:val="tx1"/>
                  </w14:solidFill>
                </w14:textFill>
              </w:rPr>
              <w:t>:</w:t>
            </w:r>
            <w:r>
              <w:rPr>
                <w:rFonts w:hint="default" w:ascii="Times New Roman" w:hAnsi="Times New Roman" w:eastAsia="宋体" w:cs="Times New Roman"/>
                <w:bCs/>
                <w:color w:val="000000" w:themeColor="text1"/>
                <w:kern w:val="2"/>
                <w:sz w:val="24"/>
                <w:szCs w:val="24"/>
                <w:highlight w:val="none"/>
                <w:lang w:val="en-US" w:eastAsia="zh-CN" w:bidi="ar-SA"/>
                <w14:textFill>
                  <w14:solidFill>
                    <w14:schemeClr w14:val="tx1"/>
                  </w14:solidFill>
                </w14:textFill>
              </w:rPr>
              <w:t>200mg/</w:t>
            </w:r>
            <w:r>
              <w:rPr>
                <w:rFonts w:hint="default" w:ascii="Times New Roman" w:hAnsi="Times New Roman" w:eastAsia="宋体" w:cs="Times New Roman"/>
                <w:color w:val="000000" w:themeColor="text1"/>
                <w:sz w:val="21"/>
                <w:szCs w:val="21"/>
                <w:highlight w:val="none"/>
                <w14:textFill>
                  <w14:solidFill>
                    <w14:schemeClr w14:val="tx1"/>
                  </w14:solidFill>
                </w14:textFill>
              </w:rPr>
              <w:t>L</w:t>
            </w:r>
            <w:r>
              <w:rPr>
                <w:rFonts w:hint="default" w:ascii="Times New Roman" w:hAnsi="Times New Roman" w:eastAsia="宋体" w:cs="Times New Roman"/>
                <w:bCs/>
                <w:color w:val="000000" w:themeColor="text1"/>
                <w:kern w:val="2"/>
                <w:sz w:val="24"/>
                <w:szCs w:val="24"/>
                <w:highlight w:val="none"/>
                <w:lang w:val="en-US" w:eastAsia="zh-CN" w:bidi="ar-SA"/>
                <w14:textFill>
                  <w14:solidFill>
                    <w14:schemeClr w14:val="tx1"/>
                  </w14:solidFill>
                </w14:textFill>
              </w:rPr>
              <w:t>、SS：220mg/</w:t>
            </w:r>
            <w:r>
              <w:rPr>
                <w:rFonts w:hint="default" w:ascii="Times New Roman" w:hAnsi="Times New Roman" w:eastAsia="宋体" w:cs="Times New Roman"/>
                <w:color w:val="000000" w:themeColor="text1"/>
                <w:sz w:val="21"/>
                <w:szCs w:val="21"/>
                <w:highlight w:val="none"/>
                <w14:textFill>
                  <w14:solidFill>
                    <w14:schemeClr w14:val="tx1"/>
                  </w14:solidFill>
                </w14:textFill>
              </w:rPr>
              <w:t>L</w:t>
            </w:r>
            <w:r>
              <w:rPr>
                <w:rFonts w:hint="default" w:ascii="Times New Roman" w:hAnsi="Times New Roman" w:eastAsia="宋体" w:cs="Times New Roman"/>
                <w:bCs/>
                <w:color w:val="000000" w:themeColor="text1"/>
                <w:kern w:val="2"/>
                <w:sz w:val="24"/>
                <w:szCs w:val="24"/>
                <w:highlight w:val="none"/>
                <w:lang w:val="en-US" w:eastAsia="zh-CN" w:bidi="ar-SA"/>
                <w14:textFill>
                  <w14:solidFill>
                    <w14:schemeClr w14:val="tx1"/>
                  </w14:solidFill>
                </w14:textFill>
              </w:rPr>
              <w:t>、氨氮：35mg/</w:t>
            </w:r>
            <w:r>
              <w:rPr>
                <w:rFonts w:hint="default" w:ascii="Times New Roman" w:hAnsi="Times New Roman" w:eastAsia="宋体" w:cs="Times New Roman"/>
                <w:color w:val="000000" w:themeColor="text1"/>
                <w:sz w:val="21"/>
                <w:szCs w:val="21"/>
                <w:highlight w:val="none"/>
                <w14:textFill>
                  <w14:solidFill>
                    <w14:schemeClr w14:val="tx1"/>
                  </w14:solidFill>
                </w14:textFill>
              </w:rPr>
              <w:t>L</w:t>
            </w:r>
            <w:r>
              <w:rPr>
                <w:rFonts w:hint="default" w:ascii="Times New Roman" w:hAnsi="Times New Roman" w:eastAsia="宋体" w:cs="Times New Roman"/>
                <w:bCs/>
                <w:color w:val="000000" w:themeColor="text1"/>
                <w:kern w:val="2"/>
                <w:sz w:val="24"/>
                <w:szCs w:val="24"/>
                <w:highlight w:val="none"/>
                <w:lang w:val="en-US" w:eastAsia="zh-CN" w:bidi="ar-SA"/>
                <w14:textFill>
                  <w14:solidFill>
                    <w14:schemeClr w14:val="tx1"/>
                  </w14:solidFill>
                </w14:textFill>
              </w:rPr>
              <w:t>、pH：6.5~7.5。</w:t>
            </w:r>
          </w:p>
          <w:p w14:paraId="6E264342">
            <w:pPr>
              <w:pStyle w:val="104"/>
              <w:spacing w:line="240" w:lineRule="auto"/>
              <w:contextualSpacing/>
              <w:rPr>
                <w:rFonts w:hint="default" w:ascii="Times New Roman" w:hAnsi="Times New Roman" w:eastAsia="宋体" w:cs="Times New Roman"/>
                <w:b/>
                <w:color w:val="000000" w:themeColor="text1"/>
                <w:sz w:val="24"/>
                <w:szCs w:val="24"/>
                <w:highlight w:val="none"/>
                <w14:textFill>
                  <w14:solidFill>
                    <w14:schemeClr w14:val="tx1"/>
                  </w14:solidFill>
                </w14:textFill>
              </w:rPr>
            </w:pPr>
            <w:r>
              <w:rPr>
                <w:rFonts w:hint="default" w:ascii="Times New Roman" w:hAnsi="Times New Roman" w:eastAsia="宋体" w:cs="Times New Roman"/>
                <w:b/>
                <w:color w:val="000000" w:themeColor="text1"/>
                <w:sz w:val="24"/>
                <w:szCs w:val="24"/>
                <w:highlight w:val="none"/>
                <w14:textFill>
                  <w14:solidFill>
                    <w14:schemeClr w14:val="tx1"/>
                  </w14:solidFill>
                </w14:textFill>
              </w:rPr>
              <w:t>表4-</w:t>
            </w:r>
            <w:r>
              <w:rPr>
                <w:rFonts w:hint="eastAsia" w:ascii="Times New Roman" w:hAnsi="Times New Roman" w:eastAsia="宋体" w:cs="Times New Roman"/>
                <w:b/>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b/>
                <w:color w:val="000000" w:themeColor="text1"/>
                <w:sz w:val="24"/>
                <w:szCs w:val="24"/>
                <w:highlight w:val="none"/>
                <w14:textFill>
                  <w14:solidFill>
                    <w14:schemeClr w14:val="tx1"/>
                  </w14:solidFill>
                </w14:textFill>
              </w:rPr>
              <w:t>废水污染源源强核算结果及相关参数一览表</w:t>
            </w:r>
          </w:p>
          <w:tbl>
            <w:tblPr>
              <w:tblStyle w:val="29"/>
              <w:tblW w:w="889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04"/>
              <w:gridCol w:w="467"/>
              <w:gridCol w:w="842"/>
              <w:gridCol w:w="682"/>
              <w:gridCol w:w="916"/>
              <w:gridCol w:w="839"/>
              <w:gridCol w:w="475"/>
              <w:gridCol w:w="397"/>
              <w:gridCol w:w="452"/>
              <w:gridCol w:w="729"/>
              <w:gridCol w:w="772"/>
              <w:gridCol w:w="958"/>
              <w:gridCol w:w="863"/>
            </w:tblGrid>
            <w:tr w14:paraId="787B70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283" w:type="pct"/>
                  <w:vMerge w:val="restart"/>
                  <w:noWrap w:val="0"/>
                  <w:vAlign w:val="center"/>
                </w:tcPr>
                <w:p w14:paraId="07FEFF7E">
                  <w:pPr>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产污环节</w:t>
                  </w:r>
                </w:p>
              </w:tc>
              <w:tc>
                <w:tcPr>
                  <w:tcW w:w="262" w:type="pct"/>
                  <w:vMerge w:val="restart"/>
                  <w:noWrap w:val="0"/>
                  <w:vAlign w:val="center"/>
                </w:tcPr>
                <w:p w14:paraId="2C03FCE3">
                  <w:pPr>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类别</w:t>
                  </w:r>
                </w:p>
              </w:tc>
              <w:tc>
                <w:tcPr>
                  <w:tcW w:w="473" w:type="pct"/>
                  <w:vMerge w:val="restart"/>
                  <w:noWrap w:val="0"/>
                  <w:vAlign w:val="center"/>
                </w:tcPr>
                <w:p w14:paraId="7428AF9A">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污染物</w:t>
                  </w:r>
                </w:p>
              </w:tc>
              <w:tc>
                <w:tcPr>
                  <w:tcW w:w="1369" w:type="pct"/>
                  <w:gridSpan w:val="3"/>
                  <w:noWrap w:val="0"/>
                  <w:vAlign w:val="center"/>
                </w:tcPr>
                <w:p w14:paraId="048AC4CB">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污染物产生情况</w:t>
                  </w:r>
                </w:p>
              </w:tc>
              <w:tc>
                <w:tcPr>
                  <w:tcW w:w="1153" w:type="pct"/>
                  <w:gridSpan w:val="4"/>
                  <w:noWrap w:val="0"/>
                  <w:vAlign w:val="center"/>
                </w:tcPr>
                <w:p w14:paraId="57A68540">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治理措施</w:t>
                  </w:r>
                </w:p>
              </w:tc>
              <w:tc>
                <w:tcPr>
                  <w:tcW w:w="1457" w:type="pct"/>
                  <w:gridSpan w:val="3"/>
                  <w:noWrap w:val="0"/>
                  <w:vAlign w:val="center"/>
                </w:tcPr>
                <w:p w14:paraId="112E97C3">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污染物排放情况</w:t>
                  </w:r>
                </w:p>
              </w:tc>
            </w:tr>
            <w:tr w14:paraId="07C9D9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11" w:hRule="atLeast"/>
                <w:jc w:val="center"/>
              </w:trPr>
              <w:tc>
                <w:tcPr>
                  <w:tcW w:w="283" w:type="pct"/>
                  <w:vMerge w:val="continue"/>
                  <w:noWrap w:val="0"/>
                  <w:vAlign w:val="center"/>
                </w:tcPr>
                <w:p w14:paraId="6A02FBF7">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262" w:type="pct"/>
                  <w:vMerge w:val="continue"/>
                  <w:noWrap w:val="0"/>
                  <w:vAlign w:val="center"/>
                </w:tcPr>
                <w:p w14:paraId="2A83D4B2">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473" w:type="pct"/>
                  <w:vMerge w:val="continue"/>
                  <w:noWrap w:val="0"/>
                  <w:vAlign w:val="center"/>
                </w:tcPr>
                <w:p w14:paraId="14FA7BD4">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383" w:type="pct"/>
                  <w:noWrap w:val="0"/>
                  <w:vAlign w:val="center"/>
                </w:tcPr>
                <w:p w14:paraId="42909B4A">
                  <w:pPr>
                    <w:pStyle w:val="104"/>
                    <w:spacing w:line="240" w:lineRule="auto"/>
                    <w:contextualSpacing/>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废水</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产生</w:t>
                  </w:r>
                  <w:r>
                    <w:rPr>
                      <w:rFonts w:hint="default" w:ascii="Times New Roman" w:hAnsi="Times New Roman" w:eastAsia="宋体" w:cs="Times New Roman"/>
                      <w:color w:val="000000" w:themeColor="text1"/>
                      <w:sz w:val="21"/>
                      <w:szCs w:val="21"/>
                      <w:highlight w:val="none"/>
                      <w14:textFill>
                        <w14:solidFill>
                          <w14:schemeClr w14:val="tx1"/>
                        </w14:solidFill>
                      </w14:textFill>
                    </w:rPr>
                    <w:t>量t/a</w:t>
                  </w:r>
                </w:p>
              </w:tc>
              <w:tc>
                <w:tcPr>
                  <w:tcW w:w="514" w:type="pct"/>
                  <w:noWrap w:val="0"/>
                  <w:vAlign w:val="center"/>
                </w:tcPr>
                <w:p w14:paraId="71646F0E">
                  <w:pPr>
                    <w:pStyle w:val="104"/>
                    <w:spacing w:line="240" w:lineRule="auto"/>
                    <w:contextualSpacing/>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产生浓度mg/L</w:t>
                  </w:r>
                </w:p>
              </w:tc>
              <w:tc>
                <w:tcPr>
                  <w:tcW w:w="471" w:type="pct"/>
                  <w:noWrap w:val="0"/>
                  <w:vAlign w:val="center"/>
                </w:tcPr>
                <w:p w14:paraId="2FDE5317">
                  <w:pPr>
                    <w:pStyle w:val="104"/>
                    <w:spacing w:line="240" w:lineRule="auto"/>
                    <w:contextualSpacing/>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产生量</w:t>
                  </w:r>
                </w:p>
                <w:p w14:paraId="5063AE96">
                  <w:pPr>
                    <w:pStyle w:val="104"/>
                    <w:spacing w:line="240" w:lineRule="auto"/>
                    <w:contextualSpacing/>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t/a</w:t>
                  </w:r>
                </w:p>
              </w:tc>
              <w:tc>
                <w:tcPr>
                  <w:tcW w:w="266" w:type="pct"/>
                  <w:noWrap w:val="0"/>
                  <w:vAlign w:val="center"/>
                </w:tcPr>
                <w:p w14:paraId="30FC95C9">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处理能力</w:t>
                  </w:r>
                </w:p>
              </w:tc>
              <w:tc>
                <w:tcPr>
                  <w:tcW w:w="223" w:type="pct"/>
                  <w:noWrap w:val="0"/>
                  <w:vAlign w:val="center"/>
                </w:tcPr>
                <w:p w14:paraId="4B7ED596">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处理工艺</w:t>
                  </w:r>
                </w:p>
              </w:tc>
              <w:tc>
                <w:tcPr>
                  <w:tcW w:w="254" w:type="pct"/>
                  <w:noWrap w:val="0"/>
                  <w:vAlign w:val="center"/>
                </w:tcPr>
                <w:p w14:paraId="21580D86">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治理效率</w:t>
                  </w:r>
                </w:p>
              </w:tc>
              <w:tc>
                <w:tcPr>
                  <w:tcW w:w="409" w:type="pct"/>
                  <w:noWrap w:val="0"/>
                  <w:vAlign w:val="center"/>
                </w:tcPr>
                <w:p w14:paraId="5894DAD7">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是否为可行技术</w:t>
                  </w:r>
                </w:p>
              </w:tc>
              <w:tc>
                <w:tcPr>
                  <w:tcW w:w="433" w:type="pct"/>
                  <w:noWrap w:val="0"/>
                  <w:vAlign w:val="center"/>
                </w:tcPr>
                <w:p w14:paraId="62EF0F2C">
                  <w:pPr>
                    <w:pStyle w:val="104"/>
                    <w:spacing w:line="240" w:lineRule="auto"/>
                    <w:contextualSpacing/>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废水排放量t/a</w:t>
                  </w:r>
                </w:p>
              </w:tc>
              <w:tc>
                <w:tcPr>
                  <w:tcW w:w="538" w:type="pct"/>
                  <w:noWrap w:val="0"/>
                  <w:vAlign w:val="center"/>
                </w:tcPr>
                <w:p w14:paraId="53A823C2">
                  <w:pPr>
                    <w:pStyle w:val="104"/>
                    <w:spacing w:line="240" w:lineRule="auto"/>
                    <w:contextualSpacing/>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排放浓度mg/L</w:t>
                  </w:r>
                </w:p>
              </w:tc>
              <w:tc>
                <w:tcPr>
                  <w:tcW w:w="485" w:type="pct"/>
                  <w:noWrap w:val="0"/>
                  <w:vAlign w:val="center"/>
                </w:tcPr>
                <w:p w14:paraId="0E401C20">
                  <w:pPr>
                    <w:pStyle w:val="104"/>
                    <w:spacing w:line="240" w:lineRule="auto"/>
                    <w:contextualSpacing/>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排放量</w:t>
                  </w:r>
                </w:p>
                <w:p w14:paraId="601EB69F">
                  <w:pPr>
                    <w:pStyle w:val="104"/>
                    <w:spacing w:line="240" w:lineRule="auto"/>
                    <w:contextualSpacing/>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t/a</w:t>
                  </w:r>
                </w:p>
              </w:tc>
            </w:tr>
            <w:tr w14:paraId="52DBE3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283" w:type="pct"/>
                  <w:vMerge w:val="restart"/>
                  <w:noWrap w:val="0"/>
                  <w:vAlign w:val="center"/>
                </w:tcPr>
                <w:p w14:paraId="5AD4D0F7">
                  <w:pPr>
                    <w:autoSpaceDE w:val="0"/>
                    <w:autoSpaceDN w:val="0"/>
                    <w:contextualSpacing/>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员工</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生活</w:t>
                  </w:r>
                </w:p>
              </w:tc>
              <w:tc>
                <w:tcPr>
                  <w:tcW w:w="262" w:type="pct"/>
                  <w:vMerge w:val="restart"/>
                  <w:noWrap w:val="0"/>
                  <w:vAlign w:val="center"/>
                </w:tcPr>
                <w:p w14:paraId="60B3B642">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生活污水</w:t>
                  </w:r>
                </w:p>
              </w:tc>
              <w:tc>
                <w:tcPr>
                  <w:tcW w:w="473" w:type="pct"/>
                  <w:noWrap w:val="0"/>
                  <w:vAlign w:val="center"/>
                </w:tcPr>
                <w:p w14:paraId="54891F41">
                  <w:pPr>
                    <w:pStyle w:val="105"/>
                    <w:adjustRightInd/>
                    <w:snapToGrid/>
                    <w:spacing w:line="240" w:lineRule="auto"/>
                    <w:ind w:firstLine="0" w:firstLineChars="0"/>
                    <w:contextualSpacing/>
                    <w:jc w:val="center"/>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pH</w:t>
                  </w:r>
                </w:p>
              </w:tc>
              <w:tc>
                <w:tcPr>
                  <w:tcW w:w="383" w:type="pct"/>
                  <w:vMerge w:val="restart"/>
                  <w:noWrap w:val="0"/>
                  <w:vAlign w:val="center"/>
                </w:tcPr>
                <w:p w14:paraId="4132E9FA">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eastAsia" w:eastAsia="宋体" w:cs="Times New Roman"/>
                      <w:color w:val="000000" w:themeColor="text1"/>
                      <w:szCs w:val="21"/>
                      <w:highlight w:val="none"/>
                      <w:lang w:val="en-US" w:eastAsia="zh-CN"/>
                      <w14:textFill>
                        <w14:solidFill>
                          <w14:schemeClr w14:val="tx1"/>
                        </w14:solidFill>
                      </w14:textFill>
                    </w:rPr>
                    <w:t>130.56</w:t>
                  </w:r>
                </w:p>
              </w:tc>
              <w:tc>
                <w:tcPr>
                  <w:tcW w:w="514" w:type="pct"/>
                  <w:noWrap w:val="0"/>
                  <w:vAlign w:val="center"/>
                </w:tcPr>
                <w:p w14:paraId="3EE1DF6C">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6.5-7.5</w:t>
                  </w:r>
                </w:p>
              </w:tc>
              <w:tc>
                <w:tcPr>
                  <w:tcW w:w="471" w:type="pct"/>
                  <w:noWrap w:val="0"/>
                  <w:vAlign w:val="center"/>
                </w:tcPr>
                <w:p w14:paraId="63AF032D">
                  <w:pPr>
                    <w:pStyle w:val="104"/>
                    <w:spacing w:line="240" w:lineRule="auto"/>
                    <w:contextualSpacing/>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266" w:type="pct"/>
                  <w:vMerge w:val="restart"/>
                  <w:noWrap w:val="0"/>
                  <w:vAlign w:val="center"/>
                </w:tcPr>
                <w:p w14:paraId="5746486B">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w:t>
                  </w:r>
                </w:p>
              </w:tc>
              <w:tc>
                <w:tcPr>
                  <w:tcW w:w="223" w:type="pct"/>
                  <w:vMerge w:val="restart"/>
                  <w:noWrap w:val="0"/>
                  <w:vAlign w:val="center"/>
                </w:tcPr>
                <w:p w14:paraId="5751EF85">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w:t>
                  </w:r>
                </w:p>
              </w:tc>
              <w:tc>
                <w:tcPr>
                  <w:tcW w:w="254" w:type="pct"/>
                  <w:vMerge w:val="restart"/>
                  <w:noWrap w:val="0"/>
                  <w:vAlign w:val="center"/>
                </w:tcPr>
                <w:p w14:paraId="53B6F651">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w:t>
                  </w:r>
                </w:p>
              </w:tc>
              <w:tc>
                <w:tcPr>
                  <w:tcW w:w="409" w:type="pct"/>
                  <w:vMerge w:val="restart"/>
                  <w:noWrap w:val="0"/>
                  <w:vAlign w:val="center"/>
                </w:tcPr>
                <w:p w14:paraId="27D9CC5D">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w:t>
                  </w:r>
                </w:p>
              </w:tc>
              <w:tc>
                <w:tcPr>
                  <w:tcW w:w="433" w:type="pct"/>
                  <w:vMerge w:val="restart"/>
                  <w:noWrap w:val="0"/>
                  <w:vAlign w:val="center"/>
                </w:tcPr>
                <w:p w14:paraId="13333AFA">
                  <w:pPr>
                    <w:autoSpaceDE w:val="0"/>
                    <w:autoSpaceDN w:val="0"/>
                    <w:contextualSpacing/>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eastAsia="宋体" w:cs="Times New Roman"/>
                      <w:color w:val="000000" w:themeColor="text1"/>
                      <w:szCs w:val="21"/>
                      <w:highlight w:val="none"/>
                      <w:lang w:val="en-US" w:eastAsia="zh-CN"/>
                      <w14:textFill>
                        <w14:solidFill>
                          <w14:schemeClr w14:val="tx1"/>
                        </w14:solidFill>
                      </w14:textFill>
                    </w:rPr>
                    <w:t>130.56</w:t>
                  </w:r>
                </w:p>
              </w:tc>
              <w:tc>
                <w:tcPr>
                  <w:tcW w:w="538" w:type="pct"/>
                  <w:noWrap w:val="0"/>
                  <w:vAlign w:val="center"/>
                </w:tcPr>
                <w:p w14:paraId="1956070A">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6.5-7.5</w:t>
                  </w:r>
                </w:p>
              </w:tc>
              <w:tc>
                <w:tcPr>
                  <w:tcW w:w="485" w:type="pct"/>
                  <w:noWrap w:val="0"/>
                  <w:vAlign w:val="center"/>
                </w:tcPr>
                <w:p w14:paraId="0266BB50">
                  <w:pPr>
                    <w:pStyle w:val="104"/>
                    <w:spacing w:line="240" w:lineRule="auto"/>
                    <w:contextualSpacing/>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r>
            <w:tr w14:paraId="589FD7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283" w:type="pct"/>
                  <w:vMerge w:val="continue"/>
                  <w:noWrap w:val="0"/>
                  <w:vAlign w:val="center"/>
                </w:tcPr>
                <w:p w14:paraId="08CFDD05">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262" w:type="pct"/>
                  <w:vMerge w:val="continue"/>
                  <w:noWrap w:val="0"/>
                  <w:vAlign w:val="center"/>
                </w:tcPr>
                <w:p w14:paraId="701AE6B9">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473" w:type="pct"/>
                  <w:noWrap w:val="0"/>
                  <w:vAlign w:val="center"/>
                </w:tcPr>
                <w:p w14:paraId="68042513">
                  <w:pPr>
                    <w:pStyle w:val="105"/>
                    <w:adjustRightInd/>
                    <w:snapToGrid/>
                    <w:spacing w:line="240" w:lineRule="auto"/>
                    <w:ind w:firstLine="0" w:firstLineChars="0"/>
                    <w:contextualSpacing/>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COD</w:t>
                  </w:r>
                </w:p>
              </w:tc>
              <w:tc>
                <w:tcPr>
                  <w:tcW w:w="383" w:type="pct"/>
                  <w:vMerge w:val="continue"/>
                  <w:noWrap w:val="0"/>
                  <w:vAlign w:val="center"/>
                </w:tcPr>
                <w:p w14:paraId="1818D918">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514" w:type="pct"/>
                  <w:noWrap w:val="0"/>
                  <w:vAlign w:val="center"/>
                </w:tcPr>
                <w:p w14:paraId="1798D295">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350</w:t>
                  </w:r>
                </w:p>
              </w:tc>
              <w:tc>
                <w:tcPr>
                  <w:tcW w:w="471" w:type="pct"/>
                  <w:noWrap w:val="0"/>
                  <w:vAlign w:val="center"/>
                </w:tcPr>
                <w:p w14:paraId="7794972F">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0.0457 </w:t>
                  </w:r>
                </w:p>
              </w:tc>
              <w:tc>
                <w:tcPr>
                  <w:tcW w:w="266" w:type="pct"/>
                  <w:vMerge w:val="continue"/>
                  <w:noWrap w:val="0"/>
                  <w:vAlign w:val="center"/>
                </w:tcPr>
                <w:p w14:paraId="0686A2E0">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223" w:type="pct"/>
                  <w:vMerge w:val="continue"/>
                  <w:noWrap w:val="0"/>
                  <w:vAlign w:val="center"/>
                </w:tcPr>
                <w:p w14:paraId="1D8A462C">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254" w:type="pct"/>
                  <w:vMerge w:val="continue"/>
                  <w:noWrap w:val="0"/>
                  <w:vAlign w:val="center"/>
                </w:tcPr>
                <w:p w14:paraId="3CD64270">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409" w:type="pct"/>
                  <w:vMerge w:val="continue"/>
                  <w:noWrap w:val="0"/>
                  <w:vAlign w:val="center"/>
                </w:tcPr>
                <w:p w14:paraId="486CC88A">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433" w:type="pct"/>
                  <w:vMerge w:val="continue"/>
                  <w:noWrap w:val="0"/>
                  <w:vAlign w:val="center"/>
                </w:tcPr>
                <w:p w14:paraId="4E622CAE">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538" w:type="pct"/>
                  <w:noWrap w:val="0"/>
                  <w:vAlign w:val="center"/>
                </w:tcPr>
                <w:p w14:paraId="1B8C31CD">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350</w:t>
                  </w:r>
                </w:p>
              </w:tc>
              <w:tc>
                <w:tcPr>
                  <w:tcW w:w="485" w:type="pct"/>
                  <w:noWrap w:val="0"/>
                  <w:vAlign w:val="center"/>
                </w:tcPr>
                <w:p w14:paraId="320B1606">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0.0457 </w:t>
                  </w:r>
                </w:p>
              </w:tc>
            </w:tr>
            <w:tr w14:paraId="058B51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283" w:type="pct"/>
                  <w:vMerge w:val="continue"/>
                  <w:noWrap w:val="0"/>
                  <w:vAlign w:val="center"/>
                </w:tcPr>
                <w:p w14:paraId="1DAA322F">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262" w:type="pct"/>
                  <w:vMerge w:val="continue"/>
                  <w:noWrap w:val="0"/>
                  <w:vAlign w:val="center"/>
                </w:tcPr>
                <w:p w14:paraId="244E7215">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473" w:type="pct"/>
                  <w:noWrap w:val="0"/>
                  <w:vAlign w:val="center"/>
                </w:tcPr>
                <w:p w14:paraId="2E816927">
                  <w:pPr>
                    <w:pStyle w:val="105"/>
                    <w:adjustRightInd/>
                    <w:snapToGrid/>
                    <w:spacing w:line="240" w:lineRule="auto"/>
                    <w:ind w:firstLine="0" w:firstLineChars="0"/>
                    <w:contextualSpacing/>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BOD</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5</w:t>
                  </w:r>
                </w:p>
              </w:tc>
              <w:tc>
                <w:tcPr>
                  <w:tcW w:w="383" w:type="pct"/>
                  <w:vMerge w:val="continue"/>
                  <w:noWrap w:val="0"/>
                  <w:vAlign w:val="center"/>
                </w:tcPr>
                <w:p w14:paraId="2E535BDD">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514" w:type="pct"/>
                  <w:noWrap w:val="0"/>
                  <w:vAlign w:val="center"/>
                </w:tcPr>
                <w:p w14:paraId="0942C154">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200</w:t>
                  </w:r>
                </w:p>
              </w:tc>
              <w:tc>
                <w:tcPr>
                  <w:tcW w:w="471" w:type="pct"/>
                  <w:noWrap w:val="0"/>
                  <w:vAlign w:val="center"/>
                </w:tcPr>
                <w:p w14:paraId="783C294C">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0.0261 </w:t>
                  </w:r>
                </w:p>
              </w:tc>
              <w:tc>
                <w:tcPr>
                  <w:tcW w:w="266" w:type="pct"/>
                  <w:vMerge w:val="continue"/>
                  <w:noWrap w:val="0"/>
                  <w:vAlign w:val="center"/>
                </w:tcPr>
                <w:p w14:paraId="11D2FE38">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223" w:type="pct"/>
                  <w:vMerge w:val="continue"/>
                  <w:noWrap w:val="0"/>
                  <w:vAlign w:val="center"/>
                </w:tcPr>
                <w:p w14:paraId="10D4F47C">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254" w:type="pct"/>
                  <w:vMerge w:val="continue"/>
                  <w:noWrap w:val="0"/>
                  <w:vAlign w:val="center"/>
                </w:tcPr>
                <w:p w14:paraId="33BA4ED2">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409" w:type="pct"/>
                  <w:vMerge w:val="continue"/>
                  <w:noWrap w:val="0"/>
                  <w:vAlign w:val="center"/>
                </w:tcPr>
                <w:p w14:paraId="5FCBE04F">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433" w:type="pct"/>
                  <w:vMerge w:val="continue"/>
                  <w:noWrap w:val="0"/>
                  <w:vAlign w:val="center"/>
                </w:tcPr>
                <w:p w14:paraId="623FD84E">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538" w:type="pct"/>
                  <w:noWrap w:val="0"/>
                  <w:vAlign w:val="center"/>
                </w:tcPr>
                <w:p w14:paraId="0E609CC6">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200</w:t>
                  </w:r>
                </w:p>
              </w:tc>
              <w:tc>
                <w:tcPr>
                  <w:tcW w:w="485" w:type="pct"/>
                  <w:noWrap w:val="0"/>
                  <w:vAlign w:val="center"/>
                </w:tcPr>
                <w:p w14:paraId="3BEBEFD9">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0.0261 </w:t>
                  </w:r>
                </w:p>
              </w:tc>
            </w:tr>
            <w:tr w14:paraId="04CD37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283" w:type="pct"/>
                  <w:vMerge w:val="continue"/>
                  <w:noWrap w:val="0"/>
                  <w:vAlign w:val="center"/>
                </w:tcPr>
                <w:p w14:paraId="415F1F22">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262" w:type="pct"/>
                  <w:vMerge w:val="continue"/>
                  <w:noWrap w:val="0"/>
                  <w:vAlign w:val="center"/>
                </w:tcPr>
                <w:p w14:paraId="23805F75">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473" w:type="pct"/>
                  <w:noWrap w:val="0"/>
                  <w:vAlign w:val="center"/>
                </w:tcPr>
                <w:p w14:paraId="5AB33AAB">
                  <w:pPr>
                    <w:pStyle w:val="105"/>
                    <w:adjustRightInd/>
                    <w:snapToGrid/>
                    <w:spacing w:line="240" w:lineRule="auto"/>
                    <w:ind w:firstLine="0" w:firstLineChars="0"/>
                    <w:contextualSpacing/>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氨氮</w:t>
                  </w:r>
                </w:p>
              </w:tc>
              <w:tc>
                <w:tcPr>
                  <w:tcW w:w="383" w:type="pct"/>
                  <w:vMerge w:val="continue"/>
                  <w:noWrap w:val="0"/>
                  <w:vAlign w:val="center"/>
                </w:tcPr>
                <w:p w14:paraId="031B1DE7">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514" w:type="pct"/>
                  <w:noWrap w:val="0"/>
                  <w:vAlign w:val="center"/>
                </w:tcPr>
                <w:p w14:paraId="5C5C297B">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35</w:t>
                  </w:r>
                </w:p>
              </w:tc>
              <w:tc>
                <w:tcPr>
                  <w:tcW w:w="471" w:type="pct"/>
                  <w:noWrap w:val="0"/>
                  <w:vAlign w:val="center"/>
                </w:tcPr>
                <w:p w14:paraId="034FCC70">
                  <w:pPr>
                    <w:keepNext w:val="0"/>
                    <w:keepLines w:val="0"/>
                    <w:widowControl/>
                    <w:suppressLineNumbers w:val="0"/>
                    <w:jc w:val="center"/>
                    <w:textAlignment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0.0046 </w:t>
                  </w:r>
                </w:p>
              </w:tc>
              <w:tc>
                <w:tcPr>
                  <w:tcW w:w="266" w:type="pct"/>
                  <w:vMerge w:val="continue"/>
                  <w:noWrap w:val="0"/>
                  <w:vAlign w:val="center"/>
                </w:tcPr>
                <w:p w14:paraId="1A3690EA">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223" w:type="pct"/>
                  <w:vMerge w:val="continue"/>
                  <w:noWrap w:val="0"/>
                  <w:vAlign w:val="center"/>
                </w:tcPr>
                <w:p w14:paraId="368CAB33">
                  <w:pPr>
                    <w:pStyle w:val="105"/>
                    <w:adjustRightInd/>
                    <w:snapToGrid/>
                    <w:spacing w:line="240" w:lineRule="auto"/>
                    <w:ind w:firstLine="0" w:firstLineChars="0"/>
                    <w:contextualSpacing/>
                    <w:jc w:val="center"/>
                    <w:rPr>
                      <w:rFonts w:hint="default" w:ascii="Times New Roman" w:hAnsi="Times New Roman" w:eastAsia="宋体" w:cs="Times New Roman"/>
                      <w:bCs/>
                      <w:color w:val="000000" w:themeColor="text1"/>
                      <w:sz w:val="21"/>
                      <w:szCs w:val="21"/>
                      <w:highlight w:val="none"/>
                      <w14:textFill>
                        <w14:solidFill>
                          <w14:schemeClr w14:val="tx1"/>
                        </w14:solidFill>
                      </w14:textFill>
                    </w:rPr>
                  </w:pPr>
                </w:p>
              </w:tc>
              <w:tc>
                <w:tcPr>
                  <w:tcW w:w="254" w:type="pct"/>
                  <w:vMerge w:val="continue"/>
                  <w:noWrap w:val="0"/>
                  <w:vAlign w:val="center"/>
                </w:tcPr>
                <w:p w14:paraId="0E2062E4">
                  <w:pPr>
                    <w:pStyle w:val="105"/>
                    <w:adjustRightInd/>
                    <w:snapToGrid/>
                    <w:spacing w:line="240" w:lineRule="auto"/>
                    <w:ind w:firstLine="0" w:firstLineChars="0"/>
                    <w:contextualSpacing/>
                    <w:jc w:val="center"/>
                    <w:rPr>
                      <w:rFonts w:hint="default" w:ascii="Times New Roman" w:hAnsi="Times New Roman" w:eastAsia="宋体" w:cs="Times New Roman"/>
                      <w:bCs/>
                      <w:color w:val="000000" w:themeColor="text1"/>
                      <w:sz w:val="21"/>
                      <w:szCs w:val="21"/>
                      <w:highlight w:val="none"/>
                      <w14:textFill>
                        <w14:solidFill>
                          <w14:schemeClr w14:val="tx1"/>
                        </w14:solidFill>
                      </w14:textFill>
                    </w:rPr>
                  </w:pPr>
                </w:p>
              </w:tc>
              <w:tc>
                <w:tcPr>
                  <w:tcW w:w="409" w:type="pct"/>
                  <w:vMerge w:val="continue"/>
                  <w:noWrap w:val="0"/>
                  <w:vAlign w:val="center"/>
                </w:tcPr>
                <w:p w14:paraId="509DA5DC">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433" w:type="pct"/>
                  <w:vMerge w:val="continue"/>
                  <w:noWrap w:val="0"/>
                  <w:vAlign w:val="center"/>
                </w:tcPr>
                <w:p w14:paraId="4311A2E8">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538" w:type="pct"/>
                  <w:noWrap w:val="0"/>
                  <w:vAlign w:val="center"/>
                </w:tcPr>
                <w:p w14:paraId="72059986">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35</w:t>
                  </w:r>
                </w:p>
              </w:tc>
              <w:tc>
                <w:tcPr>
                  <w:tcW w:w="485" w:type="pct"/>
                  <w:noWrap w:val="0"/>
                  <w:vAlign w:val="center"/>
                </w:tcPr>
                <w:p w14:paraId="7D291AB1">
                  <w:pPr>
                    <w:keepNext w:val="0"/>
                    <w:keepLines w:val="0"/>
                    <w:widowControl/>
                    <w:suppressLineNumbers w:val="0"/>
                    <w:jc w:val="center"/>
                    <w:textAlignment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0.0046 </w:t>
                  </w:r>
                </w:p>
              </w:tc>
            </w:tr>
            <w:tr w14:paraId="28D00E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283" w:type="pct"/>
                  <w:vMerge w:val="continue"/>
                  <w:noWrap w:val="0"/>
                  <w:vAlign w:val="center"/>
                </w:tcPr>
                <w:p w14:paraId="3005B293">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262" w:type="pct"/>
                  <w:vMerge w:val="continue"/>
                  <w:noWrap w:val="0"/>
                  <w:vAlign w:val="center"/>
                </w:tcPr>
                <w:p w14:paraId="34493A33">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473" w:type="pct"/>
                  <w:noWrap w:val="0"/>
                  <w:vAlign w:val="center"/>
                </w:tcPr>
                <w:p w14:paraId="5CDE1299">
                  <w:pPr>
                    <w:pStyle w:val="105"/>
                    <w:adjustRightInd/>
                    <w:snapToGrid/>
                    <w:spacing w:line="240" w:lineRule="auto"/>
                    <w:ind w:firstLine="0" w:firstLineChars="0"/>
                    <w:contextualSpacing/>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SS</w:t>
                  </w:r>
                </w:p>
              </w:tc>
              <w:tc>
                <w:tcPr>
                  <w:tcW w:w="383" w:type="pct"/>
                  <w:vMerge w:val="continue"/>
                  <w:noWrap w:val="0"/>
                  <w:vAlign w:val="center"/>
                </w:tcPr>
                <w:p w14:paraId="4DCFB7D6">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514" w:type="pct"/>
                  <w:noWrap w:val="0"/>
                  <w:vAlign w:val="center"/>
                </w:tcPr>
                <w:p w14:paraId="2385E655">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220</w:t>
                  </w:r>
                </w:p>
              </w:tc>
              <w:tc>
                <w:tcPr>
                  <w:tcW w:w="471" w:type="pct"/>
                  <w:noWrap w:val="0"/>
                  <w:vAlign w:val="center"/>
                </w:tcPr>
                <w:p w14:paraId="15FCD68B">
                  <w:pPr>
                    <w:keepNext w:val="0"/>
                    <w:keepLines w:val="0"/>
                    <w:widowControl/>
                    <w:suppressLineNumbers w:val="0"/>
                    <w:jc w:val="center"/>
                    <w:textAlignment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0.0287 </w:t>
                  </w:r>
                </w:p>
              </w:tc>
              <w:tc>
                <w:tcPr>
                  <w:tcW w:w="266" w:type="pct"/>
                  <w:vMerge w:val="continue"/>
                  <w:noWrap w:val="0"/>
                  <w:vAlign w:val="center"/>
                </w:tcPr>
                <w:p w14:paraId="6C08DBA8">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223" w:type="pct"/>
                  <w:vMerge w:val="continue"/>
                  <w:noWrap w:val="0"/>
                  <w:vAlign w:val="center"/>
                </w:tcPr>
                <w:p w14:paraId="12AC5C66">
                  <w:pPr>
                    <w:pStyle w:val="105"/>
                    <w:adjustRightInd/>
                    <w:snapToGrid/>
                    <w:spacing w:line="240" w:lineRule="auto"/>
                    <w:ind w:firstLine="0" w:firstLineChars="0"/>
                    <w:contextualSpacing/>
                    <w:jc w:val="center"/>
                    <w:rPr>
                      <w:rFonts w:hint="default" w:ascii="Times New Roman" w:hAnsi="Times New Roman" w:eastAsia="宋体" w:cs="Times New Roman"/>
                      <w:bCs/>
                      <w:color w:val="000000" w:themeColor="text1"/>
                      <w:sz w:val="21"/>
                      <w:szCs w:val="21"/>
                      <w:highlight w:val="none"/>
                      <w14:textFill>
                        <w14:solidFill>
                          <w14:schemeClr w14:val="tx1"/>
                        </w14:solidFill>
                      </w14:textFill>
                    </w:rPr>
                  </w:pPr>
                </w:p>
              </w:tc>
              <w:tc>
                <w:tcPr>
                  <w:tcW w:w="254" w:type="pct"/>
                  <w:vMerge w:val="continue"/>
                  <w:noWrap w:val="0"/>
                  <w:vAlign w:val="center"/>
                </w:tcPr>
                <w:p w14:paraId="70CB9D14">
                  <w:pPr>
                    <w:pStyle w:val="105"/>
                    <w:adjustRightInd/>
                    <w:snapToGrid/>
                    <w:spacing w:line="240" w:lineRule="auto"/>
                    <w:ind w:firstLine="0" w:firstLineChars="0"/>
                    <w:contextualSpacing/>
                    <w:jc w:val="center"/>
                    <w:rPr>
                      <w:rFonts w:hint="default" w:ascii="Times New Roman" w:hAnsi="Times New Roman" w:eastAsia="宋体" w:cs="Times New Roman"/>
                      <w:bCs/>
                      <w:color w:val="000000" w:themeColor="text1"/>
                      <w:sz w:val="21"/>
                      <w:szCs w:val="21"/>
                      <w:highlight w:val="none"/>
                      <w14:textFill>
                        <w14:solidFill>
                          <w14:schemeClr w14:val="tx1"/>
                        </w14:solidFill>
                      </w14:textFill>
                    </w:rPr>
                  </w:pPr>
                </w:p>
              </w:tc>
              <w:tc>
                <w:tcPr>
                  <w:tcW w:w="409" w:type="pct"/>
                  <w:vMerge w:val="continue"/>
                  <w:noWrap w:val="0"/>
                  <w:vAlign w:val="center"/>
                </w:tcPr>
                <w:p w14:paraId="42139B02">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433" w:type="pct"/>
                  <w:vMerge w:val="continue"/>
                  <w:noWrap w:val="0"/>
                  <w:vAlign w:val="center"/>
                </w:tcPr>
                <w:p w14:paraId="17857602">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p>
              </w:tc>
              <w:tc>
                <w:tcPr>
                  <w:tcW w:w="538" w:type="pct"/>
                  <w:noWrap w:val="0"/>
                  <w:vAlign w:val="center"/>
                </w:tcPr>
                <w:p w14:paraId="6BF318C8">
                  <w:pPr>
                    <w:autoSpaceDE w:val="0"/>
                    <w:autoSpaceDN w:val="0"/>
                    <w:contextualSpacing/>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14:textFill>
                        <w14:solidFill>
                          <w14:schemeClr w14:val="tx1"/>
                        </w14:solidFill>
                      </w14:textFill>
                    </w:rPr>
                    <w:t>220</w:t>
                  </w:r>
                </w:p>
              </w:tc>
              <w:tc>
                <w:tcPr>
                  <w:tcW w:w="485" w:type="pct"/>
                  <w:noWrap w:val="0"/>
                  <w:vAlign w:val="center"/>
                </w:tcPr>
                <w:p w14:paraId="70B9FC7B">
                  <w:pPr>
                    <w:keepNext w:val="0"/>
                    <w:keepLines w:val="0"/>
                    <w:widowControl/>
                    <w:suppressLineNumbers w:val="0"/>
                    <w:jc w:val="center"/>
                    <w:textAlignment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 xml:space="preserve">0.0287 </w:t>
                  </w:r>
                </w:p>
              </w:tc>
            </w:tr>
          </w:tbl>
          <w:p w14:paraId="3DFDFF12">
            <w:pPr>
              <w:numPr>
                <w:ilvl w:val="0"/>
                <w:numId w:val="0"/>
              </w:numPr>
              <w:spacing w:line="360" w:lineRule="auto"/>
              <w:ind w:leftChars="200"/>
              <w:contextualSpacing/>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eastAsia" w:eastAsia="宋体" w:cs="Times New Roman"/>
                <w:b/>
                <w:bCs/>
                <w:i w:val="0"/>
                <w:iCs w:val="0"/>
                <w:color w:val="000000" w:themeColor="text1"/>
                <w:sz w:val="24"/>
                <w:highlight w:val="none"/>
                <w:lang w:val="en-US" w:eastAsia="zh-CN"/>
                <w14:textFill>
                  <w14:solidFill>
                    <w14:schemeClr w14:val="tx1"/>
                  </w14:solidFill>
                </w14:textFill>
              </w:rPr>
              <w:t>2</w:t>
            </w:r>
            <w:r>
              <w:rPr>
                <w:rFonts w:hint="default" w:ascii="Times New Roman" w:hAnsi="Times New Roman" w:eastAsia="宋体" w:cs="Times New Roman"/>
                <w:b/>
                <w:bCs/>
                <w:i w:val="0"/>
                <w:iCs w:val="0"/>
                <w:color w:val="000000" w:themeColor="text1"/>
                <w:sz w:val="24"/>
                <w:highlight w:val="none"/>
                <w:lang w:val="en-US" w:eastAsia="zh-CN"/>
                <w14:textFill>
                  <w14:solidFill>
                    <w14:schemeClr w14:val="tx1"/>
                  </w14:solidFill>
                </w14:textFill>
              </w:rPr>
              <w:t>、依托可行性</w:t>
            </w:r>
          </w:p>
          <w:p w14:paraId="0DF303D7">
            <w:pPr>
              <w:numPr>
                <w:ilvl w:val="0"/>
                <w:numId w:val="0"/>
              </w:numPr>
              <w:spacing w:line="360" w:lineRule="auto"/>
              <w:ind w:firstLine="480" w:firstLineChars="200"/>
              <w:contextualSpacing/>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根据</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《关于伊春市中心城污水处理厂二期工程环境影响报告表的批复》（伊</w:t>
            </w:r>
            <w:r>
              <w:rPr>
                <w:rFonts w:hint="default" w:ascii="Times New Roman" w:hAnsi="Times New Roman" w:eastAsia="宋体" w:cs="Times New Roman"/>
                <w:color w:val="000000" w:themeColor="text1"/>
                <w:sz w:val="24"/>
                <w:szCs w:val="24"/>
                <w:highlight w:val="none"/>
                <w14:textFill>
                  <w14:solidFill>
                    <w14:schemeClr w14:val="tx1"/>
                  </w14:solidFill>
                </w14:textFill>
              </w:rPr>
              <w:t>环</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函</w:t>
            </w:r>
            <w:r>
              <w:rPr>
                <w:rFonts w:hint="default" w:ascii="Times New Roman" w:hAnsi="Times New Roman" w:eastAsia="宋体" w:cs="Times New Roman"/>
                <w:color w:val="000000" w:themeColor="text1"/>
                <w:sz w:val="24"/>
                <w:szCs w:val="24"/>
                <w:highlight w:val="none"/>
                <w14:textFill>
                  <w14:solidFill>
                    <w14:schemeClr w14:val="tx1"/>
                  </w14:solidFill>
                </w14:textFill>
              </w:rPr>
              <w:t>[201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15</w:t>
            </w:r>
            <w:r>
              <w:rPr>
                <w:rFonts w:hint="default" w:ascii="Times New Roman" w:hAnsi="Times New Roman" w:eastAsia="宋体" w:cs="Times New Roman"/>
                <w:color w:val="000000" w:themeColor="text1"/>
                <w:sz w:val="24"/>
                <w:szCs w:val="24"/>
                <w:highlight w:val="none"/>
                <w14:textFill>
                  <w14:solidFill>
                    <w14:schemeClr w14:val="tx1"/>
                  </w14:solidFill>
                </w14:textFill>
              </w:rPr>
              <w:t>号</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，伊春市中心城污水处理厂采用改良A</w:t>
            </w:r>
            <w:r>
              <w:rPr>
                <w:rFonts w:hint="default" w:ascii="Times New Roman" w:hAnsi="Times New Roman" w:eastAsia="宋体" w:cs="Times New Roman"/>
                <w:color w:val="000000" w:themeColor="text1"/>
                <w:sz w:val="24"/>
                <w:szCs w:val="24"/>
                <w:highlight w:val="none"/>
                <w:vertAlign w:val="superscript"/>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/O处理工艺</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出水水质</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满足</w:t>
            </w:r>
            <w:r>
              <w:rPr>
                <w:rFonts w:hint="default" w:ascii="Times New Roman" w:hAnsi="Times New Roman" w:eastAsia="宋体" w:cs="Times New Roman"/>
                <w:color w:val="000000" w:themeColor="text1"/>
                <w:sz w:val="24"/>
                <w:szCs w:val="24"/>
                <w:highlight w:val="none"/>
                <w14:textFill>
                  <w14:solidFill>
                    <w14:schemeClr w14:val="tx1"/>
                  </w14:solidFill>
                </w14:textFill>
              </w:rPr>
              <w:t>《城镇污水处理厂污染物排放标准》（GB18918-2002）一级</w:t>
            </w:r>
            <w:r>
              <w:rPr>
                <w:rFonts w:hint="eastAsia" w:cs="Times New Roman"/>
                <w:color w:val="000000" w:themeColor="text1"/>
                <w:sz w:val="24"/>
                <w:szCs w:val="24"/>
                <w:highlight w:val="none"/>
                <w:lang w:val="en-US" w:eastAsia="zh-CN"/>
                <w14:textFill>
                  <w14:solidFill>
                    <w14:schemeClr w14:val="tx1"/>
                  </w14:solidFill>
                </w14:textFill>
              </w:rPr>
              <w:t>A</w:t>
            </w:r>
            <w:r>
              <w:rPr>
                <w:rFonts w:hint="default" w:ascii="Times New Roman" w:hAnsi="Times New Roman" w:eastAsia="宋体" w:cs="Times New Roman"/>
                <w:color w:val="000000" w:themeColor="text1"/>
                <w:sz w:val="24"/>
                <w:szCs w:val="24"/>
                <w:highlight w:val="none"/>
                <w14:textFill>
                  <w14:solidFill>
                    <w14:schemeClr w14:val="tx1"/>
                  </w14:solidFill>
                </w14:textFill>
              </w:rPr>
              <w:t>标准</w:t>
            </w:r>
            <w:r>
              <w:rPr>
                <w:rFonts w:hint="eastAsia" w:eastAsia="宋体" w:cs="Times New Roman"/>
                <w:color w:val="000000" w:themeColor="text1"/>
                <w:sz w:val="24"/>
                <w:szCs w:val="24"/>
                <w:highlight w:val="none"/>
                <w:lang w:val="en-US" w:eastAsia="zh-CN"/>
                <w14:textFill>
                  <w14:solidFill>
                    <w14:schemeClr w14:val="tx1"/>
                  </w14:solidFill>
                </w14:textFill>
              </w:rPr>
              <w:t>后排入汤旺河</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伊春市中心城污水处理厂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设计处理量为10万m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d，实际处理量为7万m</w:t>
            </w:r>
            <w:r>
              <w:rPr>
                <w:rFonts w:hint="default"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d，本项目污水排水量为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0.384</w:t>
            </w:r>
            <w:r>
              <w:rPr>
                <w:rFonts w:hint="default" w:ascii="Times New Roman" w:hAnsi="Times New Roman" w:eastAsia="宋体" w:cs="Times New Roman"/>
                <w:bCs/>
                <w:color w:val="000000" w:themeColor="text1"/>
                <w:sz w:val="24"/>
                <w:szCs w:val="24"/>
                <w:highlight w:val="none"/>
                <w:lang w:eastAsia="zh-CN"/>
                <w14:textFill>
                  <w14:solidFill>
                    <w14:schemeClr w14:val="tx1"/>
                  </w14:solidFill>
                </w14:textFill>
              </w:rPr>
              <w:t>m</w:t>
            </w:r>
            <w:r>
              <w:rPr>
                <w:rFonts w:hint="default" w:ascii="Times New Roman" w:hAnsi="Times New Roman" w:eastAsia="宋体" w:cs="Times New Roman"/>
                <w:bCs/>
                <w:color w:val="000000" w:themeColor="text1"/>
                <w:sz w:val="24"/>
                <w:szCs w:val="24"/>
                <w:highlight w:val="none"/>
                <w:vertAlign w:val="superscript"/>
                <w:lang w:eastAsia="zh-CN"/>
                <w14:textFill>
                  <w14:solidFill>
                    <w14:schemeClr w14:val="tx1"/>
                  </w14:solidFill>
                </w14:textFill>
              </w:rPr>
              <w:t>3</w:t>
            </w:r>
            <w:r>
              <w:rPr>
                <w:rFonts w:hint="default" w:ascii="Times New Roman" w:hAnsi="Times New Roman" w:eastAsia="宋体" w:cs="Times New Roman"/>
                <w:bCs/>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d</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占该污水处理厂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剩余</w:t>
            </w:r>
            <w:r>
              <w:rPr>
                <w:rFonts w:hint="default" w:ascii="Times New Roman" w:hAnsi="Times New Roman" w:eastAsia="宋体" w:cs="Times New Roman"/>
                <w:color w:val="000000" w:themeColor="text1"/>
                <w:sz w:val="24"/>
                <w:szCs w:val="24"/>
                <w:highlight w:val="none"/>
                <w14:textFill>
                  <w14:solidFill>
                    <w14:schemeClr w14:val="tx1"/>
                  </w14:solidFill>
                </w14:textFill>
              </w:rPr>
              <w:t>日处理量</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0.0</w:t>
            </w:r>
            <w:r>
              <w:rPr>
                <w:rFonts w:hint="eastAsia" w:eastAsia="宋体" w:cs="Times New Roman"/>
                <w:color w:val="000000" w:themeColor="text1"/>
                <w:sz w:val="24"/>
                <w:szCs w:val="24"/>
                <w:highlight w:val="none"/>
                <w:lang w:val="en-US" w:eastAsia="zh-CN"/>
                <w14:textFill>
                  <w14:solidFill>
                    <w14:schemeClr w14:val="tx1"/>
                  </w14:solidFill>
                </w14:textFill>
              </w:rPr>
              <w:t>013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水量小，</w:t>
            </w:r>
            <w:r>
              <w:rPr>
                <w:rFonts w:hint="default" w:ascii="Times New Roman" w:hAnsi="Times New Roman" w:eastAsia="宋体" w:cs="Times New Roman"/>
                <w:color w:val="000000" w:themeColor="text1"/>
                <w:sz w:val="24"/>
                <w:szCs w:val="24"/>
                <w:highlight w:val="none"/>
                <w14:textFill>
                  <w14:solidFill>
                    <w14:schemeClr w14:val="tx1"/>
                  </w14:solidFill>
                </w14:textFill>
              </w:rPr>
              <w:t>水质简单，满足污水处理厂进水水质</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水量</w:t>
            </w:r>
            <w:r>
              <w:rPr>
                <w:rFonts w:hint="default" w:ascii="Times New Roman" w:hAnsi="Times New Roman" w:eastAsia="宋体" w:cs="Times New Roman"/>
                <w:color w:val="000000" w:themeColor="text1"/>
                <w:sz w:val="24"/>
                <w:szCs w:val="24"/>
                <w:highlight w:val="none"/>
                <w14:textFill>
                  <w14:solidFill>
                    <w14:schemeClr w14:val="tx1"/>
                  </w14:solidFill>
                </w14:textFill>
              </w:rPr>
              <w:t>要求，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且本项目在该污水处理厂的收水范围内，</w:t>
            </w:r>
            <w:r>
              <w:rPr>
                <w:rFonts w:hint="default" w:ascii="Times New Roman" w:hAnsi="Times New Roman" w:eastAsia="宋体" w:cs="Times New Roman"/>
                <w:color w:val="000000" w:themeColor="text1"/>
                <w:sz w:val="24"/>
                <w:szCs w:val="24"/>
                <w:highlight w:val="none"/>
                <w14:textFill>
                  <w14:solidFill>
                    <w14:schemeClr w14:val="tx1"/>
                  </w14:solidFill>
                </w14:textFill>
              </w:rPr>
              <w:t>依托可行。</w:t>
            </w:r>
          </w:p>
          <w:p w14:paraId="03A205C1">
            <w:pPr>
              <w:spacing w:line="360" w:lineRule="auto"/>
              <w:ind w:firstLine="480" w:firstLineChars="200"/>
              <w:contextualSpacing/>
              <w:rPr>
                <w:rFonts w:hint="default" w:ascii="Times New Roman" w:hAnsi="Times New Roman" w:eastAsia="宋体" w:cs="Times New Roman"/>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综上所述，本项目运营对周围水环境影响较小，可以被环境接受。</w:t>
            </w:r>
          </w:p>
          <w:p w14:paraId="63BAFC79">
            <w:pPr>
              <w:pStyle w:val="34"/>
              <w:keepNext w:val="0"/>
              <w:keepLines w:val="0"/>
              <w:pageBreakBefore w:val="0"/>
              <w:widowControl w:val="0"/>
              <w:numPr>
                <w:ilvl w:val="0"/>
                <w:numId w:val="0"/>
              </w:numPr>
              <w:kinsoku/>
              <w:wordWrap/>
              <w:overflowPunct/>
              <w:topLinePunct w:val="0"/>
              <w:autoSpaceDE/>
              <w:autoSpaceDN/>
              <w:bidi w:val="0"/>
              <w:adjustRightInd/>
              <w:snapToGrid/>
              <w:ind w:leftChars="0" w:firstLine="482" w:firstLineChars="200"/>
              <w:textAlignment w:val="auto"/>
              <w:rPr>
                <w:rFonts w:hint="eastAsia"/>
                <w:b/>
                <w:bCs/>
                <w:color w:val="000000" w:themeColor="text1"/>
                <w:sz w:val="24"/>
                <w:szCs w:val="24"/>
                <w:highlight w:val="none"/>
                <w:lang w:val="en-US" w:eastAsia="zh-CN"/>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三、声环境影响分析</w:t>
            </w:r>
          </w:p>
          <w:p w14:paraId="3B9A4657">
            <w:pPr>
              <w:pStyle w:val="107"/>
              <w:spacing w:line="360" w:lineRule="auto"/>
              <w:ind w:firstLine="482"/>
              <w:rPr>
                <w:rFonts w:hint="default" w:ascii="Times New Roman" w:hAnsi="Times New Roman" w:eastAsia="宋体" w:cs="Times New Roman"/>
                <w:b/>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b/>
                <w:bCs w:val="0"/>
                <w:color w:val="000000" w:themeColor="text1"/>
                <w:sz w:val="24"/>
                <w:szCs w:val="24"/>
                <w:highlight w:val="none"/>
                <w14:textFill>
                  <w14:solidFill>
                    <w14:schemeClr w14:val="tx1"/>
                  </w14:solidFill>
                </w14:textFill>
              </w:rPr>
              <w:t>噪声源强</w:t>
            </w:r>
          </w:p>
          <w:p w14:paraId="767A0127">
            <w:pPr>
              <w:pStyle w:val="104"/>
              <w:keepNext w:val="0"/>
              <w:keepLines w:val="0"/>
              <w:pageBreakBefore w:val="0"/>
              <w:widowControl w:val="0"/>
              <w:kinsoku/>
              <w:wordWrap/>
              <w:overflowPunct/>
              <w:topLinePunct w:val="0"/>
              <w:bidi w:val="0"/>
              <w:snapToGrid/>
              <w:spacing w:line="360" w:lineRule="auto"/>
              <w:ind w:firstLine="480" w:firstLineChars="200"/>
              <w:contextualSpacing/>
              <w:jc w:val="both"/>
              <w:textAlignment w:val="auto"/>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（1）生产设备噪声</w:t>
            </w:r>
          </w:p>
          <w:p w14:paraId="7039D3F2">
            <w:pPr>
              <w:pStyle w:val="35"/>
              <w:keepNext w:val="0"/>
              <w:keepLines w:val="0"/>
              <w:pageBreakBefore w:val="0"/>
              <w:widowControl w:val="0"/>
              <w:numPr>
                <w:ilvl w:val="0"/>
                <w:numId w:val="0"/>
              </w:numPr>
              <w:kinsoku/>
              <w:wordWrap/>
              <w:overflowPunct/>
              <w:topLinePunct w:val="0"/>
              <w:bidi w:val="0"/>
              <w:snapToGrid/>
              <w:spacing w:line="360" w:lineRule="auto"/>
              <w:ind w:firstLine="480" w:firstLineChars="200"/>
              <w:jc w:val="both"/>
              <w:textAlignment w:val="auto"/>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本项目噪声源主要来自于生产设备噪声，噪声值在</w:t>
            </w:r>
            <w:r>
              <w:rPr>
                <w:rFonts w:hint="eastAsia" w:ascii="Times New Roman" w:eastAsia="宋体" w:cs="Times New Roman"/>
                <w:b w:val="0"/>
                <w:bCs/>
                <w:color w:val="000000" w:themeColor="text1"/>
                <w:kern w:val="2"/>
                <w:sz w:val="24"/>
                <w:szCs w:val="24"/>
                <w:highlight w:val="none"/>
                <w:lang w:val="en-US" w:eastAsia="zh-CN" w:bidi="ar-SA"/>
                <w14:textFill>
                  <w14:solidFill>
                    <w14:schemeClr w14:val="tx1"/>
                  </w14:solidFill>
                </w14:textFill>
              </w:rPr>
              <w:t>80</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～85dB(A)之间，项目采取</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选用低噪声设备，隔声、减振、软连接、厂房隔声等措施</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w:t>
            </w:r>
          </w:p>
          <w:p w14:paraId="4AC8356A">
            <w:pPr>
              <w:pStyle w:val="10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本项目噪声源强见</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下</w:t>
            </w:r>
            <w:r>
              <w:rPr>
                <w:rFonts w:hint="default" w:ascii="Times New Roman" w:hAnsi="Times New Roman" w:eastAsia="宋体" w:cs="Times New Roman"/>
                <w:color w:val="000000" w:themeColor="text1"/>
                <w:sz w:val="24"/>
                <w:szCs w:val="24"/>
                <w:highlight w:val="none"/>
                <w14:textFill>
                  <w14:solidFill>
                    <w14:schemeClr w14:val="tx1"/>
                  </w14:solidFill>
                </w14:textFill>
              </w:rPr>
              <w:t>表。</w:t>
            </w:r>
          </w:p>
          <w:p w14:paraId="3FD09791">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b/>
                <w:bCs/>
                <w:color w:val="000000" w:themeColor="text1"/>
                <w:sz w:val="24"/>
                <w:szCs w:val="24"/>
                <w:highlight w:val="none"/>
                <w:lang w:val="en-US" w:eastAsia="zh-CN"/>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表4-6工业企业噪声源强调查清单（室内声源）</w:t>
            </w:r>
          </w:p>
          <w:tbl>
            <w:tblPr>
              <w:tblStyle w:val="29"/>
              <w:tblW w:w="863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76"/>
              <w:gridCol w:w="409"/>
              <w:gridCol w:w="510"/>
              <w:gridCol w:w="511"/>
              <w:gridCol w:w="1122"/>
              <w:gridCol w:w="622"/>
              <w:gridCol w:w="584"/>
              <w:gridCol w:w="542"/>
              <w:gridCol w:w="510"/>
              <w:gridCol w:w="397"/>
              <w:gridCol w:w="636"/>
              <w:gridCol w:w="460"/>
              <w:gridCol w:w="685"/>
              <w:gridCol w:w="660"/>
              <w:gridCol w:w="409"/>
            </w:tblGrid>
            <w:tr w14:paraId="09EFB9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2" w:hRule="atLeast"/>
                <w:jc w:val="center"/>
              </w:trPr>
              <w:tc>
                <w:tcPr>
                  <w:tcW w:w="576" w:type="dxa"/>
                  <w:vMerge w:val="restart"/>
                  <w:tcBorders>
                    <w:tl2br w:val="nil"/>
                    <w:tr2bl w:val="nil"/>
                  </w:tcBorders>
                  <w:vAlign w:val="center"/>
                </w:tcPr>
                <w:p w14:paraId="7B864212">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建筑物名称</w:t>
                  </w:r>
                </w:p>
              </w:tc>
              <w:tc>
                <w:tcPr>
                  <w:tcW w:w="409" w:type="dxa"/>
                  <w:vMerge w:val="restart"/>
                  <w:tcBorders>
                    <w:tl2br w:val="nil"/>
                    <w:tr2bl w:val="nil"/>
                  </w:tcBorders>
                  <w:vAlign w:val="center"/>
                </w:tcPr>
                <w:p w14:paraId="74AC9704">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声源名称</w:t>
                  </w:r>
                </w:p>
              </w:tc>
              <w:tc>
                <w:tcPr>
                  <w:tcW w:w="510" w:type="dxa"/>
                  <w:vMerge w:val="restart"/>
                  <w:tcBorders>
                    <w:tl2br w:val="nil"/>
                    <w:tr2bl w:val="nil"/>
                  </w:tcBorders>
                  <w:vAlign w:val="center"/>
                </w:tcPr>
                <w:p w14:paraId="7964B2A5">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型号</w:t>
                  </w:r>
                </w:p>
              </w:tc>
              <w:tc>
                <w:tcPr>
                  <w:tcW w:w="511" w:type="dxa"/>
                  <w:vMerge w:val="restart"/>
                  <w:tcBorders>
                    <w:tl2br w:val="nil"/>
                    <w:tr2bl w:val="nil"/>
                  </w:tcBorders>
                  <w:vAlign w:val="center"/>
                </w:tcPr>
                <w:p w14:paraId="26B7AC2A">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声功率及dB（A）</w:t>
                  </w:r>
                </w:p>
              </w:tc>
              <w:tc>
                <w:tcPr>
                  <w:tcW w:w="1122" w:type="dxa"/>
                  <w:vMerge w:val="restart"/>
                  <w:tcBorders>
                    <w:tl2br w:val="nil"/>
                    <w:tr2bl w:val="nil"/>
                  </w:tcBorders>
                  <w:vAlign w:val="center"/>
                </w:tcPr>
                <w:p w14:paraId="3AD7D9EF">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声控制措施</w:t>
                  </w:r>
                </w:p>
              </w:tc>
              <w:tc>
                <w:tcPr>
                  <w:tcW w:w="1748" w:type="dxa"/>
                  <w:gridSpan w:val="3"/>
                  <w:tcBorders>
                    <w:tl2br w:val="nil"/>
                    <w:tr2bl w:val="nil"/>
                  </w:tcBorders>
                  <w:vAlign w:val="center"/>
                </w:tcPr>
                <w:p w14:paraId="5F5DFA2C">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空间相对位置</w:t>
                  </w:r>
                </w:p>
              </w:tc>
              <w:tc>
                <w:tcPr>
                  <w:tcW w:w="510" w:type="dxa"/>
                  <w:vMerge w:val="restart"/>
                  <w:tcBorders>
                    <w:tl2br w:val="nil"/>
                    <w:tr2bl w:val="nil"/>
                  </w:tcBorders>
                  <w:vAlign w:val="center"/>
                </w:tcPr>
                <w:p w14:paraId="5D8BCCF5">
                  <w:pPr>
                    <w:keepNext w:val="0"/>
                    <w:keepLines w:val="0"/>
                    <w:pageBreakBefore w:val="0"/>
                    <w:kinsoku/>
                    <w:wordWrap/>
                    <w:overflowPunct/>
                    <w:topLinePunct w:val="0"/>
                    <w:autoSpaceDE/>
                    <w:autoSpaceDN/>
                    <w:bidi w:val="0"/>
                    <w:jc w:val="cente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运行时段</w:t>
                  </w:r>
                </w:p>
              </w:tc>
              <w:tc>
                <w:tcPr>
                  <w:tcW w:w="397" w:type="dxa"/>
                  <w:vMerge w:val="restart"/>
                  <w:tcBorders>
                    <w:tl2br w:val="nil"/>
                    <w:tr2bl w:val="nil"/>
                  </w:tcBorders>
                  <w:vAlign w:val="center"/>
                </w:tcPr>
                <w:p w14:paraId="484F082F">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距室内边界距离m</w:t>
                  </w:r>
                </w:p>
              </w:tc>
              <w:tc>
                <w:tcPr>
                  <w:tcW w:w="636" w:type="dxa"/>
                  <w:vMerge w:val="restart"/>
                  <w:tcBorders>
                    <w:tl2br w:val="nil"/>
                    <w:tr2bl w:val="nil"/>
                  </w:tcBorders>
                  <w:vAlign w:val="center"/>
                </w:tcPr>
                <w:p w14:paraId="39466149">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室内边界声级dB（A）</w:t>
                  </w:r>
                </w:p>
              </w:tc>
              <w:tc>
                <w:tcPr>
                  <w:tcW w:w="460" w:type="dxa"/>
                  <w:vMerge w:val="restart"/>
                  <w:tcBorders>
                    <w:tl2br w:val="nil"/>
                    <w:tr2bl w:val="nil"/>
                  </w:tcBorders>
                  <w:vAlign w:val="center"/>
                </w:tcPr>
                <w:p w14:paraId="29CBE28C">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运行时段</w:t>
                  </w:r>
                </w:p>
              </w:tc>
              <w:tc>
                <w:tcPr>
                  <w:tcW w:w="685" w:type="dxa"/>
                  <w:vMerge w:val="restart"/>
                  <w:tcBorders>
                    <w:tl2br w:val="nil"/>
                    <w:tr2bl w:val="nil"/>
                  </w:tcBorders>
                  <w:vAlign w:val="center"/>
                </w:tcPr>
                <w:p w14:paraId="378D9D46">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建筑物插入损失dB（A）</w:t>
                  </w:r>
                </w:p>
              </w:tc>
              <w:tc>
                <w:tcPr>
                  <w:tcW w:w="1069" w:type="dxa"/>
                  <w:gridSpan w:val="2"/>
                  <w:tcBorders>
                    <w:tl2br w:val="nil"/>
                    <w:tr2bl w:val="nil"/>
                  </w:tcBorders>
                  <w:vAlign w:val="center"/>
                </w:tcPr>
                <w:p w14:paraId="54E1F86F">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建筑物外噪声</w:t>
                  </w:r>
                </w:p>
              </w:tc>
            </w:tr>
            <w:tr w14:paraId="4D3F02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27" w:hRule="atLeast"/>
                <w:jc w:val="center"/>
              </w:trPr>
              <w:tc>
                <w:tcPr>
                  <w:tcW w:w="576" w:type="dxa"/>
                  <w:vMerge w:val="continue"/>
                  <w:tcBorders>
                    <w:tl2br w:val="nil"/>
                    <w:tr2bl w:val="nil"/>
                  </w:tcBorders>
                  <w:vAlign w:val="center"/>
                </w:tcPr>
                <w:p w14:paraId="1CA7126D">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p>
              </w:tc>
              <w:tc>
                <w:tcPr>
                  <w:tcW w:w="409" w:type="dxa"/>
                  <w:vMerge w:val="continue"/>
                  <w:tcBorders>
                    <w:tl2br w:val="nil"/>
                    <w:tr2bl w:val="nil"/>
                  </w:tcBorders>
                  <w:vAlign w:val="center"/>
                </w:tcPr>
                <w:p w14:paraId="07A368FC">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p>
              </w:tc>
              <w:tc>
                <w:tcPr>
                  <w:tcW w:w="510" w:type="dxa"/>
                  <w:vMerge w:val="continue"/>
                  <w:tcBorders>
                    <w:tl2br w:val="nil"/>
                    <w:tr2bl w:val="nil"/>
                  </w:tcBorders>
                  <w:vAlign w:val="center"/>
                </w:tcPr>
                <w:p w14:paraId="424F089E">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p>
              </w:tc>
              <w:tc>
                <w:tcPr>
                  <w:tcW w:w="511" w:type="dxa"/>
                  <w:vMerge w:val="continue"/>
                  <w:tcBorders>
                    <w:tl2br w:val="nil"/>
                    <w:tr2bl w:val="nil"/>
                  </w:tcBorders>
                  <w:vAlign w:val="center"/>
                </w:tcPr>
                <w:p w14:paraId="0247A768">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p>
              </w:tc>
              <w:tc>
                <w:tcPr>
                  <w:tcW w:w="1122" w:type="dxa"/>
                  <w:vMerge w:val="continue"/>
                  <w:tcBorders>
                    <w:tl2br w:val="nil"/>
                    <w:tr2bl w:val="nil"/>
                  </w:tcBorders>
                  <w:vAlign w:val="center"/>
                </w:tcPr>
                <w:p w14:paraId="6EB90F65">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p>
              </w:tc>
              <w:tc>
                <w:tcPr>
                  <w:tcW w:w="622" w:type="dxa"/>
                  <w:tcBorders>
                    <w:tl2br w:val="nil"/>
                    <w:tr2bl w:val="nil"/>
                  </w:tcBorders>
                  <w:vAlign w:val="center"/>
                </w:tcPr>
                <w:p w14:paraId="3809FC1A">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X</w:t>
                  </w:r>
                </w:p>
              </w:tc>
              <w:tc>
                <w:tcPr>
                  <w:tcW w:w="584" w:type="dxa"/>
                  <w:tcBorders>
                    <w:tl2br w:val="nil"/>
                    <w:tr2bl w:val="nil"/>
                  </w:tcBorders>
                  <w:vAlign w:val="center"/>
                </w:tcPr>
                <w:p w14:paraId="16445AEB">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Y</w:t>
                  </w:r>
                </w:p>
              </w:tc>
              <w:tc>
                <w:tcPr>
                  <w:tcW w:w="542" w:type="dxa"/>
                  <w:tcBorders>
                    <w:tl2br w:val="nil"/>
                    <w:tr2bl w:val="nil"/>
                  </w:tcBorders>
                  <w:vAlign w:val="center"/>
                </w:tcPr>
                <w:p w14:paraId="4131F033">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Z</w:t>
                  </w:r>
                </w:p>
              </w:tc>
              <w:tc>
                <w:tcPr>
                  <w:tcW w:w="510" w:type="dxa"/>
                  <w:vMerge w:val="continue"/>
                  <w:tcBorders>
                    <w:tl2br w:val="nil"/>
                    <w:tr2bl w:val="nil"/>
                  </w:tcBorders>
                  <w:vAlign w:val="center"/>
                </w:tcPr>
                <w:p w14:paraId="5F17257B">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p>
              </w:tc>
              <w:tc>
                <w:tcPr>
                  <w:tcW w:w="397" w:type="dxa"/>
                  <w:vMerge w:val="continue"/>
                  <w:tcBorders>
                    <w:tl2br w:val="nil"/>
                    <w:tr2bl w:val="nil"/>
                  </w:tcBorders>
                  <w:vAlign w:val="center"/>
                </w:tcPr>
                <w:p w14:paraId="0E26DE76">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p>
              </w:tc>
              <w:tc>
                <w:tcPr>
                  <w:tcW w:w="636" w:type="dxa"/>
                  <w:vMerge w:val="continue"/>
                  <w:tcBorders>
                    <w:tl2br w:val="nil"/>
                    <w:tr2bl w:val="nil"/>
                  </w:tcBorders>
                  <w:vAlign w:val="center"/>
                </w:tcPr>
                <w:p w14:paraId="3D748AFA">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p>
              </w:tc>
              <w:tc>
                <w:tcPr>
                  <w:tcW w:w="460" w:type="dxa"/>
                  <w:vMerge w:val="continue"/>
                  <w:tcBorders>
                    <w:tl2br w:val="nil"/>
                    <w:tr2bl w:val="nil"/>
                  </w:tcBorders>
                  <w:vAlign w:val="center"/>
                </w:tcPr>
                <w:p w14:paraId="3455B264">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p>
              </w:tc>
              <w:tc>
                <w:tcPr>
                  <w:tcW w:w="685" w:type="dxa"/>
                  <w:vMerge w:val="continue"/>
                  <w:tcBorders>
                    <w:tl2br w:val="nil"/>
                    <w:tr2bl w:val="nil"/>
                  </w:tcBorders>
                  <w:vAlign w:val="center"/>
                </w:tcPr>
                <w:p w14:paraId="6E734873">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p>
              </w:tc>
              <w:tc>
                <w:tcPr>
                  <w:tcW w:w="660" w:type="dxa"/>
                  <w:tcBorders>
                    <w:tl2br w:val="nil"/>
                    <w:tr2bl w:val="nil"/>
                  </w:tcBorders>
                  <w:vAlign w:val="center"/>
                </w:tcPr>
                <w:p w14:paraId="658BD878">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声压级dB（A）</w:t>
                  </w:r>
                </w:p>
              </w:tc>
              <w:tc>
                <w:tcPr>
                  <w:tcW w:w="409" w:type="dxa"/>
                  <w:tcBorders>
                    <w:tl2br w:val="nil"/>
                    <w:tr2bl w:val="nil"/>
                  </w:tcBorders>
                  <w:vAlign w:val="center"/>
                </w:tcPr>
                <w:p w14:paraId="48149A69">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建筑物外距离</w:t>
                  </w:r>
                </w:p>
              </w:tc>
            </w:tr>
            <w:tr w14:paraId="243F71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90" w:hRule="atLeast"/>
                <w:jc w:val="center"/>
              </w:trPr>
              <w:tc>
                <w:tcPr>
                  <w:tcW w:w="576" w:type="dxa"/>
                  <w:vMerge w:val="restart"/>
                  <w:tcBorders>
                    <w:tl2br w:val="nil"/>
                    <w:tr2bl w:val="nil"/>
                  </w:tcBorders>
                  <w:vAlign w:val="center"/>
                </w:tcPr>
                <w:p w14:paraId="6C918F41">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危险废物贮存库</w:t>
                  </w:r>
                </w:p>
              </w:tc>
              <w:tc>
                <w:tcPr>
                  <w:tcW w:w="409" w:type="dxa"/>
                  <w:tcBorders>
                    <w:tl2br w:val="nil"/>
                    <w:tr2bl w:val="nil"/>
                  </w:tcBorders>
                  <w:vAlign w:val="center"/>
                </w:tcPr>
                <w:p w14:paraId="54D5D74F">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风机</w:t>
                  </w:r>
                </w:p>
              </w:tc>
              <w:tc>
                <w:tcPr>
                  <w:tcW w:w="510" w:type="dxa"/>
                  <w:tcBorders>
                    <w:tl2br w:val="nil"/>
                    <w:tr2bl w:val="nil"/>
                  </w:tcBorders>
                  <w:vAlign w:val="center"/>
                </w:tcPr>
                <w:p w14:paraId="4DDD8591">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w:t>
                  </w:r>
                </w:p>
              </w:tc>
              <w:tc>
                <w:tcPr>
                  <w:tcW w:w="511" w:type="dxa"/>
                  <w:tcBorders>
                    <w:tl2br w:val="nil"/>
                    <w:tr2bl w:val="nil"/>
                  </w:tcBorders>
                  <w:vAlign w:val="center"/>
                </w:tcPr>
                <w:p w14:paraId="0CD3E2AB">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hAnsi="Times New Roman" w:cs="Times New Roman"/>
                      <w:b w:val="0"/>
                      <w:bCs w:val="0"/>
                      <w:color w:val="000000" w:themeColor="text1"/>
                      <w:sz w:val="21"/>
                      <w:szCs w:val="21"/>
                      <w:highlight w:val="none"/>
                      <w:vertAlign w:val="baseline"/>
                      <w:lang w:val="en-US" w:eastAsia="zh-CN"/>
                      <w14:textFill>
                        <w14:solidFill>
                          <w14:schemeClr w14:val="tx1"/>
                        </w14:solidFill>
                      </w14:textFill>
                    </w:rPr>
                    <w:t>85</w:t>
                  </w:r>
                </w:p>
              </w:tc>
              <w:tc>
                <w:tcPr>
                  <w:tcW w:w="1122" w:type="dxa"/>
                  <w:vMerge w:val="restart"/>
                  <w:tcBorders>
                    <w:tl2br w:val="nil"/>
                    <w:tr2bl w:val="nil"/>
                  </w:tcBorders>
                  <w:vAlign w:val="center"/>
                </w:tcPr>
                <w:p w14:paraId="326B120C">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选用低噪声设备，隔声、减振、软连接、厂房隔声等</w:t>
                  </w:r>
                </w:p>
              </w:tc>
              <w:tc>
                <w:tcPr>
                  <w:tcW w:w="622" w:type="dxa"/>
                  <w:tcBorders>
                    <w:tl2br w:val="nil"/>
                    <w:tr2bl w:val="nil"/>
                  </w:tcBorders>
                  <w:vAlign w:val="center"/>
                </w:tcPr>
                <w:p w14:paraId="1E8FB523">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hAnsi="Times New Roman" w:cs="Times New Roman"/>
                      <w:b w:val="0"/>
                      <w:bCs w:val="0"/>
                      <w:color w:val="000000" w:themeColor="text1"/>
                      <w:sz w:val="21"/>
                      <w:szCs w:val="21"/>
                      <w:highlight w:val="none"/>
                      <w:vertAlign w:val="baseline"/>
                      <w:lang w:val="en-US" w:eastAsia="zh-CN"/>
                      <w14:textFill>
                        <w14:solidFill>
                          <w14:schemeClr w14:val="tx1"/>
                        </w14:solidFill>
                      </w14:textFill>
                    </w:rPr>
                    <w:t>62.04</w:t>
                  </w:r>
                </w:p>
              </w:tc>
              <w:tc>
                <w:tcPr>
                  <w:tcW w:w="584" w:type="dxa"/>
                  <w:tcBorders>
                    <w:tl2br w:val="nil"/>
                    <w:tr2bl w:val="nil"/>
                  </w:tcBorders>
                  <w:vAlign w:val="center"/>
                </w:tcPr>
                <w:p w14:paraId="4FB63A94">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hAnsi="Times New Roman" w:cs="Times New Roman"/>
                      <w:b w:val="0"/>
                      <w:bCs w:val="0"/>
                      <w:color w:val="000000" w:themeColor="text1"/>
                      <w:sz w:val="21"/>
                      <w:szCs w:val="21"/>
                      <w:highlight w:val="none"/>
                      <w:vertAlign w:val="baseline"/>
                      <w:lang w:val="en-US" w:eastAsia="zh-CN"/>
                      <w14:textFill>
                        <w14:solidFill>
                          <w14:schemeClr w14:val="tx1"/>
                        </w14:solidFill>
                      </w14:textFill>
                    </w:rPr>
                    <w:t>4.56</w:t>
                  </w:r>
                </w:p>
              </w:tc>
              <w:tc>
                <w:tcPr>
                  <w:tcW w:w="542" w:type="dxa"/>
                  <w:tcBorders>
                    <w:tl2br w:val="nil"/>
                    <w:tr2bl w:val="nil"/>
                  </w:tcBorders>
                  <w:vAlign w:val="center"/>
                </w:tcPr>
                <w:p w14:paraId="11D2CEDE">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hAnsi="Times New Roman" w:cs="Times New Roman"/>
                      <w:b w:val="0"/>
                      <w:bCs w:val="0"/>
                      <w:color w:val="000000" w:themeColor="text1"/>
                      <w:sz w:val="21"/>
                      <w:szCs w:val="21"/>
                      <w:highlight w:val="none"/>
                      <w:vertAlign w:val="baseline"/>
                      <w:lang w:val="en-US" w:eastAsia="zh-CN"/>
                      <w14:textFill>
                        <w14:solidFill>
                          <w14:schemeClr w14:val="tx1"/>
                        </w14:solidFill>
                      </w14:textFill>
                    </w:rPr>
                    <w:t>1</w:t>
                  </w:r>
                </w:p>
              </w:tc>
              <w:tc>
                <w:tcPr>
                  <w:tcW w:w="510" w:type="dxa"/>
                  <w:tcBorders>
                    <w:tl2br w:val="nil"/>
                    <w:tr2bl w:val="nil"/>
                  </w:tcBorders>
                  <w:vAlign w:val="center"/>
                </w:tcPr>
                <w:p w14:paraId="50BB2AF8">
                  <w:pPr>
                    <w:keepNext w:val="0"/>
                    <w:keepLines w:val="0"/>
                    <w:pageBreakBefore w:val="0"/>
                    <w:kinsoku/>
                    <w:wordWrap/>
                    <w:overflowPunct/>
                    <w:topLinePunct w:val="0"/>
                    <w:autoSpaceDE/>
                    <w:autoSpaceDN/>
                    <w:bidi w:val="0"/>
                    <w:jc w:val="center"/>
                    <w:rPr>
                      <w:rFonts w:hint="eastAsia"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昼间、夜间</w:t>
                  </w:r>
                </w:p>
              </w:tc>
              <w:tc>
                <w:tcPr>
                  <w:tcW w:w="397" w:type="dxa"/>
                  <w:tcBorders>
                    <w:tl2br w:val="nil"/>
                    <w:tr2bl w:val="nil"/>
                  </w:tcBorders>
                  <w:vAlign w:val="center"/>
                </w:tcPr>
                <w:p w14:paraId="39922D38">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hAnsi="Times New Roman" w:cs="Times New Roman"/>
                      <w:b w:val="0"/>
                      <w:bCs w:val="0"/>
                      <w:color w:val="000000" w:themeColor="text1"/>
                      <w:sz w:val="21"/>
                      <w:szCs w:val="21"/>
                      <w:highlight w:val="none"/>
                      <w:vertAlign w:val="baseline"/>
                      <w:lang w:val="en-US" w:eastAsia="zh-CN"/>
                      <w14:textFill>
                        <w14:solidFill>
                          <w14:schemeClr w14:val="tx1"/>
                        </w14:solidFill>
                      </w14:textFill>
                    </w:rPr>
                    <w:t>3</w:t>
                  </w:r>
                </w:p>
              </w:tc>
              <w:tc>
                <w:tcPr>
                  <w:tcW w:w="636" w:type="dxa"/>
                  <w:tcBorders>
                    <w:tl2br w:val="nil"/>
                    <w:tr2bl w:val="nil"/>
                  </w:tcBorders>
                  <w:vAlign w:val="center"/>
                </w:tcPr>
                <w:p w14:paraId="670385D0">
                  <w:pPr>
                    <w:keepNext w:val="0"/>
                    <w:keepLines w:val="0"/>
                    <w:widowControl/>
                    <w:suppressLineNumbers w:val="0"/>
                    <w:jc w:val="right"/>
                    <w:textAlignment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t xml:space="preserve">75.5 </w:t>
                  </w:r>
                </w:p>
              </w:tc>
              <w:tc>
                <w:tcPr>
                  <w:tcW w:w="460" w:type="dxa"/>
                  <w:vMerge w:val="restart"/>
                  <w:tcBorders>
                    <w:tl2br w:val="nil"/>
                    <w:tr2bl w:val="nil"/>
                  </w:tcBorders>
                  <w:vAlign w:val="center"/>
                </w:tcPr>
                <w:p w14:paraId="1B8DCBFE">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hAnsi="Times New Roman" w:cs="Times New Roman"/>
                      <w:b w:val="0"/>
                      <w:bCs w:val="0"/>
                      <w:color w:val="000000" w:themeColor="text1"/>
                      <w:sz w:val="21"/>
                      <w:szCs w:val="21"/>
                      <w:highlight w:val="none"/>
                      <w:vertAlign w:val="baseline"/>
                      <w:lang w:val="en-US" w:eastAsia="zh-CN"/>
                      <w14:textFill>
                        <w14:solidFill>
                          <w14:schemeClr w14:val="tx1"/>
                        </w14:solidFill>
                      </w14:textFill>
                    </w:rPr>
                    <w:t>24h</w:t>
                  </w:r>
                </w:p>
              </w:tc>
              <w:tc>
                <w:tcPr>
                  <w:tcW w:w="685" w:type="dxa"/>
                  <w:tcBorders>
                    <w:tl2br w:val="nil"/>
                    <w:tr2bl w:val="nil"/>
                  </w:tcBorders>
                  <w:vAlign w:val="center"/>
                </w:tcPr>
                <w:p w14:paraId="061937B2">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hAnsi="Times New Roman" w:cs="Times New Roman"/>
                      <w:b w:val="0"/>
                      <w:bCs w:val="0"/>
                      <w:color w:val="000000" w:themeColor="text1"/>
                      <w:sz w:val="21"/>
                      <w:szCs w:val="21"/>
                      <w:highlight w:val="none"/>
                      <w:vertAlign w:val="baseline"/>
                      <w:lang w:val="en-US" w:eastAsia="zh-CN"/>
                      <w14:textFill>
                        <w14:solidFill>
                          <w14:schemeClr w14:val="tx1"/>
                        </w14:solidFill>
                      </w14:textFill>
                    </w:rPr>
                    <w:t>20</w:t>
                  </w:r>
                </w:p>
              </w:tc>
              <w:tc>
                <w:tcPr>
                  <w:tcW w:w="660" w:type="dxa"/>
                  <w:tcBorders>
                    <w:tl2br w:val="nil"/>
                    <w:tr2bl w:val="nil"/>
                  </w:tcBorders>
                  <w:vAlign w:val="center"/>
                </w:tcPr>
                <w:p w14:paraId="10B530BD">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hAnsi="Times New Roman" w:cs="Times New Roman"/>
                      <w:b w:val="0"/>
                      <w:bCs w:val="0"/>
                      <w:color w:val="000000" w:themeColor="text1"/>
                      <w:sz w:val="21"/>
                      <w:szCs w:val="21"/>
                      <w:highlight w:val="none"/>
                      <w:vertAlign w:val="baseline"/>
                      <w:lang w:val="en-US" w:eastAsia="zh-CN"/>
                      <w14:textFill>
                        <w14:solidFill>
                          <w14:schemeClr w14:val="tx1"/>
                        </w14:solidFill>
                      </w14:textFill>
                    </w:rPr>
                    <w:t>55.5</w:t>
                  </w:r>
                </w:p>
              </w:tc>
              <w:tc>
                <w:tcPr>
                  <w:tcW w:w="409" w:type="dxa"/>
                  <w:tcBorders>
                    <w:tl2br w:val="nil"/>
                    <w:tr2bl w:val="nil"/>
                  </w:tcBorders>
                  <w:vAlign w:val="center"/>
                </w:tcPr>
                <w:p w14:paraId="621A7DB1">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hAnsi="Times New Roman" w:cs="Times New Roman"/>
                      <w:b w:val="0"/>
                      <w:bCs w:val="0"/>
                      <w:color w:val="000000" w:themeColor="text1"/>
                      <w:sz w:val="21"/>
                      <w:szCs w:val="21"/>
                      <w:highlight w:val="none"/>
                      <w:vertAlign w:val="baseline"/>
                      <w:lang w:val="en-US" w:eastAsia="zh-CN"/>
                      <w14:textFill>
                        <w14:solidFill>
                          <w14:schemeClr w14:val="tx1"/>
                        </w14:solidFill>
                      </w14:textFill>
                    </w:rPr>
                    <w:t>1</w:t>
                  </w:r>
                </w:p>
              </w:tc>
            </w:tr>
            <w:tr w14:paraId="2DCC37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13" w:hRule="atLeast"/>
                <w:jc w:val="center"/>
              </w:trPr>
              <w:tc>
                <w:tcPr>
                  <w:tcW w:w="576" w:type="dxa"/>
                  <w:vMerge w:val="continue"/>
                  <w:tcBorders>
                    <w:tl2br w:val="nil"/>
                    <w:tr2bl w:val="nil"/>
                  </w:tcBorders>
                  <w:vAlign w:val="center"/>
                </w:tcPr>
                <w:p w14:paraId="01BDF1CB">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p>
              </w:tc>
              <w:tc>
                <w:tcPr>
                  <w:tcW w:w="409" w:type="dxa"/>
                  <w:tcBorders>
                    <w:tl2br w:val="nil"/>
                    <w:tr2bl w:val="nil"/>
                  </w:tcBorders>
                  <w:vAlign w:val="center"/>
                </w:tcPr>
                <w:p w14:paraId="5785265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叉车</w:t>
                  </w:r>
                </w:p>
              </w:tc>
              <w:tc>
                <w:tcPr>
                  <w:tcW w:w="510" w:type="dxa"/>
                  <w:tcBorders>
                    <w:tl2br w:val="nil"/>
                    <w:tr2bl w:val="nil"/>
                  </w:tcBorders>
                  <w:vAlign w:val="center"/>
                </w:tcPr>
                <w:p w14:paraId="1033FE6C">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w:t>
                  </w:r>
                </w:p>
              </w:tc>
              <w:tc>
                <w:tcPr>
                  <w:tcW w:w="511" w:type="dxa"/>
                  <w:tcBorders>
                    <w:tl2br w:val="nil"/>
                    <w:tr2bl w:val="nil"/>
                  </w:tcBorders>
                  <w:vAlign w:val="center"/>
                </w:tcPr>
                <w:p w14:paraId="28735BB1">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hAnsi="Times New Roman" w:cs="Times New Roman"/>
                      <w:b w:val="0"/>
                      <w:bCs w:val="0"/>
                      <w:color w:val="000000" w:themeColor="text1"/>
                      <w:sz w:val="21"/>
                      <w:szCs w:val="21"/>
                      <w:highlight w:val="none"/>
                      <w:vertAlign w:val="baseline"/>
                      <w:lang w:val="en-US" w:eastAsia="zh-CN"/>
                      <w14:textFill>
                        <w14:solidFill>
                          <w14:schemeClr w14:val="tx1"/>
                        </w14:solidFill>
                      </w14:textFill>
                    </w:rPr>
                    <w:t>80</w:t>
                  </w:r>
                </w:p>
              </w:tc>
              <w:tc>
                <w:tcPr>
                  <w:tcW w:w="1122" w:type="dxa"/>
                  <w:vMerge w:val="continue"/>
                  <w:tcBorders>
                    <w:tl2br w:val="nil"/>
                    <w:tr2bl w:val="nil"/>
                  </w:tcBorders>
                  <w:vAlign w:val="center"/>
                </w:tcPr>
                <w:p w14:paraId="510357DA">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p>
              </w:tc>
              <w:tc>
                <w:tcPr>
                  <w:tcW w:w="622" w:type="dxa"/>
                  <w:tcBorders>
                    <w:tl2br w:val="nil"/>
                    <w:tr2bl w:val="nil"/>
                  </w:tcBorders>
                  <w:vAlign w:val="center"/>
                </w:tcPr>
                <w:p w14:paraId="1118C5AA">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hAnsi="Times New Roman" w:cs="Times New Roman"/>
                      <w:b w:val="0"/>
                      <w:bCs w:val="0"/>
                      <w:color w:val="000000" w:themeColor="text1"/>
                      <w:sz w:val="21"/>
                      <w:szCs w:val="21"/>
                      <w:highlight w:val="none"/>
                      <w:vertAlign w:val="baseline"/>
                      <w:lang w:val="en-US" w:eastAsia="zh-CN"/>
                      <w14:textFill>
                        <w14:solidFill>
                          <w14:schemeClr w14:val="tx1"/>
                        </w14:solidFill>
                      </w14:textFill>
                    </w:rPr>
                    <w:t>17.34</w:t>
                  </w:r>
                </w:p>
              </w:tc>
              <w:tc>
                <w:tcPr>
                  <w:tcW w:w="584" w:type="dxa"/>
                  <w:tcBorders>
                    <w:tl2br w:val="nil"/>
                    <w:tr2bl w:val="nil"/>
                  </w:tcBorders>
                  <w:vAlign w:val="center"/>
                </w:tcPr>
                <w:p w14:paraId="276D4A8D">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hAnsi="Times New Roman" w:cs="Times New Roman"/>
                      <w:b w:val="0"/>
                      <w:bCs w:val="0"/>
                      <w:color w:val="000000" w:themeColor="text1"/>
                      <w:sz w:val="21"/>
                      <w:szCs w:val="21"/>
                      <w:highlight w:val="none"/>
                      <w:vertAlign w:val="baseline"/>
                      <w:lang w:val="en-US" w:eastAsia="zh-CN"/>
                      <w14:textFill>
                        <w14:solidFill>
                          <w14:schemeClr w14:val="tx1"/>
                        </w14:solidFill>
                      </w14:textFill>
                    </w:rPr>
                    <w:t>8.8</w:t>
                  </w:r>
                </w:p>
              </w:tc>
              <w:tc>
                <w:tcPr>
                  <w:tcW w:w="542" w:type="dxa"/>
                  <w:tcBorders>
                    <w:tl2br w:val="nil"/>
                    <w:tr2bl w:val="nil"/>
                  </w:tcBorders>
                  <w:vAlign w:val="center"/>
                </w:tcPr>
                <w:p w14:paraId="629B280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hAnsi="Times New Roman" w:cs="Times New Roman"/>
                      <w:b w:val="0"/>
                      <w:bCs w:val="0"/>
                      <w:color w:val="000000" w:themeColor="text1"/>
                      <w:sz w:val="21"/>
                      <w:szCs w:val="21"/>
                      <w:highlight w:val="none"/>
                      <w:vertAlign w:val="baseline"/>
                      <w:lang w:val="en-US" w:eastAsia="zh-CN"/>
                      <w14:textFill>
                        <w14:solidFill>
                          <w14:schemeClr w14:val="tx1"/>
                        </w14:solidFill>
                      </w14:textFill>
                    </w:rPr>
                    <w:t>1</w:t>
                  </w:r>
                </w:p>
              </w:tc>
              <w:tc>
                <w:tcPr>
                  <w:tcW w:w="510" w:type="dxa"/>
                  <w:tcBorders>
                    <w:tl2br w:val="nil"/>
                    <w:tr2bl w:val="nil"/>
                  </w:tcBorders>
                  <w:vAlign w:val="center"/>
                </w:tcPr>
                <w:p w14:paraId="4A63F79C">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昼间</w:t>
                  </w:r>
                </w:p>
              </w:tc>
              <w:tc>
                <w:tcPr>
                  <w:tcW w:w="397" w:type="dxa"/>
                  <w:tcBorders>
                    <w:tl2br w:val="nil"/>
                    <w:tr2bl w:val="nil"/>
                  </w:tcBorders>
                  <w:vAlign w:val="center"/>
                </w:tcPr>
                <w:p w14:paraId="5F8FC7A9">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hAnsi="Times New Roman" w:cs="Times New Roman"/>
                      <w:b w:val="0"/>
                      <w:bCs w:val="0"/>
                      <w:color w:val="000000" w:themeColor="text1"/>
                      <w:sz w:val="21"/>
                      <w:szCs w:val="21"/>
                      <w:highlight w:val="none"/>
                      <w:vertAlign w:val="baseline"/>
                      <w:lang w:val="en-US" w:eastAsia="zh-CN"/>
                      <w14:textFill>
                        <w14:solidFill>
                          <w14:schemeClr w14:val="tx1"/>
                        </w14:solidFill>
                      </w14:textFill>
                    </w:rPr>
                    <w:t>2</w:t>
                  </w:r>
                </w:p>
              </w:tc>
              <w:tc>
                <w:tcPr>
                  <w:tcW w:w="636" w:type="dxa"/>
                  <w:tcBorders>
                    <w:tl2br w:val="nil"/>
                    <w:tr2bl w:val="nil"/>
                  </w:tcBorders>
                  <w:vAlign w:val="center"/>
                </w:tcPr>
                <w:p w14:paraId="6B5F2056">
                  <w:pPr>
                    <w:keepNext w:val="0"/>
                    <w:keepLines w:val="0"/>
                    <w:widowControl/>
                    <w:suppressLineNumbers w:val="0"/>
                    <w:jc w:val="right"/>
                    <w:textAlignment w:val="cente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t xml:space="preserve">74.0 </w:t>
                  </w:r>
                </w:p>
              </w:tc>
              <w:tc>
                <w:tcPr>
                  <w:tcW w:w="460" w:type="dxa"/>
                  <w:vMerge w:val="continue"/>
                  <w:tcBorders>
                    <w:tl2br w:val="nil"/>
                    <w:tr2bl w:val="nil"/>
                  </w:tcBorders>
                  <w:vAlign w:val="center"/>
                </w:tcPr>
                <w:p w14:paraId="4F9ED45A">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p>
              </w:tc>
              <w:tc>
                <w:tcPr>
                  <w:tcW w:w="685" w:type="dxa"/>
                  <w:tcBorders>
                    <w:tl2br w:val="nil"/>
                    <w:tr2bl w:val="nil"/>
                  </w:tcBorders>
                  <w:vAlign w:val="center"/>
                </w:tcPr>
                <w:p w14:paraId="2073AAA8">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hAnsi="Times New Roman" w:cs="Times New Roman"/>
                      <w:b w:val="0"/>
                      <w:bCs w:val="0"/>
                      <w:color w:val="000000" w:themeColor="text1"/>
                      <w:sz w:val="21"/>
                      <w:szCs w:val="21"/>
                      <w:highlight w:val="none"/>
                      <w:vertAlign w:val="baseline"/>
                      <w:lang w:val="en-US" w:eastAsia="zh-CN"/>
                      <w14:textFill>
                        <w14:solidFill>
                          <w14:schemeClr w14:val="tx1"/>
                        </w14:solidFill>
                      </w14:textFill>
                    </w:rPr>
                    <w:t>20</w:t>
                  </w:r>
                </w:p>
              </w:tc>
              <w:tc>
                <w:tcPr>
                  <w:tcW w:w="660" w:type="dxa"/>
                  <w:tcBorders>
                    <w:tl2br w:val="nil"/>
                    <w:tr2bl w:val="nil"/>
                  </w:tcBorders>
                  <w:vAlign w:val="center"/>
                </w:tcPr>
                <w:p w14:paraId="1E01E34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s="Times New Roman"/>
                      <w:b w:val="0"/>
                      <w:bCs w:val="0"/>
                      <w:color w:val="000000" w:themeColor="text1"/>
                      <w:sz w:val="21"/>
                      <w:szCs w:val="21"/>
                      <w:highlight w:val="none"/>
                      <w:vertAlign w:val="baseline"/>
                      <w:lang w:val="en-US" w:eastAsia="zh-CN"/>
                      <w14:textFill>
                        <w14:solidFill>
                          <w14:schemeClr w14:val="tx1"/>
                        </w14:solidFill>
                      </w14:textFill>
                    </w:rPr>
                    <w:t>54</w:t>
                  </w:r>
                </w:p>
              </w:tc>
              <w:tc>
                <w:tcPr>
                  <w:tcW w:w="409" w:type="dxa"/>
                  <w:tcBorders>
                    <w:tl2br w:val="nil"/>
                    <w:tr2bl w:val="nil"/>
                  </w:tcBorders>
                  <w:vAlign w:val="center"/>
                </w:tcPr>
                <w:p w14:paraId="53067EB0">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hAnsi="Times New Roman" w:cs="Times New Roman"/>
                      <w:b w:val="0"/>
                      <w:bCs w:val="0"/>
                      <w:color w:val="000000" w:themeColor="text1"/>
                      <w:sz w:val="21"/>
                      <w:szCs w:val="21"/>
                      <w:highlight w:val="none"/>
                      <w:vertAlign w:val="baseline"/>
                      <w:lang w:val="en-US" w:eastAsia="zh-CN"/>
                      <w14:textFill>
                        <w14:solidFill>
                          <w14:schemeClr w14:val="tx1"/>
                        </w14:solidFill>
                      </w14:textFill>
                    </w:rPr>
                    <w:t>1</w:t>
                  </w:r>
                </w:p>
              </w:tc>
            </w:tr>
          </w:tbl>
          <w:p w14:paraId="1A3B92FC">
            <w:pPr>
              <w:pStyle w:val="34"/>
              <w:keepNext w:val="0"/>
              <w:keepLines w:val="0"/>
              <w:pageBreakBefore w:val="0"/>
              <w:widowControl w:val="0"/>
              <w:numPr>
                <w:ilvl w:val="0"/>
                <w:numId w:val="0"/>
              </w:numPr>
              <w:kinsoku/>
              <w:wordWrap/>
              <w:overflowPunct/>
              <w:topLinePunct w:val="0"/>
              <w:autoSpaceDE/>
              <w:autoSpaceDN/>
              <w:bidi w:val="0"/>
              <w:adjustRightInd/>
              <w:snapToGrid/>
              <w:spacing w:before="157" w:beforeLines="50"/>
              <w:jc w:val="left"/>
              <w:textAlignment w:val="auto"/>
              <w:rPr>
                <w:rFonts w:hint="eastAsia"/>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原点坐标：128.91922932，47.73592026</w:t>
            </w:r>
          </w:p>
          <w:p w14:paraId="5713F573">
            <w:pPr>
              <w:pStyle w:val="104"/>
              <w:keepNext w:val="0"/>
              <w:keepLines w:val="0"/>
              <w:pageBreakBefore w:val="0"/>
              <w:kinsoku/>
              <w:wordWrap/>
              <w:overflowPunct/>
              <w:topLinePunct w:val="0"/>
              <w:autoSpaceDE/>
              <w:autoSpaceDN/>
              <w:bidi w:val="0"/>
              <w:adjustRightInd/>
              <w:spacing w:line="360" w:lineRule="auto"/>
              <w:ind w:firstLine="480" w:firstLineChars="200"/>
              <w:contextualSpacing/>
              <w:jc w:val="both"/>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（2）噪声防护措施</w:t>
            </w:r>
          </w:p>
          <w:p w14:paraId="598C9F6C">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为减少各噪声源对周边声环境的影响，可从</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厂房</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隔声降噪、</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设备</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布局和加强管理等方面进一步考虑噪声的防治措施：</w:t>
            </w:r>
          </w:p>
          <w:p w14:paraId="7956E133">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①建筑物隔声：通过建筑物封闭隔声，可降低噪声厂界值，减轻影响。</w:t>
            </w:r>
          </w:p>
          <w:p w14:paraId="3D377B98">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②对设备进行日常维护，保障设备的正常运行，并且要求操作人员严格规范操作，防止因设备故障或者操作不当带来的额外噪声。</w:t>
            </w:r>
          </w:p>
          <w:p w14:paraId="144DF671">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（3）预测方法</w:t>
            </w:r>
          </w:p>
          <w:p w14:paraId="0255B3A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为了预测本项目运营噪声对周围环境的影响，根据声源的性质及预测点与声源之间的距离情况，采用《环境影响评价技术导则声环境》(HJ2.4-2021)中推荐的工业噪声点声源预测模式对不同距离处的噪声值进行预测。</w:t>
            </w:r>
          </w:p>
          <w:p w14:paraId="2113942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点声源噪声衰减模式：</w:t>
            </w:r>
          </w:p>
          <w:p w14:paraId="15B5A4E7">
            <w:pPr>
              <w:pStyle w:val="9"/>
              <w:keepNext w:val="0"/>
              <w:keepLines w:val="0"/>
              <w:pageBreakBefore w:val="0"/>
              <w:widowControl w:val="0"/>
              <w:kinsoku/>
              <w:wordWrap/>
              <w:overflowPunct/>
              <w:topLinePunct w:val="0"/>
              <w:bidi w:val="0"/>
              <w:spacing w:line="360" w:lineRule="auto"/>
              <w:ind w:firstLine="400"/>
              <w:textAlignment w:val="auto"/>
              <w:rPr>
                <w:rFonts w:hint="default" w:ascii="Times New Roman" w:hAnsi="Times New Roman" w:eastAsia="宋体" w:cs="Times New Roman"/>
                <w:color w:val="000000" w:themeColor="text1"/>
                <w:kern w:val="2"/>
                <w:sz w:val="24"/>
                <w:szCs w:val="24"/>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drawing>
                <wp:anchor distT="0" distB="0" distL="114300" distR="114300" simplePos="0" relativeHeight="251684864" behindDoc="0" locked="0" layoutInCell="1" allowOverlap="1">
                  <wp:simplePos x="0" y="0"/>
                  <wp:positionH relativeFrom="column">
                    <wp:posOffset>339725</wp:posOffset>
                  </wp:positionH>
                  <wp:positionV relativeFrom="paragraph">
                    <wp:posOffset>13970</wp:posOffset>
                  </wp:positionV>
                  <wp:extent cx="2717800" cy="438150"/>
                  <wp:effectExtent l="0" t="0" r="6350" b="0"/>
                  <wp:wrapTopAndBottom/>
                  <wp:docPr id="46" name="图片 12" descr="1638358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2" descr="1638358206(1)"/>
                          <pic:cNvPicPr>
                            <a:picLocks noChangeAspect="1"/>
                          </pic:cNvPicPr>
                        </pic:nvPicPr>
                        <pic:blipFill>
                          <a:blip r:embed="rId18"/>
                          <a:stretch>
                            <a:fillRect/>
                          </a:stretch>
                        </pic:blipFill>
                        <pic:spPr>
                          <a:xfrm>
                            <a:off x="0" y="0"/>
                            <a:ext cx="2717800" cy="438150"/>
                          </a:xfrm>
                          <a:prstGeom prst="rect">
                            <a:avLst/>
                          </a:prstGeom>
                          <a:noFill/>
                          <a:ln>
                            <a:noFill/>
                          </a:ln>
                        </pic:spPr>
                      </pic:pic>
                    </a:graphicData>
                  </a:graphic>
                </wp:anchor>
              </w:drawing>
            </w:r>
            <w:r>
              <w:rPr>
                <w:rFonts w:hint="default" w:ascii="Times New Roman" w:hAnsi="Times New Roman" w:eastAsia="宋体" w:cs="Times New Roman"/>
                <w:color w:val="000000" w:themeColor="text1"/>
                <w:kern w:val="2"/>
                <w:sz w:val="24"/>
                <w:szCs w:val="24"/>
                <w:highlight w:val="none"/>
                <w14:textFill>
                  <w14:solidFill>
                    <w14:schemeClr w14:val="tx1"/>
                  </w14:solidFill>
                </w14:textFill>
              </w:rPr>
              <w:t>式中：Lp(r0）—已知点的噪声声级，dB(A）；</w:t>
            </w:r>
          </w:p>
          <w:p w14:paraId="40809A2D">
            <w:pPr>
              <w:pStyle w:val="9"/>
              <w:keepNext w:val="0"/>
              <w:keepLines w:val="0"/>
              <w:pageBreakBefore w:val="0"/>
              <w:widowControl w:val="0"/>
              <w:kinsoku/>
              <w:wordWrap/>
              <w:overflowPunct/>
              <w:topLinePunct w:val="0"/>
              <w:bidi w:val="0"/>
              <w:spacing w:line="360" w:lineRule="auto"/>
              <w:ind w:firstLine="1200" w:firstLineChars="500"/>
              <w:textAlignment w:val="auto"/>
              <w:rPr>
                <w:rFonts w:hint="default" w:ascii="Times New Roman" w:hAnsi="Times New Roman" w:eastAsia="宋体" w:cs="Times New Roman"/>
                <w:color w:val="000000" w:themeColor="text1"/>
                <w:kern w:val="2"/>
                <w:sz w:val="24"/>
                <w:szCs w:val="24"/>
                <w:highlight w:val="none"/>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14:textFill>
                  <w14:solidFill>
                    <w14:schemeClr w14:val="tx1"/>
                  </w14:solidFill>
                </w14:textFill>
              </w:rPr>
              <w:t>Lp(r）—评价点的噪声声级，dB(A）；</w:t>
            </w:r>
          </w:p>
          <w:p w14:paraId="7FA62EC2">
            <w:pPr>
              <w:pStyle w:val="9"/>
              <w:keepNext w:val="0"/>
              <w:keepLines w:val="0"/>
              <w:pageBreakBefore w:val="0"/>
              <w:widowControl w:val="0"/>
              <w:kinsoku/>
              <w:wordWrap/>
              <w:overflowPunct/>
              <w:topLinePunct w:val="0"/>
              <w:bidi w:val="0"/>
              <w:spacing w:line="360" w:lineRule="auto"/>
              <w:ind w:firstLine="1200" w:firstLineChars="500"/>
              <w:textAlignment w:val="auto"/>
              <w:rPr>
                <w:rFonts w:hint="default" w:ascii="Times New Roman" w:hAnsi="Times New Roman" w:eastAsia="宋体" w:cs="Times New Roman"/>
                <w:color w:val="000000" w:themeColor="text1"/>
                <w:kern w:val="2"/>
                <w:sz w:val="24"/>
                <w:szCs w:val="24"/>
                <w:highlight w:val="none"/>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14:textFill>
                  <w14:solidFill>
                    <w14:schemeClr w14:val="tx1"/>
                  </w14:solidFill>
                </w14:textFill>
              </w:rPr>
              <w:t>r</w:t>
            </w:r>
            <w:r>
              <w:rPr>
                <w:rFonts w:hint="default" w:ascii="Times New Roman" w:hAnsi="Times New Roman" w:eastAsia="宋体" w:cs="Times New Roman"/>
                <w:color w:val="000000" w:themeColor="text1"/>
                <w:kern w:val="2"/>
                <w:sz w:val="24"/>
                <w:szCs w:val="24"/>
                <w:highlight w:val="none"/>
                <w:vertAlign w:val="subscript"/>
                <w14:textFill>
                  <w14:solidFill>
                    <w14:schemeClr w14:val="tx1"/>
                  </w14:solidFill>
                </w14:textFill>
              </w:rPr>
              <w:t>0</w:t>
            </w:r>
            <w:r>
              <w:rPr>
                <w:rFonts w:hint="default" w:ascii="Times New Roman" w:hAnsi="Times New Roman" w:eastAsia="宋体" w:cs="Times New Roman"/>
                <w:color w:val="000000" w:themeColor="text1"/>
                <w:kern w:val="2"/>
                <w:sz w:val="24"/>
                <w:szCs w:val="24"/>
                <w:highlight w:val="none"/>
                <w14:textFill>
                  <w14:solidFill>
                    <w14:schemeClr w14:val="tx1"/>
                  </w14:solidFill>
                </w14:textFill>
              </w:rPr>
              <w:t>—已知点到噪声源的距离，m；</w:t>
            </w:r>
          </w:p>
          <w:p w14:paraId="73FE07B8">
            <w:pPr>
              <w:pStyle w:val="9"/>
              <w:keepNext w:val="0"/>
              <w:keepLines w:val="0"/>
              <w:pageBreakBefore w:val="0"/>
              <w:widowControl w:val="0"/>
              <w:kinsoku/>
              <w:wordWrap/>
              <w:overflowPunct/>
              <w:topLinePunct w:val="0"/>
              <w:autoSpaceDE/>
              <w:autoSpaceDN/>
              <w:bidi w:val="0"/>
              <w:adjustRightInd/>
              <w:snapToGrid/>
              <w:spacing w:line="360" w:lineRule="auto"/>
              <w:ind w:firstLine="1200" w:firstLineChars="500"/>
              <w:textAlignment w:val="auto"/>
              <w:rPr>
                <w:rFonts w:hint="default" w:ascii="Times New Roman" w:hAnsi="Times New Roman" w:eastAsia="宋体" w:cs="Times New Roman"/>
                <w:color w:val="000000" w:themeColor="text1"/>
                <w:kern w:val="2"/>
                <w:sz w:val="24"/>
                <w:szCs w:val="24"/>
                <w:highlight w:val="none"/>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14:textFill>
                  <w14:solidFill>
                    <w14:schemeClr w14:val="tx1"/>
                  </w14:solidFill>
                </w14:textFill>
              </w:rPr>
              <w:t>r</w:t>
            </w:r>
            <w:r>
              <w:rPr>
                <w:rFonts w:hint="default" w:ascii="Times New Roman" w:hAnsi="Times New Roman" w:eastAsia="宋体" w:cs="Times New Roman"/>
                <w:color w:val="000000" w:themeColor="text1"/>
                <w:kern w:val="2"/>
                <w:sz w:val="24"/>
                <w:szCs w:val="24"/>
                <w:highlight w:val="none"/>
                <w:vertAlign w:val="subscript"/>
                <w14:textFill>
                  <w14:solidFill>
                    <w14:schemeClr w14:val="tx1"/>
                  </w14:solidFill>
                </w14:textFill>
              </w:rPr>
              <w:t>1</w:t>
            </w:r>
            <w:r>
              <w:rPr>
                <w:rFonts w:hint="default" w:ascii="Times New Roman" w:hAnsi="Times New Roman" w:eastAsia="宋体" w:cs="Times New Roman"/>
                <w:color w:val="000000" w:themeColor="text1"/>
                <w:kern w:val="2"/>
                <w:sz w:val="24"/>
                <w:szCs w:val="24"/>
                <w:highlight w:val="none"/>
                <w14:textFill>
                  <w14:solidFill>
                    <w14:schemeClr w14:val="tx1"/>
                  </w14:solidFill>
                </w14:textFill>
              </w:rPr>
              <w:t>—评价点到噪声源的距离，m。</w:t>
            </w:r>
          </w:p>
          <w:p w14:paraId="4B8B093C">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14:textFill>
                  <w14:solidFill>
                    <w14:schemeClr w14:val="tx1"/>
                  </w14:solidFill>
                </w14:textFill>
              </w:rPr>
              <w:t>采用前述点声源噪声预测模式，结合建筑分布和高噪声设备位置，对本项目设备噪声经</w:t>
            </w:r>
            <w:r>
              <w:rPr>
                <w:rFonts w:hint="default" w:ascii="Times New Roman" w:hAnsi="Times New Roman" w:eastAsia="宋体" w:cs="Times New Roman"/>
                <w:color w:val="000000" w:themeColor="text1"/>
                <w:kern w:val="2"/>
                <w:sz w:val="24"/>
                <w:szCs w:val="24"/>
                <w:highlight w:val="none"/>
                <w:lang w:val="en-US" w:eastAsia="zh-CN"/>
                <w14:textFill>
                  <w14:solidFill>
                    <w14:schemeClr w14:val="tx1"/>
                  </w14:solidFill>
                </w14:textFill>
              </w:rPr>
              <w:t>选用低噪声设备</w:t>
            </w:r>
            <w:r>
              <w:rPr>
                <w:rFonts w:hint="eastAsia" w:eastAsia="宋体" w:cs="Times New Roman"/>
                <w:color w:val="000000" w:themeColor="text1"/>
                <w:kern w:val="2"/>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14:textFill>
                  <w14:solidFill>
                    <w14:schemeClr w14:val="tx1"/>
                  </w14:solidFill>
                </w14:textFill>
              </w:rPr>
              <w:t>隔声、减振、软连接、厂房隔声等措施</w:t>
            </w:r>
            <w:r>
              <w:rPr>
                <w:rFonts w:hint="default" w:ascii="Times New Roman" w:hAnsi="Times New Roman" w:eastAsia="宋体" w:cs="Times New Roman"/>
                <w:color w:val="000000" w:themeColor="text1"/>
                <w:kern w:val="2"/>
                <w:sz w:val="24"/>
                <w:szCs w:val="24"/>
                <w:highlight w:val="none"/>
                <w14:textFill>
                  <w14:solidFill>
                    <w14:schemeClr w14:val="tx1"/>
                  </w14:solidFill>
                </w14:textFill>
              </w:rPr>
              <w:t>及距离衰减后，在预测点处的噪声排放情况进行预测</w:t>
            </w:r>
            <w:r>
              <w:rPr>
                <w:rFonts w:hint="default" w:ascii="Times New Roman" w:hAnsi="Times New Roman" w:eastAsia="宋体" w:cs="Times New Roman"/>
                <w:color w:val="000000" w:themeColor="text1"/>
                <w:kern w:val="2"/>
                <w:sz w:val="24"/>
                <w:szCs w:val="24"/>
                <w:highlight w:val="none"/>
                <w:lang w:eastAsia="zh-CN"/>
                <w14:textFill>
                  <w14:solidFill>
                    <w14:schemeClr w14:val="tx1"/>
                  </w14:solidFill>
                </w14:textFill>
              </w:rPr>
              <w:t>。</w:t>
            </w:r>
          </w:p>
          <w:p w14:paraId="34C8309C">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（4）预测结果</w:t>
            </w:r>
          </w:p>
          <w:p w14:paraId="0A847287">
            <w:pPr>
              <w:widowControl w:val="0"/>
              <w:adjustRightInd/>
              <w:snapToGrid/>
              <w:spacing w:after="0" w:line="360" w:lineRule="auto"/>
              <w:ind w:firstLine="480" w:firstLineChars="200"/>
              <w:jc w:val="both"/>
              <w:rPr>
                <w:rFonts w:hint="default" w:ascii="Times New Roman" w:hAnsi="Times New Roman" w:eastAsia="宋体" w:cs="Times New Roman"/>
                <w:color w:val="000000" w:themeColor="text1"/>
                <w:kern w:val="2"/>
                <w:sz w:val="24"/>
                <w:highlight w:val="none"/>
                <w14:textFill>
                  <w14:solidFill>
                    <w14:schemeClr w14:val="tx1"/>
                  </w14:solidFill>
                </w14:textFill>
              </w:rPr>
            </w:pPr>
            <w:r>
              <w:rPr>
                <w:rFonts w:hint="default" w:ascii="Times New Roman" w:hAnsi="Times New Roman" w:eastAsia="宋体" w:cs="Times New Roman"/>
                <w:color w:val="000000" w:themeColor="text1"/>
                <w:kern w:val="2"/>
                <w:sz w:val="24"/>
                <w:highlight w:val="none"/>
                <w14:textFill>
                  <w14:solidFill>
                    <w14:schemeClr w14:val="tx1"/>
                  </w14:solidFill>
                </w14:textFill>
              </w:rPr>
              <w:t>根据噪声源强，在考虑距离衰减等因素的情况下，预测各噪声传播衰减后的噪声值，预测结果见</w:t>
            </w:r>
            <w:r>
              <w:rPr>
                <w:rFonts w:hint="default" w:ascii="Times New Roman" w:hAnsi="Times New Roman" w:eastAsia="宋体" w:cs="Times New Roman"/>
                <w:color w:val="000000" w:themeColor="text1"/>
                <w:kern w:val="2"/>
                <w:sz w:val="24"/>
                <w:highlight w:val="none"/>
                <w:lang w:val="en-US" w:eastAsia="zh-CN"/>
                <w14:textFill>
                  <w14:solidFill>
                    <w14:schemeClr w14:val="tx1"/>
                  </w14:solidFill>
                </w14:textFill>
              </w:rPr>
              <w:t>下</w:t>
            </w:r>
            <w:r>
              <w:rPr>
                <w:rFonts w:hint="default" w:ascii="Times New Roman" w:hAnsi="Times New Roman" w:eastAsia="宋体" w:cs="Times New Roman"/>
                <w:color w:val="000000" w:themeColor="text1"/>
                <w:kern w:val="2"/>
                <w:sz w:val="24"/>
                <w:highlight w:val="none"/>
                <w14:textFill>
                  <w14:solidFill>
                    <w14:schemeClr w14:val="tx1"/>
                  </w14:solidFill>
                </w14:textFill>
              </w:rPr>
              <w:t>表。</w:t>
            </w:r>
          </w:p>
          <w:p w14:paraId="4F93C48E">
            <w:pPr>
              <w:pStyle w:val="3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宋体" w:eastAsia="宋体" w:cs="宋体"/>
                <w:b/>
                <w:bCs/>
                <w:color w:val="000000" w:themeColor="text1"/>
                <w:sz w:val="24"/>
                <w:szCs w:val="24"/>
                <w:highlight w:val="none"/>
                <w:lang w:val="en-US" w:eastAsia="zh-CN"/>
                <w14:textFill>
                  <w14:solidFill>
                    <w14:schemeClr w14:val="tx1"/>
                  </w14:solidFill>
                </w14:textFill>
              </w:rPr>
            </w:pPr>
            <w:r>
              <w:rPr>
                <w:rFonts w:hint="eastAsia" w:ascii="Times New Roman" w:hAnsi="宋体" w:eastAsia="宋体" w:cs="宋体"/>
                <w:b/>
                <w:bCs/>
                <w:color w:val="000000" w:themeColor="text1"/>
                <w:sz w:val="24"/>
                <w:szCs w:val="24"/>
                <w:highlight w:val="none"/>
                <w:lang w:val="en-US" w:eastAsia="zh-CN"/>
                <w14:textFill>
                  <w14:solidFill>
                    <w14:schemeClr w14:val="tx1"/>
                  </w14:solidFill>
                </w14:textFill>
              </w:rPr>
              <w:t>表</w:t>
            </w:r>
            <w:r>
              <w:rPr>
                <w:rFonts w:hint="eastAsia" w:cs="宋体"/>
                <w:b/>
                <w:bCs/>
                <w:color w:val="000000" w:themeColor="text1"/>
                <w:sz w:val="24"/>
                <w:szCs w:val="24"/>
                <w:highlight w:val="none"/>
                <w:lang w:val="en-US" w:eastAsia="zh-CN"/>
                <w14:textFill>
                  <w14:solidFill>
                    <w14:schemeClr w14:val="tx1"/>
                  </w14:solidFill>
                </w14:textFill>
              </w:rPr>
              <w:t>4-7</w:t>
            </w:r>
            <w:r>
              <w:rPr>
                <w:rFonts w:hint="eastAsia" w:ascii="Times New Roman" w:hAnsi="宋体" w:eastAsia="宋体" w:cs="宋体"/>
                <w:b/>
                <w:bCs/>
                <w:color w:val="000000" w:themeColor="text1"/>
                <w:sz w:val="24"/>
                <w:szCs w:val="24"/>
                <w:highlight w:val="none"/>
                <w:lang w:val="en-US" w:eastAsia="zh-CN"/>
                <w14:textFill>
                  <w14:solidFill>
                    <w14:schemeClr w14:val="tx1"/>
                  </w14:solidFill>
                </w14:textFill>
              </w:rPr>
              <w:t xml:space="preserve"> 项目边界噪声贡献值一览表 单位：dB（A）</w:t>
            </w:r>
          </w:p>
          <w:tbl>
            <w:tblPr>
              <w:tblStyle w:val="28"/>
              <w:tblW w:w="4998" w:type="pct"/>
              <w:tblInd w:w="5"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85" w:type="dxa"/>
                <w:bottom w:w="0" w:type="dxa"/>
                <w:right w:w="85" w:type="dxa"/>
              </w:tblCellMar>
            </w:tblPr>
            <w:tblGrid>
              <w:gridCol w:w="931"/>
              <w:gridCol w:w="1648"/>
              <w:gridCol w:w="1418"/>
              <w:gridCol w:w="1420"/>
              <w:gridCol w:w="1426"/>
              <w:gridCol w:w="2250"/>
            </w:tblGrid>
            <w:tr w14:paraId="52FFE6B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85" w:type="dxa"/>
                  <w:bottom w:w="0" w:type="dxa"/>
                  <w:right w:w="85" w:type="dxa"/>
                </w:tblCellMar>
              </w:tblPrEx>
              <w:trPr>
                <w:trHeight w:val="425" w:hRule="atLeast"/>
                <w:tblHeader/>
              </w:trPr>
              <w:tc>
                <w:tcPr>
                  <w:tcW w:w="512" w:type="pct"/>
                  <w:vMerge w:val="restart"/>
                  <w:tcBorders>
                    <w:tl2br w:val="nil"/>
                    <w:tr2bl w:val="nil"/>
                  </w:tcBorders>
                  <w:noWrap w:val="0"/>
                  <w:vAlign w:val="center"/>
                </w:tcPr>
                <w:p w14:paraId="37FB714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t>编号</w:t>
                  </w:r>
                </w:p>
              </w:tc>
              <w:tc>
                <w:tcPr>
                  <w:tcW w:w="906" w:type="pct"/>
                  <w:vMerge w:val="restart"/>
                  <w:tcBorders>
                    <w:tl2br w:val="nil"/>
                    <w:tr2bl w:val="nil"/>
                  </w:tcBorders>
                  <w:noWrap w:val="0"/>
                  <w:vAlign w:val="center"/>
                </w:tcPr>
                <w:p w14:paraId="2B2042E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t>预测点名称</w:t>
                  </w:r>
                </w:p>
              </w:tc>
              <w:tc>
                <w:tcPr>
                  <w:tcW w:w="1559" w:type="pct"/>
                  <w:gridSpan w:val="2"/>
                  <w:tcBorders>
                    <w:tl2br w:val="nil"/>
                    <w:tr2bl w:val="nil"/>
                  </w:tcBorders>
                  <w:noWrap w:val="0"/>
                  <w:vAlign w:val="center"/>
                </w:tcPr>
                <w:p w14:paraId="543E500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t>本项目贡献值</w:t>
                  </w:r>
                </w:p>
              </w:tc>
              <w:tc>
                <w:tcPr>
                  <w:tcW w:w="784" w:type="pct"/>
                  <w:vMerge w:val="restart"/>
                  <w:tcBorders>
                    <w:tl2br w:val="nil"/>
                    <w:tr2bl w:val="nil"/>
                  </w:tcBorders>
                  <w:noWrap w:val="0"/>
                  <w:vAlign w:val="center"/>
                </w:tcPr>
                <w:p w14:paraId="532D2C2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t>达标情况</w:t>
                  </w:r>
                </w:p>
              </w:tc>
              <w:tc>
                <w:tcPr>
                  <w:tcW w:w="1236" w:type="pct"/>
                  <w:vMerge w:val="restart"/>
                  <w:tcBorders>
                    <w:tl2br w:val="nil"/>
                    <w:tr2bl w:val="nil"/>
                  </w:tcBorders>
                  <w:noWrap w:val="0"/>
                  <w:vAlign w:val="center"/>
                </w:tcPr>
                <w:p w14:paraId="0253B5F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t>执行标准</w:t>
                  </w:r>
                </w:p>
              </w:tc>
            </w:tr>
            <w:tr w14:paraId="7D561E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85" w:type="dxa"/>
                  <w:bottom w:w="0" w:type="dxa"/>
                  <w:right w:w="85" w:type="dxa"/>
                </w:tblCellMar>
              </w:tblPrEx>
              <w:trPr>
                <w:trHeight w:val="425" w:hRule="atLeast"/>
                <w:tblHeader/>
              </w:trPr>
              <w:tc>
                <w:tcPr>
                  <w:tcW w:w="512" w:type="pct"/>
                  <w:vMerge w:val="continue"/>
                  <w:tcBorders>
                    <w:tl2br w:val="nil"/>
                    <w:tr2bl w:val="nil"/>
                  </w:tcBorders>
                  <w:noWrap w:val="0"/>
                  <w:vAlign w:val="center"/>
                </w:tcPr>
                <w:p w14:paraId="0EE7919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p>
              </w:tc>
              <w:tc>
                <w:tcPr>
                  <w:tcW w:w="906" w:type="pct"/>
                  <w:vMerge w:val="continue"/>
                  <w:tcBorders>
                    <w:tl2br w:val="nil"/>
                    <w:tr2bl w:val="nil"/>
                  </w:tcBorders>
                  <w:noWrap w:val="0"/>
                  <w:vAlign w:val="center"/>
                </w:tcPr>
                <w:p w14:paraId="1144D72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p>
              </w:tc>
              <w:tc>
                <w:tcPr>
                  <w:tcW w:w="779" w:type="pct"/>
                  <w:tcBorders>
                    <w:tl2br w:val="nil"/>
                    <w:tr2bl w:val="nil"/>
                  </w:tcBorders>
                  <w:noWrap w:val="0"/>
                  <w:vAlign w:val="center"/>
                </w:tcPr>
                <w:p w14:paraId="2DA2731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t>昼间</w:t>
                  </w:r>
                </w:p>
              </w:tc>
              <w:tc>
                <w:tcPr>
                  <w:tcW w:w="780" w:type="pct"/>
                  <w:tcBorders>
                    <w:tl2br w:val="nil"/>
                    <w:tr2bl w:val="nil"/>
                  </w:tcBorders>
                  <w:noWrap w:val="0"/>
                  <w:vAlign w:val="center"/>
                </w:tcPr>
                <w:p w14:paraId="1D60C2C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t>夜间</w:t>
                  </w:r>
                </w:p>
              </w:tc>
              <w:tc>
                <w:tcPr>
                  <w:tcW w:w="784" w:type="pct"/>
                  <w:vMerge w:val="continue"/>
                  <w:tcBorders>
                    <w:tl2br w:val="nil"/>
                    <w:tr2bl w:val="nil"/>
                  </w:tcBorders>
                  <w:noWrap w:val="0"/>
                  <w:vAlign w:val="center"/>
                </w:tcPr>
                <w:p w14:paraId="066053A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p>
              </w:tc>
              <w:tc>
                <w:tcPr>
                  <w:tcW w:w="1236" w:type="pct"/>
                  <w:vMerge w:val="continue"/>
                  <w:tcBorders>
                    <w:tl2br w:val="nil"/>
                    <w:tr2bl w:val="nil"/>
                  </w:tcBorders>
                  <w:noWrap w:val="0"/>
                  <w:vAlign w:val="center"/>
                </w:tcPr>
                <w:p w14:paraId="4FCD1F0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p>
              </w:tc>
            </w:tr>
            <w:tr w14:paraId="5FBF535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85" w:type="dxa"/>
                  <w:bottom w:w="0" w:type="dxa"/>
                  <w:right w:w="85" w:type="dxa"/>
                </w:tblCellMar>
              </w:tblPrEx>
              <w:trPr>
                <w:trHeight w:val="425" w:hRule="atLeast"/>
              </w:trPr>
              <w:tc>
                <w:tcPr>
                  <w:tcW w:w="512" w:type="pct"/>
                  <w:tcBorders>
                    <w:tl2br w:val="nil"/>
                    <w:tr2bl w:val="nil"/>
                  </w:tcBorders>
                  <w:noWrap w:val="0"/>
                  <w:vAlign w:val="center"/>
                </w:tcPr>
                <w:p w14:paraId="7E3DC65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t>1#</w:t>
                  </w:r>
                </w:p>
              </w:tc>
              <w:tc>
                <w:tcPr>
                  <w:tcW w:w="906" w:type="pct"/>
                  <w:tcBorders>
                    <w:tl2br w:val="nil"/>
                    <w:tr2bl w:val="nil"/>
                  </w:tcBorders>
                  <w:noWrap w:val="0"/>
                  <w:vAlign w:val="center"/>
                </w:tcPr>
                <w:p w14:paraId="61BAD7B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北</w:t>
                  </w:r>
                  <w:r>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t>侧厂界</w:t>
                  </w:r>
                </w:p>
              </w:tc>
              <w:tc>
                <w:tcPr>
                  <w:tcW w:w="779" w:type="pct"/>
                  <w:tcBorders>
                    <w:tl2br w:val="nil"/>
                    <w:tr2bl w:val="nil"/>
                  </w:tcBorders>
                  <w:noWrap w:val="0"/>
                  <w:vAlign w:val="center"/>
                </w:tcPr>
                <w:p w14:paraId="59C7F252">
                  <w:pPr>
                    <w:adjustRightInd w:val="0"/>
                    <w:snapToGrid w:val="0"/>
                    <w:jc w:val="cente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39.91</w:t>
                  </w:r>
                </w:p>
              </w:tc>
              <w:tc>
                <w:tcPr>
                  <w:tcW w:w="780" w:type="pct"/>
                  <w:tcBorders>
                    <w:tl2br w:val="nil"/>
                    <w:tr2bl w:val="nil"/>
                  </w:tcBorders>
                  <w:noWrap w:val="0"/>
                  <w:vAlign w:val="center"/>
                </w:tcPr>
                <w:p w14:paraId="55602351">
                  <w:pPr>
                    <w:adjustRightInd w:val="0"/>
                    <w:snapToGrid w:val="0"/>
                    <w:jc w:val="center"/>
                    <w:rPr>
                      <w:rFonts w:hint="default"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lang w:val="en-US" w:eastAsia="zh-CN" w:bidi="ar-SA"/>
                      <w14:textFill>
                        <w14:solidFill>
                          <w14:schemeClr w14:val="tx1"/>
                        </w14:solidFill>
                      </w14:textFill>
                    </w:rPr>
                    <w:t>39.5</w:t>
                  </w:r>
                </w:p>
              </w:tc>
              <w:tc>
                <w:tcPr>
                  <w:tcW w:w="784" w:type="pct"/>
                  <w:tcBorders>
                    <w:tl2br w:val="nil"/>
                    <w:tr2bl w:val="nil"/>
                  </w:tcBorders>
                  <w:noWrap w:val="0"/>
                  <w:vAlign w:val="center"/>
                </w:tcPr>
                <w:p w14:paraId="5B04359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t>达标</w:t>
                  </w:r>
                </w:p>
              </w:tc>
              <w:tc>
                <w:tcPr>
                  <w:tcW w:w="1236" w:type="pct"/>
                  <w:vMerge w:val="restart"/>
                  <w:tcBorders>
                    <w:tl2br w:val="nil"/>
                    <w:tr2bl w:val="nil"/>
                  </w:tcBorders>
                  <w:noWrap w:val="0"/>
                  <w:vAlign w:val="center"/>
                </w:tcPr>
                <w:p w14:paraId="11F161C2">
                  <w:pPr>
                    <w:pStyle w:val="60"/>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t>《工业企业厂界环境噪声排放标准》</w:t>
                  </w:r>
                </w:p>
                <w:p w14:paraId="7451FEE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snapToGrid w:val="0"/>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t>（GB12348-2008）表1中</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t>类标准</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限值要求</w:t>
                  </w:r>
                </w:p>
              </w:tc>
            </w:tr>
            <w:tr w14:paraId="057E242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85" w:type="dxa"/>
                  <w:bottom w:w="0" w:type="dxa"/>
                  <w:right w:w="85" w:type="dxa"/>
                </w:tblCellMar>
              </w:tblPrEx>
              <w:trPr>
                <w:trHeight w:val="425" w:hRule="atLeast"/>
              </w:trPr>
              <w:tc>
                <w:tcPr>
                  <w:tcW w:w="512" w:type="pct"/>
                  <w:tcBorders>
                    <w:tl2br w:val="nil"/>
                    <w:tr2bl w:val="nil"/>
                  </w:tcBorders>
                  <w:noWrap w:val="0"/>
                  <w:vAlign w:val="center"/>
                </w:tcPr>
                <w:p w14:paraId="4D2B589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t>2#</w:t>
                  </w:r>
                </w:p>
              </w:tc>
              <w:tc>
                <w:tcPr>
                  <w:tcW w:w="906" w:type="pct"/>
                  <w:tcBorders>
                    <w:tl2br w:val="nil"/>
                    <w:tr2bl w:val="nil"/>
                  </w:tcBorders>
                  <w:noWrap w:val="0"/>
                  <w:vAlign w:val="center"/>
                </w:tcPr>
                <w:p w14:paraId="6568EF5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东</w:t>
                  </w:r>
                  <w:r>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t>侧厂界</w:t>
                  </w:r>
                </w:p>
              </w:tc>
              <w:tc>
                <w:tcPr>
                  <w:tcW w:w="779" w:type="pct"/>
                  <w:tcBorders>
                    <w:tl2br w:val="nil"/>
                    <w:tr2bl w:val="nil"/>
                  </w:tcBorders>
                  <w:noWrap w:val="0"/>
                  <w:vAlign w:val="center"/>
                </w:tcPr>
                <w:p w14:paraId="36C19151">
                  <w:pPr>
                    <w:adjustRightInd w:val="0"/>
                    <w:snapToGrid w:val="0"/>
                    <w:jc w:val="cente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38.04</w:t>
                  </w:r>
                </w:p>
              </w:tc>
              <w:tc>
                <w:tcPr>
                  <w:tcW w:w="780" w:type="pct"/>
                  <w:tcBorders>
                    <w:tl2br w:val="nil"/>
                    <w:tr2bl w:val="nil"/>
                  </w:tcBorders>
                  <w:noWrap w:val="0"/>
                  <w:vAlign w:val="center"/>
                </w:tcPr>
                <w:p w14:paraId="328FAEBF">
                  <w:pPr>
                    <w:adjustRightInd w:val="0"/>
                    <w:snapToGrid w:val="0"/>
                    <w:jc w:val="center"/>
                    <w:rPr>
                      <w:rFonts w:hint="default"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lang w:val="en-US" w:eastAsia="zh-CN" w:bidi="ar-SA"/>
                      <w14:textFill>
                        <w14:solidFill>
                          <w14:schemeClr w14:val="tx1"/>
                        </w14:solidFill>
                      </w14:textFill>
                    </w:rPr>
                    <w:t>37.63</w:t>
                  </w:r>
                </w:p>
              </w:tc>
              <w:tc>
                <w:tcPr>
                  <w:tcW w:w="784" w:type="pct"/>
                  <w:tcBorders>
                    <w:tl2br w:val="nil"/>
                    <w:tr2bl w:val="nil"/>
                  </w:tcBorders>
                  <w:noWrap w:val="0"/>
                  <w:vAlign w:val="center"/>
                </w:tcPr>
                <w:p w14:paraId="1158731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t>达标</w:t>
                  </w:r>
                </w:p>
              </w:tc>
              <w:tc>
                <w:tcPr>
                  <w:tcW w:w="1236" w:type="pct"/>
                  <w:vMerge w:val="continue"/>
                  <w:tcBorders>
                    <w:tl2br w:val="nil"/>
                    <w:tr2bl w:val="nil"/>
                  </w:tcBorders>
                  <w:noWrap w:val="0"/>
                  <w:vAlign w:val="center"/>
                </w:tcPr>
                <w:p w14:paraId="35F42CD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p>
              </w:tc>
            </w:tr>
            <w:tr w14:paraId="0DA9214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85" w:type="dxa"/>
                  <w:bottom w:w="0" w:type="dxa"/>
                  <w:right w:w="85" w:type="dxa"/>
                </w:tblCellMar>
              </w:tblPrEx>
              <w:trPr>
                <w:trHeight w:val="425" w:hRule="atLeast"/>
              </w:trPr>
              <w:tc>
                <w:tcPr>
                  <w:tcW w:w="512" w:type="pct"/>
                  <w:tcBorders>
                    <w:tl2br w:val="nil"/>
                    <w:tr2bl w:val="nil"/>
                  </w:tcBorders>
                  <w:noWrap w:val="0"/>
                  <w:vAlign w:val="center"/>
                </w:tcPr>
                <w:p w14:paraId="05516B9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t>3#</w:t>
                  </w:r>
                </w:p>
              </w:tc>
              <w:tc>
                <w:tcPr>
                  <w:tcW w:w="906" w:type="pct"/>
                  <w:tcBorders>
                    <w:tl2br w:val="nil"/>
                    <w:tr2bl w:val="nil"/>
                  </w:tcBorders>
                  <w:noWrap w:val="0"/>
                  <w:vAlign w:val="center"/>
                </w:tcPr>
                <w:p w14:paraId="5C21CC0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南</w:t>
                  </w:r>
                  <w:r>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t>侧厂界</w:t>
                  </w:r>
                </w:p>
              </w:tc>
              <w:tc>
                <w:tcPr>
                  <w:tcW w:w="779" w:type="pct"/>
                  <w:tcBorders>
                    <w:tl2br w:val="nil"/>
                    <w:tr2bl w:val="nil"/>
                  </w:tcBorders>
                  <w:noWrap w:val="0"/>
                  <w:vAlign w:val="center"/>
                </w:tcPr>
                <w:p w14:paraId="3D5106A5">
                  <w:pPr>
                    <w:adjustRightInd w:val="0"/>
                    <w:snapToGrid w:val="0"/>
                    <w:jc w:val="cente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41.21</w:t>
                  </w:r>
                </w:p>
              </w:tc>
              <w:tc>
                <w:tcPr>
                  <w:tcW w:w="780" w:type="pct"/>
                  <w:tcBorders>
                    <w:tl2br w:val="nil"/>
                    <w:tr2bl w:val="nil"/>
                  </w:tcBorders>
                  <w:noWrap w:val="0"/>
                  <w:vAlign w:val="center"/>
                </w:tcPr>
                <w:p w14:paraId="600F7D16">
                  <w:pPr>
                    <w:adjustRightInd w:val="0"/>
                    <w:snapToGrid w:val="0"/>
                    <w:jc w:val="center"/>
                    <w:rPr>
                      <w:rFonts w:hint="default"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lang w:val="en-US" w:eastAsia="zh-CN" w:bidi="ar-SA"/>
                      <w14:textFill>
                        <w14:solidFill>
                          <w14:schemeClr w14:val="tx1"/>
                        </w14:solidFill>
                      </w14:textFill>
                    </w:rPr>
                    <w:t>40.8</w:t>
                  </w:r>
                </w:p>
              </w:tc>
              <w:tc>
                <w:tcPr>
                  <w:tcW w:w="784" w:type="pct"/>
                  <w:tcBorders>
                    <w:tl2br w:val="nil"/>
                    <w:tr2bl w:val="nil"/>
                  </w:tcBorders>
                  <w:noWrap w:val="0"/>
                  <w:vAlign w:val="center"/>
                </w:tcPr>
                <w:p w14:paraId="34AC736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t>达标</w:t>
                  </w:r>
                </w:p>
              </w:tc>
              <w:tc>
                <w:tcPr>
                  <w:tcW w:w="1236" w:type="pct"/>
                  <w:vMerge w:val="continue"/>
                  <w:tcBorders>
                    <w:tl2br w:val="nil"/>
                    <w:tr2bl w:val="nil"/>
                  </w:tcBorders>
                  <w:noWrap w:val="0"/>
                  <w:vAlign w:val="center"/>
                </w:tcPr>
                <w:p w14:paraId="3A3CCA7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p>
              </w:tc>
            </w:tr>
            <w:tr w14:paraId="7FAA170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85" w:type="dxa"/>
                  <w:bottom w:w="0" w:type="dxa"/>
                  <w:right w:w="85" w:type="dxa"/>
                </w:tblCellMar>
              </w:tblPrEx>
              <w:trPr>
                <w:trHeight w:val="425" w:hRule="atLeast"/>
              </w:trPr>
              <w:tc>
                <w:tcPr>
                  <w:tcW w:w="512" w:type="pct"/>
                  <w:tcBorders>
                    <w:tl2br w:val="nil"/>
                    <w:tr2bl w:val="nil"/>
                  </w:tcBorders>
                  <w:noWrap w:val="0"/>
                  <w:vAlign w:val="center"/>
                </w:tcPr>
                <w:p w14:paraId="1B64A34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t>4#</w:t>
                  </w:r>
                </w:p>
              </w:tc>
              <w:tc>
                <w:tcPr>
                  <w:tcW w:w="906" w:type="pct"/>
                  <w:tcBorders>
                    <w:tl2br w:val="nil"/>
                    <w:tr2bl w:val="nil"/>
                  </w:tcBorders>
                  <w:noWrap w:val="0"/>
                  <w:vAlign w:val="center"/>
                </w:tcPr>
                <w:p w14:paraId="3837823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西</w:t>
                  </w:r>
                  <w:r>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t>侧厂界</w:t>
                  </w:r>
                </w:p>
              </w:tc>
              <w:tc>
                <w:tcPr>
                  <w:tcW w:w="779" w:type="pct"/>
                  <w:tcBorders>
                    <w:tl2br w:val="nil"/>
                    <w:tr2bl w:val="nil"/>
                  </w:tcBorders>
                  <w:noWrap w:val="0"/>
                  <w:vAlign w:val="center"/>
                </w:tcPr>
                <w:p w14:paraId="42A37883">
                  <w:pPr>
                    <w:adjustRightInd w:val="0"/>
                    <w:snapToGrid w:val="0"/>
                    <w:jc w:val="cente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pPr>
                  <w:r>
                    <w:rPr>
                      <w:rFonts w:hint="eastAsia" w:cs="Times New Roman"/>
                      <w:snapToGrid w:val="0"/>
                      <w:color w:val="000000" w:themeColor="text1"/>
                      <w:kern w:val="0"/>
                      <w:sz w:val="21"/>
                      <w:szCs w:val="21"/>
                      <w:highlight w:val="none"/>
                      <w:lang w:val="en-US" w:eastAsia="zh-CN"/>
                      <w14:textFill>
                        <w14:solidFill>
                          <w14:schemeClr w14:val="tx1"/>
                        </w14:solidFill>
                      </w14:textFill>
                    </w:rPr>
                    <w:t>38.32</w:t>
                  </w:r>
                </w:p>
              </w:tc>
              <w:tc>
                <w:tcPr>
                  <w:tcW w:w="780" w:type="pct"/>
                  <w:tcBorders>
                    <w:tl2br w:val="nil"/>
                    <w:tr2bl w:val="nil"/>
                  </w:tcBorders>
                  <w:noWrap w:val="0"/>
                  <w:vAlign w:val="center"/>
                </w:tcPr>
                <w:p w14:paraId="47622956">
                  <w:pPr>
                    <w:adjustRightInd w:val="0"/>
                    <w:snapToGrid w:val="0"/>
                    <w:jc w:val="center"/>
                    <w:rPr>
                      <w:rFonts w:hint="default"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pPr>
                  <w:r>
                    <w:rPr>
                      <w:rFonts w:hint="eastAsia" w:cs="Times New Roman"/>
                      <w:snapToGrid w:val="0"/>
                      <w:color w:val="000000" w:themeColor="text1"/>
                      <w:kern w:val="0"/>
                      <w:sz w:val="21"/>
                      <w:szCs w:val="21"/>
                      <w:highlight w:val="none"/>
                      <w:lang w:val="en-US" w:eastAsia="zh-CN" w:bidi="ar-SA"/>
                      <w14:textFill>
                        <w14:solidFill>
                          <w14:schemeClr w14:val="tx1"/>
                        </w14:solidFill>
                      </w14:textFill>
                    </w:rPr>
                    <w:t>37.91</w:t>
                  </w:r>
                </w:p>
              </w:tc>
              <w:tc>
                <w:tcPr>
                  <w:tcW w:w="784" w:type="pct"/>
                  <w:tcBorders>
                    <w:tl2br w:val="nil"/>
                    <w:tr2bl w:val="nil"/>
                  </w:tcBorders>
                  <w:noWrap w:val="0"/>
                  <w:vAlign w:val="center"/>
                </w:tcPr>
                <w:p w14:paraId="4896391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t>达标</w:t>
                  </w:r>
                </w:p>
              </w:tc>
              <w:tc>
                <w:tcPr>
                  <w:tcW w:w="1236" w:type="pct"/>
                  <w:vMerge w:val="continue"/>
                  <w:tcBorders>
                    <w:tl2br w:val="nil"/>
                    <w:tr2bl w:val="nil"/>
                  </w:tcBorders>
                  <w:noWrap w:val="0"/>
                  <w:vAlign w:val="center"/>
                </w:tcPr>
                <w:p w14:paraId="2BED719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0"/>
                      <w:sz w:val="21"/>
                      <w:szCs w:val="21"/>
                      <w:highlight w:val="none"/>
                      <w14:textFill>
                        <w14:solidFill>
                          <w14:schemeClr w14:val="tx1"/>
                        </w14:solidFill>
                      </w14:textFill>
                    </w:rPr>
                  </w:pPr>
                </w:p>
              </w:tc>
            </w:tr>
          </w:tbl>
          <w:p w14:paraId="373183F6">
            <w:pPr>
              <w:pStyle w:val="108"/>
              <w:keepNext w:val="0"/>
              <w:keepLines w:val="0"/>
              <w:pageBreakBefore w:val="0"/>
              <w:widowControl w:val="0"/>
              <w:kinsoku/>
              <w:wordWrap/>
              <w:overflowPunct/>
              <w:topLinePunct w:val="0"/>
              <w:autoSpaceDE/>
              <w:autoSpaceDN/>
              <w:bidi w:val="0"/>
              <w:adjustRightInd/>
              <w:snapToGrid/>
              <w:spacing w:before="157" w:beforeLines="50" w:line="360" w:lineRule="auto"/>
              <w:ind w:firstLine="482" w:firstLineChars="200"/>
              <w:jc w:val="both"/>
              <w:textAlignment w:val="center"/>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噪声达标排放分析</w:t>
            </w:r>
          </w:p>
          <w:p w14:paraId="20646109">
            <w:pPr>
              <w:pStyle w:val="108"/>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cente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根据上表预测结果可知本项目选用低噪声设备，隔声、减振、软连接、厂房隔声等措施</w:t>
            </w:r>
            <w:r>
              <w:rPr>
                <w:rFonts w:hint="default" w:ascii="Times New Roman" w:hAnsi="Times New Roman" w:eastAsia="宋体" w:cs="Times New Roman"/>
                <w:snapToGrid w:val="0"/>
                <w:color w:val="000000" w:themeColor="text1"/>
                <w:kern w:val="0"/>
                <w:sz w:val="24"/>
                <w:szCs w:val="24"/>
                <w:highlight w:val="none"/>
                <w:lang w:val="en-US" w:eastAsia="zh-CN"/>
                <w14:textFill>
                  <w14:solidFill>
                    <w14:schemeClr w14:val="tx1"/>
                  </w14:solidFill>
                </w14:textFill>
              </w:rPr>
              <w:t>后</w:t>
            </w:r>
            <w:r>
              <w:rPr>
                <w:rFonts w:hint="default" w:ascii="Times New Roman" w:hAnsi="Times New Roman" w:eastAsia="宋体" w:cs="Times New Roman"/>
                <w:color w:val="000000" w:themeColor="text1"/>
                <w:sz w:val="24"/>
                <w:szCs w:val="24"/>
                <w:highlight w:val="none"/>
                <w14:textFill>
                  <w14:solidFill>
                    <w14:schemeClr w14:val="tx1"/>
                  </w14:solidFill>
                </w14:textFill>
              </w:rPr>
              <w:t>厂界噪声</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满足</w:t>
            </w:r>
            <w:r>
              <w:rPr>
                <w:rFonts w:hint="default" w:ascii="Times New Roman" w:hAnsi="Times New Roman" w:eastAsia="宋体" w:cs="Times New Roman"/>
                <w:color w:val="000000" w:themeColor="text1"/>
                <w:sz w:val="24"/>
                <w:szCs w:val="24"/>
                <w:highlight w:val="none"/>
                <w14:textFill>
                  <w14:solidFill>
                    <w14:schemeClr w14:val="tx1"/>
                  </w14:solidFill>
                </w14:textFill>
              </w:rPr>
              <w:t>《工业企业厂界环境噪声排放标准》（GB12348-2008）表1中</w:t>
            </w:r>
            <w:r>
              <w:rPr>
                <w:rFonts w:hint="eastAsia"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类标准</w:t>
            </w:r>
            <w:r>
              <w:rPr>
                <w:rFonts w:hint="default" w:ascii="Times New Roman" w:hAnsi="Times New Roman" w:eastAsia="宋体" w:cs="Times New Roman"/>
                <w:bCs/>
                <w:color w:val="000000" w:themeColor="text1"/>
                <w:sz w:val="24"/>
                <w:szCs w:val="24"/>
                <w:highlight w:val="none"/>
                <w:lang w:eastAsia="zh-CN"/>
                <w14:textFill>
                  <w14:solidFill>
                    <w14:schemeClr w14:val="tx1"/>
                  </w14:solidFill>
                </w14:textFill>
              </w:rPr>
              <w:t>。</w:t>
            </w:r>
          </w:p>
          <w:p w14:paraId="063B9BDB">
            <w:pPr>
              <w:pStyle w:val="34"/>
              <w:keepNext w:val="0"/>
              <w:keepLines w:val="0"/>
              <w:pageBreakBefore w:val="0"/>
              <w:widowControl w:val="0"/>
              <w:numPr>
                <w:ilvl w:val="0"/>
                <w:numId w:val="0"/>
              </w:numPr>
              <w:kinsoku/>
              <w:wordWrap/>
              <w:overflowPunct/>
              <w:topLinePunct w:val="0"/>
              <w:autoSpaceDE/>
              <w:autoSpaceDN/>
              <w:bidi w:val="0"/>
              <w:adjustRightInd/>
              <w:snapToGrid/>
              <w:ind w:leftChars="0" w:firstLine="482" w:firstLineChars="200"/>
              <w:jc w:val="left"/>
              <w:textAlignment w:val="auto"/>
              <w:rPr>
                <w:rFonts w:hint="eastAsia"/>
                <w:b/>
                <w:bCs/>
                <w:color w:val="000000" w:themeColor="text1"/>
                <w:sz w:val="24"/>
                <w:szCs w:val="24"/>
                <w:highlight w:val="none"/>
                <w:lang w:val="en-US" w:eastAsia="zh-CN"/>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四、固体废物影响分析</w:t>
            </w:r>
          </w:p>
          <w:p w14:paraId="08C8E097">
            <w:pPr>
              <w:pStyle w:val="34"/>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1、固体废物源强</w:t>
            </w:r>
          </w:p>
          <w:p w14:paraId="000C614D">
            <w:pPr>
              <w:pStyle w:val="34"/>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运营期间固体废弃物主要来源为活性炭吸附装置产生的废活性炭、碱液喷淋产生的废碱以及生活垃圾等。</w:t>
            </w:r>
          </w:p>
          <w:p w14:paraId="16F13449">
            <w:pPr>
              <w:keepNext w:val="0"/>
              <w:keepLines w:val="0"/>
              <w:pageBreakBefore w:val="0"/>
              <w:widowControl w:val="0"/>
              <w:kinsoku/>
              <w:wordWrap/>
              <w:overflowPunct/>
              <w:topLinePunct w:val="0"/>
              <w:autoSpaceDE/>
              <w:autoSpaceDN/>
              <w:bidi w:val="0"/>
              <w:adjustRightInd/>
              <w:snapToGrid/>
              <w:spacing w:line="360" w:lineRule="auto"/>
              <w:ind w:right="0" w:rightChars="0" w:firstLine="482" w:firstLineChars="200"/>
              <w:textAlignment w:val="auto"/>
              <w:rPr>
                <w:rFonts w:ascii="Times New Roman" w:hAnsi="Times New Roman" w:eastAsia="宋体" w:cs="Times New Roman"/>
                <w:b/>
                <w:bCs/>
                <w:color w:val="000000" w:themeColor="text1"/>
                <w:sz w:val="24"/>
                <w:szCs w:val="24"/>
                <w:highlight w:val="none"/>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1）</w:t>
            </w:r>
            <w:r>
              <w:rPr>
                <w:rFonts w:ascii="Times New Roman" w:hAnsi="Times New Roman" w:eastAsia="宋体" w:cs="Times New Roman"/>
                <w:b/>
                <w:bCs/>
                <w:color w:val="000000" w:themeColor="text1"/>
                <w:sz w:val="24"/>
                <w:szCs w:val="24"/>
                <w:highlight w:val="none"/>
                <w14:textFill>
                  <w14:solidFill>
                    <w14:schemeClr w14:val="tx1"/>
                  </w14:solidFill>
                </w14:textFill>
              </w:rPr>
              <w:t>生活垃圾</w:t>
            </w:r>
          </w:p>
          <w:p w14:paraId="723AF11D">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rPr>
                <w:rFonts w:ascii="Times New Roman" w:hAnsi="Times New Roman" w:eastAsia="宋体" w:cs="Times New Roman"/>
                <w:color w:val="000000" w:themeColor="text1"/>
                <w:sz w:val="24"/>
                <w:szCs w:val="24"/>
                <w:highlight w:val="none"/>
                <w14:textFill>
                  <w14:solidFill>
                    <w14:schemeClr w14:val="tx1"/>
                  </w14:solidFill>
                </w14:textFill>
              </w:rPr>
            </w:pPr>
            <w:r>
              <w:rPr>
                <w:rFonts w:ascii="Times New Roman" w:hAnsi="Times New Roman" w:eastAsia="宋体" w:cs="Times New Roman"/>
                <w:color w:val="000000" w:themeColor="text1"/>
                <w:sz w:val="24"/>
                <w:szCs w:val="24"/>
                <w:highlight w:val="none"/>
                <w14:textFill>
                  <w14:solidFill>
                    <w14:schemeClr w14:val="tx1"/>
                  </w14:solidFill>
                </w14:textFill>
              </w:rPr>
              <w:t>项目劳动定员</w:t>
            </w:r>
            <w:r>
              <w:rPr>
                <w:rFonts w:hint="eastAsia" w:cs="Times New Roman"/>
                <w:color w:val="000000" w:themeColor="text1"/>
                <w:sz w:val="24"/>
                <w:szCs w:val="24"/>
                <w:highlight w:val="none"/>
                <w:lang w:val="en-US" w:eastAsia="zh-CN"/>
                <w14:textFill>
                  <w14:solidFill>
                    <w14:schemeClr w14:val="tx1"/>
                  </w14:solidFill>
                </w14:textFill>
              </w:rPr>
              <w:t>6</w:t>
            </w:r>
            <w:r>
              <w:rPr>
                <w:rFonts w:ascii="Times New Roman" w:hAnsi="Times New Roman" w:eastAsia="宋体" w:cs="Times New Roman"/>
                <w:color w:val="000000" w:themeColor="text1"/>
                <w:sz w:val="24"/>
                <w:szCs w:val="24"/>
                <w:highlight w:val="none"/>
                <w14:textFill>
                  <w14:solidFill>
                    <w14:schemeClr w14:val="tx1"/>
                  </w14:solidFill>
                </w14:textFill>
              </w:rPr>
              <w:t>人，按每人每天产生生活垃圾0.5kg计，</w:t>
            </w:r>
            <w:r>
              <w:rPr>
                <w:rFonts w:hint="eastAsia" w:cs="Times New Roman"/>
                <w:color w:val="000000" w:themeColor="text1"/>
                <w:sz w:val="24"/>
                <w:szCs w:val="24"/>
                <w:highlight w:val="none"/>
                <w:lang w:val="en-US" w:eastAsia="zh-CN"/>
                <w14:textFill>
                  <w14:solidFill>
                    <w14:schemeClr w14:val="tx1"/>
                  </w14:solidFill>
                </w14:textFill>
              </w:rPr>
              <w:t>年工作340天，</w:t>
            </w:r>
            <w:r>
              <w:rPr>
                <w:rFonts w:ascii="Times New Roman" w:hAnsi="Times New Roman" w:eastAsia="宋体" w:cs="Times New Roman"/>
                <w:color w:val="000000" w:themeColor="text1"/>
                <w:sz w:val="24"/>
                <w:szCs w:val="24"/>
                <w:highlight w:val="none"/>
                <w14:textFill>
                  <w14:solidFill>
                    <w14:schemeClr w14:val="tx1"/>
                  </w14:solidFill>
                </w14:textFill>
              </w:rPr>
              <w:t>则年产生生活垃圾为</w:t>
            </w:r>
            <w:r>
              <w:rPr>
                <w:rFonts w:hint="eastAsia" w:cs="Times New Roman"/>
                <w:color w:val="000000" w:themeColor="text1"/>
                <w:sz w:val="24"/>
                <w:szCs w:val="24"/>
                <w:highlight w:val="none"/>
                <w:lang w:val="en-US" w:eastAsia="zh-CN"/>
                <w14:textFill>
                  <w14:solidFill>
                    <w14:schemeClr w14:val="tx1"/>
                  </w14:solidFill>
                </w14:textFill>
              </w:rPr>
              <w:t>1.02</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t/a，</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由市政环卫统一处理</w:t>
            </w:r>
            <w:r>
              <w:rPr>
                <w:rFonts w:ascii="Times New Roman" w:hAnsi="Times New Roman" w:eastAsia="宋体" w:cs="Times New Roman"/>
                <w:color w:val="000000" w:themeColor="text1"/>
                <w:sz w:val="24"/>
                <w:szCs w:val="24"/>
                <w:highlight w:val="none"/>
                <w14:textFill>
                  <w14:solidFill>
                    <w14:schemeClr w14:val="tx1"/>
                  </w14:solidFill>
                </w14:textFill>
              </w:rPr>
              <w:t>。</w:t>
            </w:r>
          </w:p>
          <w:p w14:paraId="7B4B67EF">
            <w:pPr>
              <w:keepNext w:val="0"/>
              <w:keepLines w:val="0"/>
              <w:pageBreakBefore w:val="0"/>
              <w:widowControl w:val="0"/>
              <w:kinsoku/>
              <w:wordWrap/>
              <w:overflowPunct/>
              <w:topLinePunct w:val="0"/>
              <w:autoSpaceDE/>
              <w:autoSpaceDN/>
              <w:bidi w:val="0"/>
              <w:adjustRightInd/>
              <w:snapToGrid/>
              <w:spacing w:line="360" w:lineRule="auto"/>
              <w:ind w:right="0" w:rightChars="0" w:firstLine="482" w:firstLineChars="20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2）危险废物</w:t>
            </w:r>
          </w:p>
          <w:p w14:paraId="5873D53E">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rPr>
                <w:rFonts w:hint="default"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（1）废活性炭</w:t>
            </w:r>
          </w:p>
          <w:p w14:paraId="246F529C">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rPr>
                <w:rFonts w:hint="eastAsia"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本项目活性炭吸附装置产生的废活性炭属于危险废物（HW49其他废物，900-039-49），不可重复利用，需定期更换。本项目设两级活性炭吸附，吸附箱的额容积为8.041m3，充填活性炭按照约50%计算，活性炭的密度为0.5t/m</w:t>
            </w:r>
            <w:r>
              <w:rPr>
                <w:rFonts w:hint="eastAsia" w:cs="Times New Roman"/>
                <w:color w:val="000000" w:themeColor="text1"/>
                <w:sz w:val="24"/>
                <w:szCs w:val="24"/>
                <w:highlight w:val="none"/>
                <w:vertAlign w:val="superscript"/>
                <w:lang w:val="en-US" w:eastAsia="zh-CN"/>
                <w14:textFill>
                  <w14:solidFill>
                    <w14:schemeClr w14:val="tx1"/>
                  </w14:solidFill>
                </w14:textFill>
              </w:rPr>
              <w:t>3</w:t>
            </w:r>
            <w:r>
              <w:rPr>
                <w:rFonts w:hint="eastAsia" w:cs="Times New Roman"/>
                <w:color w:val="000000" w:themeColor="text1"/>
                <w:sz w:val="24"/>
                <w:szCs w:val="24"/>
                <w:highlight w:val="none"/>
                <w:lang w:val="en-US" w:eastAsia="zh-CN"/>
                <w14:textFill>
                  <w14:solidFill>
                    <w14:schemeClr w14:val="tx1"/>
                  </w14:solidFill>
                </w14:textFill>
              </w:rPr>
              <w:t>，则两级活性炭吸附箱活性炭的量为2t</w:t>
            </w:r>
            <w:r>
              <w:rPr>
                <w:rFonts w:hint="default" w:ascii="Arial" w:hAnsi="Arial" w:cs="Arial"/>
                <w:color w:val="000000" w:themeColor="text1"/>
                <w:sz w:val="24"/>
                <w:szCs w:val="24"/>
                <w:highlight w:val="none"/>
                <w:lang w:val="en-US"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2=4t，活性炭每半年更换一次，因此本项目废活性炭产生量为8.0t/a，暂存于危险废物</w:t>
            </w:r>
            <w:r>
              <w:rPr>
                <w:rFonts w:hint="eastAsia" w:cs="Times New Roman"/>
                <w:color w:val="000000" w:themeColor="text1"/>
                <w:kern w:val="2"/>
                <w:sz w:val="24"/>
                <w:szCs w:val="24"/>
                <w:highlight w:val="none"/>
                <w:lang w:val="en-US" w:eastAsia="zh-CN" w:bidi="ar-SA"/>
                <w14:textFill>
                  <w14:solidFill>
                    <w14:schemeClr w14:val="tx1"/>
                  </w14:solidFill>
                </w14:textFill>
              </w:rPr>
              <w:t>贮存库</w:t>
            </w:r>
            <w:r>
              <w:rPr>
                <w:rFonts w:hint="eastAsia" w:cs="Times New Roman"/>
                <w:color w:val="000000" w:themeColor="text1"/>
                <w:sz w:val="24"/>
                <w:szCs w:val="24"/>
                <w:highlight w:val="none"/>
                <w:lang w:val="en-US" w:eastAsia="zh-CN"/>
                <w14:textFill>
                  <w14:solidFill>
                    <w14:schemeClr w14:val="tx1"/>
                  </w14:solidFill>
                </w14:textFill>
              </w:rPr>
              <w:t>内，定期委托有资质单位回收处置。</w:t>
            </w:r>
          </w:p>
          <w:p w14:paraId="38BE99FE">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rPr>
                <w:rFonts w:hint="default"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（2）废碱</w:t>
            </w:r>
          </w:p>
          <w:p w14:paraId="2002527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废碱液吸收液：项目设置1套碱液喷淋处理系统对贮存区酸性气体进行吸收处理，</w:t>
            </w:r>
            <w:r>
              <w:rPr>
                <w:rFonts w:hint="default" w:ascii="Times New Roman" w:hAnsi="Times New Roman" w:eastAsia="宋体" w:cs="Times New Roman"/>
                <w:color w:val="000000" w:themeColor="text1"/>
                <w:sz w:val="24"/>
                <w:szCs w:val="24"/>
                <w:highlight w:val="none"/>
                <w14:textFill>
                  <w14:solidFill>
                    <w14:schemeClr w14:val="tx1"/>
                  </w14:solidFill>
                </w14:textFill>
              </w:rPr>
              <w:t>碱液喷淋塔</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碱液循环使用，不外排，废碱结晶</w:t>
            </w:r>
            <w:r>
              <w:rPr>
                <w:rFonts w:hint="default" w:ascii="Times New Roman" w:hAnsi="Times New Roman" w:eastAsia="宋体" w:cs="Times New Roman"/>
                <w:color w:val="000000" w:themeColor="text1"/>
                <w:sz w:val="24"/>
                <w:szCs w:val="24"/>
                <w:highlight w:val="none"/>
                <w14:textFill>
                  <w14:solidFill>
                    <w14:schemeClr w14:val="tx1"/>
                  </w14:solidFill>
                </w14:textFill>
              </w:rPr>
              <w:t>每</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个月</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排放一次</w:t>
            </w:r>
            <w:r>
              <w:rPr>
                <w:rFonts w:hint="default" w:ascii="Times New Roman" w:hAnsi="Times New Roman" w:eastAsia="宋体" w:cs="Times New Roman"/>
                <w:color w:val="000000" w:themeColor="text1"/>
                <w:sz w:val="24"/>
                <w:szCs w:val="24"/>
                <w:highlight w:val="none"/>
                <w14:textFill>
                  <w14:solidFill>
                    <w14:schemeClr w14:val="tx1"/>
                  </w14:solidFill>
                </w14:textFill>
              </w:rPr>
              <w:t>，废</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碱产生</w:t>
            </w:r>
            <w:r>
              <w:rPr>
                <w:rFonts w:hint="default" w:ascii="Times New Roman" w:hAnsi="Times New Roman" w:eastAsia="宋体" w:cs="Times New Roman"/>
                <w:color w:val="000000" w:themeColor="text1"/>
                <w:sz w:val="24"/>
                <w:szCs w:val="24"/>
                <w:highlight w:val="none"/>
                <w14:textFill>
                  <w14:solidFill>
                    <w14:schemeClr w14:val="tx1"/>
                  </w14:solidFill>
                </w14:textFill>
              </w:rPr>
              <w:t>量为0.6m</w:t>
            </w:r>
            <w:r>
              <w:rPr>
                <w:rFonts w:hint="default" w:ascii="Times New Roman" w:hAnsi="Times New Roman" w:eastAsia="宋体"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/a</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产生的废碱液属于危险废物（HW</w:t>
            </w:r>
            <w:r>
              <w:rPr>
                <w:rFonts w:hint="eastAsia"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35废碱</w:t>
            </w:r>
            <w:r>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，900-</w:t>
            </w:r>
            <w:r>
              <w:rPr>
                <w:rFonts w:hint="eastAsia"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399</w:t>
            </w:r>
            <w:r>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w:t>
            </w:r>
            <w:r>
              <w:rPr>
                <w:rFonts w:hint="eastAsia"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35</w:t>
            </w:r>
            <w:r>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），暂存于危险废物贮存库</w:t>
            </w:r>
            <w:r>
              <w:rPr>
                <w:rFonts w:hint="eastAsia"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6</w:t>
            </w:r>
            <w:r>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w:t>
            </w:r>
            <w:r>
              <w:rPr>
                <w:rFonts w:hint="eastAsia"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分区</w:t>
            </w:r>
            <w:r>
              <w:rPr>
                <w:rFonts w:hint="default" w:ascii="Times New Roman" w:hAnsi="Times New Roman" w:eastAsia="宋体" w:cs="Times New Roman"/>
                <w:bCs/>
                <w:color w:val="000000" w:themeColor="text1"/>
                <w:sz w:val="24"/>
                <w:szCs w:val="24"/>
                <w:highlight w:val="none"/>
                <w:shd w:val="clear" w:color="auto" w:fill="auto"/>
                <w:lang w:val="en-US" w:eastAsia="zh-CN"/>
                <w14:textFill>
                  <w14:solidFill>
                    <w14:schemeClr w14:val="tx1"/>
                  </w14:solidFill>
                </w14:textFill>
              </w:rPr>
              <w:t>内，定期交由有处置资质的单位回收处置。</w:t>
            </w:r>
          </w:p>
          <w:p w14:paraId="33BEEEA7">
            <w:pPr>
              <w:pStyle w:val="34"/>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本项目固体废物污染源基本信息详见下表所示。</w:t>
            </w:r>
          </w:p>
          <w:p w14:paraId="1869E4C6">
            <w:pPr>
              <w:pStyle w:val="112"/>
              <w:adjustRightInd w:val="0"/>
              <w:snapToGrid w:val="0"/>
              <w:spacing w:line="500" w:lineRule="exact"/>
              <w:jc w:val="center"/>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表4-</w:t>
            </w:r>
            <w:r>
              <w:rPr>
                <w:rFonts w:hint="eastAsia" w:cs="Times New Roman"/>
                <w:b/>
                <w:bCs/>
                <w:color w:val="000000" w:themeColor="text1"/>
                <w:sz w:val="24"/>
                <w:szCs w:val="24"/>
                <w:highlight w:val="none"/>
                <w:lang w:val="en-US" w:eastAsia="zh-CN"/>
                <w14:textFill>
                  <w14:solidFill>
                    <w14:schemeClr w14:val="tx1"/>
                  </w14:solidFill>
                </w14:textFill>
              </w:rPr>
              <w:t>8</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危险废物汇总表</w:t>
            </w:r>
          </w:p>
          <w:tbl>
            <w:tblPr>
              <w:tblStyle w:val="28"/>
              <w:tblW w:w="909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17"/>
              <w:gridCol w:w="793"/>
              <w:gridCol w:w="748"/>
              <w:gridCol w:w="1028"/>
              <w:gridCol w:w="725"/>
              <w:gridCol w:w="1086"/>
              <w:gridCol w:w="639"/>
              <w:gridCol w:w="800"/>
              <w:gridCol w:w="750"/>
              <w:gridCol w:w="688"/>
              <w:gridCol w:w="1425"/>
            </w:tblGrid>
            <w:tr w14:paraId="649397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229" w:type="pct"/>
                  <w:noWrap w:val="0"/>
                  <w:vAlign w:val="center"/>
                </w:tcPr>
                <w:p w14:paraId="67BD7F10">
                  <w:pPr>
                    <w:pStyle w:val="15"/>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序号</w:t>
                  </w:r>
                </w:p>
              </w:tc>
              <w:tc>
                <w:tcPr>
                  <w:tcW w:w="435" w:type="pct"/>
                  <w:noWrap w:val="0"/>
                  <w:vAlign w:val="center"/>
                </w:tcPr>
                <w:p w14:paraId="4A5DEEDB">
                  <w:pPr>
                    <w:pStyle w:val="15"/>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危险废物名称</w:t>
                  </w:r>
                </w:p>
              </w:tc>
              <w:tc>
                <w:tcPr>
                  <w:tcW w:w="411" w:type="pct"/>
                  <w:noWrap w:val="0"/>
                  <w:vAlign w:val="center"/>
                </w:tcPr>
                <w:p w14:paraId="449F2F7A">
                  <w:pPr>
                    <w:pStyle w:val="15"/>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危险废物类别</w:t>
                  </w:r>
                </w:p>
              </w:tc>
              <w:tc>
                <w:tcPr>
                  <w:tcW w:w="564" w:type="pct"/>
                  <w:noWrap w:val="0"/>
                  <w:vAlign w:val="center"/>
                </w:tcPr>
                <w:p w14:paraId="3ED73F22">
                  <w:pPr>
                    <w:pStyle w:val="15"/>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危险废物代码</w:t>
                  </w:r>
                </w:p>
              </w:tc>
              <w:tc>
                <w:tcPr>
                  <w:tcW w:w="398" w:type="pct"/>
                  <w:noWrap w:val="0"/>
                  <w:vAlign w:val="center"/>
                </w:tcPr>
                <w:p w14:paraId="183AD628">
                  <w:pPr>
                    <w:pStyle w:val="15"/>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产生量</w:t>
                  </w:r>
                </w:p>
                <w:p w14:paraId="70166DD5">
                  <w:pPr>
                    <w:pStyle w:val="15"/>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t/a</w:t>
                  </w:r>
                </w:p>
              </w:tc>
              <w:tc>
                <w:tcPr>
                  <w:tcW w:w="596" w:type="pct"/>
                  <w:noWrap w:val="0"/>
                  <w:vAlign w:val="center"/>
                </w:tcPr>
                <w:p w14:paraId="5D967438">
                  <w:pPr>
                    <w:pStyle w:val="15"/>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产生</w:t>
                  </w:r>
                </w:p>
                <w:p w14:paraId="2C7D9DD0">
                  <w:pPr>
                    <w:pStyle w:val="15"/>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工序及装置</w:t>
                  </w:r>
                </w:p>
              </w:tc>
              <w:tc>
                <w:tcPr>
                  <w:tcW w:w="351" w:type="pct"/>
                  <w:noWrap w:val="0"/>
                  <w:vAlign w:val="center"/>
                </w:tcPr>
                <w:p w14:paraId="09825208">
                  <w:pPr>
                    <w:pStyle w:val="15"/>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形态</w:t>
                  </w:r>
                </w:p>
              </w:tc>
              <w:tc>
                <w:tcPr>
                  <w:tcW w:w="439" w:type="pct"/>
                  <w:noWrap w:val="0"/>
                  <w:vAlign w:val="center"/>
                </w:tcPr>
                <w:p w14:paraId="0EAF031C">
                  <w:pPr>
                    <w:pStyle w:val="15"/>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产生周期</w:t>
                  </w:r>
                </w:p>
              </w:tc>
              <w:tc>
                <w:tcPr>
                  <w:tcW w:w="412" w:type="pct"/>
                  <w:noWrap w:val="0"/>
                  <w:vAlign w:val="center"/>
                </w:tcPr>
                <w:p w14:paraId="18F6730A">
                  <w:pPr>
                    <w:pStyle w:val="15"/>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转运周期</w:t>
                  </w:r>
                </w:p>
              </w:tc>
              <w:tc>
                <w:tcPr>
                  <w:tcW w:w="378" w:type="pct"/>
                  <w:noWrap w:val="0"/>
                  <w:vAlign w:val="center"/>
                </w:tcPr>
                <w:p w14:paraId="635FDE85">
                  <w:pPr>
                    <w:pStyle w:val="15"/>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危险</w:t>
                  </w:r>
                </w:p>
                <w:p w14:paraId="54569CC5">
                  <w:pPr>
                    <w:pStyle w:val="15"/>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特性</w:t>
                  </w:r>
                </w:p>
              </w:tc>
              <w:tc>
                <w:tcPr>
                  <w:tcW w:w="783" w:type="pct"/>
                  <w:noWrap w:val="0"/>
                  <w:vAlign w:val="center"/>
                </w:tcPr>
                <w:p w14:paraId="0A86980F">
                  <w:pPr>
                    <w:pStyle w:val="15"/>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污染防治</w:t>
                  </w:r>
                </w:p>
                <w:p w14:paraId="49D1D852">
                  <w:pPr>
                    <w:pStyle w:val="15"/>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措施</w:t>
                  </w:r>
                </w:p>
              </w:tc>
            </w:tr>
            <w:tr w14:paraId="197D6C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229" w:type="pct"/>
                  <w:noWrap w:val="0"/>
                  <w:vAlign w:val="center"/>
                </w:tcPr>
                <w:p w14:paraId="351FAD50">
                  <w:pPr>
                    <w:pStyle w:val="15"/>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w:t>
                  </w:r>
                </w:p>
              </w:tc>
              <w:tc>
                <w:tcPr>
                  <w:tcW w:w="435" w:type="pct"/>
                  <w:noWrap w:val="0"/>
                  <w:vAlign w:val="center"/>
                </w:tcPr>
                <w:p w14:paraId="16A146E9">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废活性炭</w:t>
                  </w:r>
                </w:p>
              </w:tc>
              <w:tc>
                <w:tcPr>
                  <w:tcW w:w="411" w:type="pct"/>
                  <w:noWrap w:val="0"/>
                  <w:vAlign w:val="center"/>
                </w:tcPr>
                <w:p w14:paraId="2A90FED3">
                  <w:pPr>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HW</w:t>
                  </w:r>
                </w:p>
                <w:p w14:paraId="1E87F649">
                  <w:pPr>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49</w:t>
                  </w:r>
                </w:p>
              </w:tc>
              <w:tc>
                <w:tcPr>
                  <w:tcW w:w="564" w:type="pct"/>
                  <w:noWrap w:val="0"/>
                  <w:vAlign w:val="center"/>
                </w:tcPr>
                <w:p w14:paraId="060F5DBE">
                  <w:pPr>
                    <w:pStyle w:val="15"/>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900-</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039</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w:t>
                  </w:r>
                </w:p>
                <w:p w14:paraId="62569516">
                  <w:pPr>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49</w:t>
                  </w:r>
                </w:p>
              </w:tc>
              <w:tc>
                <w:tcPr>
                  <w:tcW w:w="398" w:type="pct"/>
                  <w:noWrap w:val="0"/>
                  <w:vAlign w:val="center"/>
                </w:tcPr>
                <w:p w14:paraId="48B3B02A">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8.0</w:t>
                  </w:r>
                </w:p>
              </w:tc>
              <w:tc>
                <w:tcPr>
                  <w:tcW w:w="596" w:type="pct"/>
                  <w:noWrap w:val="0"/>
                  <w:vAlign w:val="center"/>
                </w:tcPr>
                <w:p w14:paraId="733AE6A4">
                  <w:pPr>
                    <w:pStyle w:val="15"/>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val="0"/>
                      <w:bCs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活性炭吸附装置</w:t>
                  </w:r>
                </w:p>
              </w:tc>
              <w:tc>
                <w:tcPr>
                  <w:tcW w:w="351" w:type="pct"/>
                  <w:noWrap w:val="0"/>
                  <w:vAlign w:val="center"/>
                </w:tcPr>
                <w:p w14:paraId="31DB2E81">
                  <w:pPr>
                    <w:pStyle w:val="15"/>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固</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态</w:t>
                  </w:r>
                </w:p>
              </w:tc>
              <w:tc>
                <w:tcPr>
                  <w:tcW w:w="439" w:type="pct"/>
                  <w:noWrap w:val="0"/>
                  <w:vAlign w:val="center"/>
                </w:tcPr>
                <w:p w14:paraId="0D24F848">
                  <w:pPr>
                    <w:pStyle w:val="15"/>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次/年</w:t>
                  </w:r>
                </w:p>
              </w:tc>
              <w:tc>
                <w:tcPr>
                  <w:tcW w:w="412" w:type="pct"/>
                  <w:noWrap w:val="0"/>
                  <w:vAlign w:val="center"/>
                </w:tcPr>
                <w:p w14:paraId="03C10543">
                  <w:pPr>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9</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0天/次</w:t>
                  </w:r>
                </w:p>
              </w:tc>
              <w:tc>
                <w:tcPr>
                  <w:tcW w:w="378" w:type="pct"/>
                  <w:noWrap w:val="0"/>
                  <w:vAlign w:val="center"/>
                </w:tcPr>
                <w:p w14:paraId="25D18CA4">
                  <w:pPr>
                    <w:pStyle w:val="15"/>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T</w:t>
                  </w:r>
                </w:p>
              </w:tc>
              <w:tc>
                <w:tcPr>
                  <w:tcW w:w="783" w:type="pct"/>
                  <w:vMerge w:val="restart"/>
                  <w:noWrap w:val="0"/>
                  <w:vAlign w:val="center"/>
                </w:tcPr>
                <w:p w14:paraId="3AF3B120">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暂存于危废贮存点，委托有资质单位进行处置</w:t>
                  </w:r>
                </w:p>
              </w:tc>
            </w:tr>
            <w:tr w14:paraId="4C092C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9" w:type="pct"/>
                  <w:noWrap w:val="0"/>
                  <w:vAlign w:val="center"/>
                </w:tcPr>
                <w:p w14:paraId="14F34055">
                  <w:pPr>
                    <w:pStyle w:val="15"/>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2</w:t>
                  </w:r>
                </w:p>
              </w:tc>
              <w:tc>
                <w:tcPr>
                  <w:tcW w:w="435" w:type="pct"/>
                  <w:noWrap w:val="0"/>
                  <w:vAlign w:val="center"/>
                </w:tcPr>
                <w:p w14:paraId="0946546F">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废碱</w:t>
                  </w:r>
                </w:p>
              </w:tc>
              <w:tc>
                <w:tcPr>
                  <w:tcW w:w="411" w:type="pct"/>
                  <w:noWrap w:val="0"/>
                  <w:vAlign w:val="center"/>
                </w:tcPr>
                <w:p w14:paraId="1D018BDC">
                  <w:pPr>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HW</w:t>
                  </w:r>
                </w:p>
                <w:p w14:paraId="035D5D25">
                  <w:pPr>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val="0"/>
                      <w:bCs w:val="0"/>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35</w:t>
                  </w:r>
                </w:p>
              </w:tc>
              <w:tc>
                <w:tcPr>
                  <w:tcW w:w="564" w:type="pct"/>
                  <w:noWrap w:val="0"/>
                  <w:vAlign w:val="center"/>
                </w:tcPr>
                <w:p w14:paraId="7699F6A6">
                  <w:pPr>
                    <w:pStyle w:val="15"/>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900-</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399</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w:t>
                  </w:r>
                </w:p>
                <w:p w14:paraId="06C3B879">
                  <w:pPr>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35</w:t>
                  </w:r>
                </w:p>
              </w:tc>
              <w:tc>
                <w:tcPr>
                  <w:tcW w:w="398" w:type="pct"/>
                  <w:noWrap w:val="0"/>
                  <w:vAlign w:val="center"/>
                </w:tcPr>
                <w:p w14:paraId="3FF71020">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0.6</w:t>
                  </w:r>
                </w:p>
              </w:tc>
              <w:tc>
                <w:tcPr>
                  <w:tcW w:w="596" w:type="pct"/>
                  <w:noWrap w:val="0"/>
                  <w:vAlign w:val="center"/>
                </w:tcPr>
                <w:p w14:paraId="23B87A80">
                  <w:pPr>
                    <w:pStyle w:val="15"/>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碱液喷淋处理系统</w:t>
                  </w:r>
                </w:p>
              </w:tc>
              <w:tc>
                <w:tcPr>
                  <w:tcW w:w="351" w:type="pct"/>
                  <w:noWrap w:val="0"/>
                  <w:vAlign w:val="center"/>
                </w:tcPr>
                <w:p w14:paraId="4BC03A6A">
                  <w:pPr>
                    <w:pStyle w:val="15"/>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半固</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态</w:t>
                  </w:r>
                </w:p>
              </w:tc>
              <w:tc>
                <w:tcPr>
                  <w:tcW w:w="439" w:type="pct"/>
                  <w:noWrap w:val="0"/>
                  <w:vAlign w:val="center"/>
                </w:tcPr>
                <w:p w14:paraId="2CF287CE">
                  <w:pPr>
                    <w:pStyle w:val="15"/>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次/</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季</w:t>
                  </w:r>
                </w:p>
              </w:tc>
              <w:tc>
                <w:tcPr>
                  <w:tcW w:w="412" w:type="pct"/>
                  <w:noWrap w:val="0"/>
                  <w:vAlign w:val="center"/>
                </w:tcPr>
                <w:p w14:paraId="1B17864C">
                  <w:pPr>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9</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0天/次</w:t>
                  </w:r>
                </w:p>
              </w:tc>
              <w:tc>
                <w:tcPr>
                  <w:tcW w:w="378" w:type="pct"/>
                  <w:noWrap w:val="0"/>
                  <w:vAlign w:val="center"/>
                </w:tcPr>
                <w:p w14:paraId="43859C5F">
                  <w:pPr>
                    <w:pStyle w:val="15"/>
                    <w:keepNext w:val="0"/>
                    <w:keepLines w:val="0"/>
                    <w:pageBreakBefore w:val="0"/>
                    <w:kinsoku/>
                    <w:wordWrap/>
                    <w:overflowPunct/>
                    <w:topLinePunct w:val="0"/>
                    <w:autoSpaceDE/>
                    <w:autoSpaceDN/>
                    <w:bidi w:val="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eastAsia" w:hAnsi="Times New Roman" w:cs="Times New Roman"/>
                      <w:color w:val="000000" w:themeColor="text1"/>
                      <w:kern w:val="0"/>
                      <w:sz w:val="21"/>
                      <w:szCs w:val="21"/>
                      <w:highlight w:val="none"/>
                      <w:vertAlign w:val="baseline"/>
                      <w:lang w:val="en-US" w:eastAsia="zh-CN"/>
                      <w14:textFill>
                        <w14:solidFill>
                          <w14:schemeClr w14:val="tx1"/>
                        </w14:solidFill>
                      </w14:textFill>
                    </w:rPr>
                    <w:t>C，T</w:t>
                  </w:r>
                </w:p>
              </w:tc>
              <w:tc>
                <w:tcPr>
                  <w:tcW w:w="783" w:type="pct"/>
                  <w:vMerge w:val="continue"/>
                  <w:noWrap w:val="0"/>
                  <w:vAlign w:val="center"/>
                </w:tcPr>
                <w:p w14:paraId="4DF055F0">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r>
          </w:tbl>
          <w:p w14:paraId="20B94331">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000000" w:themeColor="text1"/>
                <w:sz w:val="24"/>
                <w:highlight w:val="none"/>
                <w14:textFill>
                  <w14:solidFill>
                    <w14:schemeClr w14:val="tx1"/>
                  </w14:solidFill>
                </w14:textFill>
              </w:rPr>
            </w:pPr>
            <w:r>
              <w:rPr>
                <w:rFonts w:hint="eastAsia" w:ascii="Times New Roman" w:hAnsi="Times New Roman" w:eastAsia="宋体" w:cs="Times New Roman"/>
                <w:b/>
                <w:bCs/>
                <w:color w:val="000000" w:themeColor="text1"/>
                <w:sz w:val="24"/>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sz w:val="24"/>
                <w:highlight w:val="none"/>
                <w14:textFill>
                  <w14:solidFill>
                    <w14:schemeClr w14:val="tx1"/>
                  </w14:solidFill>
                </w14:textFill>
              </w:rPr>
              <w:t>固废储存场所管理要求</w:t>
            </w:r>
          </w:p>
          <w:p w14:paraId="424A38A4">
            <w:pPr>
              <w:pStyle w:val="11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eastAsia="宋体" w:cs="Times New Roman"/>
                <w:color w:val="000000" w:themeColor="text1"/>
                <w:sz w:val="24"/>
                <w:szCs w:val="22"/>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2"/>
                <w:highlight w:val="none"/>
                <w14:textFill>
                  <w14:solidFill>
                    <w14:schemeClr w14:val="tx1"/>
                  </w14:solidFill>
                </w14:textFill>
              </w:rPr>
              <w:t>生活垃圾</w:t>
            </w:r>
          </w:p>
          <w:p w14:paraId="11B8F7AD">
            <w:pPr>
              <w:pStyle w:val="113"/>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outlineLvl w:val="9"/>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本项目</w:t>
            </w:r>
            <w:r>
              <w:rPr>
                <w:rFonts w:hint="default" w:ascii="Times New Roman" w:hAnsi="Times New Roman" w:eastAsia="宋体" w:cs="Times New Roman"/>
                <w:color w:val="000000" w:themeColor="text1"/>
                <w:sz w:val="24"/>
                <w:szCs w:val="24"/>
                <w:highlight w:val="none"/>
                <w14:textFill>
                  <w14:solidFill>
                    <w14:schemeClr w14:val="tx1"/>
                  </w14:solidFill>
                </w14:textFill>
              </w:rPr>
              <w:t>生活垃圾由市政部门统一处理</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生活垃圾</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集中收集后堆放至生活垃圾箱，</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应按以下原则</w:t>
            </w:r>
            <w:r>
              <w:rPr>
                <w:rFonts w:hint="default" w:ascii="Times New Roman" w:hAnsi="Times New Roman" w:eastAsia="宋体" w:cs="Times New Roman"/>
                <w:color w:val="000000" w:themeColor="text1"/>
                <w:sz w:val="24"/>
                <w:szCs w:val="24"/>
                <w:highlight w:val="none"/>
                <w14:textFill>
                  <w14:solidFill>
                    <w14:schemeClr w14:val="tx1"/>
                  </w14:solidFill>
                </w14:textFill>
              </w:rPr>
              <w:t>进行收集、管理、运输及处置：</w:t>
            </w:r>
          </w:p>
          <w:p w14:paraId="7313264B">
            <w:pPr>
              <w:pStyle w:val="11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4"/>
                <w:szCs w:val="24"/>
                <w:highlight w:val="none"/>
                <w14:textFill>
                  <w14:solidFill>
                    <w14:schemeClr w14:val="tx1"/>
                  </w14:solidFill>
                </w14:textFill>
              </w:rPr>
              <w:instrText xml:space="preserve"> = 1 \* GB3 </w:instrText>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highlight w:val="none"/>
                <w14:textFill>
                  <w14:solidFill>
                    <w14:schemeClr w14:val="tx1"/>
                  </w14:solidFill>
                </w14:textFill>
              </w:rPr>
              <w:t>①</w:t>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color w:val="000000" w:themeColor="text1"/>
                <w:sz w:val="24"/>
                <w:szCs w:val="22"/>
                <w:highlight w:val="none"/>
                <w14:textFill>
                  <w14:solidFill>
                    <w14:schemeClr w14:val="tx1"/>
                  </w14:solidFill>
                </w14:textFill>
              </w:rPr>
              <w:t>任何单位和个人都应当依法在指定的地点分类投放生活垃圾。禁止随意倾倒、抛撒、堆放或者焚烧生活垃圾。</w:t>
            </w:r>
          </w:p>
          <w:p w14:paraId="38BCFE88">
            <w:pPr>
              <w:adjustRightInd w:val="0"/>
              <w:snapToGrid w:val="0"/>
              <w:spacing w:line="500" w:lineRule="exact"/>
              <w:ind w:firstLine="480" w:firstLineChars="200"/>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4"/>
                <w:szCs w:val="24"/>
                <w:highlight w:val="none"/>
                <w14:textFill>
                  <w14:solidFill>
                    <w14:schemeClr w14:val="tx1"/>
                  </w14:solidFill>
                </w14:textFill>
              </w:rPr>
              <w:instrText xml:space="preserve"> = 2 \* GB3 </w:instrText>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highlight w:val="none"/>
                <w14:textFill>
                  <w14:solidFill>
                    <w14:schemeClr w14:val="tx1"/>
                  </w14:solidFill>
                </w14:textFill>
              </w:rPr>
              <w:t>②</w:t>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end"/>
            </w:r>
            <w:r>
              <w:rPr>
                <w:rFonts w:hint="default" w:ascii="Times New Roman" w:hAnsi="Times New Roman" w:eastAsia="宋体" w:cs="Times New Roman"/>
                <w:color w:val="000000" w:themeColor="text1"/>
                <w:sz w:val="24"/>
                <w:szCs w:val="22"/>
                <w:highlight w:val="none"/>
                <w14:textFill>
                  <w14:solidFill>
                    <w14:schemeClr w14:val="tx1"/>
                  </w14:solidFill>
                </w14:textFill>
              </w:rPr>
              <w:t>已经分类投放的生活垃圾，应当按照规定分类收集、分类运输、分类处理。</w:t>
            </w:r>
          </w:p>
          <w:p w14:paraId="4014EEBC">
            <w:pPr>
              <w:pStyle w:val="34"/>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firstLine="480" w:firstLineChars="200"/>
              <w:jc w:val="left"/>
              <w:textAlignment w:val="auto"/>
              <w:rPr>
                <w:rFonts w:hint="eastAsia"/>
                <w:color w:val="000000" w:themeColor="text1"/>
                <w:kern w:val="0"/>
                <w:sz w:val="24"/>
                <w:szCs w:val="24"/>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（2）危险废物</w:t>
            </w:r>
            <w:r>
              <w:rPr>
                <w:rFonts w:hint="eastAsia" w:ascii="Times New Roman" w:hAnsi="Times New Roman" w:eastAsia="宋体" w:cs="Times New Roman"/>
                <w:color w:val="000000" w:themeColor="text1"/>
                <w:kern w:val="0"/>
                <w:sz w:val="24"/>
                <w:szCs w:val="24"/>
                <w:highlight w:val="none"/>
                <w14:textFill>
                  <w14:solidFill>
                    <w14:schemeClr w14:val="tx1"/>
                  </w14:solidFill>
                </w14:textFill>
              </w:rPr>
              <w:t>环境管理要求</w:t>
            </w:r>
          </w:p>
          <w:p w14:paraId="094726E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kern w:val="0"/>
                <w:sz w:val="24"/>
                <w:szCs w:val="24"/>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①</w:t>
            </w:r>
            <w:r>
              <w:rPr>
                <w:rFonts w:hint="eastAsia" w:ascii="Times New Roman" w:hAnsi="Times New Roman" w:eastAsia="宋体" w:cs="Times New Roman"/>
                <w:color w:val="000000" w:themeColor="text1"/>
                <w:kern w:val="0"/>
                <w:sz w:val="24"/>
                <w:szCs w:val="24"/>
                <w:highlight w:val="none"/>
                <w14:textFill>
                  <w14:solidFill>
                    <w14:schemeClr w14:val="tx1"/>
                  </w14:solidFill>
                </w14:textFill>
              </w:rPr>
              <w:t>对危险废物的容器和包装物以及收集、贮存、运输、利用、处置危险废物的设施、场所，应当按照规定设置危险废物识别标志。</w:t>
            </w:r>
          </w:p>
          <w:p w14:paraId="6E171CA4">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②</w:t>
            </w:r>
            <w:r>
              <w:rPr>
                <w:rFonts w:hint="eastAsia" w:ascii="Times New Roman" w:hAnsi="Times New Roman" w:eastAsia="宋体" w:cs="Times New Roman"/>
                <w:color w:val="000000" w:themeColor="text1"/>
                <w:kern w:val="0"/>
                <w:sz w:val="24"/>
                <w:szCs w:val="24"/>
                <w:highlight w:val="none"/>
                <w14:textFill>
                  <w14:solidFill>
                    <w14:schemeClr w14:val="tx1"/>
                  </w14:solidFill>
                </w14:textFill>
              </w:rPr>
              <w:t>收集、贮存危险废物，应当按</w:t>
            </w:r>
            <w:r>
              <w:rPr>
                <w:rFonts w:hint="eastAsia"/>
                <w:color w:val="000000" w:themeColor="text1"/>
                <w:kern w:val="0"/>
                <w:sz w:val="24"/>
                <w:szCs w:val="24"/>
                <w:highlight w:val="none"/>
                <w14:textFill>
                  <w14:solidFill>
                    <w14:schemeClr w14:val="tx1"/>
                  </w14:solidFill>
                </w14:textFill>
              </w:rPr>
              <w:t>照危险废物特性分类进行。禁止混合收集、贮存、运输、处置性质不相容而未经安全性处置的危险废物。</w:t>
            </w:r>
          </w:p>
          <w:p w14:paraId="07D8BF76">
            <w:pPr>
              <w:pStyle w:val="2"/>
              <w:keepNext w:val="0"/>
              <w:keepLines w:val="0"/>
              <w:pageBreakBefore w:val="0"/>
              <w:kinsoku/>
              <w:wordWrap/>
              <w:overflowPunct/>
              <w:topLinePunct w:val="0"/>
              <w:autoSpaceDE/>
              <w:autoSpaceDN/>
              <w:bidi w:val="0"/>
              <w:adjustRightInd/>
              <w:snapToGrid w:val="0"/>
              <w:spacing w:before="0" w:after="0" w:line="360" w:lineRule="auto"/>
              <w:ind w:right="0" w:rightChars="0" w:firstLine="480" w:firstLineChars="20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14:textFill>
                  <w14:solidFill>
                    <w14:schemeClr w14:val="tx1"/>
                  </w14:solidFill>
                </w14:textFill>
              </w:rPr>
              <w:t>③</w:t>
            </w:r>
            <w:r>
              <w:rPr>
                <w:rFonts w:hint="default" w:ascii="Times New Roman" w:hAnsi="Times New Roman" w:eastAsia="宋体" w:cs="Times New Roman"/>
                <w:color w:val="000000" w:themeColor="text1"/>
                <w:kern w:val="2"/>
                <w:sz w:val="24"/>
                <w:szCs w:val="24"/>
                <w:highlight w:val="none"/>
                <w:lang w:val="en-US" w:eastAsia="zh-CN"/>
                <w14:textFill>
                  <w14:solidFill>
                    <w14:schemeClr w14:val="tx1"/>
                  </w14:solidFill>
                </w14:textFill>
              </w:rPr>
              <w:t>危险</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废物贮存库、导流渠、应急事故池为重点防渗区，</w:t>
            </w:r>
            <w:r>
              <w:rPr>
                <w:rFonts w:hint="default" w:ascii="Times New Roman" w:hAnsi="Times New Roman" w:eastAsia="宋体" w:cs="Times New Roman"/>
                <w:snapToGrid w:val="0"/>
                <w:color w:val="000000" w:themeColor="text1"/>
                <w:kern w:val="0"/>
                <w:sz w:val="24"/>
                <w:szCs w:val="24"/>
                <w:highlight w:val="none"/>
                <w:lang w:val="en-US" w:eastAsia="zh-CN"/>
                <w14:textFill>
                  <w14:solidFill>
                    <w14:schemeClr w14:val="tx1"/>
                  </w14:solidFill>
                </w14:textFill>
              </w:rPr>
              <w:t>地面与裙角用坚固、防渗的材料建造，建筑材料与危险废物相容</w:t>
            </w:r>
            <w:r>
              <w:rPr>
                <w:rFonts w:hint="eastAsia" w:ascii="Times New Roman" w:hAnsi="Times New Roman" w:eastAsia="宋体" w:cs="Times New Roman"/>
                <w:snapToGrid w:val="0"/>
                <w:color w:val="000000" w:themeColor="text1"/>
                <w:kern w:val="0"/>
                <w:sz w:val="24"/>
                <w:szCs w:val="24"/>
                <w:highlight w:val="none"/>
                <w:lang w:val="en-US" w:eastAsia="zh-CN"/>
                <w14:textFill>
                  <w14:solidFill>
                    <w14:schemeClr w14:val="tx1"/>
                  </w14:solidFill>
                </w14:textFill>
              </w:rPr>
              <w:t>，</w:t>
            </w:r>
            <w:r>
              <w:rPr>
                <w:rFonts w:hint="default" w:ascii="Times New Roman" w:hAnsi="Times New Roman" w:eastAsia="宋体" w:cs="Times New Roman"/>
                <w:snapToGrid w:val="0"/>
                <w:color w:val="000000" w:themeColor="text1"/>
                <w:kern w:val="0"/>
                <w:sz w:val="24"/>
                <w:szCs w:val="24"/>
                <w:highlight w:val="none"/>
                <w:lang w:val="en-US" w:eastAsia="zh-CN"/>
                <w14:textFill>
                  <w14:solidFill>
                    <w14:schemeClr w14:val="tx1"/>
                  </w14:solidFill>
                </w14:textFill>
              </w:rPr>
              <w:t>库周设1m高围堰，有泄漏液体收集装置、气体导出口及气体净化装置。用以存放装载液体、半固体危险废物容器的地方，有耐腐蚀的硬化地面，且表面无裂痕。</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参照《危险废物贮存污染控制标准》（GB18597-2023）要求设置重点防渗区：</w:t>
            </w:r>
            <w:r>
              <w:rPr>
                <w:rFonts w:hint="default" w:ascii="Times New Roman" w:hAnsi="Times New Roman" w:eastAsia="宋体" w:cs="Times New Roman"/>
                <w:snapToGrid w:val="0"/>
                <w:color w:val="000000" w:themeColor="text1"/>
                <w:kern w:val="0"/>
                <w:sz w:val="24"/>
                <w:szCs w:val="24"/>
                <w:highlight w:val="none"/>
                <w:lang w:val="en-US" w:eastAsia="zh-CN"/>
                <w14:textFill>
                  <w14:solidFill>
                    <w14:schemeClr w14:val="tx1"/>
                  </w14:solidFill>
                </w14:textFill>
              </w:rPr>
              <w:t>采取“2mm厚HDPE膜+防渗混凝土防渗措施，表面平整无裂痕，承重良好，</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防渗性能等效黏土防渗层Mb≥6m、K≤1.0×10</w:t>
            </w:r>
            <w:r>
              <w:rPr>
                <w:rFonts w:hint="default" w:ascii="Times New Roman" w:hAnsi="Times New Roman" w:eastAsia="宋体" w:cs="Times New Roman"/>
                <w:color w:val="000000" w:themeColor="text1"/>
                <w:kern w:val="2"/>
                <w:sz w:val="24"/>
                <w:szCs w:val="24"/>
                <w:highlight w:val="none"/>
                <w:vertAlign w:val="superscript"/>
                <w:lang w:val="en-US" w:eastAsia="zh-CN" w:bidi="ar-SA"/>
                <w14:textFill>
                  <w14:solidFill>
                    <w14:schemeClr w14:val="tx1"/>
                  </w14:solidFill>
                </w14:textFill>
              </w:rPr>
              <w:t>-10</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cm/s；</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建筑材料必须与危险废物相容。必须有泄漏液体收集装置；按照</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GB15562.2</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的规定设置警示标志等。暂存过程中</w:t>
            </w:r>
            <w:r>
              <w:rPr>
                <w:rFonts w:hint="eastAsia" w:cs="Times New Roman"/>
                <w:color w:val="000000" w:themeColor="text1"/>
                <w:kern w:val="0"/>
                <w:sz w:val="24"/>
                <w:szCs w:val="24"/>
                <w:highlight w:val="none"/>
                <w:lang w:val="en-US" w:eastAsia="zh-CN"/>
                <w14:textFill>
                  <w14:solidFill>
                    <w14:schemeClr w14:val="tx1"/>
                  </w14:solidFill>
                </w14:textFill>
              </w:rPr>
              <w:t>做好</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危险废物情况入库记录，记录上需注明危险废物的名称、来源、数量、特征和包装容器的类别、入库日期等内容；危险废物转移过程中按照《危险废物转移联单管理办法》等有关规定实行，严格落实危险废物转移联单制度。</w:t>
            </w:r>
          </w:p>
          <w:p w14:paraId="70AC0AE8">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color w:val="000000" w:themeColor="text1"/>
                <w:kern w:val="0"/>
                <w:sz w:val="24"/>
                <w:szCs w:val="24"/>
                <w:highlight w:val="none"/>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14:textFill>
                  <w14:solidFill>
                    <w14:schemeClr w14:val="tx1"/>
                  </w14:solidFill>
                </w14:textFill>
              </w:rPr>
              <w:t>④</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危险废物运输由委托的有资质单位进行运输。</w:t>
            </w:r>
            <w:r>
              <w:rPr>
                <w:rFonts w:hint="eastAsia"/>
                <w:color w:val="000000" w:themeColor="text1"/>
                <w:kern w:val="0"/>
                <w:sz w:val="24"/>
                <w:szCs w:val="24"/>
                <w:highlight w:val="none"/>
                <w14:textFill>
                  <w14:solidFill>
                    <w14:schemeClr w14:val="tx1"/>
                  </w14:solidFill>
                </w14:textFill>
              </w:rPr>
              <w:t>转移危险废物的，应当按照国家有关规定填写、运行危险废物电子或者纸质转移联单。按照国家有关规定制定危险废物管理计划，包括减少危险废物产生量和降低危险废物危害性的措施以及危险废物贮存、利用、处置措施，并报产生危险废物的单位所在地生态环境主管部门备案</w:t>
            </w:r>
            <w:r>
              <w:rPr>
                <w:rFonts w:hint="eastAsia"/>
                <w:color w:val="000000" w:themeColor="text1"/>
                <w:kern w:val="0"/>
                <w:sz w:val="24"/>
                <w:szCs w:val="24"/>
                <w:highlight w:val="none"/>
                <w:lang w:eastAsia="zh-CN"/>
                <w14:textFill>
                  <w14:solidFill>
                    <w14:schemeClr w14:val="tx1"/>
                  </w14:solidFill>
                </w14:textFill>
              </w:rPr>
              <w:t>。</w:t>
            </w:r>
            <w:r>
              <w:rPr>
                <w:rFonts w:hint="eastAsia"/>
                <w:color w:val="000000" w:themeColor="text1"/>
                <w:kern w:val="0"/>
                <w:sz w:val="24"/>
                <w:szCs w:val="24"/>
                <w:highlight w:val="none"/>
                <w14:textFill>
                  <w14:solidFill>
                    <w14:schemeClr w14:val="tx1"/>
                  </w14:solidFill>
                </w14:textFill>
              </w:rPr>
              <w:t>建立危险废物管理台账，如实记录有关信息，并通过国家危险废物信息管理系统向所在地生态环境主管部门申报危险废物的种类、产生量、流向、贮存、处置等有关资料。取得排污许可证的，执行排污许可管理制度的规定。</w:t>
            </w:r>
          </w:p>
          <w:p w14:paraId="0BDA3EF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color w:val="000000" w:themeColor="text1"/>
                <w:kern w:val="0"/>
                <w:sz w:val="24"/>
                <w:szCs w:val="24"/>
                <w:highlight w:val="none"/>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14:textFill>
                  <w14:solidFill>
                    <w14:schemeClr w14:val="tx1"/>
                  </w14:solidFill>
                </w14:textFill>
              </w:rPr>
              <w:t>⑤</w:t>
            </w:r>
            <w:r>
              <w:rPr>
                <w:rFonts w:hint="eastAsia"/>
                <w:color w:val="000000" w:themeColor="text1"/>
                <w:kern w:val="0"/>
                <w:sz w:val="24"/>
                <w:szCs w:val="24"/>
                <w:highlight w:val="none"/>
                <w14:textFill>
                  <w14:solidFill>
                    <w14:schemeClr w14:val="tx1"/>
                  </w14:solidFill>
                </w14:textFill>
              </w:rPr>
              <w:t>按照国家有关规定和环境保护标准要求贮存、利用、处置危险废物，不得擅自倾倒、堆放。禁止将危险废物提供或者委托给无许可证的单位或者其他生产经营者从事收集、贮存、利用、处置活动。收集、贮存、运输、利用、处置危险废物的场所、设施、设备和容器、包装物及其他物品转作他用时，应当按照国家有关规定经过消除污染处理，方可使用。</w:t>
            </w:r>
          </w:p>
          <w:p w14:paraId="1ED46BF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color w:val="000000" w:themeColor="text1"/>
                <w:kern w:val="0"/>
                <w:sz w:val="24"/>
                <w:szCs w:val="24"/>
                <w:highlight w:val="none"/>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14:textFill>
                  <w14:solidFill>
                    <w14:schemeClr w14:val="tx1"/>
                  </w14:solidFill>
                </w14:textFill>
              </w:rPr>
              <w:t>⑥</w:t>
            </w:r>
            <w:r>
              <w:rPr>
                <w:rFonts w:hint="eastAsia"/>
                <w:color w:val="000000" w:themeColor="text1"/>
                <w:kern w:val="0"/>
                <w:sz w:val="24"/>
                <w:szCs w:val="24"/>
                <w:highlight w:val="none"/>
                <w14:textFill>
                  <w14:solidFill>
                    <w14:schemeClr w14:val="tx1"/>
                  </w14:solidFill>
                </w14:textFill>
              </w:rPr>
              <w:t>依法制定意外事故的防范措施和应急预案，并向所在地生态环境主管部门和其他负有固体废物污染环境防治监督管理职责的部门备案。因发生事故或者其他突发性事件，造成危险废物严重污染环境的单位，应当立即采取有效措施消除或者减轻对环境的污染危害，及时通报可能受到污染危害的单位和居民，并向所在地生态环境主管部门和有关部门报告，接受调查处理。</w:t>
            </w:r>
          </w:p>
          <w:p w14:paraId="084F092F">
            <w:pPr>
              <w:pStyle w:val="34"/>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14:textFill>
                  <w14:solidFill>
                    <w14:schemeClr w14:val="tx1"/>
                  </w14:solidFill>
                </w14:textFill>
              </w:rPr>
              <w:t>⑦</w:t>
            </w:r>
            <w:r>
              <w:rPr>
                <w:rFonts w:hint="eastAsia"/>
                <w:color w:val="000000" w:themeColor="text1"/>
                <w:sz w:val="24"/>
                <w:szCs w:val="24"/>
                <w:highlight w:val="none"/>
                <w:lang w:val="en-US" w:eastAsia="zh-CN"/>
                <w14:textFill>
                  <w14:solidFill>
                    <w14:schemeClr w14:val="tx1"/>
                  </w14:solidFill>
                </w14:textFill>
              </w:rPr>
              <w:t>危废贮存库应设置明显的警示标识，危险废物收集达每一种危险废物最大储存量后，由危险废物专用运输车辆运出，运出作业原则上不在雨天作业。为保证装卸时突发性降雨危险废物的安全性，装卸区域设在库内。危险废物在经计量、分类登记后由叉车转移至危险废物专用运输车辆运出，转移过程不得开启危废包装物密封。由专人对危废进行管理，危险废物要单独设置台账，同时危险废物的移交严格执行危废联单制度，存储期间严格按照《危险废物贮存污染控制标准》（GB18597-2023）执行。</w:t>
            </w:r>
          </w:p>
          <w:p w14:paraId="2BC7D82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危险废物转移制度</w:t>
            </w:r>
          </w:p>
          <w:p w14:paraId="1AC30C5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（1）危险废物转移管理工作的落实由专人负责严格执行危险废物转移计划和依法运行危险废物转移联单，并通过“固体废物管理信息系统”登记转移计划和电子转移联单。</w:t>
            </w:r>
          </w:p>
          <w:p w14:paraId="0555965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（2）危险废物转移规定和要求</w:t>
            </w:r>
          </w:p>
          <w:p w14:paraId="4456EA9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①在转移危险废物前，须按照国家有关规定报批危险废物转移计划，经批准后，向移出地环境保护行政主管部门申请领取联单，在危险废物转移前三日内报告移出地环境保护行政主管部门，并同时将预期到达时间报告接受地环境保护行政主管部门。</w:t>
            </w:r>
          </w:p>
          <w:p w14:paraId="4773D92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②每转移一车、船（次）同类危险废物，应当填写一份联单。每车、船（次）有多类危险废物的，应当按每一类危险废物填写一份联单。</w:t>
            </w:r>
          </w:p>
          <w:p w14:paraId="276D46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③如实填写联单中利用单位栏目，并加盖公章，经交付危险废物运输单位核实验收签字后，将联单第一联副联自留存档，将联单第二联交移出地环境保护行政主管部门联单第一联正联及其余各联交付运输单位随危险废物转移运行。</w:t>
            </w:r>
          </w:p>
          <w:p w14:paraId="50A35D9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④危险废物接收单位应当按照联单填写的内容对危险废物核实验收，如实填写联单中接受单位栏目并加盖公章；接受单位应当将联单第一联，第二联副联自接受危险废物之日起十日内交付利用单位，联单第一联由利用单位自留存档，联单保存期限为五年联单第二联副联由利用单位在二日内报送移出地环境保护行政主管部门。</w:t>
            </w:r>
          </w:p>
          <w:p w14:paraId="233285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4"/>
                <w:szCs w:val="24"/>
                <w:highlight w:val="none"/>
                <w:lang w:val="en-US" w:eastAsia="zh-CN"/>
                <w14:textFill>
                  <w14:solidFill>
                    <w14:schemeClr w14:val="tx1"/>
                  </w14:solidFill>
                </w14:textFill>
              </w:rPr>
              <w:t>（3）危险废物转移负责人的职责统筹本单位危险废物转移管理工作，负责制定、组织实施危险废物转移管理计划和实施方案。负责按规定申报危险废物转移计划和申领、保管危险废物转移联单。在每次危险废物转移时，按规定正确使用和填写危险废物转移联单，做好危险废物转移时的联单交接工作。负责每次危险废物转移现场环境污染防治监督管理工作。负责在废物转移前三日内报告移出地环境保护行政主管部门，并同时将预期到达时间报告接受地环境保护行政主管部门。负责每次危险废物转移后，跟踪和督促危险废物接收单位按规定如期回交联单第一联，第二联副联，并负责按规定把联单第二联副联报送移出地环境保护行政主管部门。</w:t>
            </w:r>
          </w:p>
          <w:p w14:paraId="69A984BD">
            <w:pPr>
              <w:pStyle w:val="34"/>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（4）固体废物环境影响小结</w:t>
            </w:r>
          </w:p>
          <w:p w14:paraId="0A9CA365">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本项目生活垃圾委托市政部门统一处理；本项目危险废物暂存于危险废物贮存库中，委托有资质单位进行处理处置，本项目产生的危险废物得到了妥善的处理处置，不外排，不会对环境产生不良影响。综上所述，本项目固体废物均得到了妥善的处理处置，不会对外环境产生不良影响，从环境保护角度讲，本项目建设是可行的。</w:t>
            </w:r>
          </w:p>
          <w:p w14:paraId="750C5154">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jc w:val="left"/>
              <w:textAlignment w:val="auto"/>
              <w:rPr>
                <w:rFonts w:hint="eastAsia"/>
                <w:b/>
                <w:bCs/>
                <w:color w:val="000000" w:themeColor="text1"/>
                <w:sz w:val="24"/>
                <w:szCs w:val="24"/>
                <w:highlight w:val="none"/>
                <w:lang w:val="en-US" w:eastAsia="zh-CN"/>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五、地下水环境影响分析</w:t>
            </w:r>
          </w:p>
          <w:p w14:paraId="32F91C7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本项目</w:t>
            </w:r>
            <w:r>
              <w:rPr>
                <w:rFonts w:hint="eastAsia" w:cs="Times New Roman"/>
                <w:color w:val="000000" w:themeColor="text1"/>
                <w:sz w:val="24"/>
                <w:szCs w:val="24"/>
                <w:highlight w:val="none"/>
                <w:lang w:val="en-US" w:eastAsia="zh-CN"/>
                <w14:textFill>
                  <w14:solidFill>
                    <w14:schemeClr w14:val="tx1"/>
                  </w14:solidFill>
                </w14:textFill>
              </w:rPr>
              <w:t>厂区</w:t>
            </w:r>
            <w:r>
              <w:rPr>
                <w:rFonts w:hint="default" w:ascii="Times New Roman" w:hAnsi="Times New Roman" w:eastAsia="宋体" w:cs="Times New Roman"/>
                <w:color w:val="000000" w:themeColor="text1"/>
                <w:sz w:val="24"/>
                <w:szCs w:val="24"/>
                <w:highlight w:val="none"/>
                <w14:textFill>
                  <w14:solidFill>
                    <w14:schemeClr w14:val="tx1"/>
                  </w14:solidFill>
                </w14:textFill>
              </w:rPr>
              <w:t>地下水环境不属于集中式饮用水源准保护区，不属于准保护区以外的补给径流区、不属于热水、矿泉水、温泉等特殊地下水源保护区，不属于未规划准保护区的集中式饮用水水源及其保护区以外的补给径流区，不属于分散式饮用水水源地，不属于特殊地下水资源保护区以外的分布区等环境敏感区。本项目不开采地下水，也不进行地下水的回灌，正常情况下项目不会对地下水环境产生显著影响。</w:t>
            </w:r>
          </w:p>
          <w:p w14:paraId="20717BC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渗透污染是导致地下水污染的普遍方式和主要方式，项目对地下水产生污染的途径主要是事故状态下的渗透污染，本项目对地下水环境可能造成影响的污染源主要是危险废物贮存库在贮存过程中可能由于包装桶破裂、操作失误等造成危险废物的泄漏。</w:t>
            </w:r>
          </w:p>
          <w:p w14:paraId="3821ACA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项目应采取措施，防止项目对地下水环境产生影响。</w:t>
            </w:r>
          </w:p>
          <w:p w14:paraId="1A275DB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（1）源头控制措施</w:t>
            </w:r>
          </w:p>
          <w:p w14:paraId="35787CF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本项目无生产用水，无生产废水产生，生活污水依托伊春市林源家具有限公司，经市政管网</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排入伊春市中心城污水处理厂处理。</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废气处理碱喷淋塔碱液循环使用，不外排，无废水产生</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3C7A0EC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厂房内四周</w:t>
            </w:r>
            <w:r>
              <w:rPr>
                <w:rFonts w:hint="default" w:ascii="Times New Roman" w:hAnsi="Times New Roman" w:eastAsia="宋体" w:cs="Times New Roman"/>
                <w:color w:val="000000" w:themeColor="text1"/>
                <w:sz w:val="24"/>
                <w:szCs w:val="24"/>
                <w:highlight w:val="none"/>
                <w14:textFill>
                  <w14:solidFill>
                    <w14:schemeClr w14:val="tx1"/>
                  </w14:solidFill>
                </w14:textFill>
              </w:rPr>
              <w:t>均设置围堰及</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导流渠</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导流渠</w:t>
            </w:r>
            <w:r>
              <w:rPr>
                <w:rFonts w:hint="default" w:ascii="Times New Roman" w:hAnsi="Times New Roman" w:eastAsia="宋体" w:cs="Times New Roman"/>
                <w:color w:val="000000" w:themeColor="text1"/>
                <w:sz w:val="24"/>
                <w:szCs w:val="24"/>
                <w:highlight w:val="none"/>
                <w14:textFill>
                  <w14:solidFill>
                    <w14:schemeClr w14:val="tx1"/>
                  </w14:solidFill>
                </w14:textFill>
              </w:rPr>
              <w:t>互相连通，</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并连接1座应急事故池</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62070E3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本项目在</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运营过程</w:t>
            </w:r>
            <w:r>
              <w:rPr>
                <w:rFonts w:hint="default" w:ascii="Times New Roman" w:hAnsi="Times New Roman" w:eastAsia="宋体" w:cs="Times New Roman"/>
                <w:color w:val="000000" w:themeColor="text1"/>
                <w:sz w:val="24"/>
                <w:szCs w:val="24"/>
                <w:highlight w:val="none"/>
                <w14:textFill>
                  <w14:solidFill>
                    <w14:schemeClr w14:val="tx1"/>
                  </w14:solidFill>
                </w14:textFill>
              </w:rPr>
              <w:t>中，防止和降低</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危险废物</w:t>
            </w:r>
            <w:r>
              <w:rPr>
                <w:rFonts w:hint="default" w:ascii="Times New Roman" w:hAnsi="Times New Roman" w:eastAsia="宋体" w:cs="Times New Roman"/>
                <w:color w:val="000000" w:themeColor="text1"/>
                <w:sz w:val="24"/>
                <w:szCs w:val="24"/>
                <w:highlight w:val="none"/>
                <w14:textFill>
                  <w14:solidFill>
                    <w14:schemeClr w14:val="tx1"/>
                  </w14:solidFill>
                </w14:textFill>
              </w:rPr>
              <w:t>跑、冒、滴、漏，将污染物泄漏的环境风险事故降到最低程度。</w:t>
            </w:r>
          </w:p>
          <w:p w14:paraId="1324780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（2）分区防渗措施</w:t>
            </w:r>
          </w:p>
          <w:p w14:paraId="5ED250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fldChar w:fldCharType="begin"/>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instrText xml:space="preserve"> = 1 \* GB3 \* MERGEFORMAT </w:instrTex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①</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fldChar w:fldCharType="end"/>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重点防渗区</w:t>
            </w:r>
          </w:p>
          <w:p w14:paraId="225805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危险废物贮存库、导流渠、应急事故池为重点防渗区，地面与裙角用坚固、防渗的材料建造，建筑材料与危险废物相容</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库周设1m高围堰，有泄漏液体收集装置、气体导出口及气体净化装置。用以存放装载液体、半固体危险废物容器的地方，有耐腐蚀的硬化地面，且表面无裂痕。参照《危险废物贮存污染控制标准》（GB18597-2023）要求设置重点防渗区：采取“2mm厚HDPE膜+防渗混凝土防渗措施，表面平整无裂痕，承重良好，防渗性能等效黏土防渗层Mb≥6m、K≤1.0×10-10cm/s</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符合《环境影响评价技术导则 地下水环境》（HJ 610-2016）</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重点</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防渗区要求。</w:t>
            </w:r>
          </w:p>
          <w:p w14:paraId="4054ECC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③</w:t>
            </w:r>
            <w:r>
              <w:rPr>
                <w:rFonts w:hint="default" w:ascii="Times New Roman" w:hAnsi="Times New Roman" w:eastAsia="宋体" w:cs="Times New Roman"/>
                <w:color w:val="000000" w:themeColor="text1"/>
                <w:sz w:val="24"/>
                <w:szCs w:val="24"/>
                <w:highlight w:val="none"/>
                <w14:textFill>
                  <w14:solidFill>
                    <w14:schemeClr w14:val="tx1"/>
                  </w14:solidFill>
                </w14:textFill>
              </w:rPr>
              <w:t>简单防渗区</w:t>
            </w:r>
          </w:p>
          <w:p w14:paraId="0D07EAC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厂区道路</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等其他</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区域为简单防渗区，进行简单地面硬化</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3620FCC9">
            <w:pPr>
              <w:pStyle w:val="5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本项目应急事故池</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导流渠、</w:t>
            </w:r>
            <w:r>
              <w:rPr>
                <w:rFonts w:hint="default" w:ascii="Times New Roman" w:hAnsi="Times New Roman" w:cs="Times New Roman"/>
                <w:color w:val="000000" w:themeColor="text1"/>
                <w:sz w:val="24"/>
                <w:szCs w:val="24"/>
                <w:highlight w:val="none"/>
                <w14:textFill>
                  <w14:solidFill>
                    <w14:schemeClr w14:val="tx1"/>
                  </w14:solidFill>
                </w14:textFill>
              </w:rPr>
              <w:t>危险废物贮存库等构筑物按照要求进行防渗后能有效阻断污染地下水的各种途径，在本项目运行过程中，加强生产设备、污染治理设施的维护和厂区环境管理，定期对地下水进行监测，对</w:t>
            </w:r>
            <w:r>
              <w:rPr>
                <w:rFonts w:hint="eastAsia" w:ascii="Times New Roman" w:hAnsi="Times New Roman" w:cs="Times New Roman"/>
                <w:color w:val="000000" w:themeColor="text1"/>
                <w:sz w:val="24"/>
                <w:szCs w:val="24"/>
                <w:highlight w:val="none"/>
                <w:lang w:eastAsia="zh-CN"/>
                <w14:textFill>
                  <w14:solidFill>
                    <w14:schemeClr w14:val="tx1"/>
                  </w14:solidFill>
                </w14:textFill>
              </w:rPr>
              <w:t>泄漏</w:t>
            </w:r>
            <w:r>
              <w:rPr>
                <w:rFonts w:hint="default" w:ascii="Times New Roman" w:hAnsi="Times New Roman" w:cs="Times New Roman"/>
                <w:color w:val="000000" w:themeColor="text1"/>
                <w:sz w:val="24"/>
                <w:szCs w:val="24"/>
                <w:highlight w:val="none"/>
                <w14:textFill>
                  <w14:solidFill>
                    <w14:schemeClr w14:val="tx1"/>
                  </w14:solidFill>
                </w14:textFill>
              </w:rPr>
              <w:t>的污染物及时收集处理，可有效控制厂区内的污染物下渗现象，避免污染地下水，因此本项目不会对区域地下水环境产生明显影响。</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项目分区防渗图详见附图3所示。</w:t>
            </w:r>
          </w:p>
          <w:p w14:paraId="4AC94EB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（3）</w:t>
            </w:r>
            <w:r>
              <w:rPr>
                <w:rFonts w:hint="default" w:ascii="Calibri" w:hAnsi="Calibri" w:eastAsia="宋体" w:cs="Times New Roman"/>
                <w:color w:val="000000" w:themeColor="text1"/>
                <w:kern w:val="2"/>
                <w:sz w:val="24"/>
                <w:szCs w:val="24"/>
                <w:highlight w:val="none"/>
                <w:lang w:val="en-US" w:eastAsia="zh-CN" w:bidi="ar-SA"/>
                <w14:textFill>
                  <w14:solidFill>
                    <w14:schemeClr w14:val="tx1"/>
                  </w14:solidFill>
                </w14:textFill>
              </w:rPr>
              <w:t>应急响应措施</w:t>
            </w:r>
          </w:p>
          <w:p w14:paraId="4F7F238F">
            <w:pPr>
              <w:pStyle w:val="5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本项目按非正常状况下</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危险废物贮存装置</w:t>
            </w:r>
            <w:r>
              <w:rPr>
                <w:rFonts w:hint="default" w:ascii="Times New Roman" w:hAnsi="Times New Roman" w:cs="Times New Roman"/>
                <w:color w:val="000000" w:themeColor="text1"/>
                <w:sz w:val="24"/>
                <w:szCs w:val="24"/>
                <w:highlight w:val="none"/>
                <w14:textFill>
                  <w14:solidFill>
                    <w14:schemeClr w14:val="tx1"/>
                  </w14:solidFill>
                </w14:textFill>
              </w:rPr>
              <w:t>发生渗漏考虑，设置</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cs="Times New Roman"/>
                <w:color w:val="000000" w:themeColor="text1"/>
                <w:sz w:val="24"/>
                <w:szCs w:val="24"/>
                <w:highlight w:val="none"/>
                <w14:textFill>
                  <w14:solidFill>
                    <w14:schemeClr w14:val="tx1"/>
                  </w14:solidFill>
                </w14:textFill>
              </w:rPr>
              <w:t>座容积为</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0</w:t>
            </w:r>
            <w:r>
              <w:rPr>
                <w:rFonts w:hint="default" w:ascii="Times New Roman" w:hAnsi="Times New Roman" w:cs="Times New Roman"/>
                <w:color w:val="000000" w:themeColor="text1"/>
                <w:sz w:val="24"/>
                <w:szCs w:val="24"/>
                <w:highlight w:val="none"/>
                <w14:textFill>
                  <w14:solidFill>
                    <w14:schemeClr w14:val="tx1"/>
                  </w14:solidFill>
                </w14:textFill>
              </w:rPr>
              <w:t>m</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szCs w:val="24"/>
                <w:highlight w:val="none"/>
                <w14:textFill>
                  <w14:solidFill>
                    <w14:schemeClr w14:val="tx1"/>
                  </w14:solidFill>
                </w14:textFill>
              </w:rPr>
              <w:t>的事故池，确保非正常状况下</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危险废物</w:t>
            </w:r>
            <w:r>
              <w:rPr>
                <w:rFonts w:hint="default" w:ascii="Times New Roman" w:hAnsi="Times New Roman" w:cs="Times New Roman"/>
                <w:color w:val="000000" w:themeColor="text1"/>
                <w:sz w:val="24"/>
                <w:szCs w:val="24"/>
                <w:highlight w:val="none"/>
                <w14:textFill>
                  <w14:solidFill>
                    <w14:schemeClr w14:val="tx1"/>
                  </w14:solidFill>
                </w14:textFill>
              </w:rPr>
              <w:t>不下渗、不外排。</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设置地下水监测井</w:t>
            </w:r>
            <w:r>
              <w:rPr>
                <w:rFonts w:hint="eastAsia" w:cs="Times New Roman"/>
                <w:color w:val="000000" w:themeColor="text1"/>
                <w:kern w:val="2"/>
                <w:sz w:val="24"/>
                <w:szCs w:val="24"/>
                <w:highlight w:val="none"/>
                <w:lang w:val="en-US" w:eastAsia="zh-CN" w:bidi="ar-SA"/>
                <w14:textFill>
                  <w14:solidFill>
                    <w14:schemeClr w14:val="tx1"/>
                  </w14:solidFill>
                </w14:textFill>
              </w:rPr>
              <w:t>1</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处，位于厂址地下</w:t>
            </w:r>
            <w:r>
              <w:rPr>
                <w:rFonts w:hint="eastAsia" w:cs="Times New Roman"/>
                <w:color w:val="000000" w:themeColor="text1"/>
                <w:kern w:val="2"/>
                <w:sz w:val="24"/>
                <w:szCs w:val="24"/>
                <w:highlight w:val="none"/>
                <w:lang w:val="en-US" w:eastAsia="zh-CN" w:bidi="ar-SA"/>
                <w14:textFill>
                  <w14:solidFill>
                    <w14:schemeClr w14:val="tx1"/>
                  </w14:solidFill>
                </w14:textFill>
              </w:rPr>
              <w:t>水</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下游，跟踪监测井位于危险废物贮存库东北侧50m（E</w:t>
            </w:r>
            <w:r>
              <w:rPr>
                <w:rFonts w:hint="default" w:ascii="Times New Roman" w:hAnsi="Times New Roman" w:eastAsia="宋体" w:cs="Times New Roman"/>
                <w:color w:val="000000" w:themeColor="text1"/>
                <w:spacing w:val="-2"/>
                <w:kern w:val="2"/>
                <w:sz w:val="24"/>
                <w:szCs w:val="24"/>
                <w:highlight w:val="none"/>
                <w:lang w:val="en-US" w:eastAsia="zh-CN" w:bidi="ar-SA"/>
                <w14:textFill>
                  <w14:solidFill>
                    <w14:schemeClr w14:val="tx1"/>
                  </w14:solidFill>
                </w14:textFill>
              </w:rPr>
              <w:t>128°55′13.04593″</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，N</w:t>
            </w:r>
            <w:r>
              <w:rPr>
                <w:rFonts w:hint="default" w:ascii="Times New Roman" w:hAnsi="Times New Roman" w:eastAsia="宋体" w:cs="Times New Roman"/>
                <w:color w:val="000000" w:themeColor="text1"/>
                <w:spacing w:val="-2"/>
                <w:kern w:val="2"/>
                <w:sz w:val="24"/>
                <w:szCs w:val="24"/>
                <w:highlight w:val="none"/>
                <w:lang w:val="en-US" w:eastAsia="zh-CN" w:bidi="ar-SA"/>
                <w14:textFill>
                  <w14:solidFill>
                    <w14:schemeClr w14:val="tx1"/>
                  </w14:solidFill>
                </w14:textFill>
              </w:rPr>
              <w:t>47°44′11.51684″</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，定期对地下水水质进行监测。</w:t>
            </w:r>
          </w:p>
          <w:p w14:paraId="1EC1214A">
            <w:pPr>
              <w:pStyle w:val="5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cs="Times New Roman"/>
                <w:bCs/>
                <w:snapToGrid w:val="0"/>
                <w:color w:val="000000" w:themeColor="text1"/>
                <w:kern w:val="0"/>
                <w:sz w:val="24"/>
                <w:szCs w:val="24"/>
                <w:highlight w:val="none"/>
                <w:lang w:eastAsia="zh-CN"/>
                <w14:textFill>
                  <w14:solidFill>
                    <w14:schemeClr w14:val="tx1"/>
                  </w14:solidFill>
                </w14:textFill>
              </w:rPr>
            </w:pPr>
            <w:r>
              <w:rPr>
                <w:rFonts w:hint="eastAsia" w:cs="Times New Roman"/>
                <w:bCs/>
                <w:snapToGrid w:val="0"/>
                <w:color w:val="000000" w:themeColor="text1"/>
                <w:kern w:val="0"/>
                <w:sz w:val="24"/>
                <w:szCs w:val="24"/>
                <w:highlight w:val="none"/>
                <w:lang w:eastAsia="zh-CN"/>
                <w14:textFill>
                  <w14:solidFill>
                    <w14:schemeClr w14:val="tx1"/>
                  </w14:solidFill>
                </w14:textFill>
              </w:rPr>
              <w:t>（</w:t>
            </w:r>
            <w:r>
              <w:rPr>
                <w:rFonts w:hint="eastAsia" w:cs="Times New Roman"/>
                <w:bCs/>
                <w:snapToGrid w:val="0"/>
                <w:color w:val="000000" w:themeColor="text1"/>
                <w:kern w:val="0"/>
                <w:sz w:val="24"/>
                <w:szCs w:val="24"/>
                <w:highlight w:val="none"/>
                <w:lang w:val="en-US" w:eastAsia="zh-CN"/>
                <w14:textFill>
                  <w14:solidFill>
                    <w14:schemeClr w14:val="tx1"/>
                  </w14:solidFill>
                </w14:textFill>
              </w:rPr>
              <w:t>4</w:t>
            </w:r>
            <w:r>
              <w:rPr>
                <w:rFonts w:hint="eastAsia" w:cs="Times New Roman"/>
                <w:bCs/>
                <w:snapToGrid w:val="0"/>
                <w:color w:val="000000" w:themeColor="text1"/>
                <w:kern w:val="0"/>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分析结论</w:t>
            </w:r>
          </w:p>
          <w:p w14:paraId="12DB0AD6">
            <w:pPr>
              <w:pStyle w:val="5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Cs/>
                <w:snapToGrid w:val="0"/>
                <w:color w:val="000000" w:themeColor="text1"/>
                <w:kern w:val="0"/>
                <w:sz w:val="24"/>
                <w:szCs w:val="24"/>
                <w:highlight w:val="none"/>
                <w14:textFill>
                  <w14:solidFill>
                    <w14:schemeClr w14:val="tx1"/>
                  </w14:solidFill>
                </w14:textFill>
              </w:rPr>
              <w:t>综上，</w:t>
            </w:r>
            <w:r>
              <w:rPr>
                <w:rFonts w:hint="eastAsia" w:cs="Times New Roman"/>
                <w:bCs/>
                <w:snapToGrid w:val="0"/>
                <w:color w:val="000000" w:themeColor="text1"/>
                <w:kern w:val="0"/>
                <w:sz w:val="24"/>
                <w:szCs w:val="24"/>
                <w:highlight w:val="none"/>
                <w:lang w:val="en-US" w:eastAsia="zh-CN"/>
                <w14:textFill>
                  <w14:solidFill>
                    <w14:schemeClr w14:val="tx1"/>
                  </w14:solidFill>
                </w14:textFill>
              </w:rPr>
              <w:t>项目</w:t>
            </w:r>
            <w:r>
              <w:rPr>
                <w:rFonts w:hint="default" w:ascii="Times New Roman" w:hAnsi="Times New Roman" w:eastAsia="宋体" w:cs="Times New Roman"/>
                <w:color w:val="000000" w:themeColor="text1"/>
                <w:sz w:val="24"/>
                <w:szCs w:val="24"/>
                <w:highlight w:val="none"/>
                <w14:textFill>
                  <w14:solidFill>
                    <w14:schemeClr w14:val="tx1"/>
                  </w14:solidFill>
                </w14:textFill>
              </w:rPr>
              <w:t>在加强日常管理的条件下，</w:t>
            </w:r>
            <w:r>
              <w:rPr>
                <w:rFonts w:hint="eastAsia" w:cs="Times New Roman"/>
                <w:bCs/>
                <w:snapToGrid w:val="0"/>
                <w:color w:val="000000" w:themeColor="text1"/>
                <w:kern w:val="0"/>
                <w:sz w:val="24"/>
                <w:szCs w:val="24"/>
                <w:highlight w:val="none"/>
                <w:lang w:val="en-US" w:eastAsia="zh-CN"/>
                <w14:textFill>
                  <w14:solidFill>
                    <w14:schemeClr w14:val="tx1"/>
                  </w14:solidFill>
                </w14:textFill>
              </w:rPr>
              <w:t>通过本次评价提出的源头控制措施、防渗分区要求及应急措施</w:t>
            </w:r>
            <w:r>
              <w:rPr>
                <w:rFonts w:hint="default" w:ascii="Times New Roman" w:hAnsi="Times New Roman" w:cs="Times New Roman"/>
                <w:bCs/>
                <w:snapToGrid w:val="0"/>
                <w:color w:val="000000" w:themeColor="text1"/>
                <w:kern w:val="0"/>
                <w:sz w:val="24"/>
                <w:szCs w:val="24"/>
                <w:highlight w:val="none"/>
                <w14:textFill>
                  <w14:solidFill>
                    <w14:schemeClr w14:val="tx1"/>
                  </w14:solidFill>
                </w14:textFill>
              </w:rPr>
              <w:t>，本项目对</w:t>
            </w:r>
            <w:r>
              <w:rPr>
                <w:rFonts w:hint="eastAsia" w:cs="Times New Roman"/>
                <w:bCs/>
                <w:snapToGrid w:val="0"/>
                <w:color w:val="000000" w:themeColor="text1"/>
                <w:kern w:val="0"/>
                <w:sz w:val="24"/>
                <w:szCs w:val="24"/>
                <w:highlight w:val="none"/>
                <w:lang w:val="en-US" w:eastAsia="zh-CN"/>
                <w14:textFill>
                  <w14:solidFill>
                    <w14:schemeClr w14:val="tx1"/>
                  </w14:solidFill>
                </w14:textFill>
              </w:rPr>
              <w:t>地下水</w:t>
            </w:r>
            <w:r>
              <w:rPr>
                <w:rFonts w:hint="default" w:ascii="Times New Roman" w:hAnsi="Times New Roman" w:cs="Times New Roman"/>
                <w:bCs/>
                <w:snapToGrid w:val="0"/>
                <w:color w:val="000000" w:themeColor="text1"/>
                <w:kern w:val="0"/>
                <w:sz w:val="24"/>
                <w:szCs w:val="24"/>
                <w:highlight w:val="none"/>
                <w14:textFill>
                  <w14:solidFill>
                    <w14:schemeClr w14:val="tx1"/>
                  </w14:solidFill>
                </w14:textFill>
              </w:rPr>
              <w:t>环境污染较小，可以接受。</w:t>
            </w:r>
          </w:p>
          <w:p w14:paraId="3C54A81B">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jc w:val="left"/>
              <w:textAlignment w:val="auto"/>
              <w:rPr>
                <w:rFonts w:hint="eastAsia"/>
                <w:b/>
                <w:bCs/>
                <w:color w:val="000000" w:themeColor="text1"/>
                <w:sz w:val="24"/>
                <w:szCs w:val="24"/>
                <w:highlight w:val="none"/>
                <w:lang w:val="en-US" w:eastAsia="zh-CN"/>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六、土壤环境影响分析</w:t>
            </w:r>
          </w:p>
          <w:p w14:paraId="578C1AA5">
            <w:pPr>
              <w:pStyle w:val="5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项目大气沉降影响主要为危废贮存库的挥发性有机废气、氯化氢、氨、硫化氢</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臭气浓度</w:t>
            </w:r>
            <w:r>
              <w:rPr>
                <w:rFonts w:hint="default" w:ascii="Times New Roman" w:hAnsi="Times New Roman" w:cs="Times New Roman"/>
                <w:color w:val="000000" w:themeColor="text1"/>
                <w:sz w:val="24"/>
                <w:szCs w:val="24"/>
                <w:highlight w:val="none"/>
                <w14:textFill>
                  <w14:solidFill>
                    <w14:schemeClr w14:val="tx1"/>
                  </w14:solidFill>
                </w14:textFill>
              </w:rPr>
              <w:t>等，项目产生的废气经</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负压收</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集+</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碱液喷淋吸附装置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+两级</w:t>
            </w:r>
            <w:r>
              <w:rPr>
                <w:rFonts w:hint="default" w:ascii="Times New Roman" w:hAnsi="Times New Roman" w:cs="Times New Roman"/>
                <w:color w:val="000000" w:themeColor="text1"/>
                <w:sz w:val="24"/>
                <w:szCs w:val="24"/>
                <w:highlight w:val="none"/>
                <w14:textFill>
                  <w14:solidFill>
                    <w14:schemeClr w14:val="tx1"/>
                  </w14:solidFill>
                </w14:textFill>
              </w:rPr>
              <w:t>活性炭吸附处理</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15米高排气筒有组织排放，经有效处理后项目大气污染物排放量较少，因此项目通过大气沉降对土壤产生的影响较少</w:t>
            </w:r>
          </w:p>
          <w:p w14:paraId="2030C0A9">
            <w:pPr>
              <w:pStyle w:val="5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Times New Roman" w:hAnsi="Times New Roman" w:cs="Times New Roman"/>
                <w:b w:val="0"/>
                <w:bCs/>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b w:val="0"/>
                <w:bCs/>
                <w:snapToGrid w:val="0"/>
                <w:color w:val="000000" w:themeColor="text1"/>
                <w:kern w:val="0"/>
                <w:sz w:val="24"/>
                <w:szCs w:val="24"/>
                <w:highlight w:val="none"/>
                <w14:textFill>
                  <w14:solidFill>
                    <w14:schemeClr w14:val="tx1"/>
                  </w14:solidFill>
                </w14:textFill>
              </w:rPr>
              <w:t>本项目建成后，厂区地面全部进行混凝土硬底化，厂区无裸露土壤，污染物不会直接与地表土壤接触。项目本项目危废贮存库地面和裙角、</w:t>
            </w:r>
            <w:r>
              <w:rPr>
                <w:rFonts w:hint="eastAsia" w:ascii="Times New Roman" w:hAnsi="Times New Roman" w:cs="Times New Roman"/>
                <w:b w:val="0"/>
                <w:bCs/>
                <w:snapToGrid w:val="0"/>
                <w:color w:val="000000" w:themeColor="text1"/>
                <w:kern w:val="0"/>
                <w:sz w:val="24"/>
                <w:szCs w:val="24"/>
                <w:highlight w:val="none"/>
                <w:lang w:val="en-US" w:eastAsia="zh-CN"/>
                <w14:textFill>
                  <w14:solidFill>
                    <w14:schemeClr w14:val="tx1"/>
                  </w14:solidFill>
                </w14:textFill>
              </w:rPr>
              <w:t>导流渠</w:t>
            </w:r>
            <w:r>
              <w:rPr>
                <w:rFonts w:hint="default" w:ascii="Times New Roman" w:hAnsi="Times New Roman" w:cs="Times New Roman"/>
                <w:b w:val="0"/>
                <w:bCs/>
                <w:snapToGrid w:val="0"/>
                <w:color w:val="000000" w:themeColor="text1"/>
                <w:kern w:val="0"/>
                <w:sz w:val="24"/>
                <w:szCs w:val="24"/>
                <w:highlight w:val="none"/>
                <w14:textFill>
                  <w14:solidFill>
                    <w14:schemeClr w14:val="tx1"/>
                  </w14:solidFill>
                </w14:textFill>
              </w:rPr>
              <w:t>、事故池等均采用“混凝土+2mm厚HDPE膜”进行防渗，可保证地面渗透系数&lt;10</w:t>
            </w:r>
            <w:r>
              <w:rPr>
                <w:rFonts w:hint="default" w:ascii="Times New Roman" w:hAnsi="Times New Roman" w:cs="Times New Roman"/>
                <w:b w:val="0"/>
                <w:bCs/>
                <w:snapToGrid w:val="0"/>
                <w:color w:val="000000" w:themeColor="text1"/>
                <w:kern w:val="0"/>
                <w:sz w:val="24"/>
                <w:szCs w:val="24"/>
                <w:highlight w:val="none"/>
                <w:vertAlign w:val="superscript"/>
                <w14:textFill>
                  <w14:solidFill>
                    <w14:schemeClr w14:val="tx1"/>
                  </w14:solidFill>
                </w14:textFill>
              </w:rPr>
              <w:t>-10</w:t>
            </w:r>
            <w:r>
              <w:rPr>
                <w:rFonts w:hint="default" w:ascii="Times New Roman" w:hAnsi="Times New Roman" w:cs="Times New Roman"/>
                <w:b w:val="0"/>
                <w:bCs/>
                <w:snapToGrid w:val="0"/>
                <w:color w:val="000000" w:themeColor="text1"/>
                <w:kern w:val="0"/>
                <w:sz w:val="24"/>
                <w:szCs w:val="24"/>
                <w:highlight w:val="none"/>
                <w14:textFill>
                  <w14:solidFill>
                    <w14:schemeClr w14:val="tx1"/>
                  </w14:solidFill>
                </w14:textFill>
              </w:rPr>
              <w:t>cm/s，并设计堵截泄漏的</w:t>
            </w:r>
            <w:r>
              <w:rPr>
                <w:rFonts w:hint="eastAsia" w:ascii="Times New Roman" w:hAnsi="Times New Roman" w:cs="Times New Roman"/>
                <w:b w:val="0"/>
                <w:bCs/>
                <w:snapToGrid w:val="0"/>
                <w:color w:val="000000" w:themeColor="text1"/>
                <w:kern w:val="0"/>
                <w:sz w:val="24"/>
                <w:szCs w:val="24"/>
                <w:highlight w:val="none"/>
                <w:lang w:val="en-US" w:eastAsia="zh-CN"/>
                <w14:textFill>
                  <w14:solidFill>
                    <w14:schemeClr w14:val="tx1"/>
                  </w14:solidFill>
                </w14:textFill>
              </w:rPr>
              <w:t>围堰</w:t>
            </w:r>
            <w:r>
              <w:rPr>
                <w:rFonts w:hint="default" w:ascii="Times New Roman" w:hAnsi="Times New Roman" w:cs="Times New Roman"/>
                <w:b w:val="0"/>
                <w:bCs/>
                <w:snapToGrid w:val="0"/>
                <w:color w:val="000000" w:themeColor="text1"/>
                <w:kern w:val="0"/>
                <w:sz w:val="24"/>
                <w:szCs w:val="24"/>
                <w:highlight w:val="none"/>
                <w14:textFill>
                  <w14:solidFill>
                    <w14:schemeClr w14:val="tx1"/>
                  </w14:solidFill>
                </w14:textFill>
              </w:rPr>
              <w:t>。</w:t>
            </w:r>
            <w:r>
              <w:rPr>
                <w:rFonts w:hint="eastAsia" w:ascii="Times New Roman" w:hAnsi="Times New Roman" w:cs="Times New Roman"/>
                <w:b w:val="0"/>
                <w:bCs/>
                <w:snapToGrid w:val="0"/>
                <w:color w:val="000000" w:themeColor="text1"/>
                <w:kern w:val="0"/>
                <w:sz w:val="24"/>
                <w:szCs w:val="24"/>
                <w:highlight w:val="none"/>
                <w:lang w:val="en-US" w:eastAsia="zh-CN"/>
                <w14:textFill>
                  <w14:solidFill>
                    <w14:schemeClr w14:val="tx1"/>
                  </w14:solidFill>
                </w14:textFill>
              </w:rPr>
              <w:t>因此本项目运营期无污染土壤的途径，不会对土壤造成影响。</w:t>
            </w:r>
          </w:p>
          <w:p w14:paraId="2F75894B">
            <w:pPr>
              <w:pStyle w:val="5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Times New Roman" w:hAnsi="Times New Roman" w:cs="Times New Roman"/>
                <w:b w:val="0"/>
                <w:bCs/>
                <w:snapToGrid w:val="0"/>
                <w:color w:val="000000" w:themeColor="text1"/>
                <w:kern w:val="0"/>
                <w:sz w:val="24"/>
                <w:szCs w:val="24"/>
                <w:highlight w:val="none"/>
                <w:lang w:val="en-US" w:eastAsia="zh-CN"/>
                <w14:textFill>
                  <w14:solidFill>
                    <w14:schemeClr w14:val="tx1"/>
                  </w14:solidFill>
                </w14:textFill>
              </w:rPr>
            </w:pPr>
            <w:r>
              <w:rPr>
                <w:rFonts w:hint="eastAsia" w:ascii="Times New Roman" w:hAnsi="Times New Roman" w:cs="Times New Roman"/>
                <w:b w:val="0"/>
                <w:bCs/>
                <w:snapToGrid w:val="0"/>
                <w:color w:val="000000" w:themeColor="text1"/>
                <w:kern w:val="0"/>
                <w:sz w:val="24"/>
                <w:szCs w:val="24"/>
                <w:highlight w:val="none"/>
                <w:lang w:val="en-US" w:eastAsia="zh-CN"/>
                <w14:textFill>
                  <w14:solidFill>
                    <w14:schemeClr w14:val="tx1"/>
                  </w14:solidFill>
                </w14:textFill>
              </w:rPr>
              <w:t>本项目在加强防渗措施的同时项目应落实以下措施防止土壤环境污染：</w:t>
            </w:r>
          </w:p>
          <w:p w14:paraId="40C54F65">
            <w:pPr>
              <w:pStyle w:val="5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Times New Roman" w:hAnsi="Times New Roman" w:cs="Times New Roman"/>
                <w:b w:val="0"/>
                <w:bCs/>
                <w:snapToGrid w:val="0"/>
                <w:color w:val="000000" w:themeColor="text1"/>
                <w:kern w:val="0"/>
                <w:sz w:val="24"/>
                <w:szCs w:val="24"/>
                <w:highlight w:val="none"/>
                <w:lang w:val="en-US" w:eastAsia="zh-CN"/>
                <w14:textFill>
                  <w14:solidFill>
                    <w14:schemeClr w14:val="tx1"/>
                  </w14:solidFill>
                </w14:textFill>
              </w:rPr>
            </w:pPr>
            <w:r>
              <w:rPr>
                <w:rFonts w:hint="eastAsia" w:ascii="Times New Roman" w:hAnsi="Times New Roman" w:cs="Times New Roman"/>
                <w:b w:val="0"/>
                <w:bCs/>
                <w:snapToGrid w:val="0"/>
                <w:color w:val="000000" w:themeColor="text1"/>
                <w:kern w:val="0"/>
                <w:sz w:val="24"/>
                <w:szCs w:val="24"/>
                <w:highlight w:val="none"/>
                <w:lang w:val="en-US" w:eastAsia="zh-CN"/>
                <w14:textFill>
                  <w14:solidFill>
                    <w14:schemeClr w14:val="tx1"/>
                  </w14:solidFill>
                </w14:textFill>
              </w:rPr>
              <w:t>①危险废物收集、贮存各环节做好防风、防水、防渗措施，避免有害物质流失，禁止随意弃置、堆放、填埋医疗废物和危险废物。</w:t>
            </w:r>
          </w:p>
          <w:p w14:paraId="5CFC212E">
            <w:pPr>
              <w:pStyle w:val="5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Times New Roman" w:hAnsi="Times New Roman" w:cs="Times New Roman"/>
                <w:b w:val="0"/>
                <w:bCs/>
                <w:snapToGrid w:val="0"/>
                <w:color w:val="000000" w:themeColor="text1"/>
                <w:kern w:val="0"/>
                <w:sz w:val="24"/>
                <w:szCs w:val="24"/>
                <w:highlight w:val="none"/>
                <w:lang w:val="en-US" w:eastAsia="zh-CN"/>
                <w14:textFill>
                  <w14:solidFill>
                    <w14:schemeClr w14:val="tx1"/>
                  </w14:solidFill>
                </w14:textFill>
              </w:rPr>
            </w:pPr>
            <w:r>
              <w:rPr>
                <w:rFonts w:hint="eastAsia" w:ascii="Times New Roman" w:hAnsi="Times New Roman" w:cs="Times New Roman"/>
                <w:b w:val="0"/>
                <w:bCs/>
                <w:snapToGrid w:val="0"/>
                <w:color w:val="000000" w:themeColor="text1"/>
                <w:kern w:val="0"/>
                <w:sz w:val="24"/>
                <w:szCs w:val="24"/>
                <w:highlight w:val="none"/>
                <w:lang w:val="en-US" w:eastAsia="zh-CN"/>
                <w14:textFill>
                  <w14:solidFill>
                    <w14:schemeClr w14:val="tx1"/>
                  </w14:solidFill>
                </w14:textFill>
              </w:rPr>
              <w:t>②一旦发现土壤被污染，应该立即查明污染源，并采取紧急措施，控制污染进一步扩散，然后对污染区域进行逐步净化。</w:t>
            </w:r>
          </w:p>
          <w:p w14:paraId="03A7FEBF">
            <w:pPr>
              <w:pStyle w:val="5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Times New Roman" w:hAnsi="Times New Roman" w:cs="Times New Roman"/>
                <w:b w:val="0"/>
                <w:bCs/>
                <w:snapToGrid w:val="0"/>
                <w:color w:val="000000" w:themeColor="text1"/>
                <w:kern w:val="0"/>
                <w:sz w:val="24"/>
                <w:szCs w:val="24"/>
                <w:highlight w:val="none"/>
                <w:lang w:val="en-US" w:eastAsia="zh-CN"/>
                <w14:textFill>
                  <w14:solidFill>
                    <w14:schemeClr w14:val="tx1"/>
                  </w14:solidFill>
                </w14:textFill>
              </w:rPr>
            </w:pPr>
            <w:r>
              <w:rPr>
                <w:rFonts w:hint="eastAsia" w:ascii="Times New Roman" w:hAnsi="Times New Roman" w:cs="Times New Roman"/>
                <w:b w:val="0"/>
                <w:bCs/>
                <w:snapToGrid w:val="0"/>
                <w:color w:val="000000" w:themeColor="text1"/>
                <w:kern w:val="0"/>
                <w:sz w:val="24"/>
                <w:szCs w:val="24"/>
                <w:highlight w:val="none"/>
                <w:lang w:val="en-US" w:eastAsia="zh-CN"/>
                <w14:textFill>
                  <w14:solidFill>
                    <w14:schemeClr w14:val="tx1"/>
                  </w14:solidFill>
                </w14:textFill>
              </w:rPr>
              <w:t>③加大宣传力度，增强员工环保意识。</w:t>
            </w:r>
          </w:p>
          <w:p w14:paraId="328C38BB">
            <w:pPr>
              <w:pStyle w:val="5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Times New Roman" w:hAnsi="Times New Roman" w:eastAsia="宋体" w:cs="Times New Roman"/>
                <w:b w:val="0"/>
                <w:bCs/>
                <w:snapToGrid w:val="0"/>
                <w:color w:val="000000" w:themeColor="text1"/>
                <w:kern w:val="0"/>
                <w:sz w:val="24"/>
                <w:szCs w:val="24"/>
                <w:highlight w:val="none"/>
                <w:lang w:val="en-US" w:eastAsia="zh-CN"/>
                <w14:textFill>
                  <w14:solidFill>
                    <w14:schemeClr w14:val="tx1"/>
                  </w14:solidFill>
                </w14:textFill>
              </w:rPr>
            </w:pPr>
            <w:r>
              <w:rPr>
                <w:rFonts w:hint="eastAsia" w:ascii="Times New Roman" w:hAnsi="Times New Roman" w:cs="Times New Roman"/>
                <w:b w:val="0"/>
                <w:bCs/>
                <w:snapToGrid w:val="0"/>
                <w:color w:val="000000" w:themeColor="text1"/>
                <w:kern w:val="0"/>
                <w:sz w:val="24"/>
                <w:szCs w:val="24"/>
                <w:highlight w:val="none"/>
                <w:lang w:val="en-US" w:eastAsia="zh-CN"/>
                <w14:textFill>
                  <w14:solidFill>
                    <w14:schemeClr w14:val="tx1"/>
                  </w14:solidFill>
                </w14:textFill>
              </w:rPr>
              <w:t>④项目厂区做好分区防渗，危险废物贮存库做好防漏防渗。发生泄漏事故，及时采取紧急措施，不任由物料、污染物渗漏进入土壤，并及时对破损的设施采取修复措施。</w:t>
            </w:r>
          </w:p>
          <w:p w14:paraId="16DC8412">
            <w:pPr>
              <w:pStyle w:val="5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Times New Roman" w:hAnsi="Times New Roman" w:cs="Times New Roman"/>
                <w:b w:val="0"/>
                <w:bCs/>
                <w:snapToGrid w:val="0"/>
                <w:color w:val="000000" w:themeColor="text1"/>
                <w:kern w:val="0"/>
                <w:sz w:val="24"/>
                <w:szCs w:val="24"/>
                <w:highlight w:val="none"/>
                <w:lang w:val="en-US" w:eastAsia="zh-CN"/>
                <w14:textFill>
                  <w14:solidFill>
                    <w14:schemeClr w14:val="tx1"/>
                  </w14:solidFill>
                </w14:textFill>
              </w:rPr>
            </w:pPr>
            <w:r>
              <w:rPr>
                <w:rFonts w:hint="eastAsia" w:ascii="Times New Roman" w:hAnsi="Times New Roman" w:cs="Times New Roman"/>
                <w:b w:val="0"/>
                <w:bCs/>
                <w:snapToGrid w:val="0"/>
                <w:color w:val="000000" w:themeColor="text1"/>
                <w:kern w:val="0"/>
                <w:sz w:val="24"/>
                <w:szCs w:val="24"/>
                <w:highlight w:val="none"/>
                <w:lang w:val="en-US" w:eastAsia="zh-CN"/>
                <w14:textFill>
                  <w14:solidFill>
                    <w14:schemeClr w14:val="tx1"/>
                  </w14:solidFill>
                </w14:textFill>
              </w:rPr>
              <w:t>危险废物环境重点监管单位，如被地方政府列为土壤环境污染重点监管单位应履行下列义务：</w:t>
            </w:r>
          </w:p>
          <w:p w14:paraId="750BCA09">
            <w:pPr>
              <w:pStyle w:val="5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Times New Roman" w:hAnsi="Times New Roman" w:cs="Times New Roman"/>
                <w:b w:val="0"/>
                <w:bCs/>
                <w:snapToGrid w:val="0"/>
                <w:color w:val="000000" w:themeColor="text1"/>
                <w:kern w:val="0"/>
                <w:sz w:val="24"/>
                <w:szCs w:val="24"/>
                <w:highlight w:val="none"/>
                <w:lang w:val="en-US" w:eastAsia="zh-CN"/>
                <w14:textFill>
                  <w14:solidFill>
                    <w14:schemeClr w14:val="tx1"/>
                  </w14:solidFill>
                </w14:textFill>
              </w:rPr>
            </w:pPr>
            <w:r>
              <w:rPr>
                <w:rFonts w:hint="eastAsia" w:ascii="Times New Roman" w:hAnsi="Times New Roman" w:cs="Times New Roman"/>
                <w:b w:val="0"/>
                <w:bCs/>
                <w:snapToGrid w:val="0"/>
                <w:color w:val="000000" w:themeColor="text1"/>
                <w:kern w:val="0"/>
                <w:sz w:val="24"/>
                <w:szCs w:val="24"/>
                <w:highlight w:val="none"/>
                <w:lang w:val="en-US" w:eastAsia="zh-CN"/>
                <w14:textFill>
                  <w14:solidFill>
                    <w14:schemeClr w14:val="tx1"/>
                  </w14:solidFill>
                </w14:textFill>
              </w:rPr>
              <w:t>①严格控制有毒有害物质排放，并按年度向生态环境主管部门报告排放情况。</w:t>
            </w:r>
          </w:p>
          <w:p w14:paraId="1C378CE0">
            <w:pPr>
              <w:pStyle w:val="5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Times New Roman" w:hAnsi="Times New Roman" w:cs="Times New Roman"/>
                <w:b w:val="0"/>
                <w:bCs/>
                <w:snapToGrid w:val="0"/>
                <w:color w:val="000000" w:themeColor="text1"/>
                <w:kern w:val="0"/>
                <w:sz w:val="24"/>
                <w:szCs w:val="24"/>
                <w:highlight w:val="none"/>
                <w:lang w:val="en-US" w:eastAsia="zh-CN"/>
                <w14:textFill>
                  <w14:solidFill>
                    <w14:schemeClr w14:val="tx1"/>
                  </w14:solidFill>
                </w14:textFill>
              </w:rPr>
            </w:pPr>
            <w:r>
              <w:rPr>
                <w:rFonts w:hint="eastAsia" w:ascii="Times New Roman" w:hAnsi="Times New Roman" w:cs="Times New Roman"/>
                <w:b w:val="0"/>
                <w:bCs/>
                <w:snapToGrid w:val="0"/>
                <w:color w:val="000000" w:themeColor="text1"/>
                <w:kern w:val="0"/>
                <w:sz w:val="24"/>
                <w:szCs w:val="24"/>
                <w:highlight w:val="none"/>
                <w:lang w:val="en-US" w:eastAsia="zh-CN"/>
                <w14:textFill>
                  <w14:solidFill>
                    <w14:schemeClr w14:val="tx1"/>
                  </w14:solidFill>
                </w14:textFill>
              </w:rPr>
              <w:t>②建立土壤污染隐患排查制度，保证持续有效防止有毒有害物质渗漏、流失、扬散。</w:t>
            </w:r>
          </w:p>
          <w:p w14:paraId="56A66C4C">
            <w:pPr>
              <w:pStyle w:val="5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Times New Roman" w:hAnsi="Times New Roman" w:eastAsia="宋体" w:cs="Times New Roman"/>
                <w:b w:val="0"/>
                <w:bCs/>
                <w:snapToGrid w:val="0"/>
                <w:color w:val="000000" w:themeColor="text1"/>
                <w:kern w:val="0"/>
                <w:sz w:val="24"/>
                <w:szCs w:val="24"/>
                <w:highlight w:val="none"/>
                <w:lang w:val="en-US" w:eastAsia="zh-CN"/>
                <w14:textFill>
                  <w14:solidFill>
                    <w14:schemeClr w14:val="tx1"/>
                  </w14:solidFill>
                </w14:textFill>
              </w:rPr>
            </w:pPr>
            <w:r>
              <w:rPr>
                <w:rFonts w:hint="eastAsia" w:ascii="Times New Roman" w:hAnsi="Times New Roman" w:cs="Times New Roman"/>
                <w:b w:val="0"/>
                <w:bCs/>
                <w:snapToGrid w:val="0"/>
                <w:color w:val="000000" w:themeColor="text1"/>
                <w:kern w:val="0"/>
                <w:sz w:val="24"/>
                <w:szCs w:val="24"/>
                <w:highlight w:val="none"/>
                <w:lang w:val="en-US" w:eastAsia="zh-CN"/>
                <w14:textFill>
                  <w14:solidFill>
                    <w14:schemeClr w14:val="tx1"/>
                  </w14:solidFill>
                </w14:textFill>
              </w:rPr>
              <w:t>③制定、实施自行监测方案，并将监测数据报生态环境主管部门。</w:t>
            </w:r>
          </w:p>
          <w:p w14:paraId="7DC60130">
            <w:pPr>
              <w:pStyle w:val="55"/>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Times New Roman" w:hAnsi="Times New Roman" w:cs="Times New Roman"/>
                <w:b w:val="0"/>
                <w:bCs/>
                <w:snapToGrid w:val="0"/>
                <w:color w:val="000000" w:themeColor="text1"/>
                <w:kern w:val="0"/>
                <w:sz w:val="24"/>
                <w:szCs w:val="24"/>
                <w:highlight w:val="none"/>
                <w14:textFill>
                  <w14:solidFill>
                    <w14:schemeClr w14:val="tx1"/>
                  </w14:solidFill>
                </w14:textFill>
              </w:rPr>
            </w:pPr>
            <w:r>
              <w:rPr>
                <w:rFonts w:hint="default" w:ascii="Times New Roman" w:hAnsi="Times New Roman" w:cs="Times New Roman"/>
                <w:b w:val="0"/>
                <w:bCs/>
                <w:snapToGrid w:val="0"/>
                <w:color w:val="000000" w:themeColor="text1"/>
                <w:kern w:val="0"/>
                <w:sz w:val="24"/>
                <w:szCs w:val="24"/>
                <w:highlight w:val="none"/>
                <w14:textFill>
                  <w14:solidFill>
                    <w14:schemeClr w14:val="tx1"/>
                  </w14:solidFill>
                </w14:textFill>
              </w:rPr>
              <w:t>综上，采取以上措施后，本项目建设不会对土壤环境产生明显影响。但仍要求应加强现场巡查，特别是在卫生清理、下雨地面水量较大时，重点检查有无渗漏情况（如地面有气泡现象）。若发现问题，及时分析原因，找到泄漏点制定整改措施，尽快修补，确保防腐防渗层的完整性。通过以上污染防治措施，本项目污染物渗入土壤中的可能性极小，对区域土壤环境影响极小。</w:t>
            </w:r>
          </w:p>
          <w:p w14:paraId="00B759B0">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jc w:val="left"/>
              <w:textAlignment w:val="auto"/>
              <w:rPr>
                <w:rFonts w:hint="eastAsia"/>
                <w:b/>
                <w:bCs/>
                <w:color w:val="000000" w:themeColor="text1"/>
                <w:sz w:val="24"/>
                <w:szCs w:val="24"/>
                <w:highlight w:val="none"/>
                <w:lang w:val="en-US" w:eastAsia="zh-CN"/>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七、生态环境影响分析</w:t>
            </w:r>
          </w:p>
          <w:p w14:paraId="1C6BAC76">
            <w:pPr>
              <w:adjustRightInd w:val="0"/>
              <w:snapToGrid w:val="0"/>
              <w:spacing w:line="360" w:lineRule="auto"/>
              <w:ind w:firstLine="480" w:firstLineChars="200"/>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本项目</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位于</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黑龙江省伊春市伊美区旭日街道一道口伊美区循环经济园区内（林源家具厂）</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用地性质为工业用地，</w:t>
            </w:r>
            <w:r>
              <w:rPr>
                <w:rFonts w:hint="default" w:ascii="Times New Roman" w:hAnsi="Times New Roman" w:eastAsia="宋体" w:cs="Times New Roman"/>
                <w:color w:val="000000" w:themeColor="text1"/>
                <w:sz w:val="24"/>
                <w:highlight w:val="none"/>
                <w14:textFill>
                  <w14:solidFill>
                    <w14:schemeClr w14:val="tx1"/>
                  </w14:solidFill>
                </w14:textFill>
              </w:rPr>
              <w:t>占地范围内无特殊生态敏感区及重要生态敏感区等生态环境保护目标，对周边生态环境影响较小，无需设置相应生态环境保护措施。</w:t>
            </w:r>
          </w:p>
          <w:p w14:paraId="638032B8">
            <w:pPr>
              <w:pStyle w:val="34"/>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default"/>
                <w:b/>
                <w:bCs/>
                <w:color w:val="000000" w:themeColor="text1"/>
                <w:sz w:val="24"/>
                <w:szCs w:val="24"/>
                <w:highlight w:val="none"/>
                <w:lang w:val="en-US" w:eastAsia="zh-CN"/>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八、监测计划及排污许可管理要求</w:t>
            </w:r>
          </w:p>
          <w:p w14:paraId="35C61B18">
            <w:pPr>
              <w:pStyle w:val="34"/>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b w:val="0"/>
                <w:bCs w:val="0"/>
                <w:color w:val="000000" w:themeColor="text1"/>
                <w:sz w:val="24"/>
                <w:szCs w:val="24"/>
                <w:highlight w:val="none"/>
                <w:lang w:val="en-US" w:eastAsia="zh-CN"/>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为有效地了解本项目的污染物排放情况，保证本项目污染物排放达到有关控制标准的要求，按照《</w:t>
            </w:r>
            <w:bookmarkStart w:id="50" w:name="OLE_LINK13"/>
            <w:r>
              <w:rPr>
                <w:rFonts w:hint="eastAsia"/>
                <w:b w:val="0"/>
                <w:bCs w:val="0"/>
                <w:color w:val="000000" w:themeColor="text1"/>
                <w:sz w:val="24"/>
                <w:szCs w:val="24"/>
                <w:highlight w:val="none"/>
                <w:lang w:val="en-US" w:eastAsia="zh-CN"/>
                <w14:textFill>
                  <w14:solidFill>
                    <w14:schemeClr w14:val="tx1"/>
                  </w14:solidFill>
                </w14:textFill>
              </w:rPr>
              <w:t>排污单位自行监测技术指南 总则</w:t>
            </w:r>
            <w:bookmarkEnd w:id="50"/>
            <w:r>
              <w:rPr>
                <w:rFonts w:hint="eastAsia"/>
                <w:b w:val="0"/>
                <w:bCs w:val="0"/>
                <w:color w:val="000000" w:themeColor="text1"/>
                <w:sz w:val="24"/>
                <w:szCs w:val="24"/>
                <w:highlight w:val="none"/>
                <w:lang w:val="en-US" w:eastAsia="zh-CN"/>
                <w14:textFill>
                  <w14:solidFill>
                    <w14:schemeClr w14:val="tx1"/>
                  </w14:solidFill>
                </w14:textFill>
              </w:rPr>
              <w:t>》（HJ819-2017）等相关要求，结合本项目的实际排污状况，制定并实施切实可行的环境监测计划，企业应按照《排污单位自行监测技术指南 总则》（HJ819-2017）、《固定污染源排污许可分类管理名录》、《排污单位自行监测技术指南 工业固体废物和危险废物治理》（HJ1250—2022）以及《危险废物贮存污染控制标准》（18597-2023）相关要求开展自行监测并将监测结果公开。</w:t>
            </w:r>
          </w:p>
          <w:p w14:paraId="29147E7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val="0"/>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val="0"/>
                <w:color w:val="000000" w:themeColor="text1"/>
                <w:sz w:val="24"/>
                <w:szCs w:val="24"/>
                <w:highlight w:val="none"/>
                <w14:textFill>
                  <w14:solidFill>
                    <w14:schemeClr w14:val="tx1"/>
                  </w14:solidFill>
                </w14:textFill>
              </w:rPr>
              <w:t>表</w:t>
            </w:r>
            <w:r>
              <w:rPr>
                <w:rFonts w:hint="eastAsia" w:ascii="Times New Roman" w:hAnsi="Times New Roman" w:eastAsia="宋体" w:cs="Times New Roman"/>
                <w:b/>
                <w:bCs w:val="0"/>
                <w:color w:val="000000" w:themeColor="text1"/>
                <w:sz w:val="24"/>
                <w:szCs w:val="24"/>
                <w:highlight w:val="none"/>
                <w:lang w:val="en-US" w:eastAsia="zh-CN"/>
                <w14:textFill>
                  <w14:solidFill>
                    <w14:schemeClr w14:val="tx1"/>
                  </w14:solidFill>
                </w14:textFill>
              </w:rPr>
              <w:t>4</w:t>
            </w:r>
            <w:r>
              <w:rPr>
                <w:rFonts w:hint="eastAsia" w:cs="Times New Roman"/>
                <w:b/>
                <w:bCs w:val="0"/>
                <w:color w:val="000000" w:themeColor="text1"/>
                <w:sz w:val="24"/>
                <w:szCs w:val="24"/>
                <w:highlight w:val="none"/>
                <w:lang w:val="en-US" w:eastAsia="zh-CN"/>
                <w14:textFill>
                  <w14:solidFill>
                    <w14:schemeClr w14:val="tx1"/>
                  </w14:solidFill>
                </w14:textFill>
              </w:rPr>
              <w:t xml:space="preserve">.9 </w:t>
            </w:r>
            <w:r>
              <w:rPr>
                <w:rFonts w:hint="default" w:ascii="Times New Roman" w:hAnsi="Times New Roman" w:eastAsia="宋体" w:cs="Times New Roman"/>
                <w:b/>
                <w:bCs w:val="0"/>
                <w:color w:val="000000" w:themeColor="text1"/>
                <w:sz w:val="24"/>
                <w:szCs w:val="24"/>
                <w:highlight w:val="none"/>
                <w14:textFill>
                  <w14:solidFill>
                    <w14:schemeClr w14:val="tx1"/>
                  </w14:solidFill>
                </w14:textFill>
              </w:rPr>
              <w:t>本项目监测计划一览表</w:t>
            </w:r>
          </w:p>
          <w:tbl>
            <w:tblPr>
              <w:tblStyle w:val="28"/>
              <w:tblW w:w="493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1177"/>
              <w:gridCol w:w="1070"/>
              <w:gridCol w:w="1073"/>
              <w:gridCol w:w="1606"/>
              <w:gridCol w:w="1154"/>
              <w:gridCol w:w="2903"/>
            </w:tblGrid>
            <w:tr w14:paraId="18FDF8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655" w:type="pct"/>
                  <w:tcBorders>
                    <w:tl2br w:val="nil"/>
                    <w:tr2bl w:val="nil"/>
                  </w:tcBorders>
                  <w:noWrap w:val="0"/>
                  <w:vAlign w:val="center"/>
                </w:tcPr>
                <w:p w14:paraId="7ED51CE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color w:val="000000" w:themeColor="text1"/>
                      <w:sz w:val="21"/>
                      <w:szCs w:val="21"/>
                      <w:highlight w:val="none"/>
                      <w:lang w:val="en-US" w:eastAsia="zh-CN" w:bidi="ar"/>
                      <w14:textFill>
                        <w14:solidFill>
                          <w14:schemeClr w14:val="tx1"/>
                        </w14:solidFill>
                      </w14:textFill>
                    </w:rPr>
                  </w:pPr>
                  <w:r>
                    <w:rPr>
                      <w:rFonts w:hint="eastAsia"/>
                      <w:color w:val="000000" w:themeColor="text1"/>
                      <w:sz w:val="21"/>
                      <w:szCs w:val="21"/>
                      <w:highlight w:val="none"/>
                      <w:lang w:val="en-US" w:eastAsia="zh-CN" w:bidi="ar"/>
                      <w14:textFill>
                        <w14:solidFill>
                          <w14:schemeClr w14:val="tx1"/>
                        </w14:solidFill>
                      </w14:textFill>
                    </w:rPr>
                    <w:t>环境要素</w:t>
                  </w:r>
                </w:p>
              </w:tc>
              <w:tc>
                <w:tcPr>
                  <w:tcW w:w="595" w:type="pct"/>
                  <w:tcBorders>
                    <w:tl2br w:val="nil"/>
                    <w:tr2bl w:val="nil"/>
                  </w:tcBorders>
                  <w:noWrap w:val="0"/>
                  <w:vAlign w:val="center"/>
                </w:tcPr>
                <w:p w14:paraId="5A92877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color w:val="000000" w:themeColor="text1"/>
                      <w:sz w:val="21"/>
                      <w:szCs w:val="21"/>
                      <w:highlight w:val="none"/>
                      <w:lang w:eastAsia="zh-CN" w:bidi="ar"/>
                      <w14:textFill>
                        <w14:solidFill>
                          <w14:schemeClr w14:val="tx1"/>
                        </w14:solidFill>
                      </w14:textFill>
                    </w:rPr>
                  </w:pPr>
                  <w:r>
                    <w:rPr>
                      <w:rFonts w:hint="eastAsia"/>
                      <w:color w:val="000000" w:themeColor="text1"/>
                      <w:sz w:val="21"/>
                      <w:szCs w:val="21"/>
                      <w:highlight w:val="none"/>
                      <w:lang w:val="en-US" w:eastAsia="zh-CN" w:bidi="ar"/>
                      <w14:textFill>
                        <w14:solidFill>
                          <w14:schemeClr w14:val="tx1"/>
                        </w14:solidFill>
                      </w14:textFill>
                    </w:rPr>
                    <w:t>污染源</w:t>
                  </w:r>
                </w:p>
              </w:tc>
              <w:tc>
                <w:tcPr>
                  <w:tcW w:w="597" w:type="pct"/>
                  <w:tcBorders>
                    <w:tl2br w:val="nil"/>
                    <w:tr2bl w:val="nil"/>
                  </w:tcBorders>
                  <w:noWrap w:val="0"/>
                  <w:vAlign w:val="center"/>
                </w:tcPr>
                <w:p w14:paraId="480E8C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000000" w:themeColor="text1"/>
                      <w:sz w:val="21"/>
                      <w:szCs w:val="21"/>
                      <w:highlight w:val="none"/>
                      <w:lang w:bidi="ar"/>
                      <w14:textFill>
                        <w14:solidFill>
                          <w14:schemeClr w14:val="tx1"/>
                        </w14:solidFill>
                      </w14:textFill>
                    </w:rPr>
                  </w:pPr>
                  <w:r>
                    <w:rPr>
                      <w:rFonts w:hint="eastAsia"/>
                      <w:color w:val="000000" w:themeColor="text1"/>
                      <w:sz w:val="21"/>
                      <w:szCs w:val="21"/>
                      <w:highlight w:val="none"/>
                      <w:lang w:bidi="ar"/>
                      <w14:textFill>
                        <w14:solidFill>
                          <w14:schemeClr w14:val="tx1"/>
                        </w14:solidFill>
                      </w14:textFill>
                    </w:rPr>
                    <w:t>监测点位</w:t>
                  </w:r>
                </w:p>
              </w:tc>
              <w:tc>
                <w:tcPr>
                  <w:tcW w:w="893" w:type="pct"/>
                  <w:tcBorders>
                    <w:tl2br w:val="nil"/>
                    <w:tr2bl w:val="nil"/>
                  </w:tcBorders>
                  <w:noWrap w:val="0"/>
                  <w:vAlign w:val="center"/>
                </w:tcPr>
                <w:p w14:paraId="7E5754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000000" w:themeColor="text1"/>
                      <w:sz w:val="21"/>
                      <w:szCs w:val="21"/>
                      <w:highlight w:val="none"/>
                      <w:lang w:bidi="ar"/>
                      <w14:textFill>
                        <w14:solidFill>
                          <w14:schemeClr w14:val="tx1"/>
                        </w14:solidFill>
                      </w14:textFill>
                    </w:rPr>
                  </w:pPr>
                  <w:r>
                    <w:rPr>
                      <w:rFonts w:hint="eastAsia"/>
                      <w:color w:val="000000" w:themeColor="text1"/>
                      <w:sz w:val="21"/>
                      <w:szCs w:val="21"/>
                      <w:highlight w:val="none"/>
                      <w:lang w:bidi="ar"/>
                      <w14:textFill>
                        <w14:solidFill>
                          <w14:schemeClr w14:val="tx1"/>
                        </w14:solidFill>
                      </w14:textFill>
                    </w:rPr>
                    <w:t>监测因子</w:t>
                  </w:r>
                </w:p>
              </w:tc>
              <w:tc>
                <w:tcPr>
                  <w:tcW w:w="642" w:type="pct"/>
                  <w:tcBorders>
                    <w:tl2br w:val="nil"/>
                    <w:tr2bl w:val="nil"/>
                  </w:tcBorders>
                  <w:noWrap w:val="0"/>
                  <w:vAlign w:val="center"/>
                </w:tcPr>
                <w:p w14:paraId="3CC70C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000000" w:themeColor="text1"/>
                      <w:sz w:val="21"/>
                      <w:szCs w:val="21"/>
                      <w:highlight w:val="none"/>
                      <w:lang w:bidi="ar"/>
                      <w14:textFill>
                        <w14:solidFill>
                          <w14:schemeClr w14:val="tx1"/>
                        </w14:solidFill>
                      </w14:textFill>
                    </w:rPr>
                  </w:pPr>
                  <w:r>
                    <w:rPr>
                      <w:rFonts w:hint="eastAsia"/>
                      <w:color w:val="000000" w:themeColor="text1"/>
                      <w:sz w:val="21"/>
                      <w:szCs w:val="21"/>
                      <w:highlight w:val="none"/>
                      <w:lang w:bidi="ar"/>
                      <w14:textFill>
                        <w14:solidFill>
                          <w14:schemeClr w14:val="tx1"/>
                        </w14:solidFill>
                      </w14:textFill>
                    </w:rPr>
                    <w:t>监测频次</w:t>
                  </w:r>
                </w:p>
              </w:tc>
              <w:tc>
                <w:tcPr>
                  <w:tcW w:w="1615" w:type="pct"/>
                  <w:tcBorders>
                    <w:tl2br w:val="nil"/>
                    <w:tr2bl w:val="nil"/>
                  </w:tcBorders>
                  <w:noWrap w:val="0"/>
                  <w:vAlign w:val="center"/>
                </w:tcPr>
                <w:p w14:paraId="3DF707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color w:val="000000" w:themeColor="text1"/>
                      <w:sz w:val="21"/>
                      <w:szCs w:val="21"/>
                      <w:highlight w:val="none"/>
                      <w:lang w:val="en-US" w:eastAsia="zh-CN" w:bidi="ar"/>
                      <w14:textFill>
                        <w14:solidFill>
                          <w14:schemeClr w14:val="tx1"/>
                        </w14:solidFill>
                      </w14:textFill>
                    </w:rPr>
                  </w:pPr>
                  <w:r>
                    <w:rPr>
                      <w:rFonts w:hint="eastAsia"/>
                      <w:color w:val="000000" w:themeColor="text1"/>
                      <w:sz w:val="21"/>
                      <w:szCs w:val="21"/>
                      <w:highlight w:val="none"/>
                      <w:lang w:val="en-US" w:eastAsia="zh-CN" w:bidi="ar"/>
                      <w14:textFill>
                        <w14:solidFill>
                          <w14:schemeClr w14:val="tx1"/>
                        </w14:solidFill>
                      </w14:textFill>
                    </w:rPr>
                    <w:t>执行标准</w:t>
                  </w:r>
                </w:p>
              </w:tc>
            </w:tr>
            <w:tr w14:paraId="511B2D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185" w:hRule="atLeast"/>
                <w:jc w:val="center"/>
              </w:trPr>
              <w:tc>
                <w:tcPr>
                  <w:tcW w:w="655" w:type="pct"/>
                  <w:tcBorders>
                    <w:tl2br w:val="nil"/>
                    <w:tr2bl w:val="nil"/>
                  </w:tcBorders>
                  <w:noWrap w:val="0"/>
                  <w:vAlign w:val="center"/>
                </w:tcPr>
                <w:p w14:paraId="5F8CC7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000000" w:themeColor="text1"/>
                      <w:sz w:val="21"/>
                      <w:szCs w:val="21"/>
                      <w:highlight w:val="none"/>
                      <w:lang w:val="en-US" w:eastAsia="zh-CN" w:bidi="ar"/>
                      <w14:textFill>
                        <w14:solidFill>
                          <w14:schemeClr w14:val="tx1"/>
                        </w14:solidFill>
                      </w14:textFill>
                    </w:rPr>
                  </w:pPr>
                  <w:r>
                    <w:rPr>
                      <w:rFonts w:hint="eastAsia"/>
                      <w:color w:val="000000" w:themeColor="text1"/>
                      <w:sz w:val="21"/>
                      <w:szCs w:val="21"/>
                      <w:highlight w:val="none"/>
                      <w:lang w:val="en-US" w:eastAsia="zh-CN" w:bidi="ar"/>
                      <w14:textFill>
                        <w14:solidFill>
                          <w14:schemeClr w14:val="tx1"/>
                        </w14:solidFill>
                      </w14:textFill>
                    </w:rPr>
                    <w:t>有组织</w:t>
                  </w:r>
                </w:p>
                <w:p w14:paraId="7E76026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000000" w:themeColor="text1"/>
                      <w:sz w:val="21"/>
                      <w:szCs w:val="21"/>
                      <w:highlight w:val="none"/>
                      <w:lang w:val="en-US" w:eastAsia="zh-CN" w:bidi="ar"/>
                      <w14:textFill>
                        <w14:solidFill>
                          <w14:schemeClr w14:val="tx1"/>
                        </w14:solidFill>
                      </w14:textFill>
                    </w:rPr>
                  </w:pPr>
                  <w:r>
                    <w:rPr>
                      <w:rFonts w:hint="eastAsia"/>
                      <w:color w:val="000000" w:themeColor="text1"/>
                      <w:sz w:val="21"/>
                      <w:szCs w:val="21"/>
                      <w:highlight w:val="none"/>
                      <w:lang w:val="en-US" w:eastAsia="zh-CN" w:bidi="ar"/>
                      <w14:textFill>
                        <w14:solidFill>
                          <w14:schemeClr w14:val="tx1"/>
                        </w14:solidFill>
                      </w14:textFill>
                    </w:rPr>
                    <w:t>废气</w:t>
                  </w:r>
                </w:p>
              </w:tc>
              <w:tc>
                <w:tcPr>
                  <w:tcW w:w="595" w:type="pct"/>
                  <w:tcBorders>
                    <w:tl2br w:val="nil"/>
                    <w:tr2bl w:val="nil"/>
                  </w:tcBorders>
                  <w:noWrap w:val="0"/>
                  <w:vAlign w:val="center"/>
                </w:tcPr>
                <w:p w14:paraId="0A5267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color w:val="000000" w:themeColor="text1"/>
                      <w:sz w:val="21"/>
                      <w:szCs w:val="21"/>
                      <w:highlight w:val="none"/>
                      <w:lang w:val="en-US" w:eastAsia="zh-CN" w:bidi="ar"/>
                      <w14:textFill>
                        <w14:solidFill>
                          <w14:schemeClr w14:val="tx1"/>
                        </w14:solidFill>
                      </w14:textFill>
                    </w:rPr>
                  </w:pPr>
                  <w:r>
                    <w:rPr>
                      <w:rFonts w:hint="eastAsia"/>
                      <w:color w:val="000000" w:themeColor="text1"/>
                      <w:sz w:val="21"/>
                      <w:szCs w:val="21"/>
                      <w:highlight w:val="none"/>
                      <w:lang w:val="en-US" w:eastAsia="zh-CN" w:bidi="ar"/>
                      <w14:textFill>
                        <w14:solidFill>
                          <w14:schemeClr w14:val="tx1"/>
                        </w14:solidFill>
                      </w14:textFill>
                    </w:rPr>
                    <w:t>危险废物贮存库</w:t>
                  </w:r>
                </w:p>
              </w:tc>
              <w:tc>
                <w:tcPr>
                  <w:tcW w:w="597" w:type="pct"/>
                  <w:tcBorders>
                    <w:tl2br w:val="nil"/>
                    <w:tr2bl w:val="nil"/>
                  </w:tcBorders>
                  <w:noWrap w:val="0"/>
                  <w:vAlign w:val="center"/>
                </w:tcPr>
                <w:p w14:paraId="5DDA26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color w:val="000000" w:themeColor="text1"/>
                      <w:sz w:val="21"/>
                      <w:szCs w:val="21"/>
                      <w:highlight w:val="none"/>
                      <w:lang w:val="en-US" w:eastAsia="zh-CN" w:bidi="ar"/>
                      <w14:textFill>
                        <w14:solidFill>
                          <w14:schemeClr w14:val="tx1"/>
                        </w14:solidFill>
                      </w14:textFill>
                    </w:rPr>
                  </w:pPr>
                  <w:r>
                    <w:rPr>
                      <w:rFonts w:hint="eastAsia"/>
                      <w:color w:val="000000" w:themeColor="text1"/>
                      <w:sz w:val="21"/>
                      <w:szCs w:val="21"/>
                      <w:highlight w:val="none"/>
                      <w:lang w:val="en-US" w:eastAsia="zh-CN" w:bidi="ar"/>
                      <w14:textFill>
                        <w14:solidFill>
                          <w14:schemeClr w14:val="tx1"/>
                        </w14:solidFill>
                      </w14:textFill>
                    </w:rPr>
                    <w:t>DA001排气筒</w:t>
                  </w:r>
                </w:p>
              </w:tc>
              <w:tc>
                <w:tcPr>
                  <w:tcW w:w="893" w:type="pct"/>
                  <w:tcBorders>
                    <w:tl2br w:val="nil"/>
                    <w:tr2bl w:val="nil"/>
                  </w:tcBorders>
                  <w:noWrap w:val="0"/>
                  <w:vAlign w:val="center"/>
                </w:tcPr>
                <w:p w14:paraId="1C3270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color w:val="000000" w:themeColor="text1"/>
                      <w:sz w:val="21"/>
                      <w:szCs w:val="21"/>
                      <w:highlight w:val="none"/>
                      <w:lang w:val="en-US" w:eastAsia="zh-CN" w:bidi="ar"/>
                      <w14:textFill>
                        <w14:solidFill>
                          <w14:schemeClr w14:val="tx1"/>
                        </w14:solidFill>
                      </w14:textFill>
                    </w:rPr>
                  </w:pPr>
                  <w:r>
                    <w:rPr>
                      <w:rFonts w:hint="eastAsia"/>
                      <w:color w:val="000000" w:themeColor="text1"/>
                      <w:sz w:val="21"/>
                      <w:szCs w:val="21"/>
                      <w:highlight w:val="none"/>
                      <w:lang w:val="en-US" w:eastAsia="zh-CN" w:bidi="ar"/>
                      <w14:textFill>
                        <w14:solidFill>
                          <w14:schemeClr w14:val="tx1"/>
                        </w14:solidFill>
                      </w14:textFill>
                    </w:rPr>
                    <w:t>非甲烷总烃、氯化氢、氨、硫化氢、臭气浓度</w:t>
                  </w:r>
                </w:p>
              </w:tc>
              <w:tc>
                <w:tcPr>
                  <w:tcW w:w="642" w:type="pct"/>
                  <w:tcBorders>
                    <w:tl2br w:val="nil"/>
                    <w:tr2bl w:val="nil"/>
                  </w:tcBorders>
                  <w:noWrap w:val="0"/>
                  <w:vAlign w:val="center"/>
                </w:tcPr>
                <w:p w14:paraId="13F5EAC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color w:val="000000" w:themeColor="text1"/>
                      <w:sz w:val="21"/>
                      <w:szCs w:val="21"/>
                      <w:highlight w:val="none"/>
                      <w:lang w:val="en-US" w:eastAsia="zh-CN" w:bidi="ar"/>
                      <w14:textFill>
                        <w14:solidFill>
                          <w14:schemeClr w14:val="tx1"/>
                        </w14:solidFill>
                      </w14:textFill>
                    </w:rPr>
                  </w:pPr>
                  <w:r>
                    <w:rPr>
                      <w:rFonts w:hint="eastAsia"/>
                      <w:color w:val="000000" w:themeColor="text1"/>
                      <w:sz w:val="21"/>
                      <w:szCs w:val="21"/>
                      <w:highlight w:val="none"/>
                      <w:lang w:val="en-US" w:eastAsia="zh-CN" w:bidi="ar"/>
                      <w14:textFill>
                        <w14:solidFill>
                          <w14:schemeClr w14:val="tx1"/>
                        </w14:solidFill>
                      </w14:textFill>
                    </w:rPr>
                    <w:t>1次/半年</w:t>
                  </w:r>
                </w:p>
              </w:tc>
              <w:tc>
                <w:tcPr>
                  <w:tcW w:w="1615" w:type="pct"/>
                  <w:tcBorders>
                    <w:tl2br w:val="nil"/>
                    <w:tr2bl w:val="nil"/>
                  </w:tcBorders>
                  <w:noWrap w:val="0"/>
                  <w:vAlign w:val="center"/>
                </w:tcPr>
                <w:p w14:paraId="1D91C85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color w:val="000000" w:themeColor="text1"/>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非甲烷总烃、氯化氢排放执行《大气污染物综合排放标准》GB16297-1996）表2新污染源大气污染物排放限值。恶臭气体</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氨、硫化氢、臭气浓度</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执行《恶臭污染物排放标准》</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GB14554-93</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表2标准</w:t>
                  </w:r>
                </w:p>
              </w:tc>
            </w:tr>
            <w:tr w14:paraId="42F739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1309" w:hRule="atLeast"/>
                <w:jc w:val="center"/>
              </w:trPr>
              <w:tc>
                <w:tcPr>
                  <w:tcW w:w="655" w:type="pct"/>
                  <w:tcBorders>
                    <w:tl2br w:val="nil"/>
                    <w:tr2bl w:val="nil"/>
                  </w:tcBorders>
                  <w:noWrap w:val="0"/>
                  <w:vAlign w:val="center"/>
                </w:tcPr>
                <w:p w14:paraId="23BC84F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000000" w:themeColor="text1"/>
                      <w:sz w:val="21"/>
                      <w:szCs w:val="21"/>
                      <w:highlight w:val="none"/>
                      <w:lang w:val="en-US" w:eastAsia="zh-CN" w:bidi="ar"/>
                      <w14:textFill>
                        <w14:solidFill>
                          <w14:schemeClr w14:val="tx1"/>
                        </w14:solidFill>
                      </w14:textFill>
                    </w:rPr>
                  </w:pPr>
                  <w:r>
                    <w:rPr>
                      <w:rFonts w:hint="eastAsia"/>
                      <w:color w:val="000000" w:themeColor="text1"/>
                      <w:sz w:val="21"/>
                      <w:szCs w:val="21"/>
                      <w:highlight w:val="none"/>
                      <w:lang w:val="en-US" w:eastAsia="zh-CN" w:bidi="ar"/>
                      <w14:textFill>
                        <w14:solidFill>
                          <w14:schemeClr w14:val="tx1"/>
                        </w14:solidFill>
                      </w14:textFill>
                    </w:rPr>
                    <w:t>无组织</w:t>
                  </w:r>
                </w:p>
                <w:p w14:paraId="7043F6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000000" w:themeColor="text1"/>
                      <w:sz w:val="21"/>
                      <w:szCs w:val="21"/>
                      <w:highlight w:val="none"/>
                      <w:lang w:val="en-US" w:eastAsia="zh-CN" w:bidi="ar"/>
                      <w14:textFill>
                        <w14:solidFill>
                          <w14:schemeClr w14:val="tx1"/>
                        </w14:solidFill>
                      </w14:textFill>
                    </w:rPr>
                  </w:pPr>
                  <w:r>
                    <w:rPr>
                      <w:rFonts w:hint="eastAsia"/>
                      <w:color w:val="000000" w:themeColor="text1"/>
                      <w:sz w:val="21"/>
                      <w:szCs w:val="21"/>
                      <w:highlight w:val="none"/>
                      <w:lang w:val="en-US" w:eastAsia="zh-CN" w:bidi="ar"/>
                      <w14:textFill>
                        <w14:solidFill>
                          <w14:schemeClr w14:val="tx1"/>
                        </w14:solidFill>
                      </w14:textFill>
                    </w:rPr>
                    <w:t>废气</w:t>
                  </w:r>
                </w:p>
              </w:tc>
              <w:tc>
                <w:tcPr>
                  <w:tcW w:w="595" w:type="pct"/>
                  <w:tcBorders>
                    <w:tl2br w:val="nil"/>
                    <w:tr2bl w:val="nil"/>
                  </w:tcBorders>
                  <w:noWrap w:val="0"/>
                  <w:vAlign w:val="center"/>
                </w:tcPr>
                <w:p w14:paraId="0CBD01E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000000" w:themeColor="text1"/>
                      <w:sz w:val="21"/>
                      <w:szCs w:val="21"/>
                      <w:highlight w:val="none"/>
                      <w:lang w:val="en-US" w:eastAsia="zh-CN" w:bidi="ar"/>
                      <w14:textFill>
                        <w14:solidFill>
                          <w14:schemeClr w14:val="tx1"/>
                        </w14:solidFill>
                      </w14:textFill>
                    </w:rPr>
                  </w:pPr>
                  <w:r>
                    <w:rPr>
                      <w:rFonts w:hint="eastAsia"/>
                      <w:color w:val="000000" w:themeColor="text1"/>
                      <w:sz w:val="21"/>
                      <w:szCs w:val="21"/>
                      <w:highlight w:val="none"/>
                      <w:lang w:val="en-US" w:eastAsia="zh-CN" w:bidi="ar"/>
                      <w14:textFill>
                        <w14:solidFill>
                          <w14:schemeClr w14:val="tx1"/>
                        </w14:solidFill>
                      </w14:textFill>
                    </w:rPr>
                    <w:t>危险废物贮存库</w:t>
                  </w:r>
                </w:p>
              </w:tc>
              <w:tc>
                <w:tcPr>
                  <w:tcW w:w="597" w:type="pct"/>
                  <w:tcBorders>
                    <w:tl2br w:val="nil"/>
                    <w:tr2bl w:val="nil"/>
                  </w:tcBorders>
                  <w:noWrap w:val="0"/>
                  <w:vAlign w:val="center"/>
                </w:tcPr>
                <w:p w14:paraId="0BA4F61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000000" w:themeColor="text1"/>
                      <w:sz w:val="21"/>
                      <w:szCs w:val="21"/>
                      <w:highlight w:val="none"/>
                      <w:lang w:val="en-US" w:eastAsia="zh-CN" w:bidi="ar"/>
                      <w14:textFill>
                        <w14:solidFill>
                          <w14:schemeClr w14:val="tx1"/>
                        </w14:solidFill>
                      </w14:textFill>
                    </w:rPr>
                  </w:pPr>
                  <w:r>
                    <w:rPr>
                      <w:rFonts w:hint="eastAsia"/>
                      <w:color w:val="000000" w:themeColor="text1"/>
                      <w:sz w:val="21"/>
                      <w:szCs w:val="21"/>
                      <w:highlight w:val="none"/>
                      <w:lang w:val="en-US" w:eastAsia="zh-CN" w:bidi="ar"/>
                      <w14:textFill>
                        <w14:solidFill>
                          <w14:schemeClr w14:val="tx1"/>
                        </w14:solidFill>
                      </w14:textFill>
                    </w:rPr>
                    <w:t>厂界上、下风向</w:t>
                  </w:r>
                </w:p>
              </w:tc>
              <w:tc>
                <w:tcPr>
                  <w:tcW w:w="893" w:type="pct"/>
                  <w:tcBorders>
                    <w:tl2br w:val="nil"/>
                    <w:tr2bl w:val="nil"/>
                  </w:tcBorders>
                  <w:noWrap w:val="0"/>
                  <w:vAlign w:val="center"/>
                </w:tcPr>
                <w:p w14:paraId="2F1BEF1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000000" w:themeColor="text1"/>
                      <w:sz w:val="21"/>
                      <w:szCs w:val="21"/>
                      <w:highlight w:val="none"/>
                      <w:lang w:val="en-US" w:eastAsia="zh-CN" w:bidi="ar"/>
                      <w14:textFill>
                        <w14:solidFill>
                          <w14:schemeClr w14:val="tx1"/>
                        </w14:solidFill>
                      </w14:textFill>
                    </w:rPr>
                  </w:pPr>
                  <w:r>
                    <w:rPr>
                      <w:rFonts w:hint="eastAsia"/>
                      <w:color w:val="000000" w:themeColor="text1"/>
                      <w:sz w:val="21"/>
                      <w:szCs w:val="21"/>
                      <w:highlight w:val="none"/>
                      <w:lang w:val="en-US" w:eastAsia="zh-CN" w:bidi="ar"/>
                      <w14:textFill>
                        <w14:solidFill>
                          <w14:schemeClr w14:val="tx1"/>
                        </w14:solidFill>
                      </w14:textFill>
                    </w:rPr>
                    <w:t>非甲烷总烃、氯化氢、氨、硫化氢、臭气浓度</w:t>
                  </w:r>
                </w:p>
              </w:tc>
              <w:tc>
                <w:tcPr>
                  <w:tcW w:w="642" w:type="pct"/>
                  <w:tcBorders>
                    <w:tl2br w:val="nil"/>
                    <w:tr2bl w:val="nil"/>
                  </w:tcBorders>
                  <w:noWrap w:val="0"/>
                  <w:vAlign w:val="center"/>
                </w:tcPr>
                <w:p w14:paraId="6A007AB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000000" w:themeColor="text1"/>
                      <w:sz w:val="21"/>
                      <w:szCs w:val="21"/>
                      <w:highlight w:val="none"/>
                      <w:lang w:val="en-US" w:eastAsia="zh-CN" w:bidi="ar"/>
                      <w14:textFill>
                        <w14:solidFill>
                          <w14:schemeClr w14:val="tx1"/>
                        </w14:solidFill>
                      </w14:textFill>
                    </w:rPr>
                  </w:pPr>
                  <w:r>
                    <w:rPr>
                      <w:rFonts w:hint="eastAsia"/>
                      <w:color w:val="000000" w:themeColor="text1"/>
                      <w:sz w:val="21"/>
                      <w:szCs w:val="21"/>
                      <w:highlight w:val="none"/>
                      <w:lang w:val="en-US" w:eastAsia="zh-CN" w:bidi="ar"/>
                      <w14:textFill>
                        <w14:solidFill>
                          <w14:schemeClr w14:val="tx1"/>
                        </w14:solidFill>
                      </w14:textFill>
                    </w:rPr>
                    <w:t>1次/半年</w:t>
                  </w:r>
                </w:p>
              </w:tc>
              <w:tc>
                <w:tcPr>
                  <w:tcW w:w="1615" w:type="pct"/>
                  <w:tcBorders>
                    <w:tl2br w:val="nil"/>
                    <w:tr2bl w:val="nil"/>
                  </w:tcBorders>
                  <w:noWrap w:val="0"/>
                  <w:vAlign w:val="center"/>
                </w:tcPr>
                <w:p w14:paraId="1AEA51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非甲烷总烃、氯化氢排放执行《大气污染物综合排放标准》GB16297-1996）表2新污染源无组织排放监控浓度限值。恶臭气体</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氨、硫化氢、臭气浓度</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执行《恶臭污染物排放标准》</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GB14554-93</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表</w:t>
                  </w:r>
                  <w:r>
                    <w:rPr>
                      <w:rFonts w:hint="eastAsia"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标准</w:t>
                  </w:r>
                </w:p>
              </w:tc>
            </w:tr>
            <w:tr w14:paraId="2ADB75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1309" w:hRule="atLeast"/>
                <w:jc w:val="center"/>
              </w:trPr>
              <w:tc>
                <w:tcPr>
                  <w:tcW w:w="655" w:type="pct"/>
                  <w:tcBorders>
                    <w:tl2br w:val="nil"/>
                    <w:tr2bl w:val="nil"/>
                  </w:tcBorders>
                  <w:noWrap w:val="0"/>
                  <w:vAlign w:val="center"/>
                </w:tcPr>
                <w:p w14:paraId="52FE56F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000000" w:themeColor="text1"/>
                      <w:sz w:val="21"/>
                      <w:szCs w:val="21"/>
                      <w:highlight w:val="none"/>
                      <w:lang w:val="en-US" w:eastAsia="zh-CN" w:bidi="ar"/>
                      <w14:textFill>
                        <w14:solidFill>
                          <w14:schemeClr w14:val="tx1"/>
                        </w14:solidFill>
                      </w14:textFill>
                    </w:rPr>
                  </w:pPr>
                  <w:r>
                    <w:rPr>
                      <w:rFonts w:hint="eastAsia"/>
                      <w:color w:val="000000" w:themeColor="text1"/>
                      <w:sz w:val="21"/>
                      <w:szCs w:val="21"/>
                      <w:highlight w:val="none"/>
                      <w:lang w:val="en-US" w:eastAsia="zh-CN" w:bidi="ar"/>
                      <w14:textFill>
                        <w14:solidFill>
                          <w14:schemeClr w14:val="tx1"/>
                        </w14:solidFill>
                      </w14:textFill>
                    </w:rPr>
                    <w:t>无组织</w:t>
                  </w:r>
                </w:p>
                <w:p w14:paraId="2B18B0B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000000" w:themeColor="text1"/>
                      <w:sz w:val="21"/>
                      <w:szCs w:val="21"/>
                      <w:highlight w:val="none"/>
                      <w:lang w:val="en-US" w:eastAsia="zh-CN" w:bidi="ar"/>
                      <w14:textFill>
                        <w14:solidFill>
                          <w14:schemeClr w14:val="tx1"/>
                        </w14:solidFill>
                      </w14:textFill>
                    </w:rPr>
                  </w:pPr>
                  <w:r>
                    <w:rPr>
                      <w:rFonts w:hint="eastAsia"/>
                      <w:color w:val="000000" w:themeColor="text1"/>
                      <w:sz w:val="21"/>
                      <w:szCs w:val="21"/>
                      <w:highlight w:val="none"/>
                      <w:lang w:val="en-US" w:eastAsia="zh-CN" w:bidi="ar"/>
                      <w14:textFill>
                        <w14:solidFill>
                          <w14:schemeClr w14:val="tx1"/>
                        </w14:solidFill>
                      </w14:textFill>
                    </w:rPr>
                    <w:t>废气</w:t>
                  </w:r>
                </w:p>
              </w:tc>
              <w:tc>
                <w:tcPr>
                  <w:tcW w:w="595" w:type="pct"/>
                  <w:tcBorders>
                    <w:tl2br w:val="nil"/>
                    <w:tr2bl w:val="nil"/>
                  </w:tcBorders>
                  <w:noWrap w:val="0"/>
                  <w:vAlign w:val="center"/>
                </w:tcPr>
                <w:p w14:paraId="7702440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000000" w:themeColor="text1"/>
                      <w:sz w:val="21"/>
                      <w:szCs w:val="21"/>
                      <w:highlight w:val="none"/>
                      <w:lang w:val="en-US" w:eastAsia="zh-CN" w:bidi="ar"/>
                      <w14:textFill>
                        <w14:solidFill>
                          <w14:schemeClr w14:val="tx1"/>
                        </w14:solidFill>
                      </w14:textFill>
                    </w:rPr>
                  </w:pPr>
                  <w:r>
                    <w:rPr>
                      <w:rFonts w:hint="eastAsia"/>
                      <w:color w:val="000000" w:themeColor="text1"/>
                      <w:sz w:val="21"/>
                      <w:szCs w:val="21"/>
                      <w:highlight w:val="none"/>
                      <w:lang w:val="en-US" w:eastAsia="zh-CN" w:bidi="ar"/>
                      <w14:textFill>
                        <w14:solidFill>
                          <w14:schemeClr w14:val="tx1"/>
                        </w14:solidFill>
                      </w14:textFill>
                    </w:rPr>
                    <w:t>危险废物贮存库</w:t>
                  </w:r>
                </w:p>
              </w:tc>
              <w:tc>
                <w:tcPr>
                  <w:tcW w:w="597" w:type="pct"/>
                  <w:tcBorders>
                    <w:tl2br w:val="nil"/>
                    <w:tr2bl w:val="nil"/>
                  </w:tcBorders>
                  <w:noWrap w:val="0"/>
                  <w:vAlign w:val="center"/>
                </w:tcPr>
                <w:p w14:paraId="71288D0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000000" w:themeColor="text1"/>
                      <w:sz w:val="21"/>
                      <w:szCs w:val="21"/>
                      <w:highlight w:val="none"/>
                      <w:lang w:val="en-US" w:eastAsia="zh-CN" w:bidi="ar"/>
                      <w14:textFill>
                        <w14:solidFill>
                          <w14:schemeClr w14:val="tx1"/>
                        </w14:solidFill>
                      </w14:textFill>
                    </w:rPr>
                  </w:pPr>
                  <w:r>
                    <w:rPr>
                      <w:rFonts w:hint="eastAsia"/>
                      <w:color w:val="000000" w:themeColor="text1"/>
                      <w:sz w:val="21"/>
                      <w:szCs w:val="21"/>
                      <w:highlight w:val="none"/>
                      <w:lang w:val="en-US" w:eastAsia="zh-CN" w:bidi="ar"/>
                      <w14:textFill>
                        <w14:solidFill>
                          <w14:schemeClr w14:val="tx1"/>
                        </w14:solidFill>
                      </w14:textFill>
                    </w:rPr>
                    <w:t>厂区内危废贮存库1米处</w:t>
                  </w:r>
                </w:p>
              </w:tc>
              <w:tc>
                <w:tcPr>
                  <w:tcW w:w="893" w:type="pct"/>
                  <w:tcBorders>
                    <w:tl2br w:val="nil"/>
                    <w:tr2bl w:val="nil"/>
                  </w:tcBorders>
                  <w:noWrap w:val="0"/>
                  <w:vAlign w:val="center"/>
                </w:tcPr>
                <w:p w14:paraId="213E600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000000" w:themeColor="text1"/>
                      <w:sz w:val="21"/>
                      <w:szCs w:val="21"/>
                      <w:highlight w:val="none"/>
                      <w:lang w:val="en-US" w:eastAsia="zh-CN" w:bidi="ar"/>
                      <w14:textFill>
                        <w14:solidFill>
                          <w14:schemeClr w14:val="tx1"/>
                        </w14:solidFill>
                      </w14:textFill>
                    </w:rPr>
                  </w:pPr>
                  <w:r>
                    <w:rPr>
                      <w:rFonts w:hint="eastAsia"/>
                      <w:color w:val="000000" w:themeColor="text1"/>
                      <w:sz w:val="21"/>
                      <w:szCs w:val="21"/>
                      <w:highlight w:val="none"/>
                      <w:lang w:val="en-US" w:eastAsia="zh-CN" w:bidi="ar"/>
                      <w14:textFill>
                        <w14:solidFill>
                          <w14:schemeClr w14:val="tx1"/>
                        </w14:solidFill>
                      </w14:textFill>
                    </w:rPr>
                    <w:t>非甲烷总烃</w:t>
                  </w:r>
                </w:p>
              </w:tc>
              <w:tc>
                <w:tcPr>
                  <w:tcW w:w="642" w:type="pct"/>
                  <w:tcBorders>
                    <w:tl2br w:val="nil"/>
                    <w:tr2bl w:val="nil"/>
                  </w:tcBorders>
                  <w:noWrap w:val="0"/>
                  <w:vAlign w:val="center"/>
                </w:tcPr>
                <w:p w14:paraId="0735486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000000" w:themeColor="text1"/>
                      <w:sz w:val="21"/>
                      <w:szCs w:val="21"/>
                      <w:highlight w:val="none"/>
                      <w:lang w:val="en-US" w:eastAsia="zh-CN" w:bidi="ar"/>
                      <w14:textFill>
                        <w14:solidFill>
                          <w14:schemeClr w14:val="tx1"/>
                        </w14:solidFill>
                      </w14:textFill>
                    </w:rPr>
                  </w:pPr>
                  <w:r>
                    <w:rPr>
                      <w:rFonts w:hint="eastAsia"/>
                      <w:color w:val="000000" w:themeColor="text1"/>
                      <w:sz w:val="21"/>
                      <w:szCs w:val="21"/>
                      <w:highlight w:val="none"/>
                      <w:lang w:val="en-US" w:eastAsia="zh-CN" w:bidi="ar"/>
                      <w14:textFill>
                        <w14:solidFill>
                          <w14:schemeClr w14:val="tx1"/>
                        </w14:solidFill>
                      </w14:textFill>
                    </w:rPr>
                    <w:t>1次/半年</w:t>
                  </w:r>
                </w:p>
              </w:tc>
              <w:tc>
                <w:tcPr>
                  <w:tcW w:w="1615" w:type="pct"/>
                  <w:tcBorders>
                    <w:tl2br w:val="nil"/>
                    <w:tr2bl w:val="nil"/>
                  </w:tcBorders>
                  <w:noWrap w:val="0"/>
                  <w:vAlign w:val="center"/>
                </w:tcPr>
                <w:p w14:paraId="4DBD61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《挥发性有机物无组织排放控制标准》</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GB37822-2019</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表A.1标准；</w:t>
                  </w:r>
                </w:p>
              </w:tc>
            </w:tr>
            <w:tr w14:paraId="59041E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968" w:hRule="atLeast"/>
                <w:jc w:val="center"/>
              </w:trPr>
              <w:tc>
                <w:tcPr>
                  <w:tcW w:w="655" w:type="pct"/>
                  <w:tcBorders>
                    <w:tl2br w:val="nil"/>
                    <w:tr2bl w:val="nil"/>
                  </w:tcBorders>
                  <w:noWrap w:val="0"/>
                  <w:vAlign w:val="center"/>
                </w:tcPr>
                <w:p w14:paraId="338C264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000000" w:themeColor="text1"/>
                      <w:sz w:val="21"/>
                      <w:szCs w:val="21"/>
                      <w:highlight w:val="none"/>
                      <w:lang w:val="en-US" w:eastAsia="zh-CN" w:bidi="ar"/>
                      <w14:textFill>
                        <w14:solidFill>
                          <w14:schemeClr w14:val="tx1"/>
                        </w14:solidFill>
                      </w14:textFill>
                    </w:rPr>
                  </w:pPr>
                  <w:r>
                    <w:rPr>
                      <w:rFonts w:hint="eastAsia"/>
                      <w:color w:val="000000" w:themeColor="text1"/>
                      <w:sz w:val="21"/>
                      <w:szCs w:val="21"/>
                      <w:highlight w:val="none"/>
                      <w:lang w:bidi="ar"/>
                      <w14:textFill>
                        <w14:solidFill>
                          <w14:schemeClr w14:val="tx1"/>
                        </w14:solidFill>
                      </w14:textFill>
                    </w:rPr>
                    <w:t>噪声</w:t>
                  </w:r>
                </w:p>
              </w:tc>
              <w:tc>
                <w:tcPr>
                  <w:tcW w:w="1192" w:type="pct"/>
                  <w:gridSpan w:val="2"/>
                  <w:tcBorders>
                    <w:tl2br w:val="nil"/>
                    <w:tr2bl w:val="nil"/>
                  </w:tcBorders>
                  <w:noWrap w:val="0"/>
                  <w:vAlign w:val="center"/>
                </w:tcPr>
                <w:p w14:paraId="638EC57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000000" w:themeColor="text1"/>
                      <w:sz w:val="21"/>
                      <w:szCs w:val="21"/>
                      <w:highlight w:val="none"/>
                      <w:lang w:val="en-US" w:eastAsia="zh-CN" w:bidi="ar"/>
                      <w14:textFill>
                        <w14:solidFill>
                          <w14:schemeClr w14:val="tx1"/>
                        </w14:solidFill>
                      </w14:textFill>
                    </w:rPr>
                  </w:pPr>
                  <w:r>
                    <w:rPr>
                      <w:rFonts w:hint="eastAsia"/>
                      <w:color w:val="000000" w:themeColor="text1"/>
                      <w:sz w:val="21"/>
                      <w:szCs w:val="21"/>
                      <w:highlight w:val="none"/>
                      <w:lang w:val="en-US" w:eastAsia="zh-CN" w:bidi="ar"/>
                      <w14:textFill>
                        <w14:solidFill>
                          <w14:schemeClr w14:val="tx1"/>
                        </w14:solidFill>
                      </w14:textFill>
                    </w:rPr>
                    <w:t>厂界</w:t>
                  </w:r>
                </w:p>
              </w:tc>
              <w:tc>
                <w:tcPr>
                  <w:tcW w:w="893" w:type="pct"/>
                  <w:tcBorders>
                    <w:tl2br w:val="nil"/>
                    <w:tr2bl w:val="nil"/>
                  </w:tcBorders>
                  <w:noWrap w:val="0"/>
                  <w:vAlign w:val="center"/>
                </w:tcPr>
                <w:p w14:paraId="29034B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000000" w:themeColor="text1"/>
                      <w:sz w:val="21"/>
                      <w:szCs w:val="21"/>
                      <w:highlight w:val="none"/>
                      <w:lang w:val="en-US" w:eastAsia="zh-CN" w:bidi="ar"/>
                      <w14:textFill>
                        <w14:solidFill>
                          <w14:schemeClr w14:val="tx1"/>
                        </w14:solidFill>
                      </w14:textFill>
                    </w:rPr>
                  </w:pPr>
                  <w:r>
                    <w:rPr>
                      <w:rFonts w:hint="eastAsia"/>
                      <w:color w:val="000000" w:themeColor="text1"/>
                      <w:sz w:val="21"/>
                      <w:szCs w:val="21"/>
                      <w:highlight w:val="none"/>
                      <w:lang w:val="en-US" w:eastAsia="zh-CN" w:bidi="ar"/>
                      <w14:textFill>
                        <w14:solidFill>
                          <w14:schemeClr w14:val="tx1"/>
                        </w14:solidFill>
                      </w14:textFill>
                    </w:rPr>
                    <w:t>昼间、夜间等效连续A声级</w:t>
                  </w:r>
                </w:p>
              </w:tc>
              <w:tc>
                <w:tcPr>
                  <w:tcW w:w="642" w:type="pct"/>
                  <w:tcBorders>
                    <w:tl2br w:val="nil"/>
                    <w:tr2bl w:val="nil"/>
                  </w:tcBorders>
                  <w:noWrap w:val="0"/>
                  <w:vAlign w:val="center"/>
                </w:tcPr>
                <w:p w14:paraId="2E2D1D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000000" w:themeColor="text1"/>
                      <w:sz w:val="21"/>
                      <w:szCs w:val="21"/>
                      <w:highlight w:val="none"/>
                      <w:lang w:val="en-US" w:eastAsia="zh-CN" w:bidi="ar"/>
                      <w14:textFill>
                        <w14:solidFill>
                          <w14:schemeClr w14:val="tx1"/>
                        </w14:solidFill>
                      </w14:textFill>
                    </w:rPr>
                  </w:pPr>
                  <w:r>
                    <w:rPr>
                      <w:rFonts w:hint="eastAsia"/>
                      <w:color w:val="000000" w:themeColor="text1"/>
                      <w:sz w:val="21"/>
                      <w:szCs w:val="21"/>
                      <w:highlight w:val="none"/>
                      <w:lang w:val="en-US" w:eastAsia="zh-CN" w:bidi="ar"/>
                      <w14:textFill>
                        <w14:solidFill>
                          <w14:schemeClr w14:val="tx1"/>
                        </w14:solidFill>
                      </w14:textFill>
                    </w:rPr>
                    <w:t>1次/季度</w:t>
                  </w:r>
                </w:p>
              </w:tc>
              <w:tc>
                <w:tcPr>
                  <w:tcW w:w="1615" w:type="pct"/>
                  <w:tcBorders>
                    <w:tl2br w:val="nil"/>
                    <w:tr2bl w:val="nil"/>
                  </w:tcBorders>
                  <w:noWrap w:val="0"/>
                  <w:vAlign w:val="center"/>
                </w:tcPr>
                <w:p w14:paraId="33C4C52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000000" w:themeColor="text1"/>
                      <w:kern w:val="0"/>
                      <w:sz w:val="21"/>
                      <w:szCs w:val="21"/>
                      <w:highlight w:val="none"/>
                      <w14:textFill>
                        <w14:solidFill>
                          <w14:schemeClr w14:val="tx1"/>
                        </w14:solidFill>
                      </w14:textFill>
                    </w:rPr>
                  </w:pPr>
                  <w:r>
                    <w:rPr>
                      <w:rFonts w:hint="eastAsia"/>
                      <w:color w:val="000000" w:themeColor="text1"/>
                      <w:kern w:val="0"/>
                      <w:sz w:val="21"/>
                      <w:szCs w:val="21"/>
                      <w:highlight w:val="none"/>
                      <w14:textFill>
                        <w14:solidFill>
                          <w14:schemeClr w14:val="tx1"/>
                        </w14:solidFill>
                      </w14:textFill>
                    </w:rPr>
                    <w:t>《工业企业厂界环境噪声排放标准》</w:t>
                  </w:r>
                  <w:r>
                    <w:rPr>
                      <w:rFonts w:hint="eastAsia"/>
                      <w:color w:val="000000" w:themeColor="text1"/>
                      <w:kern w:val="0"/>
                      <w:sz w:val="21"/>
                      <w:szCs w:val="21"/>
                      <w:highlight w:val="none"/>
                      <w:lang w:eastAsia="zh-CN"/>
                      <w14:textFill>
                        <w14:solidFill>
                          <w14:schemeClr w14:val="tx1"/>
                        </w14:solidFill>
                      </w14:textFill>
                    </w:rPr>
                    <w:t>（</w:t>
                  </w:r>
                  <w:r>
                    <w:rPr>
                      <w:rFonts w:hint="eastAsia"/>
                      <w:color w:val="000000" w:themeColor="text1"/>
                      <w:kern w:val="0"/>
                      <w:sz w:val="21"/>
                      <w:szCs w:val="21"/>
                      <w:highlight w:val="none"/>
                      <w14:textFill>
                        <w14:solidFill>
                          <w14:schemeClr w14:val="tx1"/>
                        </w14:solidFill>
                      </w14:textFill>
                    </w:rPr>
                    <w:t>GB12348-2008</w:t>
                  </w:r>
                  <w:r>
                    <w:rPr>
                      <w:rFonts w:hint="eastAsia"/>
                      <w:color w:val="000000" w:themeColor="text1"/>
                      <w:kern w:val="0"/>
                      <w:sz w:val="21"/>
                      <w:szCs w:val="21"/>
                      <w:highlight w:val="none"/>
                      <w:lang w:eastAsia="zh-CN"/>
                      <w14:textFill>
                        <w14:solidFill>
                          <w14:schemeClr w14:val="tx1"/>
                        </w14:solidFill>
                      </w14:textFill>
                    </w:rPr>
                    <w:t>）</w:t>
                  </w:r>
                  <w:r>
                    <w:rPr>
                      <w:rFonts w:hint="eastAsia"/>
                      <w:color w:val="000000" w:themeColor="text1"/>
                      <w:kern w:val="0"/>
                      <w:sz w:val="21"/>
                      <w:szCs w:val="21"/>
                      <w:highlight w:val="none"/>
                      <w:lang w:val="en-US" w:eastAsia="zh-CN"/>
                      <w14:textFill>
                        <w14:solidFill>
                          <w14:schemeClr w14:val="tx1"/>
                        </w14:solidFill>
                      </w14:textFill>
                    </w:rPr>
                    <w:t>3</w:t>
                  </w:r>
                  <w:r>
                    <w:rPr>
                      <w:rFonts w:hint="eastAsia"/>
                      <w:color w:val="000000" w:themeColor="text1"/>
                      <w:kern w:val="0"/>
                      <w:sz w:val="21"/>
                      <w:szCs w:val="21"/>
                      <w:highlight w:val="none"/>
                      <w14:textFill>
                        <w14:solidFill>
                          <w14:schemeClr w14:val="tx1"/>
                        </w14:solidFill>
                      </w14:textFill>
                    </w:rPr>
                    <w:t>类标准</w:t>
                  </w:r>
                </w:p>
              </w:tc>
            </w:tr>
            <w:tr w14:paraId="7A927F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655" w:type="pct"/>
                  <w:tcBorders>
                    <w:tl2br w:val="nil"/>
                    <w:tr2bl w:val="nil"/>
                  </w:tcBorders>
                  <w:noWrap w:val="0"/>
                  <w:vAlign w:val="center"/>
                </w:tcPr>
                <w:p w14:paraId="33385FAA">
                  <w:pPr>
                    <w:pStyle w:val="60"/>
                    <w:keepNext w:val="0"/>
                    <w:keepLines w:val="0"/>
                    <w:pageBreakBefore w:val="0"/>
                    <w:widowControl w:val="0"/>
                    <w:kinsoku/>
                    <w:wordWrap/>
                    <w:overflowPunct/>
                    <w:topLinePunct w:val="0"/>
                    <w:autoSpaceDE/>
                    <w:autoSpaceDN/>
                    <w:bidi w:val="0"/>
                    <w:adjustRightInd/>
                    <w:snapToGrid/>
                    <w:textAlignment w:val="auto"/>
                    <w:rPr>
                      <w:rFonts w:hint="eastAsia"/>
                      <w:color w:val="000000" w:themeColor="text1"/>
                      <w:sz w:val="21"/>
                      <w:szCs w:val="21"/>
                      <w:highlight w:val="none"/>
                      <w:lang w:bidi="ar"/>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地下水</w:t>
                  </w:r>
                </w:p>
              </w:tc>
              <w:tc>
                <w:tcPr>
                  <w:tcW w:w="1192" w:type="pct"/>
                  <w:gridSpan w:val="2"/>
                  <w:tcBorders>
                    <w:tl2br w:val="nil"/>
                    <w:tr2bl w:val="nil"/>
                  </w:tcBorders>
                  <w:noWrap w:val="0"/>
                  <w:vAlign w:val="center"/>
                </w:tcPr>
                <w:p w14:paraId="5A564169">
                  <w:pPr>
                    <w:pStyle w:val="60"/>
                    <w:keepNext w:val="0"/>
                    <w:keepLines w:val="0"/>
                    <w:pageBreakBefore w:val="0"/>
                    <w:widowControl w:val="0"/>
                    <w:kinsoku/>
                    <w:wordWrap/>
                    <w:overflowPunct/>
                    <w:topLinePunct w:val="0"/>
                    <w:autoSpaceDE/>
                    <w:autoSpaceDN/>
                    <w:bidi w:val="0"/>
                    <w:adjustRightInd/>
                    <w:snapToGrid/>
                    <w:textAlignment w:val="auto"/>
                    <w:rPr>
                      <w:rFonts w:hint="eastAsia"/>
                      <w:color w:val="000000" w:themeColor="text1"/>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设置地下水监测井</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处，位于厂址地下</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水</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下游，跟踪监测井位于危险废物贮存库东北侧50m（E128°55′13.04593″，N47°44′11.51684″）</w:t>
                  </w:r>
                </w:p>
              </w:tc>
              <w:tc>
                <w:tcPr>
                  <w:tcW w:w="893" w:type="pct"/>
                  <w:tcBorders>
                    <w:tl2br w:val="nil"/>
                    <w:tr2bl w:val="nil"/>
                  </w:tcBorders>
                  <w:noWrap w:val="0"/>
                  <w:vAlign w:val="center"/>
                </w:tcPr>
                <w:p w14:paraId="09F14911">
                  <w:pPr>
                    <w:pStyle w:val="60"/>
                    <w:keepNext w:val="0"/>
                    <w:keepLines w:val="0"/>
                    <w:pageBreakBefore w:val="0"/>
                    <w:widowControl w:val="0"/>
                    <w:kinsoku/>
                    <w:wordWrap/>
                    <w:overflowPunct/>
                    <w:topLinePunct w:val="0"/>
                    <w:autoSpaceDE/>
                    <w:autoSpaceDN/>
                    <w:bidi w:val="0"/>
                    <w:adjustRightInd/>
                    <w:snapToGrid/>
                    <w:textAlignment w:val="auto"/>
                    <w:rPr>
                      <w:rFonts w:hint="eastAsia"/>
                      <w:color w:val="000000" w:themeColor="text1"/>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化学需氧量、五日生化需氧量、氨氮、总磷、总氮、悬浮物、石油类</w:t>
                  </w:r>
                </w:p>
              </w:tc>
              <w:tc>
                <w:tcPr>
                  <w:tcW w:w="642" w:type="pct"/>
                  <w:tcBorders>
                    <w:tl2br w:val="nil"/>
                    <w:tr2bl w:val="nil"/>
                  </w:tcBorders>
                  <w:noWrap w:val="0"/>
                  <w:vAlign w:val="center"/>
                </w:tcPr>
                <w:p w14:paraId="61AC9EDD">
                  <w:pPr>
                    <w:pStyle w:val="60"/>
                    <w:keepNext w:val="0"/>
                    <w:keepLines w:val="0"/>
                    <w:pageBreakBefore w:val="0"/>
                    <w:widowControl w:val="0"/>
                    <w:kinsoku/>
                    <w:wordWrap/>
                    <w:overflowPunct/>
                    <w:topLinePunct w:val="0"/>
                    <w:autoSpaceDE/>
                    <w:autoSpaceDN/>
                    <w:bidi w:val="0"/>
                    <w:adjustRightInd/>
                    <w:snapToGrid/>
                    <w:textAlignment w:val="auto"/>
                    <w:rPr>
                      <w:rFonts w:hint="eastAsia"/>
                      <w:color w:val="000000" w:themeColor="text1"/>
                      <w:sz w:val="21"/>
                      <w:szCs w:val="21"/>
                      <w:highlight w:val="none"/>
                      <w:lang w:val="en-US" w:eastAsia="zh-CN" w:bidi="ar"/>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 w:val="21"/>
                      <w:szCs w:val="21"/>
                      <w:highlight w:val="none"/>
                      <w14:textFill>
                        <w14:solidFill>
                          <w14:schemeClr w14:val="tx1"/>
                        </w14:solidFill>
                      </w14:textFill>
                    </w:rPr>
                    <w:t>次/年</w:t>
                  </w:r>
                </w:p>
              </w:tc>
              <w:tc>
                <w:tcPr>
                  <w:tcW w:w="1615" w:type="pct"/>
                  <w:tcBorders>
                    <w:tl2br w:val="nil"/>
                    <w:tr2bl w:val="nil"/>
                  </w:tcBorders>
                  <w:noWrap w:val="0"/>
                  <w:vAlign w:val="center"/>
                </w:tcPr>
                <w:p w14:paraId="5030D9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eastAsia="宋体"/>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eastAsia="zh-CN"/>
                      <w14:textFill>
                        <w14:solidFill>
                          <w14:schemeClr w14:val="tx1"/>
                        </w14:solidFill>
                      </w14:textFill>
                    </w:rPr>
                    <w:t>《</w:t>
                  </w:r>
                  <w:r>
                    <w:rPr>
                      <w:rFonts w:hint="eastAsia"/>
                      <w:color w:val="000000" w:themeColor="text1"/>
                      <w:kern w:val="0"/>
                      <w:sz w:val="21"/>
                      <w:szCs w:val="21"/>
                      <w:highlight w:val="none"/>
                      <w:lang w:val="en-US" w:eastAsia="zh-CN"/>
                      <w14:textFill>
                        <w14:solidFill>
                          <w14:schemeClr w14:val="tx1"/>
                        </w14:solidFill>
                      </w14:textFill>
                    </w:rPr>
                    <w:t>地下水质量标准</w:t>
                  </w:r>
                  <w:r>
                    <w:rPr>
                      <w:rFonts w:hint="eastAsia"/>
                      <w:color w:val="000000" w:themeColor="text1"/>
                      <w:kern w:val="0"/>
                      <w:sz w:val="21"/>
                      <w:szCs w:val="21"/>
                      <w:highlight w:val="none"/>
                      <w:lang w:eastAsia="zh-CN"/>
                      <w14:textFill>
                        <w14:solidFill>
                          <w14:schemeClr w14:val="tx1"/>
                        </w14:solidFill>
                      </w14:textFill>
                    </w:rPr>
                    <w:t>》</w:t>
                  </w:r>
                  <w:r>
                    <w:rPr>
                      <w:rFonts w:hint="eastAsia"/>
                      <w:color w:val="000000" w:themeColor="text1"/>
                      <w:kern w:val="0"/>
                      <w:sz w:val="21"/>
                      <w:szCs w:val="21"/>
                      <w:highlight w:val="none"/>
                      <w:lang w:val="en-US" w:eastAsia="zh-CN"/>
                      <w14:textFill>
                        <w14:solidFill>
                          <w14:schemeClr w14:val="tx1"/>
                        </w14:solidFill>
                      </w14:textFill>
                    </w:rPr>
                    <w:t>（GB/T 14848-2017）表1中的）III类限值要求</w:t>
                  </w:r>
                </w:p>
              </w:tc>
            </w:tr>
            <w:tr w14:paraId="6E6F6D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655" w:type="pct"/>
                  <w:tcBorders>
                    <w:tl2br w:val="nil"/>
                    <w:tr2bl w:val="nil"/>
                  </w:tcBorders>
                  <w:noWrap w:val="0"/>
                  <w:vAlign w:val="center"/>
                </w:tcPr>
                <w:p w14:paraId="59828D06">
                  <w:pPr>
                    <w:pStyle w:val="60"/>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土壤</w:t>
                  </w:r>
                </w:p>
              </w:tc>
              <w:tc>
                <w:tcPr>
                  <w:tcW w:w="1192" w:type="pct"/>
                  <w:gridSpan w:val="2"/>
                  <w:tcBorders>
                    <w:tl2br w:val="nil"/>
                    <w:tr2bl w:val="nil"/>
                  </w:tcBorders>
                  <w:noWrap w:val="0"/>
                  <w:vAlign w:val="center"/>
                </w:tcPr>
                <w:p w14:paraId="61ADE265">
                  <w:pPr>
                    <w:pStyle w:val="60"/>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厂区内跟踪监测点</w:t>
                  </w:r>
                </w:p>
                <w:p w14:paraId="252C13D5">
                  <w:pPr>
                    <w:pStyle w:val="60"/>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（表层样0-0.2m）</w:t>
                  </w:r>
                </w:p>
              </w:tc>
              <w:tc>
                <w:tcPr>
                  <w:tcW w:w="893" w:type="pct"/>
                  <w:tcBorders>
                    <w:tl2br w:val="nil"/>
                    <w:tr2bl w:val="nil"/>
                  </w:tcBorders>
                  <w:noWrap w:val="0"/>
                  <w:vAlign w:val="center"/>
                </w:tcPr>
                <w:p w14:paraId="76D2A43E">
                  <w:pPr>
                    <w:pStyle w:val="60"/>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pH、铬、汞、砷、铅、镉、</w:t>
                  </w:r>
                </w:p>
                <w:p w14:paraId="267330E7">
                  <w:pPr>
                    <w:pStyle w:val="60"/>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铜、锌、镍、石油烃</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等</w:t>
                  </w:r>
                </w:p>
              </w:tc>
              <w:tc>
                <w:tcPr>
                  <w:tcW w:w="642" w:type="pct"/>
                  <w:tcBorders>
                    <w:tl2br w:val="nil"/>
                    <w:tr2bl w:val="nil"/>
                  </w:tcBorders>
                  <w:noWrap w:val="0"/>
                  <w:vAlign w:val="center"/>
                </w:tcPr>
                <w:p w14:paraId="52A93C7E">
                  <w:pPr>
                    <w:pStyle w:val="60"/>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 w:val="21"/>
                      <w:szCs w:val="21"/>
                      <w:highlight w:val="none"/>
                      <w14:textFill>
                        <w14:solidFill>
                          <w14:schemeClr w14:val="tx1"/>
                        </w14:solidFill>
                      </w14:textFill>
                    </w:rPr>
                    <w:t>次/年</w:t>
                  </w:r>
                </w:p>
              </w:tc>
              <w:tc>
                <w:tcPr>
                  <w:tcW w:w="1615" w:type="pct"/>
                  <w:tcBorders>
                    <w:tl2br w:val="nil"/>
                    <w:tr2bl w:val="nil"/>
                  </w:tcBorders>
                  <w:noWrap w:val="0"/>
                  <w:vAlign w:val="center"/>
                </w:tcPr>
                <w:p w14:paraId="3047D9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000000" w:themeColor="text1"/>
                      <w:kern w:val="0"/>
                      <w:sz w:val="21"/>
                      <w:szCs w:val="21"/>
                      <w:highlight w:val="none"/>
                      <w:lang w:eastAsia="zh-CN"/>
                      <w14:textFill>
                        <w14:solidFill>
                          <w14:schemeClr w14:val="tx1"/>
                        </w14:solidFill>
                      </w14:textFill>
                    </w:rPr>
                  </w:pPr>
                  <w:r>
                    <w:rPr>
                      <w:rFonts w:hint="eastAsia"/>
                      <w:color w:val="000000" w:themeColor="text1"/>
                      <w:kern w:val="0"/>
                      <w:sz w:val="21"/>
                      <w:szCs w:val="21"/>
                      <w:highlight w:val="none"/>
                      <w:lang w:eastAsia="zh-CN"/>
                      <w14:textFill>
                        <w14:solidFill>
                          <w14:schemeClr w14:val="tx1"/>
                        </w14:solidFill>
                      </w14:textFill>
                    </w:rPr>
                    <w:t>《土壤环境质量 建设用地土壤污染风险管控标准》（试行）（GB36600-2018）表1、表2第二类用地筛选值。</w:t>
                  </w:r>
                </w:p>
              </w:tc>
            </w:tr>
          </w:tbl>
          <w:p w14:paraId="026D1CB1">
            <w:pPr>
              <w:pStyle w:val="34"/>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default"/>
                <w:b/>
                <w:bCs/>
                <w:color w:val="000000" w:themeColor="text1"/>
                <w:sz w:val="24"/>
                <w:szCs w:val="24"/>
                <w:highlight w:val="none"/>
                <w:lang w:val="en-US" w:eastAsia="zh-CN"/>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九、风险分析</w:t>
            </w:r>
          </w:p>
          <w:p w14:paraId="4CD16DA0">
            <w:pPr>
              <w:pStyle w:val="93"/>
              <w:spacing w:before="231" w:line="227" w:lineRule="auto"/>
              <w:ind w:left="529"/>
              <w:rPr>
                <w:rFonts w:hint="eastAsia" w:ascii="Times New Roman"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宋体" w:eastAsia="宋体" w:cs="宋体"/>
                <w:b w:val="0"/>
                <w:bCs w:val="0"/>
                <w:color w:val="000000" w:themeColor="text1"/>
                <w:kern w:val="2"/>
                <w:sz w:val="24"/>
                <w:szCs w:val="24"/>
                <w:highlight w:val="none"/>
                <w:lang w:val="en-US" w:eastAsia="zh-CN" w:bidi="ar-SA"/>
                <w14:textFill>
                  <w14:solidFill>
                    <w14:schemeClr w14:val="tx1"/>
                  </w14:solidFill>
                </w14:textFill>
              </w:rPr>
              <w:t>详见环境风险专项评价章节。</w:t>
            </w:r>
          </w:p>
          <w:p w14:paraId="0E1610F1">
            <w:pPr>
              <w:pStyle w:val="93"/>
              <w:spacing w:before="235" w:line="227" w:lineRule="auto"/>
              <w:ind w:left="526"/>
              <w:rPr>
                <w:rFonts w:hint="eastAsia" w:ascii="Times New Roman"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宋体" w:eastAsia="宋体" w:cs="宋体"/>
                <w:b w:val="0"/>
                <w:bCs w:val="0"/>
                <w:color w:val="000000" w:themeColor="text1"/>
                <w:kern w:val="2"/>
                <w:sz w:val="24"/>
                <w:szCs w:val="24"/>
                <w:highlight w:val="none"/>
                <w:lang w:val="en-US" w:eastAsia="zh-CN" w:bidi="ar-SA"/>
                <w14:textFill>
                  <w14:solidFill>
                    <w14:schemeClr w14:val="tx1"/>
                  </w14:solidFill>
                </w14:textFill>
              </w:rPr>
              <w:t>环境风险评价结论：</w:t>
            </w:r>
          </w:p>
          <w:p w14:paraId="12BEEEC4">
            <w:pPr>
              <w:pStyle w:val="93"/>
              <w:spacing w:before="234" w:line="443" w:lineRule="auto"/>
              <w:ind w:left="109" w:right="105" w:firstLine="418"/>
              <w:rPr>
                <w:rFonts w:hint="eastAsia" w:ascii="Times New Roman"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宋体" w:eastAsia="宋体" w:cs="宋体"/>
                <w:b w:val="0"/>
                <w:bCs w:val="0"/>
                <w:color w:val="000000" w:themeColor="text1"/>
                <w:kern w:val="2"/>
                <w:sz w:val="24"/>
                <w:szCs w:val="24"/>
                <w:highlight w:val="none"/>
                <w:lang w:val="en-US" w:eastAsia="zh-CN" w:bidi="ar-SA"/>
                <w14:textFill>
                  <w14:solidFill>
                    <w14:schemeClr w14:val="tx1"/>
                  </w14:solidFill>
                </w14:textFill>
              </w:rPr>
              <w:t>本项目中转贮存的危险废物种类较多，潜在泄漏、中毒、火灾等风险事故。若贮存或装卸过程中发生泄漏事故，泄漏的危险废物可能对局部水体、土壤造成一定的污染。</w:t>
            </w:r>
          </w:p>
          <w:p w14:paraId="74B34999">
            <w:pPr>
              <w:pStyle w:val="3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宋体" w:eastAsia="宋体" w:cs="宋体"/>
                <w:b w:val="0"/>
                <w:bCs w:val="0"/>
                <w:color w:val="000000" w:themeColor="text1"/>
                <w:kern w:val="2"/>
                <w:sz w:val="24"/>
                <w:szCs w:val="24"/>
                <w:highlight w:val="none"/>
                <w:lang w:val="en-US" w:eastAsia="zh-CN" w:bidi="ar-SA"/>
                <w14:textFill>
                  <w14:solidFill>
                    <w14:schemeClr w14:val="tx1"/>
                  </w14:solidFill>
                </w14:textFill>
              </w:rPr>
            </w:pPr>
            <w:r>
              <w:rPr>
                <w:rFonts w:hint="eastAsia" w:ascii="Times New Roman" w:hAnsi="宋体" w:eastAsia="宋体" w:cs="宋体"/>
                <w:b w:val="0"/>
                <w:bCs w:val="0"/>
                <w:color w:val="000000" w:themeColor="text1"/>
                <w:kern w:val="2"/>
                <w:sz w:val="24"/>
                <w:szCs w:val="24"/>
                <w:highlight w:val="none"/>
                <w:lang w:val="en-US" w:eastAsia="zh-CN" w:bidi="ar-SA"/>
                <w14:textFill>
                  <w14:solidFill>
                    <w14:schemeClr w14:val="tx1"/>
                  </w14:solidFill>
                </w14:textFill>
              </w:rPr>
              <w:t>本项目危废库房设置在密闭厂房内，地面做防渗、防腐处理；贮存油类危险废物若发生泄漏，设置收集沟，避免泄漏危险废物进入外环境；其余危险废物一旦发生泄漏或火灾事故，泄漏物料（或消防废水）可沿</w:t>
            </w:r>
            <w:r>
              <w:rPr>
                <w:rFonts w:hint="eastAsia" w:cs="宋体"/>
                <w:b w:val="0"/>
                <w:bCs w:val="0"/>
                <w:color w:val="000000" w:themeColor="text1"/>
                <w:kern w:val="2"/>
                <w:sz w:val="24"/>
                <w:szCs w:val="24"/>
                <w:highlight w:val="none"/>
                <w:lang w:val="en-US" w:eastAsia="zh-CN" w:bidi="ar-SA"/>
                <w14:textFill>
                  <w14:solidFill>
                    <w14:schemeClr w14:val="tx1"/>
                  </w14:solidFill>
                </w14:textFill>
              </w:rPr>
              <w:t>导流渠</w:t>
            </w:r>
            <w:r>
              <w:rPr>
                <w:rFonts w:hint="eastAsia" w:ascii="Times New Roman" w:hAnsi="宋体" w:eastAsia="宋体" w:cs="宋体"/>
                <w:b w:val="0"/>
                <w:bCs w:val="0"/>
                <w:color w:val="000000" w:themeColor="text1"/>
                <w:kern w:val="2"/>
                <w:sz w:val="24"/>
                <w:szCs w:val="24"/>
                <w:highlight w:val="none"/>
                <w:lang w:val="en-US" w:eastAsia="zh-CN" w:bidi="ar-SA"/>
                <w14:textFill>
                  <w14:solidFill>
                    <w14:schemeClr w14:val="tx1"/>
                  </w14:solidFill>
                </w14:textFill>
              </w:rPr>
              <w:t>收集至废液收集桶中，可有效防止环境风险事故的发生。通过本次环境影响评价报告中提出的各项风险防范措施和应急预案后，本项目能将事故的环境风险降到最低，风险防范措施可行，风险水平可以接受。</w:t>
            </w:r>
          </w:p>
          <w:p w14:paraId="2756AB7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宋体" w:eastAsia="宋体" w:cs="宋体"/>
                <w:b w:val="0"/>
                <w:bCs w:val="0"/>
                <w:color w:val="000000" w:themeColor="text1"/>
                <w:kern w:val="2"/>
                <w:sz w:val="24"/>
                <w:szCs w:val="24"/>
                <w:highlight w:val="none"/>
                <w:lang w:val="en-US" w:eastAsia="zh-CN" w:bidi="ar-SA"/>
                <w14:textFill>
                  <w14:solidFill>
                    <w14:schemeClr w14:val="tx1"/>
                  </w14:solidFill>
                </w14:textFill>
              </w:rPr>
            </w:pPr>
          </w:p>
          <w:p w14:paraId="7F652E0A">
            <w:pPr>
              <w:pStyle w:val="34"/>
              <w:keepNext w:val="0"/>
              <w:keepLines w:val="0"/>
              <w:pageBreakBefore w:val="0"/>
              <w:widowControl w:val="0"/>
              <w:numPr>
                <w:ilvl w:val="0"/>
                <w:numId w:val="0"/>
              </w:numPr>
              <w:kinsoku/>
              <w:wordWrap/>
              <w:overflowPunct/>
              <w:topLinePunct w:val="0"/>
              <w:autoSpaceDE/>
              <w:autoSpaceDN/>
              <w:bidi w:val="0"/>
              <w:adjustRightInd/>
              <w:snapToGrid/>
              <w:spacing w:before="157" w:beforeLines="50"/>
              <w:ind w:firstLine="480" w:firstLineChars="200"/>
              <w:jc w:val="left"/>
              <w:textAlignment w:val="auto"/>
              <w:rPr>
                <w:rFonts w:hint="default"/>
                <w:color w:val="000000" w:themeColor="text1"/>
                <w:sz w:val="24"/>
                <w:szCs w:val="24"/>
                <w:highlight w:val="none"/>
                <w:lang w:val="en-US" w:eastAsia="zh-CN"/>
                <w14:textFill>
                  <w14:solidFill>
                    <w14:schemeClr w14:val="tx1"/>
                  </w14:solidFill>
                </w14:textFill>
              </w:rPr>
            </w:pPr>
          </w:p>
        </w:tc>
      </w:tr>
    </w:tbl>
    <w:p w14:paraId="7A8149AA">
      <w:pPr>
        <w:pStyle w:val="24"/>
        <w:jc w:val="center"/>
        <w:outlineLvl w:val="0"/>
        <w:rPr>
          <w:rFonts w:hint="eastAsia" w:ascii="黑体" w:hAnsi="黑体" w:eastAsia="黑体"/>
          <w:snapToGrid w:val="0"/>
          <w:color w:val="000000" w:themeColor="text1"/>
          <w:sz w:val="30"/>
          <w:szCs w:val="30"/>
          <w:highlight w:val="none"/>
          <w14:textFill>
            <w14:solidFill>
              <w14:schemeClr w14:val="tx1"/>
            </w14:solidFill>
          </w14:textFill>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bookmarkStart w:id="51" w:name="_Toc28232"/>
      <w:bookmarkStart w:id="52" w:name="_Toc17758"/>
      <w:bookmarkStart w:id="53" w:name="_Toc6298"/>
      <w:bookmarkStart w:id="54" w:name="_Toc4575"/>
    </w:p>
    <w:p w14:paraId="4FF2C3B6">
      <w:pPr>
        <w:pStyle w:val="24"/>
        <w:jc w:val="center"/>
        <w:outlineLvl w:val="0"/>
        <w:rPr>
          <w:rFonts w:ascii="黑体" w:hAnsi="黑体" w:eastAsia="黑体"/>
          <w:snapToGrid w:val="0"/>
          <w:color w:val="000000" w:themeColor="text1"/>
          <w:sz w:val="30"/>
          <w:szCs w:val="30"/>
          <w:highlight w:val="none"/>
          <w14:textFill>
            <w14:solidFill>
              <w14:schemeClr w14:val="tx1"/>
            </w14:solidFill>
          </w14:textFill>
        </w:rPr>
      </w:pPr>
      <w:bookmarkStart w:id="55" w:name="_Toc4134"/>
      <w:r>
        <w:rPr>
          <w:rFonts w:hint="eastAsia" w:ascii="黑体" w:hAnsi="黑体" w:eastAsia="黑体"/>
          <w:snapToGrid w:val="0"/>
          <w:color w:val="000000" w:themeColor="text1"/>
          <w:sz w:val="30"/>
          <w:szCs w:val="30"/>
          <w:highlight w:val="none"/>
          <w14:textFill>
            <w14:solidFill>
              <w14:schemeClr w14:val="tx1"/>
            </w14:solidFill>
          </w14:textFill>
        </w:rPr>
        <w:t>五、</w:t>
      </w:r>
      <w:bookmarkStart w:id="56" w:name="_Hlk54167917"/>
      <w:r>
        <w:rPr>
          <w:rFonts w:hint="eastAsia" w:ascii="黑体" w:hAnsi="黑体" w:eastAsia="黑体"/>
          <w:snapToGrid w:val="0"/>
          <w:color w:val="000000" w:themeColor="text1"/>
          <w:sz w:val="30"/>
          <w:szCs w:val="30"/>
          <w:highlight w:val="none"/>
          <w14:textFill>
            <w14:solidFill>
              <w14:schemeClr w14:val="tx1"/>
            </w14:solidFill>
          </w14:textFill>
        </w:rPr>
        <w:t>环境保护措施监督检查清单</w:t>
      </w:r>
      <w:bookmarkEnd w:id="51"/>
      <w:bookmarkEnd w:id="52"/>
      <w:bookmarkEnd w:id="53"/>
      <w:bookmarkEnd w:id="54"/>
      <w:bookmarkEnd w:id="55"/>
      <w:bookmarkEnd w:id="56"/>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9"/>
        <w:gridCol w:w="889"/>
        <w:gridCol w:w="1701"/>
        <w:gridCol w:w="1450"/>
        <w:gridCol w:w="1859"/>
        <w:gridCol w:w="2012"/>
      </w:tblGrid>
      <w:tr w14:paraId="3E00B2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gridSpan w:val="2"/>
            <w:tcBorders>
              <w:tl2br w:val="single" w:color="auto" w:sz="4" w:space="0"/>
            </w:tcBorders>
            <w:noWrap w:val="0"/>
            <w:vAlign w:val="top"/>
          </w:tcPr>
          <w:p w14:paraId="4E3D6D4E">
            <w:pPr>
              <w:keepNext w:val="0"/>
              <w:keepLines w:val="0"/>
              <w:pageBreakBefore w:val="0"/>
              <w:widowControl w:val="0"/>
              <w:kinsoku/>
              <w:wordWrap/>
              <w:overflowPunct/>
              <w:topLinePunct w:val="0"/>
              <w:autoSpaceDE/>
              <w:autoSpaceDN/>
              <w:bidi w:val="0"/>
              <w:adjustRightInd/>
              <w:snapToGrid/>
              <w:spacing w:line="240" w:lineRule="auto"/>
              <w:ind w:firstLine="840"/>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内容</w:t>
            </w:r>
          </w:p>
          <w:p w14:paraId="5F90D5E5">
            <w:pPr>
              <w:keepNext w:val="0"/>
              <w:keepLines w:val="0"/>
              <w:pageBreakBefore w:val="0"/>
              <w:widowControl w:val="0"/>
              <w:kinsoku/>
              <w:wordWrap/>
              <w:overflowPunct/>
              <w:topLinePunct w:val="0"/>
              <w:autoSpaceDE/>
              <w:autoSpaceDN/>
              <w:bidi w:val="0"/>
              <w:adjustRightInd/>
              <w:snapToGrid/>
              <w:spacing w:line="240" w:lineRule="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要素</w:t>
            </w:r>
          </w:p>
        </w:tc>
        <w:tc>
          <w:tcPr>
            <w:tcW w:w="1701" w:type="dxa"/>
            <w:noWrap w:val="0"/>
            <w:vAlign w:val="center"/>
          </w:tcPr>
          <w:p w14:paraId="6EE4C47B">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排放口</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编号、</w:t>
            </w:r>
          </w:p>
          <w:p w14:paraId="36BC4662">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名称</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/污染源</w:t>
            </w:r>
          </w:p>
        </w:tc>
        <w:tc>
          <w:tcPr>
            <w:tcW w:w="1450" w:type="dxa"/>
            <w:noWrap w:val="0"/>
            <w:vAlign w:val="center"/>
          </w:tcPr>
          <w:p w14:paraId="5415BC7C">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污染物项目</w:t>
            </w:r>
          </w:p>
        </w:tc>
        <w:tc>
          <w:tcPr>
            <w:tcW w:w="1859" w:type="dxa"/>
            <w:noWrap w:val="0"/>
            <w:vAlign w:val="center"/>
          </w:tcPr>
          <w:p w14:paraId="3D8590DC">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环境保护措施</w:t>
            </w:r>
          </w:p>
        </w:tc>
        <w:tc>
          <w:tcPr>
            <w:tcW w:w="2012" w:type="dxa"/>
            <w:noWrap w:val="0"/>
            <w:vAlign w:val="center"/>
          </w:tcPr>
          <w:p w14:paraId="53F040F1">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执行标准</w:t>
            </w:r>
          </w:p>
        </w:tc>
      </w:tr>
      <w:tr w14:paraId="6F574F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gridSpan w:val="2"/>
            <w:vMerge w:val="restart"/>
            <w:noWrap w:val="0"/>
            <w:vAlign w:val="center"/>
          </w:tcPr>
          <w:p w14:paraId="6253B7F6">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大气环境</w:t>
            </w:r>
          </w:p>
        </w:tc>
        <w:tc>
          <w:tcPr>
            <w:tcW w:w="1701" w:type="dxa"/>
            <w:noWrap w:val="0"/>
            <w:vAlign w:val="center"/>
          </w:tcPr>
          <w:p w14:paraId="00DF3A1F">
            <w:pPr>
              <w:keepNext w:val="0"/>
              <w:keepLines w:val="0"/>
              <w:pageBreakBefore w:val="0"/>
              <w:widowControl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DA001排气筒</w:t>
            </w:r>
          </w:p>
        </w:tc>
        <w:tc>
          <w:tcPr>
            <w:tcW w:w="1450" w:type="dxa"/>
            <w:noWrap w:val="0"/>
            <w:vAlign w:val="center"/>
          </w:tcPr>
          <w:p w14:paraId="34BA245C">
            <w:pPr>
              <w:keepNext w:val="0"/>
              <w:keepLines w:val="0"/>
              <w:pageBreakBefore w:val="0"/>
              <w:widowControl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非甲烷总烃、氯化氢、氨、硫化氢、臭气浓度</w:t>
            </w:r>
          </w:p>
        </w:tc>
        <w:tc>
          <w:tcPr>
            <w:tcW w:w="1859" w:type="dxa"/>
            <w:noWrap w:val="0"/>
            <w:vAlign w:val="center"/>
          </w:tcPr>
          <w:p w14:paraId="1E6543AA">
            <w:pPr>
              <w:keepNext w:val="0"/>
              <w:keepLines w:val="0"/>
              <w:pageBreakBefore w:val="0"/>
              <w:widowControl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1"/>
                <w:sz w:val="21"/>
                <w:szCs w:val="21"/>
                <w:highlight w:val="none"/>
                <w14:textFill>
                  <w14:solidFill>
                    <w14:schemeClr w14:val="tx1"/>
                  </w14:solidFill>
                </w14:textFill>
              </w:rPr>
              <w:t>危废贮存库设置为密闭的贮存库，</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废气经负压收集+碱液喷淋吸附装置+二级活性炭吸附装置+15m高排气筒（DA001）高空排放。</w:t>
            </w:r>
          </w:p>
        </w:tc>
        <w:tc>
          <w:tcPr>
            <w:tcW w:w="2012" w:type="dxa"/>
            <w:noWrap w:val="0"/>
            <w:vAlign w:val="center"/>
          </w:tcPr>
          <w:p w14:paraId="79C570F7">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1"/>
                <w:sz w:val="21"/>
                <w:szCs w:val="21"/>
                <w:highlight w:val="none"/>
                <w:lang w:eastAsia="zh-CN"/>
                <w14:textFill>
                  <w14:solidFill>
                    <w14:schemeClr w14:val="tx1"/>
                  </w14:solidFill>
                </w14:textFill>
              </w:rPr>
              <w:t>非甲烷总烃、氯化氢排放执行《大气污染物综合</w:t>
            </w:r>
            <w:r>
              <w:rPr>
                <w:rFonts w:hint="eastAsia" w:cs="Times New Roman"/>
                <w:color w:val="000000" w:themeColor="text1"/>
                <w:kern w:val="21"/>
                <w:sz w:val="21"/>
                <w:szCs w:val="21"/>
                <w:highlight w:val="none"/>
                <w:lang w:eastAsia="zh-CN"/>
                <w14:textFill>
                  <w14:solidFill>
                    <w14:schemeClr w14:val="tx1"/>
                  </w14:solidFill>
                </w14:textFill>
              </w:rPr>
              <w:t>排</w:t>
            </w:r>
            <w:r>
              <w:rPr>
                <w:rFonts w:hint="eastAsia" w:ascii="Times New Roman" w:hAnsi="Times New Roman" w:eastAsia="宋体" w:cs="Times New Roman"/>
                <w:color w:val="000000" w:themeColor="text1"/>
                <w:kern w:val="21"/>
                <w:sz w:val="21"/>
                <w:szCs w:val="21"/>
                <w:highlight w:val="none"/>
                <w:lang w:eastAsia="zh-CN"/>
                <w14:textFill>
                  <w14:solidFill>
                    <w14:schemeClr w14:val="tx1"/>
                  </w14:solidFill>
                </w14:textFill>
              </w:rPr>
              <w:t>放标准》</w:t>
            </w:r>
            <w:r>
              <w:rPr>
                <w:rFonts w:hint="eastAsia" w:cs="Times New Roman"/>
                <w:color w:val="000000" w:themeColor="text1"/>
                <w:kern w:val="21"/>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kern w:val="21"/>
                <w:sz w:val="21"/>
                <w:szCs w:val="21"/>
                <w:highlight w:val="none"/>
                <w:lang w:eastAsia="zh-CN"/>
                <w14:textFill>
                  <w14:solidFill>
                    <w14:schemeClr w14:val="tx1"/>
                  </w14:solidFill>
                </w14:textFill>
              </w:rPr>
              <w:t>GB16297-1996）表</w:t>
            </w:r>
            <w:r>
              <w:rPr>
                <w:rFonts w:hint="eastAsia" w:cs="Times New Roman"/>
                <w:color w:val="000000" w:themeColor="text1"/>
                <w:kern w:val="21"/>
                <w:sz w:val="21"/>
                <w:szCs w:val="21"/>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kern w:val="21"/>
                <w:sz w:val="21"/>
                <w:szCs w:val="21"/>
                <w:highlight w:val="none"/>
                <w:lang w:eastAsia="zh-CN"/>
                <w14:textFill>
                  <w14:solidFill>
                    <w14:schemeClr w14:val="tx1"/>
                  </w14:solidFill>
                </w14:textFill>
              </w:rPr>
              <w:t>新污染源大气污染物排放限值。恶臭气体</w:t>
            </w:r>
            <w:r>
              <w:rPr>
                <w:rFonts w:hint="eastAsia" w:cs="Times New Roman"/>
                <w:color w:val="000000" w:themeColor="text1"/>
                <w:kern w:val="21"/>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kern w:val="21"/>
                <w:sz w:val="21"/>
                <w:szCs w:val="21"/>
                <w:highlight w:val="none"/>
                <w:lang w:eastAsia="zh-CN"/>
                <w14:textFill>
                  <w14:solidFill>
                    <w14:schemeClr w14:val="tx1"/>
                  </w14:solidFill>
                </w14:textFill>
              </w:rPr>
              <w:t>氨、硫化氢、臭气浓度</w:t>
            </w:r>
            <w:r>
              <w:rPr>
                <w:rFonts w:hint="eastAsia" w:cs="Times New Roman"/>
                <w:color w:val="000000" w:themeColor="text1"/>
                <w:kern w:val="21"/>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kern w:val="21"/>
                <w:sz w:val="21"/>
                <w:szCs w:val="21"/>
                <w:highlight w:val="none"/>
                <w:lang w:eastAsia="zh-CN"/>
                <w14:textFill>
                  <w14:solidFill>
                    <w14:schemeClr w14:val="tx1"/>
                  </w14:solidFill>
                </w14:textFill>
              </w:rPr>
              <w:t>执行《恶臭污染物排放标准》</w:t>
            </w:r>
            <w:r>
              <w:rPr>
                <w:rFonts w:hint="eastAsia" w:cs="Times New Roman"/>
                <w:color w:val="000000" w:themeColor="text1"/>
                <w:kern w:val="21"/>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kern w:val="21"/>
                <w:sz w:val="21"/>
                <w:szCs w:val="21"/>
                <w:highlight w:val="none"/>
                <w:lang w:eastAsia="zh-CN"/>
                <w14:textFill>
                  <w14:solidFill>
                    <w14:schemeClr w14:val="tx1"/>
                  </w14:solidFill>
                </w14:textFill>
              </w:rPr>
              <w:t>GB14554-93</w:t>
            </w:r>
            <w:r>
              <w:rPr>
                <w:rFonts w:hint="eastAsia" w:cs="Times New Roman"/>
                <w:color w:val="000000" w:themeColor="text1"/>
                <w:kern w:val="21"/>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kern w:val="21"/>
                <w:sz w:val="21"/>
                <w:szCs w:val="21"/>
                <w:highlight w:val="none"/>
                <w:lang w:eastAsia="zh-CN"/>
                <w14:textFill>
                  <w14:solidFill>
                    <w14:schemeClr w14:val="tx1"/>
                  </w14:solidFill>
                </w14:textFill>
              </w:rPr>
              <w:t>表2标准</w:t>
            </w:r>
            <w:r>
              <w:rPr>
                <w:rFonts w:hint="eastAsia" w:cs="Times New Roman"/>
                <w:color w:val="000000" w:themeColor="text1"/>
                <w:kern w:val="21"/>
                <w:sz w:val="21"/>
                <w:szCs w:val="21"/>
                <w:highlight w:val="none"/>
                <w:lang w:val="en-US" w:eastAsia="zh-CN"/>
                <w14:textFill>
                  <w14:solidFill>
                    <w14:schemeClr w14:val="tx1"/>
                  </w14:solidFill>
                </w14:textFill>
              </w:rPr>
              <w:t>限值要求</w:t>
            </w:r>
          </w:p>
        </w:tc>
      </w:tr>
      <w:tr w14:paraId="503258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gridSpan w:val="2"/>
            <w:vMerge w:val="continue"/>
            <w:noWrap w:val="0"/>
            <w:vAlign w:val="center"/>
          </w:tcPr>
          <w:p w14:paraId="3A3A39D6">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01" w:type="dxa"/>
            <w:noWrap w:val="0"/>
            <w:vAlign w:val="center"/>
          </w:tcPr>
          <w:p w14:paraId="4C0A2148">
            <w:pPr>
              <w:keepNext w:val="0"/>
              <w:keepLines w:val="0"/>
              <w:pageBreakBefore w:val="0"/>
              <w:widowControl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厂区内危险废物贮存库1m处</w:t>
            </w:r>
          </w:p>
        </w:tc>
        <w:tc>
          <w:tcPr>
            <w:tcW w:w="1450" w:type="dxa"/>
            <w:noWrap w:val="0"/>
            <w:vAlign w:val="center"/>
          </w:tcPr>
          <w:p w14:paraId="79BAE974">
            <w:pPr>
              <w:keepNext w:val="0"/>
              <w:keepLines w:val="0"/>
              <w:pageBreakBefore w:val="0"/>
              <w:widowControl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非甲烷总烃</w:t>
            </w:r>
          </w:p>
        </w:tc>
        <w:tc>
          <w:tcPr>
            <w:tcW w:w="1859" w:type="dxa"/>
            <w:noWrap w:val="0"/>
            <w:vAlign w:val="center"/>
          </w:tcPr>
          <w:p w14:paraId="73C37B36">
            <w:pPr>
              <w:keepNext w:val="0"/>
              <w:keepLines w:val="0"/>
              <w:pageBreakBefore w:val="0"/>
              <w:widowControl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kern w:val="21"/>
                <w:sz w:val="21"/>
                <w:szCs w:val="21"/>
                <w:highlight w:val="none"/>
                <w:lang w:val="en-US" w:eastAsia="zh-CN"/>
                <w14:textFill>
                  <w14:solidFill>
                    <w14:schemeClr w14:val="tx1"/>
                  </w14:solidFill>
                </w14:textFill>
              </w:rPr>
              <w:t>危废贮存库密闭</w:t>
            </w:r>
          </w:p>
        </w:tc>
        <w:tc>
          <w:tcPr>
            <w:tcW w:w="2012" w:type="dxa"/>
            <w:noWrap w:val="0"/>
            <w:vAlign w:val="center"/>
          </w:tcPr>
          <w:p w14:paraId="014FBA60">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Times New Roman" w:hAnsi="Times New Roman" w:eastAsia="宋体" w:cs="Times New Roman"/>
                <w:color w:val="000000" w:themeColor="text1"/>
                <w:kern w:val="2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kern w:val="21"/>
                <w:sz w:val="21"/>
                <w:szCs w:val="21"/>
                <w:highlight w:val="none"/>
                <w:lang w:eastAsia="zh-CN"/>
                <w14:textFill>
                  <w14:solidFill>
                    <w14:schemeClr w14:val="tx1"/>
                  </w14:solidFill>
                </w14:textFill>
              </w:rPr>
              <w:t>《挥发性有机物无组织排放控制标准》</w:t>
            </w:r>
          </w:p>
          <w:p w14:paraId="31536B6F">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kern w:val="21"/>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kern w:val="21"/>
                <w:sz w:val="21"/>
                <w:szCs w:val="21"/>
                <w:highlight w:val="none"/>
                <w:lang w:eastAsia="zh-CN"/>
                <w14:textFill>
                  <w14:solidFill>
                    <w14:schemeClr w14:val="tx1"/>
                  </w14:solidFill>
                </w14:textFill>
              </w:rPr>
              <w:t>GB37822-2019</w:t>
            </w:r>
            <w:r>
              <w:rPr>
                <w:rFonts w:hint="eastAsia" w:cs="Times New Roman"/>
                <w:color w:val="000000" w:themeColor="text1"/>
                <w:kern w:val="21"/>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kern w:val="21"/>
                <w:sz w:val="21"/>
                <w:szCs w:val="21"/>
                <w:highlight w:val="none"/>
                <w:lang w:eastAsia="zh-CN"/>
                <w14:textFill>
                  <w14:solidFill>
                    <w14:schemeClr w14:val="tx1"/>
                  </w14:solidFill>
                </w14:textFill>
              </w:rPr>
              <w:t>表A.1标准；</w:t>
            </w:r>
          </w:p>
        </w:tc>
      </w:tr>
      <w:tr w14:paraId="605B98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gridSpan w:val="2"/>
            <w:vMerge w:val="continue"/>
            <w:noWrap w:val="0"/>
            <w:vAlign w:val="center"/>
          </w:tcPr>
          <w:p w14:paraId="27659E9B">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701" w:type="dxa"/>
            <w:noWrap w:val="0"/>
            <w:vAlign w:val="center"/>
          </w:tcPr>
          <w:p w14:paraId="755BA6B4">
            <w:pPr>
              <w:keepNext w:val="0"/>
              <w:keepLines w:val="0"/>
              <w:pageBreakBefore w:val="0"/>
              <w:widowControl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厂界</w:t>
            </w:r>
          </w:p>
        </w:tc>
        <w:tc>
          <w:tcPr>
            <w:tcW w:w="1450" w:type="dxa"/>
            <w:noWrap w:val="0"/>
            <w:vAlign w:val="center"/>
          </w:tcPr>
          <w:p w14:paraId="2920EAD4">
            <w:pPr>
              <w:keepNext w:val="0"/>
              <w:keepLines w:val="0"/>
              <w:pageBreakBefore w:val="0"/>
              <w:widowControl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非甲烷总烃、氯化氢、氨、硫化氢、臭气浓度</w:t>
            </w:r>
          </w:p>
        </w:tc>
        <w:tc>
          <w:tcPr>
            <w:tcW w:w="1859" w:type="dxa"/>
            <w:noWrap w:val="0"/>
            <w:vAlign w:val="center"/>
          </w:tcPr>
          <w:p w14:paraId="3B13BE0E">
            <w:pPr>
              <w:keepNext w:val="0"/>
              <w:keepLines w:val="0"/>
              <w:pageBreakBefore w:val="0"/>
              <w:widowControl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kern w:val="21"/>
                <w:sz w:val="21"/>
                <w:szCs w:val="21"/>
                <w:highlight w:val="none"/>
                <w:lang w:val="en-US" w:eastAsia="zh-CN"/>
                <w14:textFill>
                  <w14:solidFill>
                    <w14:schemeClr w14:val="tx1"/>
                  </w14:solidFill>
                </w14:textFill>
              </w:rPr>
              <w:t>危废贮存库密闭</w:t>
            </w:r>
          </w:p>
        </w:tc>
        <w:tc>
          <w:tcPr>
            <w:tcW w:w="2012" w:type="dxa"/>
            <w:noWrap w:val="0"/>
            <w:vAlign w:val="center"/>
          </w:tcPr>
          <w:p w14:paraId="17C9A2DC">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21"/>
                <w:sz w:val="21"/>
                <w:szCs w:val="21"/>
                <w:highlight w:val="none"/>
                <w:lang w:eastAsia="zh-CN"/>
                <w14:textFill>
                  <w14:solidFill>
                    <w14:schemeClr w14:val="tx1"/>
                  </w14:solidFill>
                </w14:textFill>
              </w:rPr>
              <w:t>非甲烷总烃、氯化氢排放执行《大气污染物综合</w:t>
            </w:r>
            <w:r>
              <w:rPr>
                <w:rFonts w:hint="eastAsia" w:cs="Times New Roman"/>
                <w:color w:val="000000" w:themeColor="text1"/>
                <w:kern w:val="21"/>
                <w:sz w:val="21"/>
                <w:szCs w:val="21"/>
                <w:highlight w:val="none"/>
                <w:lang w:eastAsia="zh-CN"/>
                <w14:textFill>
                  <w14:solidFill>
                    <w14:schemeClr w14:val="tx1"/>
                  </w14:solidFill>
                </w14:textFill>
              </w:rPr>
              <w:t>排</w:t>
            </w:r>
            <w:r>
              <w:rPr>
                <w:rFonts w:hint="eastAsia" w:ascii="Times New Roman" w:hAnsi="Times New Roman" w:eastAsia="宋体" w:cs="Times New Roman"/>
                <w:color w:val="000000" w:themeColor="text1"/>
                <w:kern w:val="21"/>
                <w:sz w:val="21"/>
                <w:szCs w:val="21"/>
                <w:highlight w:val="none"/>
                <w:lang w:eastAsia="zh-CN"/>
                <w14:textFill>
                  <w14:solidFill>
                    <w14:schemeClr w14:val="tx1"/>
                  </w14:solidFill>
                </w14:textFill>
              </w:rPr>
              <w:t>放标准》GB16297-1996）表2新污染源</w:t>
            </w:r>
            <w:r>
              <w:rPr>
                <w:rFonts w:hint="eastAsia" w:cs="Times New Roman"/>
                <w:color w:val="000000" w:themeColor="text1"/>
                <w:kern w:val="21"/>
                <w:sz w:val="21"/>
                <w:szCs w:val="21"/>
                <w:highlight w:val="none"/>
                <w:lang w:val="en-US" w:eastAsia="zh-CN"/>
                <w14:textFill>
                  <w14:solidFill>
                    <w14:schemeClr w14:val="tx1"/>
                  </w14:solidFill>
                </w14:textFill>
              </w:rPr>
              <w:t>无组织排放监控浓度</w:t>
            </w:r>
            <w:r>
              <w:rPr>
                <w:rFonts w:hint="eastAsia" w:ascii="Times New Roman" w:hAnsi="Times New Roman" w:eastAsia="宋体" w:cs="Times New Roman"/>
                <w:color w:val="000000" w:themeColor="text1"/>
                <w:kern w:val="21"/>
                <w:sz w:val="21"/>
                <w:szCs w:val="21"/>
                <w:highlight w:val="none"/>
                <w:lang w:eastAsia="zh-CN"/>
                <w14:textFill>
                  <w14:solidFill>
                    <w14:schemeClr w14:val="tx1"/>
                  </w14:solidFill>
                </w14:textFill>
              </w:rPr>
              <w:t>限值。恶臭气体</w:t>
            </w:r>
            <w:r>
              <w:rPr>
                <w:rFonts w:hint="eastAsia" w:cs="Times New Roman"/>
                <w:color w:val="000000" w:themeColor="text1"/>
                <w:kern w:val="21"/>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kern w:val="21"/>
                <w:sz w:val="21"/>
                <w:szCs w:val="21"/>
                <w:highlight w:val="none"/>
                <w:lang w:eastAsia="zh-CN"/>
                <w14:textFill>
                  <w14:solidFill>
                    <w14:schemeClr w14:val="tx1"/>
                  </w14:solidFill>
                </w14:textFill>
              </w:rPr>
              <w:t>氨、硫化氢、臭气浓度</w:t>
            </w:r>
            <w:r>
              <w:rPr>
                <w:rFonts w:hint="eastAsia" w:cs="Times New Roman"/>
                <w:color w:val="000000" w:themeColor="text1"/>
                <w:kern w:val="21"/>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kern w:val="21"/>
                <w:sz w:val="21"/>
                <w:szCs w:val="21"/>
                <w:highlight w:val="none"/>
                <w:lang w:eastAsia="zh-CN"/>
                <w14:textFill>
                  <w14:solidFill>
                    <w14:schemeClr w14:val="tx1"/>
                  </w14:solidFill>
                </w14:textFill>
              </w:rPr>
              <w:t>执行《恶臭污染物排放标准》</w:t>
            </w:r>
            <w:r>
              <w:rPr>
                <w:rFonts w:hint="eastAsia" w:cs="Times New Roman"/>
                <w:color w:val="000000" w:themeColor="text1"/>
                <w:kern w:val="21"/>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kern w:val="21"/>
                <w:sz w:val="21"/>
                <w:szCs w:val="21"/>
                <w:highlight w:val="none"/>
                <w:lang w:eastAsia="zh-CN"/>
                <w14:textFill>
                  <w14:solidFill>
                    <w14:schemeClr w14:val="tx1"/>
                  </w14:solidFill>
                </w14:textFill>
              </w:rPr>
              <w:t>GB14554-93</w:t>
            </w:r>
            <w:r>
              <w:rPr>
                <w:rFonts w:hint="eastAsia" w:cs="Times New Roman"/>
                <w:color w:val="000000" w:themeColor="text1"/>
                <w:kern w:val="21"/>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kern w:val="21"/>
                <w:sz w:val="21"/>
                <w:szCs w:val="21"/>
                <w:highlight w:val="none"/>
                <w:lang w:eastAsia="zh-CN"/>
                <w14:textFill>
                  <w14:solidFill>
                    <w14:schemeClr w14:val="tx1"/>
                  </w14:solidFill>
                </w14:textFill>
              </w:rPr>
              <w:t>表</w:t>
            </w:r>
            <w:r>
              <w:rPr>
                <w:rFonts w:hint="eastAsia" w:cs="Times New Roman"/>
                <w:color w:val="000000" w:themeColor="text1"/>
                <w:kern w:val="21"/>
                <w:sz w:val="21"/>
                <w:szCs w:val="21"/>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kern w:val="21"/>
                <w:sz w:val="21"/>
                <w:szCs w:val="21"/>
                <w:highlight w:val="none"/>
                <w:lang w:eastAsia="zh-CN"/>
                <w14:textFill>
                  <w14:solidFill>
                    <w14:schemeClr w14:val="tx1"/>
                  </w14:solidFill>
                </w14:textFill>
              </w:rPr>
              <w:t>标准</w:t>
            </w:r>
            <w:r>
              <w:rPr>
                <w:rFonts w:hint="eastAsia" w:cs="Times New Roman"/>
                <w:color w:val="000000" w:themeColor="text1"/>
                <w:kern w:val="21"/>
                <w:sz w:val="21"/>
                <w:szCs w:val="21"/>
                <w:highlight w:val="none"/>
                <w:lang w:val="en-US" w:eastAsia="zh-CN"/>
                <w14:textFill>
                  <w14:solidFill>
                    <w14:schemeClr w14:val="tx1"/>
                  </w14:solidFill>
                </w14:textFill>
              </w:rPr>
              <w:t>限值要求</w:t>
            </w:r>
          </w:p>
        </w:tc>
      </w:tr>
      <w:tr w14:paraId="6CC506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gridSpan w:val="2"/>
            <w:noWrap w:val="0"/>
            <w:vAlign w:val="center"/>
          </w:tcPr>
          <w:p w14:paraId="68745D42">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地表水环境</w:t>
            </w:r>
          </w:p>
        </w:tc>
        <w:tc>
          <w:tcPr>
            <w:tcW w:w="1701" w:type="dxa"/>
            <w:noWrap w:val="0"/>
            <w:vAlign w:val="center"/>
          </w:tcPr>
          <w:p w14:paraId="5D3042AB">
            <w:pPr>
              <w:keepNext w:val="0"/>
              <w:keepLines w:val="0"/>
              <w:pageBreakBefore w:val="0"/>
              <w:widowControl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Cs/>
                <w:color w:val="000000" w:themeColor="text1"/>
                <w:sz w:val="21"/>
                <w:szCs w:val="21"/>
                <w:highlight w:val="none"/>
                <w14:textFill>
                  <w14:solidFill>
                    <w14:schemeClr w14:val="tx1"/>
                  </w14:solidFill>
                </w14:textFill>
              </w:rPr>
            </w:pPr>
            <w:r>
              <w:rPr>
                <w:rFonts w:hint="default" w:ascii="Times New Roman" w:hAnsi="Times New Roman" w:eastAsia="宋体" w:cs="Times New Roman"/>
                <w:bCs/>
                <w:color w:val="000000" w:themeColor="text1"/>
                <w:sz w:val="21"/>
                <w:szCs w:val="21"/>
                <w:highlight w:val="none"/>
                <w14:textFill>
                  <w14:solidFill>
                    <w14:schemeClr w14:val="tx1"/>
                  </w14:solidFill>
                </w14:textFill>
              </w:rPr>
              <w:t>生活污水</w:t>
            </w:r>
          </w:p>
        </w:tc>
        <w:tc>
          <w:tcPr>
            <w:tcW w:w="1450" w:type="dxa"/>
            <w:noWrap w:val="0"/>
            <w:vAlign w:val="center"/>
          </w:tcPr>
          <w:p w14:paraId="68EEB108">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COD</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氨氮</w:t>
            </w:r>
          </w:p>
        </w:tc>
        <w:tc>
          <w:tcPr>
            <w:tcW w:w="1859" w:type="dxa"/>
            <w:noWrap w:val="0"/>
            <w:vAlign w:val="center"/>
          </w:tcPr>
          <w:p w14:paraId="16D3B6DB">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生活污水依托</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伊春市林源家具有限公司，</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经市政管网</w:t>
            </w:r>
            <w:r>
              <w:rPr>
                <w:rFonts w:hint="default" w:ascii="Times New Roman" w:hAnsi="Times New Roman" w:eastAsia="宋体" w:cs="Times New Roman"/>
                <w:color w:val="000000" w:themeColor="text1"/>
                <w:kern w:val="2"/>
                <w:sz w:val="21"/>
                <w:szCs w:val="21"/>
                <w:highlight w:val="none"/>
                <w:lang w:eastAsia="zh-CN"/>
                <w14:textFill>
                  <w14:solidFill>
                    <w14:schemeClr w14:val="tx1"/>
                  </w14:solidFill>
                </w14:textFill>
              </w:rPr>
              <w:t>排入伊春市中心城污水处理厂处理</w:t>
            </w:r>
          </w:p>
        </w:tc>
        <w:tc>
          <w:tcPr>
            <w:tcW w:w="2012" w:type="dxa"/>
            <w:noWrap w:val="0"/>
            <w:vAlign w:val="center"/>
          </w:tcPr>
          <w:p w14:paraId="53FD1A0A">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kern w:val="21"/>
                <w:sz w:val="21"/>
                <w:szCs w:val="21"/>
                <w:highlight w:val="none"/>
                <w:lang w:val="en-US" w:eastAsia="zh-CN"/>
                <w14:textFill>
                  <w14:solidFill>
                    <w14:schemeClr w14:val="tx1"/>
                  </w14:solidFill>
                </w14:textFill>
              </w:rPr>
              <w:t>生活污水</w:t>
            </w:r>
            <w:r>
              <w:rPr>
                <w:rFonts w:hint="default" w:ascii="Times New Roman" w:hAnsi="Times New Roman" w:eastAsia="宋体" w:cs="Times New Roman"/>
                <w:color w:val="000000" w:themeColor="text1"/>
                <w:kern w:val="21"/>
                <w:sz w:val="21"/>
                <w:szCs w:val="21"/>
                <w:highlight w:val="none"/>
                <w:lang w:eastAsia="zh-CN"/>
                <w14:textFill>
                  <w14:solidFill>
                    <w14:schemeClr w14:val="tx1"/>
                  </w14:solidFill>
                </w14:textFill>
              </w:rPr>
              <w:t>满足《污水综合排放标准》（GB8978-1996）三级标准</w:t>
            </w:r>
          </w:p>
        </w:tc>
      </w:tr>
      <w:tr w14:paraId="782424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gridSpan w:val="2"/>
            <w:noWrap w:val="0"/>
            <w:vAlign w:val="center"/>
          </w:tcPr>
          <w:p w14:paraId="697A4E29">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声环境</w:t>
            </w:r>
          </w:p>
        </w:tc>
        <w:tc>
          <w:tcPr>
            <w:tcW w:w="1701" w:type="dxa"/>
            <w:noWrap w:val="0"/>
            <w:vAlign w:val="center"/>
          </w:tcPr>
          <w:p w14:paraId="08F4D89A">
            <w:pPr>
              <w:keepNext w:val="0"/>
              <w:keepLines w:val="0"/>
              <w:pageBreakBefore w:val="0"/>
              <w:widowControl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风机、叉车等</w:t>
            </w:r>
            <w:r>
              <w:rPr>
                <w:rFonts w:hint="default" w:ascii="Times New Roman" w:hAnsi="Times New Roman" w:eastAsia="宋体" w:cs="Times New Roman"/>
                <w:color w:val="000000" w:themeColor="text1"/>
                <w:sz w:val="21"/>
                <w:szCs w:val="21"/>
                <w:highlight w:val="none"/>
                <w14:textFill>
                  <w14:solidFill>
                    <w14:schemeClr w14:val="tx1"/>
                  </w14:solidFill>
                </w14:textFill>
              </w:rPr>
              <w:t>噪声</w:t>
            </w:r>
          </w:p>
        </w:tc>
        <w:tc>
          <w:tcPr>
            <w:tcW w:w="1450" w:type="dxa"/>
            <w:noWrap w:val="0"/>
            <w:vAlign w:val="center"/>
          </w:tcPr>
          <w:p w14:paraId="144E750D">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噪声</w:t>
            </w:r>
          </w:p>
        </w:tc>
        <w:tc>
          <w:tcPr>
            <w:tcW w:w="1859" w:type="dxa"/>
            <w:noWrap w:val="0"/>
            <w:vAlign w:val="center"/>
          </w:tcPr>
          <w:p w14:paraId="014AD53A">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选用低噪声先进设备、加强车辆管理、设置隔声、减振等</w:t>
            </w:r>
          </w:p>
        </w:tc>
        <w:tc>
          <w:tcPr>
            <w:tcW w:w="2012" w:type="dxa"/>
            <w:noWrap w:val="0"/>
            <w:vAlign w:val="center"/>
          </w:tcPr>
          <w:p w14:paraId="1308E13C">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《工业企业厂界环境噪声排放标准》</w:t>
            </w:r>
            <w:r>
              <w:rPr>
                <w:rFonts w:hint="eastAsia" w:cs="Times New Roman"/>
                <w:color w:val="000000" w:themeColor="text1"/>
                <w:kern w:val="0"/>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GB12348-2008</w:t>
            </w:r>
            <w:r>
              <w:rPr>
                <w:rFonts w:hint="eastAsia" w:cs="Times New Roman"/>
                <w:color w:val="000000" w:themeColor="text1"/>
                <w:kern w:val="0"/>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表1中</w:t>
            </w:r>
            <w:r>
              <w:rPr>
                <w:rFonts w:hint="eastAsia" w:cs="Times New Roman"/>
                <w:color w:val="000000" w:themeColor="text1"/>
                <w:kern w:val="0"/>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类标准</w:t>
            </w:r>
          </w:p>
        </w:tc>
      </w:tr>
      <w:tr w14:paraId="7699BA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gridSpan w:val="2"/>
            <w:noWrap w:val="0"/>
            <w:vAlign w:val="center"/>
          </w:tcPr>
          <w:p w14:paraId="0D982B37">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电磁辐射</w:t>
            </w:r>
          </w:p>
        </w:tc>
        <w:tc>
          <w:tcPr>
            <w:tcW w:w="1701" w:type="dxa"/>
            <w:noWrap w:val="0"/>
            <w:vAlign w:val="center"/>
          </w:tcPr>
          <w:p w14:paraId="7B37868A">
            <w:pPr>
              <w:keepNext w:val="0"/>
              <w:keepLines w:val="0"/>
              <w:pageBreakBefore w:val="0"/>
              <w:widowControl w:val="0"/>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450" w:type="dxa"/>
            <w:noWrap w:val="0"/>
            <w:vAlign w:val="center"/>
          </w:tcPr>
          <w:p w14:paraId="4D58B792">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1859" w:type="dxa"/>
            <w:noWrap w:val="0"/>
            <w:vAlign w:val="center"/>
          </w:tcPr>
          <w:p w14:paraId="12C5B007">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w:t>
            </w:r>
          </w:p>
        </w:tc>
        <w:tc>
          <w:tcPr>
            <w:tcW w:w="2012" w:type="dxa"/>
            <w:noWrap w:val="0"/>
            <w:vAlign w:val="center"/>
          </w:tcPr>
          <w:p w14:paraId="0494DF3A">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w:t>
            </w:r>
          </w:p>
        </w:tc>
      </w:tr>
      <w:tr w14:paraId="3EFA19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778" w:type="dxa"/>
            <w:gridSpan w:val="2"/>
            <w:noWrap w:val="0"/>
            <w:vAlign w:val="center"/>
          </w:tcPr>
          <w:p w14:paraId="1E14FD41">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固体废物</w:t>
            </w:r>
          </w:p>
        </w:tc>
        <w:tc>
          <w:tcPr>
            <w:tcW w:w="7022" w:type="dxa"/>
            <w:gridSpan w:val="4"/>
            <w:noWrap w:val="0"/>
            <w:vAlign w:val="center"/>
          </w:tcPr>
          <w:p w14:paraId="0E76A0AB">
            <w:pPr>
              <w:pStyle w:val="2"/>
              <w:keepNext w:val="0"/>
              <w:keepLines w:val="0"/>
              <w:pageBreakBefore w:val="0"/>
              <w:kinsoku/>
              <w:wordWrap/>
              <w:overflowPunct/>
              <w:topLinePunct w:val="0"/>
              <w:autoSpaceDE/>
              <w:autoSpaceDN/>
              <w:bidi w:val="0"/>
              <w:adjustRightInd/>
              <w:spacing w:before="0" w:after="0" w:line="240" w:lineRule="auto"/>
              <w:ind w:right="0" w:rightChars="0"/>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①生活垃圾集中收集在生活垃圾箱内，交由市政环卫部门统一清运处理。</w:t>
            </w:r>
          </w:p>
          <w:p w14:paraId="77A8E85F">
            <w:pPr>
              <w:pStyle w:val="2"/>
              <w:keepNext w:val="0"/>
              <w:keepLines w:val="0"/>
              <w:pageBreakBefore w:val="0"/>
              <w:kinsoku/>
              <w:wordWrap/>
              <w:overflowPunct/>
              <w:topLinePunct w:val="0"/>
              <w:autoSpaceDE/>
              <w:autoSpaceDN/>
              <w:bidi w:val="0"/>
              <w:adjustRightInd/>
              <w:spacing w:before="0" w:after="0" w:line="240" w:lineRule="auto"/>
              <w:ind w:right="0" w:rightChars="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②活性炭吸附装置产生的废活性炭属于危险废物（HW49其他废物，900-039-49），暂存于危险废物贮存库</w:t>
            </w:r>
            <w:r>
              <w:rPr>
                <w:rFonts w:hint="eastAsia" w:cs="Times New Roman"/>
                <w:color w:val="000000" w:themeColor="text1"/>
                <w:kern w:val="2"/>
                <w:sz w:val="21"/>
                <w:szCs w:val="21"/>
                <w:highlight w:val="none"/>
                <w:lang w:val="en-US" w:eastAsia="zh-CN" w:bidi="ar-SA"/>
                <w14:textFill>
                  <w14:solidFill>
                    <w14:schemeClr w14:val="tx1"/>
                  </w14:solidFill>
                </w14:textFill>
              </w:rPr>
              <w:t>18</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分区</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，定期交由有处置资质的单位回收处置。碱液喷淋吸附装置产生的废碱属于危险废物（</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HW</w:t>
            </w:r>
            <w:r>
              <w:rPr>
                <w:rFonts w:hint="eastAsia" w:cs="Times New Roman"/>
                <w:color w:val="000000" w:themeColor="text1"/>
                <w:sz w:val="21"/>
                <w:szCs w:val="21"/>
                <w:highlight w:val="none"/>
                <w:lang w:val="en-US" w:eastAsia="zh-CN"/>
                <w14:textFill>
                  <w14:solidFill>
                    <w14:schemeClr w14:val="tx1"/>
                  </w14:solidFill>
                </w14:textFill>
              </w:rPr>
              <w:t>35废碱</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，900-</w:t>
            </w:r>
            <w:r>
              <w:rPr>
                <w:rFonts w:hint="eastAsia" w:cs="Times New Roman"/>
                <w:color w:val="000000" w:themeColor="text1"/>
                <w:sz w:val="21"/>
                <w:szCs w:val="21"/>
                <w:highlight w:val="none"/>
                <w:lang w:val="en-US" w:eastAsia="zh-CN"/>
                <w14:textFill>
                  <w14:solidFill>
                    <w14:schemeClr w14:val="tx1"/>
                  </w14:solidFill>
                </w14:textFill>
              </w:rPr>
              <w:t>399</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35</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），暂存于危险废物贮存库</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6</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分区</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内，定期交由有处置资质的单位回收处置。</w:t>
            </w:r>
          </w:p>
        </w:tc>
      </w:tr>
      <w:tr w14:paraId="476E3A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778" w:type="dxa"/>
            <w:gridSpan w:val="2"/>
            <w:noWrap w:val="0"/>
            <w:vAlign w:val="center"/>
          </w:tcPr>
          <w:p w14:paraId="3485D948">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土壤及地下水</w:t>
            </w:r>
          </w:p>
          <w:p w14:paraId="1B299EF2">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污染防治措施</w:t>
            </w:r>
          </w:p>
        </w:tc>
        <w:tc>
          <w:tcPr>
            <w:tcW w:w="7022" w:type="dxa"/>
            <w:gridSpan w:val="4"/>
            <w:noWrap w:val="0"/>
            <w:vAlign w:val="center"/>
          </w:tcPr>
          <w:p w14:paraId="32CF88AF">
            <w:pPr>
              <w:pStyle w:val="2"/>
              <w:keepNext w:val="0"/>
              <w:keepLines w:val="0"/>
              <w:pageBreakBefore w:val="0"/>
              <w:kinsoku/>
              <w:wordWrap/>
              <w:overflowPunct/>
              <w:topLinePunct w:val="0"/>
              <w:autoSpaceDE/>
              <w:autoSpaceDN/>
              <w:bidi w:val="0"/>
              <w:adjustRightInd/>
              <w:spacing w:before="0" w:after="0" w:line="240" w:lineRule="auto"/>
              <w:ind w:right="0" w:rightChars="0"/>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危险</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废物贮存库、导流渠、应急事故池为重点防渗区，</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地面与裙角用坚固、防渗的材料建造，建筑材料与危险废物相容</w:t>
            </w:r>
            <w:r>
              <w:rPr>
                <w:rFonts w:hint="eastAsia"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库周设1m高围堰，有泄漏液体收集装置、气体导出口及气体净化装置。用以存放装载液体、半固体危险废物容器的地方，有耐腐蚀的硬化地面，且表面无裂痕。</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参照《危险废物贮存污染控制标准》（GB18597-2023）要求设置重点防渗区：</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采取“2mm厚HDPE膜+防渗混凝土防渗措施，表面平整无裂痕，承重良好，</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防渗性能等效黏土防渗层Mb≥6m、K≤1.0×10</w:t>
            </w:r>
            <w:r>
              <w:rPr>
                <w:rFonts w:hint="default" w:ascii="Times New Roman" w:hAnsi="Times New Roman" w:eastAsia="宋体" w:cs="Times New Roman"/>
                <w:color w:val="000000" w:themeColor="text1"/>
                <w:kern w:val="2"/>
                <w:sz w:val="21"/>
                <w:szCs w:val="21"/>
                <w:highlight w:val="none"/>
                <w:vertAlign w:val="superscript"/>
                <w:lang w:val="en-US" w:eastAsia="zh-CN" w:bidi="ar-SA"/>
                <w14:textFill>
                  <w14:solidFill>
                    <w14:schemeClr w14:val="tx1"/>
                  </w14:solidFill>
                </w14:textFill>
              </w:rPr>
              <w:t>-10</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cm/s；厂区道路</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等其他</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区域为简单防渗区，进行简单地面硬化。</w:t>
            </w:r>
          </w:p>
          <w:p w14:paraId="05C97816">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设置地下水监测井</w:t>
            </w:r>
            <w:r>
              <w:rPr>
                <w:rFonts w:hint="eastAsia" w:cs="Times New Roman"/>
                <w:color w:val="000000" w:themeColor="text1"/>
                <w:kern w:val="2"/>
                <w:sz w:val="21"/>
                <w:szCs w:val="21"/>
                <w:highlight w:val="none"/>
                <w:lang w:val="en-US" w:eastAsia="zh-CN" w:bidi="ar-SA"/>
                <w14:textFill>
                  <w14:solidFill>
                    <w14:schemeClr w14:val="tx1"/>
                  </w14:solidFill>
                </w14:textFill>
              </w:rPr>
              <w:t>1</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处，位于厂址地下</w:t>
            </w:r>
            <w:r>
              <w:rPr>
                <w:rFonts w:hint="eastAsia" w:cs="Times New Roman"/>
                <w:color w:val="000000" w:themeColor="text1"/>
                <w:kern w:val="2"/>
                <w:sz w:val="21"/>
                <w:szCs w:val="21"/>
                <w:highlight w:val="none"/>
                <w:lang w:val="en-US" w:eastAsia="zh-CN" w:bidi="ar-SA"/>
                <w14:textFill>
                  <w14:solidFill>
                    <w14:schemeClr w14:val="tx1"/>
                  </w14:solidFill>
                </w14:textFill>
              </w:rPr>
              <w:t>水</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下游，跟踪监测井位于危险废物贮存库东北侧50m（E</w:t>
            </w:r>
            <w:r>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t>128°55′13.04593″</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，N</w:t>
            </w:r>
            <w:r>
              <w:rPr>
                <w:rFonts w:hint="default" w:ascii="Times New Roman" w:hAnsi="Times New Roman" w:eastAsia="宋体" w:cs="Times New Roman"/>
                <w:color w:val="000000" w:themeColor="text1"/>
                <w:spacing w:val="-2"/>
                <w:kern w:val="2"/>
                <w:sz w:val="21"/>
                <w:szCs w:val="21"/>
                <w:highlight w:val="none"/>
                <w:lang w:val="en-US" w:eastAsia="zh-CN" w:bidi="ar-SA"/>
                <w14:textFill>
                  <w14:solidFill>
                    <w14:schemeClr w14:val="tx1"/>
                  </w14:solidFill>
                </w14:textFill>
              </w:rPr>
              <w:t>47°44′11.51684″</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p>
          <w:p w14:paraId="0BB11268">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制定土壤跟踪监测计划，每</w:t>
            </w:r>
            <w:r>
              <w:rPr>
                <w:rFonts w:hint="eastAsia"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14:textFill>
                  <w14:solidFill>
                    <w14:schemeClr w14:val="tx1"/>
                  </w14:solidFill>
                </w14:textFill>
              </w:rPr>
              <w:t>年1次。</w:t>
            </w:r>
          </w:p>
        </w:tc>
      </w:tr>
      <w:tr w14:paraId="6A76AC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1778" w:type="dxa"/>
            <w:gridSpan w:val="2"/>
            <w:noWrap w:val="0"/>
            <w:vAlign w:val="center"/>
          </w:tcPr>
          <w:p w14:paraId="2087FFCD">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生态保护措施</w:t>
            </w:r>
          </w:p>
        </w:tc>
        <w:tc>
          <w:tcPr>
            <w:tcW w:w="7022" w:type="dxa"/>
            <w:gridSpan w:val="4"/>
            <w:noWrap w:val="0"/>
            <w:vAlign w:val="center"/>
          </w:tcPr>
          <w:p w14:paraId="4315CAFE">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严格控制占地范围，不得对占地范围外的生态环境进行破坏</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r>
      <w:tr w14:paraId="37B2B4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778" w:type="dxa"/>
            <w:gridSpan w:val="2"/>
            <w:noWrap w:val="0"/>
            <w:vAlign w:val="center"/>
          </w:tcPr>
          <w:p w14:paraId="63A60A40">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pacing w:val="-8"/>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8"/>
                <w:sz w:val="21"/>
                <w:szCs w:val="21"/>
                <w:highlight w:val="none"/>
                <w14:textFill>
                  <w14:solidFill>
                    <w14:schemeClr w14:val="tx1"/>
                  </w14:solidFill>
                </w14:textFill>
              </w:rPr>
              <w:t>环境风险</w:t>
            </w:r>
          </w:p>
          <w:p w14:paraId="631B0785">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pacing w:val="-8"/>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8"/>
                <w:sz w:val="21"/>
                <w:szCs w:val="21"/>
                <w:highlight w:val="none"/>
                <w14:textFill>
                  <w14:solidFill>
                    <w14:schemeClr w14:val="tx1"/>
                  </w14:solidFill>
                </w14:textFill>
              </w:rPr>
              <w:t>防范措施</w:t>
            </w:r>
          </w:p>
        </w:tc>
        <w:tc>
          <w:tcPr>
            <w:tcW w:w="7022" w:type="dxa"/>
            <w:gridSpan w:val="4"/>
            <w:noWrap w:val="0"/>
            <w:vAlign w:val="center"/>
          </w:tcPr>
          <w:p w14:paraId="33BF6319">
            <w:pPr>
              <w:keepNext w:val="0"/>
              <w:keepLines w:val="0"/>
              <w:pageBreakBefore w:val="0"/>
              <w:widowControl w:val="0"/>
              <w:kinsoku/>
              <w:wordWrap/>
              <w:overflowPunct/>
              <w:topLinePunct w:val="0"/>
              <w:autoSpaceDE w:val="0"/>
              <w:autoSpaceDN w:val="0"/>
              <w:bidi w:val="0"/>
              <w:adjustRightInd w:val="0"/>
              <w:snapToGrid w:val="0"/>
              <w:spacing w:line="240" w:lineRule="auto"/>
              <w:ind w:firstLine="420" w:firstLineChars="200"/>
              <w:textAlignment w:val="auto"/>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①防渗防腐措施：</w:t>
            </w:r>
            <w:r>
              <w:rPr>
                <w:rFonts w:hint="default" w:ascii="Times New Roman" w:hAnsi="Times New Roman" w:eastAsia="宋体" w:cs="Times New Roman"/>
                <w:snapToGrid w:val="0"/>
                <w:color w:val="000000" w:themeColor="text1"/>
                <w:kern w:val="0"/>
                <w:sz w:val="21"/>
                <w:szCs w:val="21"/>
                <w:highlight w:val="none"/>
                <w:lang w:val="en-US" w:eastAsia="zh-CN"/>
                <w14:textFill>
                  <w14:solidFill>
                    <w14:schemeClr w14:val="tx1"/>
                  </w14:solidFill>
                </w14:textFill>
              </w:rPr>
              <w:t>采取“2mm厚HDPE膜+防渗混凝土防渗措施，表面平整无裂痕，承重良好，</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防渗性能等效黏土防渗层Mb≥6m、K≤1.0×10</w:t>
            </w:r>
            <w:r>
              <w:rPr>
                <w:rFonts w:hint="default" w:ascii="Times New Roman" w:hAnsi="Times New Roman" w:eastAsia="宋体" w:cs="Times New Roman"/>
                <w:color w:val="000000" w:themeColor="text1"/>
                <w:kern w:val="2"/>
                <w:sz w:val="21"/>
                <w:szCs w:val="21"/>
                <w:highlight w:val="none"/>
                <w:vertAlign w:val="superscript"/>
                <w:lang w:val="en-US" w:eastAsia="zh-CN" w:bidi="ar-SA"/>
                <w14:textFill>
                  <w14:solidFill>
                    <w14:schemeClr w14:val="tx1"/>
                  </w14:solidFill>
                </w14:textFill>
              </w:rPr>
              <w:t>-10</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cm/s；厂区道路</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等其他</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区域为简单防渗区，进行简单地面硬化</w:t>
            </w:r>
            <w:r>
              <w:rPr>
                <w:rFonts w:hint="eastAsia"/>
                <w:color w:val="000000" w:themeColor="text1"/>
                <w:kern w:val="0"/>
                <w:szCs w:val="21"/>
                <w:highlight w:val="none"/>
                <w14:textFill>
                  <w14:solidFill>
                    <w14:schemeClr w14:val="tx1"/>
                  </w14:solidFill>
                </w14:textFill>
              </w:rPr>
              <w:t>；</w:t>
            </w:r>
          </w:p>
          <w:p w14:paraId="7423E01E">
            <w:pPr>
              <w:keepNext w:val="0"/>
              <w:keepLines w:val="0"/>
              <w:pageBreakBefore w:val="0"/>
              <w:widowControl w:val="0"/>
              <w:kinsoku/>
              <w:wordWrap/>
              <w:overflowPunct/>
              <w:topLinePunct w:val="0"/>
              <w:autoSpaceDE w:val="0"/>
              <w:autoSpaceDN w:val="0"/>
              <w:bidi w:val="0"/>
              <w:adjustRightInd w:val="0"/>
              <w:snapToGrid w:val="0"/>
              <w:spacing w:line="240" w:lineRule="auto"/>
              <w:ind w:firstLine="420" w:firstLineChars="200"/>
              <w:textAlignment w:val="auto"/>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②危险废物在厂内临时贮存最长不得超过1年。</w:t>
            </w:r>
          </w:p>
          <w:p w14:paraId="6F939B6E">
            <w:pPr>
              <w:keepNext w:val="0"/>
              <w:keepLines w:val="0"/>
              <w:pageBreakBefore w:val="0"/>
              <w:widowControl w:val="0"/>
              <w:kinsoku/>
              <w:wordWrap/>
              <w:overflowPunct/>
              <w:topLinePunct w:val="0"/>
              <w:autoSpaceDE w:val="0"/>
              <w:autoSpaceDN w:val="0"/>
              <w:bidi w:val="0"/>
              <w:adjustRightInd w:val="0"/>
              <w:snapToGrid w:val="0"/>
              <w:spacing w:line="240" w:lineRule="auto"/>
              <w:ind w:firstLine="420" w:firstLineChars="200"/>
              <w:textAlignment w:val="auto"/>
              <w:rPr>
                <w:rFonts w:hint="eastAsia"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14:textFill>
                  <w14:solidFill>
                    <w14:schemeClr w14:val="tx1"/>
                  </w14:solidFill>
                </w14:textFill>
              </w:rPr>
              <w:t>③危险废物</w:t>
            </w:r>
            <w:r>
              <w:rPr>
                <w:rFonts w:hint="eastAsia" w:cs="Times New Roman"/>
                <w:color w:val="000000" w:themeColor="text1"/>
                <w:kern w:val="0"/>
                <w:szCs w:val="21"/>
                <w:highlight w:val="none"/>
                <w:lang w:val="en-US" w:eastAsia="zh-CN"/>
                <w14:textFill>
                  <w14:solidFill>
                    <w14:schemeClr w14:val="tx1"/>
                  </w14:solidFill>
                </w14:textFill>
              </w:rPr>
              <w:t>贮存库</w:t>
            </w:r>
            <w:r>
              <w:rPr>
                <w:rFonts w:hint="eastAsia" w:ascii="Times New Roman" w:hAnsi="Times New Roman" w:eastAsia="宋体" w:cs="Times New Roman"/>
                <w:color w:val="000000" w:themeColor="text1"/>
                <w:kern w:val="0"/>
                <w:szCs w:val="21"/>
                <w:highlight w:val="none"/>
                <w14:textFill>
                  <w14:solidFill>
                    <w14:schemeClr w14:val="tx1"/>
                  </w14:solidFill>
                </w14:textFill>
              </w:rPr>
              <w:t>内的电气设备选型、安装、电力线路敷设等，应符合现行国家标准《爆炸和火灾危险环境电力装置设计规范》（GB50058）的规定。</w:t>
            </w:r>
          </w:p>
          <w:p w14:paraId="259CC5B6">
            <w:pPr>
              <w:keepNext w:val="0"/>
              <w:keepLines w:val="0"/>
              <w:pageBreakBefore w:val="0"/>
              <w:widowControl w:val="0"/>
              <w:kinsoku/>
              <w:wordWrap/>
              <w:overflowPunct/>
              <w:topLinePunct w:val="0"/>
              <w:autoSpaceDE w:val="0"/>
              <w:autoSpaceDN w:val="0"/>
              <w:bidi w:val="0"/>
              <w:adjustRightInd w:val="0"/>
              <w:snapToGrid w:val="0"/>
              <w:spacing w:line="240" w:lineRule="auto"/>
              <w:ind w:firstLine="420" w:firstLineChars="200"/>
              <w:textAlignment w:val="auto"/>
              <w:rPr>
                <w:rFonts w:hint="eastAsia" w:ascii="Times New Roman" w:hAnsi="Times New Roman" w:eastAsia="宋体" w:cs="Times New Roman"/>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kern w:val="0"/>
                <w:szCs w:val="21"/>
                <w:highlight w:val="none"/>
                <w14:textFill>
                  <w14:solidFill>
                    <w14:schemeClr w14:val="tx1"/>
                  </w14:solidFill>
                </w14:textFill>
              </w:rPr>
              <w:t>④定期巡检，一旦发现</w:t>
            </w:r>
            <w:r>
              <w:rPr>
                <w:rFonts w:hint="eastAsia" w:cs="Times New Roman"/>
                <w:color w:val="000000" w:themeColor="text1"/>
                <w:kern w:val="0"/>
                <w:szCs w:val="21"/>
                <w:highlight w:val="none"/>
                <w:lang w:eastAsia="zh-CN"/>
                <w14:textFill>
                  <w14:solidFill>
                    <w14:schemeClr w14:val="tx1"/>
                  </w14:solidFill>
                </w14:textFill>
              </w:rPr>
              <w:t>泄漏</w:t>
            </w:r>
            <w:r>
              <w:rPr>
                <w:rFonts w:hint="eastAsia" w:ascii="Times New Roman" w:hAnsi="Times New Roman" w:eastAsia="宋体" w:cs="Times New Roman"/>
                <w:color w:val="000000" w:themeColor="text1"/>
                <w:kern w:val="0"/>
                <w:szCs w:val="21"/>
                <w:highlight w:val="none"/>
                <w14:textFill>
                  <w14:solidFill>
                    <w14:schemeClr w14:val="tx1"/>
                  </w14:solidFill>
                </w14:textFill>
              </w:rPr>
              <w:t>，及时采取控制措施、减少</w:t>
            </w:r>
            <w:r>
              <w:rPr>
                <w:rFonts w:hint="eastAsia" w:cs="Times New Roman"/>
                <w:color w:val="000000" w:themeColor="text1"/>
                <w:kern w:val="0"/>
                <w:szCs w:val="21"/>
                <w:highlight w:val="none"/>
                <w:lang w:val="en-US" w:eastAsia="zh-CN"/>
                <w14:textFill>
                  <w14:solidFill>
                    <w14:schemeClr w14:val="tx1"/>
                  </w14:solidFill>
                </w14:textFill>
              </w:rPr>
              <w:t>危险废物</w:t>
            </w:r>
            <w:r>
              <w:rPr>
                <w:rFonts w:hint="eastAsia" w:ascii="Times New Roman" w:hAnsi="Times New Roman" w:eastAsia="宋体" w:cs="Times New Roman"/>
                <w:color w:val="000000" w:themeColor="text1"/>
                <w:kern w:val="0"/>
                <w:szCs w:val="21"/>
                <w:highlight w:val="none"/>
                <w14:textFill>
                  <w14:solidFill>
                    <w14:schemeClr w14:val="tx1"/>
                  </w14:solidFill>
                </w14:textFill>
              </w:rPr>
              <w:t>的泄漏量。</w:t>
            </w:r>
          </w:p>
          <w:p w14:paraId="29D1F787">
            <w:pPr>
              <w:keepNext w:val="0"/>
              <w:keepLines w:val="0"/>
              <w:pageBreakBefore w:val="0"/>
              <w:widowControl w:val="0"/>
              <w:kinsoku/>
              <w:wordWrap/>
              <w:overflowPunct/>
              <w:topLinePunct w:val="0"/>
              <w:autoSpaceDE w:val="0"/>
              <w:autoSpaceDN w:val="0"/>
              <w:bidi w:val="0"/>
              <w:adjustRightInd w:val="0"/>
              <w:snapToGrid w:val="0"/>
              <w:spacing w:line="240" w:lineRule="auto"/>
              <w:ind w:firstLine="420" w:firstLineChars="200"/>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highlight w:val="none"/>
                <w:lang w:val="en-US" w:eastAsia="zh-CN"/>
                <w14:textFill>
                  <w14:solidFill>
                    <w14:schemeClr w14:val="tx1"/>
                  </w14:solidFill>
                </w14:textFill>
              </w:rPr>
              <w:t>⑤</w:t>
            </w:r>
            <w:r>
              <w:rPr>
                <w:rFonts w:hint="eastAsia" w:ascii="宋体" w:hAnsi="宋体" w:cs="宋体"/>
                <w:color w:val="000000" w:themeColor="text1"/>
                <w:szCs w:val="21"/>
                <w:highlight w:val="none"/>
                <w14:textFill>
                  <w14:solidFill>
                    <w14:schemeClr w14:val="tx1"/>
                  </w14:solidFill>
                </w14:textFill>
              </w:rPr>
              <w:t>制定环境风险事故应急预案</w:t>
            </w:r>
            <w:r>
              <w:rPr>
                <w:rFonts w:hint="eastAsia" w:ascii="宋体" w:hAnsi="宋体" w:cs="宋体"/>
                <w:color w:val="000000" w:themeColor="text1"/>
                <w:szCs w:val="21"/>
                <w:highlight w:val="none"/>
                <w:lang w:eastAsia="zh-CN"/>
                <w14:textFill>
                  <w14:solidFill>
                    <w14:schemeClr w14:val="tx1"/>
                  </w14:solidFill>
                </w14:textFill>
              </w:rPr>
              <w:t>，储备应急物资并定期演练。</w:t>
            </w:r>
          </w:p>
        </w:tc>
      </w:tr>
      <w:tr w14:paraId="43E64F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889" w:type="dxa"/>
            <w:noWrap w:val="0"/>
            <w:vAlign w:val="center"/>
          </w:tcPr>
          <w:p w14:paraId="60CA6A3C">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pacing w:val="-8"/>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8"/>
                <w:sz w:val="21"/>
                <w:szCs w:val="21"/>
                <w:highlight w:val="none"/>
                <w14:textFill>
                  <w14:solidFill>
                    <w14:schemeClr w14:val="tx1"/>
                  </w14:solidFill>
                </w14:textFill>
              </w:rPr>
              <w:t>其他环境管理要求</w:t>
            </w:r>
          </w:p>
        </w:tc>
        <w:tc>
          <w:tcPr>
            <w:tcW w:w="889" w:type="dxa"/>
            <w:noWrap w:val="0"/>
            <w:vAlign w:val="center"/>
          </w:tcPr>
          <w:p w14:paraId="7E8E4AB0">
            <w:pPr>
              <w:keepNext w:val="0"/>
              <w:keepLines w:val="0"/>
              <w:pageBreakBefore w:val="0"/>
              <w:widowControl w:val="0"/>
              <w:kinsoku/>
              <w:wordWrap/>
              <w:overflowPunct/>
              <w:topLinePunct w:val="0"/>
              <w:autoSpaceDE/>
              <w:autoSpaceDN/>
              <w:bidi w:val="0"/>
              <w:adjustRightInd/>
              <w:snapToGrid/>
              <w:spacing w:line="240" w:lineRule="auto"/>
              <w:jc w:val="center"/>
              <w:rPr>
                <w:rFonts w:hint="eastAsia" w:cs="Times New Roman"/>
                <w:color w:val="000000" w:themeColor="text1"/>
                <w:spacing w:val="-8"/>
                <w:sz w:val="21"/>
                <w:szCs w:val="21"/>
                <w:highlight w:val="none"/>
                <w:lang w:val="en-US" w:eastAsia="zh-CN"/>
                <w14:textFill>
                  <w14:solidFill>
                    <w14:schemeClr w14:val="tx1"/>
                  </w14:solidFill>
                </w14:textFill>
              </w:rPr>
            </w:pPr>
            <w:r>
              <w:rPr>
                <w:rFonts w:hint="eastAsia" w:cs="Times New Roman"/>
                <w:color w:val="000000" w:themeColor="text1"/>
                <w:spacing w:val="-8"/>
                <w:sz w:val="21"/>
                <w:szCs w:val="21"/>
                <w:highlight w:val="none"/>
                <w:lang w:val="en-US" w:eastAsia="zh-CN"/>
                <w14:textFill>
                  <w14:solidFill>
                    <w14:schemeClr w14:val="tx1"/>
                  </w14:solidFill>
                </w14:textFill>
              </w:rPr>
              <w:t>危废</w:t>
            </w:r>
          </w:p>
          <w:p w14:paraId="5321172E">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pacing w:val="-8"/>
                <w:sz w:val="21"/>
                <w:szCs w:val="21"/>
                <w:highlight w:val="none"/>
                <w:lang w:val="en-US" w:eastAsia="zh-CN"/>
                <w14:textFill>
                  <w14:solidFill>
                    <w14:schemeClr w14:val="tx1"/>
                  </w14:solidFill>
                </w14:textFill>
              </w:rPr>
            </w:pPr>
            <w:r>
              <w:rPr>
                <w:rFonts w:hint="eastAsia" w:cs="Times New Roman"/>
                <w:color w:val="000000" w:themeColor="text1"/>
                <w:spacing w:val="-8"/>
                <w:sz w:val="21"/>
                <w:szCs w:val="21"/>
                <w:highlight w:val="none"/>
                <w:lang w:val="en-US" w:eastAsia="zh-CN"/>
                <w14:textFill>
                  <w14:solidFill>
                    <w14:schemeClr w14:val="tx1"/>
                  </w14:solidFill>
                </w14:textFill>
              </w:rPr>
              <w:t>收集</w:t>
            </w:r>
          </w:p>
        </w:tc>
        <w:tc>
          <w:tcPr>
            <w:tcW w:w="7022" w:type="dxa"/>
            <w:gridSpan w:val="4"/>
            <w:noWrap w:val="0"/>
            <w:vAlign w:val="center"/>
          </w:tcPr>
          <w:p w14:paraId="35F6980F">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①危险废物包装核查、清点全过程应在产废单位处完成，确保装车的危废包装密闭且符合规范；</w:t>
            </w:r>
          </w:p>
          <w:p w14:paraId="09E673CD">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②对于不在本报告确定的收集范围内的危废类别不得私自转移、收运。</w:t>
            </w:r>
          </w:p>
        </w:tc>
      </w:tr>
      <w:tr w14:paraId="08741D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889" w:type="dxa"/>
            <w:vMerge w:val="restart"/>
            <w:noWrap w:val="0"/>
            <w:vAlign w:val="center"/>
          </w:tcPr>
          <w:p w14:paraId="453ED4A1">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pacing w:val="-8"/>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8"/>
                <w:sz w:val="21"/>
                <w:szCs w:val="21"/>
                <w:highlight w:val="none"/>
                <w14:textFill>
                  <w14:solidFill>
                    <w14:schemeClr w14:val="tx1"/>
                  </w14:solidFill>
                </w14:textFill>
              </w:rPr>
              <w:t>其他环境管理要求</w:t>
            </w:r>
          </w:p>
        </w:tc>
        <w:tc>
          <w:tcPr>
            <w:tcW w:w="889" w:type="dxa"/>
            <w:noWrap w:val="0"/>
            <w:vAlign w:val="center"/>
          </w:tcPr>
          <w:p w14:paraId="78FC24A8">
            <w:pPr>
              <w:keepNext w:val="0"/>
              <w:keepLines w:val="0"/>
              <w:pageBreakBefore w:val="0"/>
              <w:widowControl w:val="0"/>
              <w:kinsoku/>
              <w:wordWrap/>
              <w:overflowPunct/>
              <w:topLinePunct w:val="0"/>
              <w:autoSpaceDE/>
              <w:autoSpaceDN/>
              <w:bidi w:val="0"/>
              <w:adjustRightInd/>
              <w:snapToGrid/>
              <w:spacing w:line="240" w:lineRule="auto"/>
              <w:jc w:val="center"/>
              <w:rPr>
                <w:rFonts w:hint="eastAsia" w:cs="Times New Roman"/>
                <w:color w:val="000000" w:themeColor="text1"/>
                <w:spacing w:val="-8"/>
                <w:sz w:val="21"/>
                <w:szCs w:val="21"/>
                <w:highlight w:val="none"/>
                <w:lang w:val="en-US" w:eastAsia="zh-CN"/>
                <w14:textFill>
                  <w14:solidFill>
                    <w14:schemeClr w14:val="tx1"/>
                  </w14:solidFill>
                </w14:textFill>
              </w:rPr>
            </w:pPr>
            <w:r>
              <w:rPr>
                <w:rFonts w:hint="eastAsia" w:cs="Times New Roman"/>
                <w:color w:val="000000" w:themeColor="text1"/>
                <w:spacing w:val="-8"/>
                <w:sz w:val="21"/>
                <w:szCs w:val="21"/>
                <w:highlight w:val="none"/>
                <w:lang w:val="en-US" w:eastAsia="zh-CN"/>
                <w14:textFill>
                  <w14:solidFill>
                    <w14:schemeClr w14:val="tx1"/>
                  </w14:solidFill>
                </w14:textFill>
              </w:rPr>
              <w:t>危废</w:t>
            </w:r>
          </w:p>
          <w:p w14:paraId="389393C4">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pacing w:val="-8"/>
                <w:sz w:val="21"/>
                <w:szCs w:val="21"/>
                <w:highlight w:val="none"/>
                <w:lang w:val="en-US" w:eastAsia="zh-CN"/>
                <w14:textFill>
                  <w14:solidFill>
                    <w14:schemeClr w14:val="tx1"/>
                  </w14:solidFill>
                </w14:textFill>
              </w:rPr>
            </w:pPr>
            <w:r>
              <w:rPr>
                <w:rFonts w:hint="eastAsia" w:cs="Times New Roman"/>
                <w:color w:val="000000" w:themeColor="text1"/>
                <w:spacing w:val="-8"/>
                <w:sz w:val="21"/>
                <w:szCs w:val="21"/>
                <w:highlight w:val="none"/>
                <w:lang w:val="en-US" w:eastAsia="zh-CN"/>
                <w14:textFill>
                  <w14:solidFill>
                    <w14:schemeClr w14:val="tx1"/>
                  </w14:solidFill>
                </w14:textFill>
              </w:rPr>
              <w:t>装卸</w:t>
            </w:r>
          </w:p>
        </w:tc>
        <w:tc>
          <w:tcPr>
            <w:tcW w:w="7022" w:type="dxa"/>
            <w:gridSpan w:val="4"/>
            <w:noWrap w:val="0"/>
            <w:vAlign w:val="center"/>
          </w:tcPr>
          <w:p w14:paraId="1F823164">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①采用小型危险废物专用运输车辆收集产废单位的危险废物</w:t>
            </w:r>
            <w:r>
              <w:rPr>
                <w:rFonts w:hint="eastAsia" w:cs="Times New Roman"/>
                <w:color w:val="000000" w:themeColor="text1"/>
                <w:sz w:val="21"/>
                <w:szCs w:val="21"/>
                <w:highlight w:val="none"/>
                <w:lang w:eastAsia="zh-CN"/>
                <w14:textFill>
                  <w14:solidFill>
                    <w14:schemeClr w14:val="tx1"/>
                  </w14:solidFill>
                </w14:textFill>
              </w:rPr>
              <w:t>；</w:t>
            </w:r>
          </w:p>
          <w:p w14:paraId="6A17CEB9">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②危险废物存满后应及时外运，废物暂存量不得超过本评价确定的最大存放量；</w:t>
            </w:r>
          </w:p>
          <w:p w14:paraId="500C3A95">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③不得在本危废贮存库内进行拆封、分装危废等可能造成危废包装破坏的作业；若在转运过程中不慎造成危废包装物的破损，工作人员应佩戴防护服，及时清理、封装洒漏的危险废物，并确保包装物完整、牢固；</w:t>
            </w:r>
          </w:p>
          <w:p w14:paraId="443DBBA4">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④强降雨天气不得进行外运危险废物的装车作业，装车</w:t>
            </w:r>
            <w:r>
              <w:rPr>
                <w:rFonts w:hint="eastAsia" w:cs="Times New Roman"/>
                <w:color w:val="000000" w:themeColor="text1"/>
                <w:sz w:val="21"/>
                <w:szCs w:val="21"/>
                <w:highlight w:val="none"/>
                <w:lang w:eastAsia="zh-CN"/>
                <w14:textFill>
                  <w14:solidFill>
                    <w14:schemeClr w14:val="tx1"/>
                  </w14:solidFill>
                </w14:textFill>
              </w:rPr>
              <w:t>处</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应设置挡雨棚，在装运危废时若突发强降雨，应及时开启雨棚，并尽快停止装车作业。危废贮存</w:t>
            </w:r>
            <w:r>
              <w:rPr>
                <w:rFonts w:hint="eastAsia" w:cs="Times New Roman"/>
                <w:color w:val="000000" w:themeColor="text1"/>
                <w:sz w:val="21"/>
                <w:szCs w:val="21"/>
                <w:highlight w:val="none"/>
                <w:lang w:eastAsia="zh-CN"/>
                <w14:textFill>
                  <w14:solidFill>
                    <w14:schemeClr w14:val="tx1"/>
                  </w14:solidFill>
                </w14:textFill>
              </w:rPr>
              <w:t>。</w:t>
            </w:r>
          </w:p>
        </w:tc>
      </w:tr>
      <w:tr w14:paraId="52225F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889" w:type="dxa"/>
            <w:vMerge w:val="continue"/>
            <w:noWrap w:val="0"/>
            <w:vAlign w:val="center"/>
          </w:tcPr>
          <w:p w14:paraId="495C41B3">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pacing w:val="-8"/>
                <w:sz w:val="21"/>
                <w:szCs w:val="21"/>
                <w:highlight w:val="none"/>
                <w14:textFill>
                  <w14:solidFill>
                    <w14:schemeClr w14:val="tx1"/>
                  </w14:solidFill>
                </w14:textFill>
              </w:rPr>
            </w:pPr>
          </w:p>
        </w:tc>
        <w:tc>
          <w:tcPr>
            <w:tcW w:w="889" w:type="dxa"/>
            <w:noWrap w:val="0"/>
            <w:vAlign w:val="center"/>
          </w:tcPr>
          <w:p w14:paraId="19C698BB">
            <w:pPr>
              <w:keepNext w:val="0"/>
              <w:keepLines w:val="0"/>
              <w:pageBreakBefore w:val="0"/>
              <w:widowControl w:val="0"/>
              <w:kinsoku/>
              <w:wordWrap/>
              <w:overflowPunct/>
              <w:topLinePunct w:val="0"/>
              <w:autoSpaceDE/>
              <w:autoSpaceDN/>
              <w:bidi w:val="0"/>
              <w:adjustRightInd/>
              <w:snapToGrid/>
              <w:spacing w:line="240" w:lineRule="auto"/>
              <w:jc w:val="center"/>
              <w:rPr>
                <w:rFonts w:hint="eastAsia" w:cs="Times New Roman"/>
                <w:color w:val="000000" w:themeColor="text1"/>
                <w:spacing w:val="-8"/>
                <w:sz w:val="21"/>
                <w:szCs w:val="21"/>
                <w:highlight w:val="none"/>
                <w:lang w:val="en-US" w:eastAsia="zh-CN"/>
                <w14:textFill>
                  <w14:solidFill>
                    <w14:schemeClr w14:val="tx1"/>
                  </w14:solidFill>
                </w14:textFill>
              </w:rPr>
            </w:pPr>
            <w:r>
              <w:rPr>
                <w:rFonts w:hint="eastAsia" w:cs="Times New Roman"/>
                <w:color w:val="000000" w:themeColor="text1"/>
                <w:spacing w:val="-8"/>
                <w:sz w:val="21"/>
                <w:szCs w:val="21"/>
                <w:highlight w:val="none"/>
                <w:lang w:val="en-US" w:eastAsia="zh-CN"/>
                <w14:textFill>
                  <w14:solidFill>
                    <w14:schemeClr w14:val="tx1"/>
                  </w14:solidFill>
                </w14:textFill>
              </w:rPr>
              <w:t>危废</w:t>
            </w:r>
          </w:p>
          <w:p w14:paraId="6611B57B">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pacing w:val="-8"/>
                <w:sz w:val="21"/>
                <w:szCs w:val="21"/>
                <w:highlight w:val="none"/>
                <w:lang w:val="en-US" w:eastAsia="zh-CN"/>
                <w14:textFill>
                  <w14:solidFill>
                    <w14:schemeClr w14:val="tx1"/>
                  </w14:solidFill>
                </w14:textFill>
              </w:rPr>
            </w:pPr>
            <w:r>
              <w:rPr>
                <w:rFonts w:hint="eastAsia" w:cs="Times New Roman"/>
                <w:color w:val="000000" w:themeColor="text1"/>
                <w:spacing w:val="-8"/>
                <w:sz w:val="21"/>
                <w:szCs w:val="21"/>
                <w:highlight w:val="none"/>
                <w:lang w:val="en-US" w:eastAsia="zh-CN"/>
                <w14:textFill>
                  <w14:solidFill>
                    <w14:schemeClr w14:val="tx1"/>
                  </w14:solidFill>
                </w14:textFill>
              </w:rPr>
              <w:t>贮存</w:t>
            </w:r>
          </w:p>
        </w:tc>
        <w:tc>
          <w:tcPr>
            <w:tcW w:w="7022" w:type="dxa"/>
            <w:gridSpan w:val="4"/>
            <w:noWrap w:val="0"/>
            <w:vAlign w:val="center"/>
          </w:tcPr>
          <w:p w14:paraId="5A7E97DE">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①项目危废分区贮存，固体危废、液体危废分区存放</w:t>
            </w:r>
            <w:r>
              <w:rPr>
                <w:rFonts w:hint="eastAsia" w:cs="Times New Roman"/>
                <w:color w:val="000000" w:themeColor="text1"/>
                <w:sz w:val="21"/>
                <w:szCs w:val="21"/>
                <w:highlight w:val="none"/>
                <w:lang w:eastAsia="zh-CN"/>
                <w14:textFill>
                  <w14:solidFill>
                    <w14:schemeClr w14:val="tx1"/>
                  </w14:solidFill>
                </w14:textFill>
              </w:rPr>
              <w:t>；</w:t>
            </w:r>
          </w:p>
          <w:p w14:paraId="2880C9EB">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②任一废液暂存区存放满后应及时外运，不得堆叠存放；</w:t>
            </w:r>
          </w:p>
          <w:p w14:paraId="71B1A08A">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③正常状态下应确保危废贮存库的密闭，无车辆进出，应保持贮存库大门处于常闭状态，并确保抽排气风机和废气处理设施运行状态。</w:t>
            </w:r>
          </w:p>
          <w:p w14:paraId="6993643F">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④做好</w:t>
            </w:r>
            <w:r>
              <w:rPr>
                <w:rFonts w:hint="eastAsia" w:cs="Times New Roman"/>
                <w:color w:val="000000" w:themeColor="text1"/>
                <w:kern w:val="2"/>
                <w:sz w:val="21"/>
                <w:szCs w:val="21"/>
                <w:highlight w:val="none"/>
                <w:lang w:val="en-US" w:eastAsia="zh-CN" w:bidi="ar-SA"/>
                <w14:textFill>
                  <w14:solidFill>
                    <w14:schemeClr w14:val="tx1"/>
                  </w14:solidFill>
                </w14:textFill>
              </w:rPr>
              <w:t>贮存库</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的定期巡查记录和危险废物的转移记录，安装视频监控系统和火灾报警、有毒气体探测系统</w:t>
            </w:r>
            <w:r>
              <w:rPr>
                <w:rFonts w:hint="eastAsia" w:cs="Times New Roman"/>
                <w:color w:val="000000" w:themeColor="text1"/>
                <w:sz w:val="21"/>
                <w:szCs w:val="21"/>
                <w:highlight w:val="none"/>
                <w:lang w:eastAsia="zh-CN"/>
                <w14:textFill>
                  <w14:solidFill>
                    <w14:schemeClr w14:val="tx1"/>
                  </w14:solidFill>
                </w14:textFill>
              </w:rPr>
              <w:t>；</w:t>
            </w:r>
          </w:p>
          <w:p w14:paraId="0B1624E6">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⑤及时补充消防设施，并确保处于有效期内，企业应每年设置专门的应急资金和环保资金，用于维护环保设施和应急物资的更新补充</w:t>
            </w:r>
            <w:r>
              <w:rPr>
                <w:rFonts w:hint="eastAsia" w:cs="Times New Roman"/>
                <w:color w:val="000000" w:themeColor="text1"/>
                <w:sz w:val="21"/>
                <w:szCs w:val="21"/>
                <w:highlight w:val="none"/>
                <w:lang w:eastAsia="zh-CN"/>
                <w14:textFill>
                  <w14:solidFill>
                    <w14:schemeClr w14:val="tx1"/>
                  </w14:solidFill>
                </w14:textFill>
              </w:rPr>
              <w:t>。</w:t>
            </w:r>
          </w:p>
        </w:tc>
      </w:tr>
      <w:tr w14:paraId="7688C8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889" w:type="dxa"/>
            <w:vMerge w:val="continue"/>
            <w:noWrap w:val="0"/>
            <w:vAlign w:val="center"/>
          </w:tcPr>
          <w:p w14:paraId="41B459DD">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pacing w:val="-8"/>
                <w:sz w:val="21"/>
                <w:szCs w:val="21"/>
                <w:highlight w:val="none"/>
                <w14:textFill>
                  <w14:solidFill>
                    <w14:schemeClr w14:val="tx1"/>
                  </w14:solidFill>
                </w14:textFill>
              </w:rPr>
            </w:pPr>
          </w:p>
        </w:tc>
        <w:tc>
          <w:tcPr>
            <w:tcW w:w="889" w:type="dxa"/>
            <w:noWrap w:val="0"/>
            <w:vAlign w:val="center"/>
          </w:tcPr>
          <w:p w14:paraId="5C998CAA">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pacing w:val="-8"/>
                <w:sz w:val="21"/>
                <w:szCs w:val="21"/>
                <w:highlight w:val="none"/>
                <w:lang w:val="en-US" w:eastAsia="zh-CN"/>
                <w14:textFill>
                  <w14:solidFill>
                    <w14:schemeClr w14:val="tx1"/>
                  </w14:solidFill>
                </w14:textFill>
              </w:rPr>
            </w:pPr>
            <w:r>
              <w:rPr>
                <w:rFonts w:hint="eastAsia" w:cs="Times New Roman"/>
                <w:color w:val="000000" w:themeColor="text1"/>
                <w:spacing w:val="-8"/>
                <w:sz w:val="21"/>
                <w:szCs w:val="21"/>
                <w:highlight w:val="none"/>
                <w:lang w:val="en-US" w:eastAsia="zh-CN"/>
                <w14:textFill>
                  <w14:solidFill>
                    <w14:schemeClr w14:val="tx1"/>
                  </w14:solidFill>
                </w14:textFill>
              </w:rPr>
              <w:t>危废转移处置</w:t>
            </w:r>
          </w:p>
        </w:tc>
        <w:tc>
          <w:tcPr>
            <w:tcW w:w="7022" w:type="dxa"/>
            <w:gridSpan w:val="4"/>
            <w:noWrap w:val="0"/>
            <w:vAlign w:val="center"/>
          </w:tcPr>
          <w:p w14:paraId="183116E7">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本项目使用专业危险废物拉运车辆进行转运，</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转移运输过程应尽量避开环境敏感区域，按照规定的路线运输</w:t>
            </w:r>
          </w:p>
        </w:tc>
      </w:tr>
      <w:tr w14:paraId="6DBEFB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889" w:type="dxa"/>
            <w:vMerge w:val="continue"/>
            <w:noWrap w:val="0"/>
            <w:vAlign w:val="center"/>
          </w:tcPr>
          <w:p w14:paraId="04C7E340">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pacing w:val="-8"/>
                <w:sz w:val="21"/>
                <w:szCs w:val="21"/>
                <w:highlight w:val="none"/>
                <w14:textFill>
                  <w14:solidFill>
                    <w14:schemeClr w14:val="tx1"/>
                  </w14:solidFill>
                </w14:textFill>
              </w:rPr>
            </w:pPr>
          </w:p>
        </w:tc>
        <w:tc>
          <w:tcPr>
            <w:tcW w:w="889" w:type="dxa"/>
            <w:noWrap w:val="0"/>
            <w:vAlign w:val="center"/>
          </w:tcPr>
          <w:p w14:paraId="7364CC0A">
            <w:pPr>
              <w:keepNext w:val="0"/>
              <w:keepLines w:val="0"/>
              <w:pageBreakBefore w:val="0"/>
              <w:widowControl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themeColor="text1"/>
                <w:spacing w:val="-8"/>
                <w:sz w:val="21"/>
                <w:szCs w:val="21"/>
                <w:highlight w:val="none"/>
                <w:lang w:val="en-US" w:eastAsia="zh-CN"/>
                <w14:textFill>
                  <w14:solidFill>
                    <w14:schemeClr w14:val="tx1"/>
                  </w14:solidFill>
                </w14:textFill>
              </w:rPr>
            </w:pPr>
            <w:r>
              <w:rPr>
                <w:rFonts w:hint="eastAsia" w:cs="Times New Roman"/>
                <w:color w:val="000000" w:themeColor="text1"/>
                <w:spacing w:val="-8"/>
                <w:sz w:val="21"/>
                <w:szCs w:val="21"/>
                <w:highlight w:val="none"/>
                <w:lang w:val="en-US" w:eastAsia="zh-CN"/>
                <w14:textFill>
                  <w14:solidFill>
                    <w14:schemeClr w14:val="tx1"/>
                  </w14:solidFill>
                </w14:textFill>
              </w:rPr>
              <w:t>其他</w:t>
            </w:r>
          </w:p>
        </w:tc>
        <w:tc>
          <w:tcPr>
            <w:tcW w:w="7022" w:type="dxa"/>
            <w:gridSpan w:val="4"/>
            <w:noWrap w:val="0"/>
            <w:vAlign w:val="center"/>
          </w:tcPr>
          <w:p w14:paraId="4C3EF7C5">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①要求建设单位按照《关于开展排放口规范化工作的通知》</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环发</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1999</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24号</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和《排污口规范化整治技术要求</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试行</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环监</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1996</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470号</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等文件要求，进行排污口规范化设置工作。</w:t>
            </w:r>
          </w:p>
          <w:p w14:paraId="6551F617">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②项目竣工后，建设单位应当依照国家有关法律法规、建设项目竣工环境保护验收技术规范、建设项目环境影响报告表和审批决定等要求，如实查验、监测、记载建设项目环境保护设施的建设和调试情况，同时还应如实记载其他环境保护对策措施“三同时”落实情况，编制竣工环境保护验收报告。</w:t>
            </w:r>
          </w:p>
          <w:p w14:paraId="302B1957">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③根据《排污单位自行监测技术指南 总则》</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HJ819-2017</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、《排污许可证申请与核发技术规范 工业固体废物和危险废物治理》</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HJ1033—2019</w:t>
            </w:r>
            <w:r>
              <w:rPr>
                <w:rFonts w:hint="eastAsia"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等相关规范要求，及时完成排污许可申领工作。</w:t>
            </w:r>
          </w:p>
          <w:p w14:paraId="52D040BD">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④按要求开展自行监测。</w:t>
            </w:r>
          </w:p>
        </w:tc>
      </w:tr>
    </w:tbl>
    <w:p w14:paraId="3131C08F">
      <w:pPr>
        <w:bidi w:val="0"/>
        <w:rPr>
          <w:color w:val="000000" w:themeColor="text1"/>
          <w:highlight w:val="none"/>
          <w14:textFill>
            <w14:solidFill>
              <w14:schemeClr w14:val="tx1"/>
            </w14:solidFill>
          </w14:textFill>
        </w:rPr>
      </w:pPr>
    </w:p>
    <w:p w14:paraId="6B040766">
      <w:pPr>
        <w:pStyle w:val="24"/>
        <w:jc w:val="center"/>
        <w:outlineLvl w:val="9"/>
        <w:rPr>
          <w:rFonts w:hint="eastAsia" w:ascii="黑体" w:hAnsi="黑体" w:eastAsia="黑体"/>
          <w:snapToGrid w:val="0"/>
          <w:color w:val="000000" w:themeColor="text1"/>
          <w:sz w:val="30"/>
          <w:szCs w:val="30"/>
          <w:highlight w:val="none"/>
          <w14:textFill>
            <w14:solidFill>
              <w14:schemeClr w14:val="tx1"/>
            </w14:solidFill>
          </w14:textFill>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3A2D7C3C">
      <w:pPr>
        <w:pStyle w:val="24"/>
        <w:jc w:val="center"/>
        <w:outlineLvl w:val="0"/>
        <w:rPr>
          <w:rFonts w:ascii="黑体" w:hAnsi="黑体" w:eastAsia="黑体"/>
          <w:snapToGrid w:val="0"/>
          <w:color w:val="000000" w:themeColor="text1"/>
          <w:sz w:val="30"/>
          <w:szCs w:val="30"/>
          <w:highlight w:val="none"/>
          <w14:textFill>
            <w14:solidFill>
              <w14:schemeClr w14:val="tx1"/>
            </w14:solidFill>
          </w14:textFill>
        </w:rPr>
      </w:pPr>
      <w:bookmarkStart w:id="57" w:name="_Toc29693"/>
      <w:bookmarkStart w:id="58" w:name="_Toc26202"/>
      <w:bookmarkStart w:id="59" w:name="_Toc23981"/>
      <w:bookmarkStart w:id="60" w:name="_Toc23329"/>
      <w:bookmarkStart w:id="61" w:name="_Toc28749"/>
      <w:r>
        <w:rPr>
          <w:rFonts w:hint="eastAsia" w:ascii="黑体" w:hAnsi="黑体" w:eastAsia="黑体"/>
          <w:snapToGrid w:val="0"/>
          <w:color w:val="000000" w:themeColor="text1"/>
          <w:sz w:val="30"/>
          <w:szCs w:val="30"/>
          <w:highlight w:val="none"/>
          <w14:textFill>
            <w14:solidFill>
              <w14:schemeClr w14:val="tx1"/>
            </w14:solidFill>
          </w14:textFill>
        </w:rPr>
        <w:t>六、结论</w:t>
      </w:r>
      <w:bookmarkEnd w:id="57"/>
      <w:bookmarkEnd w:id="58"/>
      <w:bookmarkEnd w:id="59"/>
      <w:bookmarkEnd w:id="60"/>
      <w:bookmarkEnd w:id="61"/>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4E7274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noWrap w:val="0"/>
            <w:vAlign w:val="top"/>
          </w:tcPr>
          <w:p w14:paraId="61EC2C46">
            <w:pPr>
              <w:pStyle w:val="55"/>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default" w:ascii="宋体" w:eastAsia="宋体" w:cs="宋体"/>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本项目建设符合相关</w:t>
            </w:r>
            <w:r>
              <w:rPr>
                <w:rFonts w:hint="eastAsia" w:ascii="Times New Roman" w:hAnsi="Times New Roman" w:cs="Times New Roman"/>
                <w:snapToGrid w:val="0"/>
                <w:color w:val="000000" w:themeColor="text1"/>
                <w:kern w:val="0"/>
                <w:sz w:val="24"/>
                <w:szCs w:val="24"/>
                <w:highlight w:val="none"/>
                <w:lang w:val="en-US" w:eastAsia="zh-CN"/>
                <w14:textFill>
                  <w14:solidFill>
                    <w14:schemeClr w14:val="tx1"/>
                  </w14:solidFill>
                </w14:textFill>
              </w:rPr>
              <w:t>规范</w:t>
            </w:r>
            <w:r>
              <w:rPr>
                <w:rFonts w:hint="default" w:ascii="Times New Roman" w:hAnsi="Times New Roman" w:cs="Times New Roman"/>
                <w:snapToGrid w:val="0"/>
                <w:color w:val="000000" w:themeColor="text1"/>
                <w:kern w:val="0"/>
                <w:sz w:val="24"/>
                <w:szCs w:val="24"/>
                <w:highlight w:val="none"/>
                <w14:textFill>
                  <w14:solidFill>
                    <w14:schemeClr w14:val="tx1"/>
                  </w14:solidFill>
                </w14:textFill>
              </w:rPr>
              <w:t>要求，符合三线一单要求。</w:t>
            </w:r>
            <w:r>
              <w:rPr>
                <w:rFonts w:hint="default" w:ascii="Times New Roman" w:hAnsi="Times New Roman" w:cs="Times New Roman"/>
                <w:color w:val="000000" w:themeColor="text1"/>
                <w:spacing w:val="-2"/>
                <w:sz w:val="24"/>
                <w:szCs w:val="24"/>
                <w:highlight w:val="none"/>
                <w14:textFill>
                  <w14:solidFill>
                    <w14:schemeClr w14:val="tx1"/>
                  </w14:solidFill>
                </w14:textFill>
              </w:rPr>
              <w:t>本项目各污染源均采取了相应的污染防治措施，</w:t>
            </w:r>
            <w:r>
              <w:rPr>
                <w:rFonts w:hint="default" w:ascii="Times New Roman" w:hAnsi="Times New Roman" w:cs="Times New Roman"/>
                <w:color w:val="000000" w:themeColor="text1"/>
                <w:sz w:val="24"/>
                <w:szCs w:val="24"/>
                <w:highlight w:val="none"/>
                <w14:textFill>
                  <w14:solidFill>
                    <w14:schemeClr w14:val="tx1"/>
                  </w14:solidFill>
                </w14:textFill>
              </w:rPr>
              <w:t>所排污染物均能做到达标排放，</w:t>
            </w:r>
            <w:r>
              <w:rPr>
                <w:rFonts w:hint="default" w:ascii="Times New Roman" w:hAnsi="Times New Roman" w:cs="Times New Roman"/>
                <w:color w:val="000000" w:themeColor="text1"/>
                <w:spacing w:val="-2"/>
                <w:sz w:val="24"/>
                <w:szCs w:val="24"/>
                <w:highlight w:val="none"/>
                <w14:textFill>
                  <w14:solidFill>
                    <w14:schemeClr w14:val="tx1"/>
                  </w14:solidFill>
                </w14:textFill>
              </w:rPr>
              <w:t>经分析，本项目</w:t>
            </w:r>
            <w:r>
              <w:rPr>
                <w:rFonts w:hint="default" w:ascii="Times New Roman" w:hAnsi="Times New Roman" w:cs="Times New Roman"/>
                <w:color w:val="000000" w:themeColor="text1"/>
                <w:sz w:val="24"/>
                <w:szCs w:val="24"/>
                <w:highlight w:val="none"/>
                <w14:textFill>
                  <w14:solidFill>
                    <w14:schemeClr w14:val="tx1"/>
                  </w14:solidFill>
                </w14:textFill>
              </w:rPr>
              <w:t>对周围环境影响较小，在确保全面严格落实本报告表所提各项污染防治措施并保证其正常运行的前提下，从环境保护角度分析，本项目在拟建厂址建设是可行的。</w:t>
            </w:r>
          </w:p>
        </w:tc>
      </w:tr>
    </w:tbl>
    <w:p w14:paraId="7F40C901">
      <w:pPr>
        <w:rPr>
          <w:rFonts w:ascii="宋体"/>
          <w:color w:val="000000" w:themeColor="text1"/>
          <w:highlight w:val="none"/>
          <w14:textFill>
            <w14:solidFill>
              <w14:schemeClr w14:val="tx1"/>
            </w14:solidFill>
          </w14:textFill>
        </w:rPr>
        <w:sectPr>
          <w:footerReference r:id="rId7" w:type="default"/>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467C6D12">
      <w:pPr>
        <w:pStyle w:val="24"/>
        <w:adjustRightInd w:val="0"/>
        <w:snapToGrid w:val="0"/>
        <w:spacing w:before="0" w:beforeAutospacing="0" w:after="0" w:afterAutospacing="0" w:line="648" w:lineRule="auto"/>
        <w:outlineLvl w:val="0"/>
        <w:rPr>
          <w:rFonts w:ascii="黑体" w:hAnsi="黑体" w:eastAsia="黑体"/>
          <w:snapToGrid w:val="0"/>
          <w:color w:val="000000" w:themeColor="text1"/>
          <w:sz w:val="32"/>
          <w:szCs w:val="32"/>
          <w:highlight w:val="none"/>
          <w14:textFill>
            <w14:solidFill>
              <w14:schemeClr w14:val="tx1"/>
            </w14:solidFill>
          </w14:textFill>
        </w:rPr>
      </w:pPr>
      <w:bookmarkStart w:id="62" w:name="_Toc11194"/>
      <w:bookmarkStart w:id="63" w:name="_Toc24351"/>
      <w:bookmarkStart w:id="64" w:name="_Toc22890"/>
      <w:bookmarkStart w:id="65" w:name="_Toc15322"/>
      <w:bookmarkStart w:id="66" w:name="_Toc12626"/>
      <w:bookmarkStart w:id="67" w:name="_Toc3792"/>
      <w:bookmarkStart w:id="68" w:name="_Toc17615"/>
      <w:bookmarkStart w:id="69" w:name="_Toc10043"/>
      <w:bookmarkStart w:id="70" w:name="_Toc23655"/>
      <w:bookmarkStart w:id="71" w:name="_Toc1900"/>
      <w:bookmarkStart w:id="72" w:name="_Toc1615"/>
      <w:bookmarkStart w:id="73" w:name="_Toc6756"/>
      <w:bookmarkStart w:id="74" w:name="_Toc11176"/>
      <w:bookmarkStart w:id="75" w:name="_Toc17251"/>
      <w:r>
        <w:rPr>
          <w:rFonts w:hint="eastAsia" w:ascii="黑体" w:hAnsi="黑体" w:eastAsia="黑体"/>
          <w:snapToGrid w:val="0"/>
          <w:color w:val="000000" w:themeColor="text1"/>
          <w:sz w:val="32"/>
          <w:szCs w:val="32"/>
          <w:highlight w:val="none"/>
          <w14:textFill>
            <w14:solidFill>
              <w14:schemeClr w14:val="tx1"/>
            </w14:solidFill>
          </w14:textFill>
        </w:rPr>
        <w:t>附表</w:t>
      </w:r>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3C68AAFE">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jc w:val="center"/>
        <w:textAlignment w:val="auto"/>
        <w:outlineLvl w:val="0"/>
        <w:rPr>
          <w:rFonts w:hint="eastAsia" w:ascii="方正小标宋_GBK" w:hAnsi="黑体" w:eastAsia="方正小标宋_GBK"/>
          <w:snapToGrid w:val="0"/>
          <w:color w:val="000000" w:themeColor="text1"/>
          <w:sz w:val="38"/>
          <w:szCs w:val="38"/>
          <w:highlight w:val="none"/>
          <w14:textFill>
            <w14:solidFill>
              <w14:schemeClr w14:val="tx1"/>
            </w14:solidFill>
          </w14:textFill>
        </w:rPr>
      </w:pPr>
      <w:bookmarkStart w:id="76" w:name="_Toc30519"/>
      <w:bookmarkStart w:id="77" w:name="_Toc7216"/>
      <w:bookmarkStart w:id="78" w:name="_Toc17277"/>
      <w:bookmarkStart w:id="79" w:name="_Toc22151"/>
      <w:bookmarkStart w:id="80" w:name="_Toc26419"/>
      <w:r>
        <w:rPr>
          <w:rFonts w:hint="eastAsia" w:ascii="方正小标宋_GBK" w:hAnsi="黑体" w:eastAsia="方正小标宋_GBK"/>
          <w:snapToGrid w:val="0"/>
          <w:color w:val="000000" w:themeColor="text1"/>
          <w:sz w:val="38"/>
          <w:szCs w:val="38"/>
          <w:highlight w:val="none"/>
          <w14:textFill>
            <w14:solidFill>
              <w14:schemeClr w14:val="tx1"/>
            </w14:solidFill>
          </w14:textFill>
        </w:rPr>
        <w:t>建设项目污染物排放量汇总表</w:t>
      </w:r>
      <w:bookmarkEnd w:id="76"/>
      <w:bookmarkEnd w:id="77"/>
      <w:bookmarkEnd w:id="78"/>
      <w:bookmarkEnd w:id="79"/>
      <w:bookmarkEnd w:id="80"/>
    </w:p>
    <w:tbl>
      <w:tblPr>
        <w:tblStyle w:val="2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417"/>
        <w:gridCol w:w="1701"/>
        <w:gridCol w:w="1276"/>
        <w:gridCol w:w="1701"/>
        <w:gridCol w:w="1559"/>
        <w:gridCol w:w="1761"/>
        <w:gridCol w:w="1669"/>
        <w:gridCol w:w="1116"/>
      </w:tblGrid>
      <w:tr w14:paraId="7FBE73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588" w:type="dxa"/>
            <w:tcBorders>
              <w:tl2br w:val="single" w:color="auto" w:sz="4" w:space="0"/>
            </w:tcBorders>
            <w:noWrap w:val="0"/>
            <w:tcMar>
              <w:left w:w="28" w:type="dxa"/>
              <w:right w:w="28" w:type="dxa"/>
            </w:tcMar>
            <w:vAlign w:val="center"/>
          </w:tcPr>
          <w:p w14:paraId="5722C1D8">
            <w:pPr>
              <w:pStyle w:val="50"/>
              <w:keepNext w:val="0"/>
              <w:keepLines w:val="0"/>
              <w:pageBreakBefore w:val="0"/>
              <w:kinsoku/>
              <w:wordWrap/>
              <w:overflowPunct/>
              <w:topLinePunct w:val="0"/>
              <w:autoSpaceDE/>
              <w:autoSpaceDN/>
              <w:bidi w:val="0"/>
              <w:spacing w:beforeLines="0" w:afterLines="0" w:line="240" w:lineRule="auto"/>
              <w:ind w:firstLine="0" w:firstLineChars="0"/>
              <w:jc w:val="cente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eastAsia" w:ascii="Times New Roman" w:eastAsia="黑体" w:cs="Times New Roman"/>
                <w:snapToGrid w:val="0"/>
                <w:color w:val="000000" w:themeColor="text1"/>
                <w:spacing w:val="-6"/>
                <w:kern w:val="21"/>
                <w:szCs w:val="21"/>
                <w:highlight w:val="none"/>
                <w:lang w:val="en-US" w:eastAsia="zh-CN"/>
                <w14:textFill>
                  <w14:solidFill>
                    <w14:schemeClr w14:val="tx1"/>
                  </w14:solidFill>
                </w14:textFill>
              </w:rPr>
              <w:t xml:space="preserve">    </w: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项目</w:t>
            </w:r>
          </w:p>
          <w:p w14:paraId="763A8A0A">
            <w:pPr>
              <w:pStyle w:val="50"/>
              <w:keepNext w:val="0"/>
              <w:keepLines w:val="0"/>
              <w:pageBreakBefore w:val="0"/>
              <w:kinsoku/>
              <w:wordWrap/>
              <w:overflowPunct/>
              <w:topLinePunct w:val="0"/>
              <w:autoSpaceDE/>
              <w:autoSpaceDN/>
              <w:bidi w:val="0"/>
              <w:spacing w:beforeLines="0" w:afterLines="0" w:line="240" w:lineRule="auto"/>
              <w:ind w:firstLine="0" w:firstLineChars="0"/>
              <w:jc w:val="both"/>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分类</w:t>
            </w:r>
          </w:p>
        </w:tc>
        <w:tc>
          <w:tcPr>
            <w:tcW w:w="1417" w:type="dxa"/>
            <w:noWrap w:val="0"/>
            <w:tcMar>
              <w:left w:w="28" w:type="dxa"/>
              <w:right w:w="28" w:type="dxa"/>
            </w:tcMar>
            <w:vAlign w:val="center"/>
          </w:tcPr>
          <w:p w14:paraId="0D86BABD">
            <w:pPr>
              <w:pStyle w:val="50"/>
              <w:keepNext w:val="0"/>
              <w:keepLines w:val="0"/>
              <w:pageBreakBefore w:val="0"/>
              <w:kinsoku/>
              <w:wordWrap/>
              <w:overflowPunct/>
              <w:topLinePunct w:val="0"/>
              <w:autoSpaceDE/>
              <w:autoSpaceDN/>
              <w:bidi w:val="0"/>
              <w:spacing w:beforeLines="0" w:afterLines="0" w:line="240" w:lineRule="auto"/>
              <w:ind w:firstLine="0" w:firstLineChars="0"/>
              <w:jc w:val="cente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污染物名称</w:t>
            </w:r>
          </w:p>
        </w:tc>
        <w:tc>
          <w:tcPr>
            <w:tcW w:w="1701" w:type="dxa"/>
            <w:noWrap w:val="0"/>
            <w:tcMar>
              <w:left w:w="28" w:type="dxa"/>
              <w:right w:w="28" w:type="dxa"/>
            </w:tcMar>
            <w:vAlign w:val="center"/>
          </w:tcPr>
          <w:p w14:paraId="12EA753F">
            <w:pPr>
              <w:pStyle w:val="50"/>
              <w:keepNext w:val="0"/>
              <w:keepLines w:val="0"/>
              <w:pageBreakBefore w:val="0"/>
              <w:kinsoku/>
              <w:wordWrap/>
              <w:overflowPunct/>
              <w:topLinePunct w:val="0"/>
              <w:autoSpaceDE/>
              <w:autoSpaceDN/>
              <w:bidi w:val="0"/>
              <w:spacing w:beforeLines="0" w:afterLines="0" w:line="240" w:lineRule="auto"/>
              <w:ind w:firstLine="0" w:firstLineChars="0"/>
              <w:jc w:val="cente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现有工程</w:t>
            </w:r>
          </w:p>
          <w:p w14:paraId="303A560E">
            <w:pPr>
              <w:pStyle w:val="50"/>
              <w:keepNext w:val="0"/>
              <w:keepLines w:val="0"/>
              <w:pageBreakBefore w:val="0"/>
              <w:kinsoku/>
              <w:wordWrap/>
              <w:overflowPunct/>
              <w:topLinePunct w:val="0"/>
              <w:autoSpaceDE/>
              <w:autoSpaceDN/>
              <w:bidi w:val="0"/>
              <w:spacing w:beforeLines="0" w:afterLines="0" w:line="240" w:lineRule="auto"/>
              <w:ind w:firstLine="0" w:firstLineChars="0"/>
              <w:jc w:val="cente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排放量（固体废物产生量）</w: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instrText xml:space="preserve"> = 1 \* GB3 \* MERGEFORMAT </w:instrTex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eastAsia="黑体" w:cs="Times New Roman"/>
                <w:color w:val="000000" w:themeColor="text1"/>
                <w:kern w:val="2"/>
                <w:szCs w:val="21"/>
                <w:highlight w:val="none"/>
                <w14:textFill>
                  <w14:solidFill>
                    <w14:schemeClr w14:val="tx1"/>
                  </w14:solidFill>
                </w14:textFill>
              </w:rPr>
              <w:t>①</w: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end"/>
            </w:r>
          </w:p>
        </w:tc>
        <w:tc>
          <w:tcPr>
            <w:tcW w:w="1276" w:type="dxa"/>
            <w:noWrap w:val="0"/>
            <w:tcMar>
              <w:left w:w="28" w:type="dxa"/>
              <w:right w:w="28" w:type="dxa"/>
            </w:tcMar>
            <w:vAlign w:val="center"/>
          </w:tcPr>
          <w:p w14:paraId="54630C88">
            <w:pPr>
              <w:pStyle w:val="50"/>
              <w:keepNext w:val="0"/>
              <w:keepLines w:val="0"/>
              <w:pageBreakBefore w:val="0"/>
              <w:kinsoku/>
              <w:wordWrap/>
              <w:overflowPunct/>
              <w:topLinePunct w:val="0"/>
              <w:autoSpaceDE/>
              <w:autoSpaceDN/>
              <w:bidi w:val="0"/>
              <w:spacing w:beforeLines="0" w:afterLines="0" w:line="240" w:lineRule="auto"/>
              <w:ind w:firstLine="0" w:firstLineChars="0"/>
              <w:jc w:val="cente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现有工程</w:t>
            </w:r>
          </w:p>
          <w:p w14:paraId="6F56BBD3">
            <w:pPr>
              <w:pStyle w:val="50"/>
              <w:keepNext w:val="0"/>
              <w:keepLines w:val="0"/>
              <w:pageBreakBefore w:val="0"/>
              <w:kinsoku/>
              <w:wordWrap/>
              <w:overflowPunct/>
              <w:topLinePunct w:val="0"/>
              <w:autoSpaceDE/>
              <w:autoSpaceDN/>
              <w:bidi w:val="0"/>
              <w:spacing w:beforeLines="0" w:afterLines="0" w:line="240" w:lineRule="auto"/>
              <w:ind w:firstLine="0" w:firstLineChars="0"/>
              <w:jc w:val="cente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许可排放量</w:t>
            </w:r>
          </w:p>
          <w:p w14:paraId="338C60B6">
            <w:pPr>
              <w:pStyle w:val="50"/>
              <w:keepNext w:val="0"/>
              <w:keepLines w:val="0"/>
              <w:pageBreakBefore w:val="0"/>
              <w:kinsoku/>
              <w:wordWrap/>
              <w:overflowPunct/>
              <w:topLinePunct w:val="0"/>
              <w:autoSpaceDE/>
              <w:autoSpaceDN/>
              <w:bidi w:val="0"/>
              <w:spacing w:beforeLines="0" w:afterLines="0" w:line="240" w:lineRule="auto"/>
              <w:ind w:firstLine="0" w:firstLineChars="0"/>
              <w:jc w:val="cente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instrText xml:space="preserve"> = 2 \* GB3 \* MERGEFORMAT </w:instrTex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②</w: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end"/>
            </w:r>
          </w:p>
        </w:tc>
        <w:tc>
          <w:tcPr>
            <w:tcW w:w="1701" w:type="dxa"/>
            <w:noWrap w:val="0"/>
            <w:tcMar>
              <w:left w:w="28" w:type="dxa"/>
              <w:right w:w="28" w:type="dxa"/>
            </w:tcMar>
            <w:vAlign w:val="center"/>
          </w:tcPr>
          <w:p w14:paraId="72528427">
            <w:pPr>
              <w:pStyle w:val="50"/>
              <w:keepNext w:val="0"/>
              <w:keepLines w:val="0"/>
              <w:pageBreakBefore w:val="0"/>
              <w:kinsoku/>
              <w:wordWrap/>
              <w:overflowPunct/>
              <w:topLinePunct w:val="0"/>
              <w:autoSpaceDE/>
              <w:autoSpaceDN/>
              <w:bidi w:val="0"/>
              <w:spacing w:beforeLines="0" w:afterLines="0" w:line="240" w:lineRule="auto"/>
              <w:ind w:firstLine="0" w:firstLineChars="0"/>
              <w:jc w:val="cente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在建工程</w:t>
            </w:r>
          </w:p>
          <w:p w14:paraId="13739A86">
            <w:pPr>
              <w:pStyle w:val="50"/>
              <w:keepNext w:val="0"/>
              <w:keepLines w:val="0"/>
              <w:pageBreakBefore w:val="0"/>
              <w:kinsoku/>
              <w:wordWrap/>
              <w:overflowPunct/>
              <w:topLinePunct w:val="0"/>
              <w:autoSpaceDE/>
              <w:autoSpaceDN/>
              <w:bidi w:val="0"/>
              <w:spacing w:beforeLines="0" w:afterLines="0" w:line="240" w:lineRule="auto"/>
              <w:ind w:firstLine="0" w:firstLineChars="0"/>
              <w:jc w:val="cente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排放量（固体废物产生量）</w: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instrText xml:space="preserve"> = 3 \* GB3 \* MERGEFORMAT </w:instrTex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eastAsia="黑体" w:cs="Times New Roman"/>
                <w:color w:val="000000" w:themeColor="text1"/>
                <w:kern w:val="2"/>
                <w:szCs w:val="21"/>
                <w:highlight w:val="none"/>
                <w14:textFill>
                  <w14:solidFill>
                    <w14:schemeClr w14:val="tx1"/>
                  </w14:solidFill>
                </w14:textFill>
              </w:rPr>
              <w:t>③</w: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end"/>
            </w:r>
          </w:p>
        </w:tc>
        <w:tc>
          <w:tcPr>
            <w:tcW w:w="1559" w:type="dxa"/>
            <w:noWrap w:val="0"/>
            <w:tcMar>
              <w:left w:w="28" w:type="dxa"/>
              <w:right w:w="28" w:type="dxa"/>
            </w:tcMar>
            <w:vAlign w:val="center"/>
          </w:tcPr>
          <w:p w14:paraId="40525859">
            <w:pPr>
              <w:pStyle w:val="50"/>
              <w:keepNext w:val="0"/>
              <w:keepLines w:val="0"/>
              <w:pageBreakBefore w:val="0"/>
              <w:kinsoku/>
              <w:wordWrap/>
              <w:overflowPunct/>
              <w:topLinePunct w:val="0"/>
              <w:autoSpaceDE/>
              <w:autoSpaceDN/>
              <w:bidi w:val="0"/>
              <w:spacing w:beforeLines="0" w:afterLines="0" w:line="240" w:lineRule="auto"/>
              <w:ind w:firstLine="0" w:firstLineChars="0"/>
              <w:jc w:val="cente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本项目</w:t>
            </w:r>
          </w:p>
          <w:p w14:paraId="46D84BB7">
            <w:pPr>
              <w:pStyle w:val="50"/>
              <w:keepNext w:val="0"/>
              <w:keepLines w:val="0"/>
              <w:pageBreakBefore w:val="0"/>
              <w:kinsoku/>
              <w:wordWrap/>
              <w:overflowPunct/>
              <w:topLinePunct w:val="0"/>
              <w:autoSpaceDE/>
              <w:autoSpaceDN/>
              <w:bidi w:val="0"/>
              <w:spacing w:beforeLines="0" w:afterLines="0" w:line="240" w:lineRule="auto"/>
              <w:ind w:firstLine="0" w:firstLineChars="0"/>
              <w:jc w:val="cente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排放量（固体废物产生量）</w: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instrText xml:space="preserve"> = 4 \* GB3 \* MERGEFORMAT </w:instrTex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eastAsia="黑体" w:cs="Times New Roman"/>
                <w:color w:val="000000" w:themeColor="text1"/>
                <w:kern w:val="2"/>
                <w:szCs w:val="21"/>
                <w:highlight w:val="none"/>
                <w14:textFill>
                  <w14:solidFill>
                    <w14:schemeClr w14:val="tx1"/>
                  </w14:solidFill>
                </w14:textFill>
              </w:rPr>
              <w:t>④</w: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end"/>
            </w:r>
          </w:p>
        </w:tc>
        <w:tc>
          <w:tcPr>
            <w:tcW w:w="1761" w:type="dxa"/>
            <w:noWrap w:val="0"/>
            <w:tcMar>
              <w:left w:w="28" w:type="dxa"/>
              <w:right w:w="28" w:type="dxa"/>
            </w:tcMar>
            <w:vAlign w:val="center"/>
          </w:tcPr>
          <w:p w14:paraId="7F549469">
            <w:pPr>
              <w:pStyle w:val="50"/>
              <w:keepNext w:val="0"/>
              <w:keepLines w:val="0"/>
              <w:pageBreakBefore w:val="0"/>
              <w:kinsoku/>
              <w:wordWrap/>
              <w:overflowPunct/>
              <w:topLinePunct w:val="0"/>
              <w:autoSpaceDE/>
              <w:autoSpaceDN/>
              <w:bidi w:val="0"/>
              <w:spacing w:beforeLines="0" w:afterLines="0" w:line="240" w:lineRule="auto"/>
              <w:ind w:firstLine="0" w:firstLineChars="0"/>
              <w:jc w:val="cente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t>以新带老削减量</w:t>
            </w:r>
          </w:p>
          <w:p w14:paraId="2197C6A5">
            <w:pPr>
              <w:pStyle w:val="50"/>
              <w:keepNext w:val="0"/>
              <w:keepLines w:val="0"/>
              <w:pageBreakBefore w:val="0"/>
              <w:kinsoku/>
              <w:wordWrap/>
              <w:overflowPunct/>
              <w:topLinePunct w:val="0"/>
              <w:autoSpaceDE/>
              <w:autoSpaceDN/>
              <w:bidi w:val="0"/>
              <w:spacing w:beforeLines="0" w:afterLines="0" w:line="240" w:lineRule="auto"/>
              <w:ind w:firstLine="0" w:firstLineChars="0"/>
              <w:jc w:val="cente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t>（新建项目不填）</w:t>
            </w: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instrText xml:space="preserve"> = 5 \* GB3 \* MERGEFORMAT </w:instrText>
            </w: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fldChar w:fldCharType="separate"/>
            </w:r>
            <w:r>
              <w:rPr>
                <w:rFonts w:hint="default" w:ascii="Times New Roman" w:hAnsi="Times New Roman" w:eastAsia="黑体" w:cs="Times New Roman"/>
                <w:color w:val="000000" w:themeColor="text1"/>
                <w:kern w:val="2"/>
                <w:szCs w:val="21"/>
                <w:highlight w:val="none"/>
                <w14:textFill>
                  <w14:solidFill>
                    <w14:schemeClr w14:val="tx1"/>
                  </w14:solidFill>
                </w14:textFill>
              </w:rPr>
              <w:t>⑤</w:t>
            </w: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fldChar w:fldCharType="end"/>
            </w:r>
          </w:p>
        </w:tc>
        <w:tc>
          <w:tcPr>
            <w:tcW w:w="1669" w:type="dxa"/>
            <w:noWrap w:val="0"/>
            <w:tcMar>
              <w:left w:w="28" w:type="dxa"/>
              <w:right w:w="28" w:type="dxa"/>
            </w:tcMar>
            <w:vAlign w:val="center"/>
          </w:tcPr>
          <w:p w14:paraId="025D168C">
            <w:pPr>
              <w:pStyle w:val="50"/>
              <w:keepNext w:val="0"/>
              <w:keepLines w:val="0"/>
              <w:pageBreakBefore w:val="0"/>
              <w:kinsoku/>
              <w:wordWrap/>
              <w:overflowPunct/>
              <w:topLinePunct w:val="0"/>
              <w:autoSpaceDE/>
              <w:autoSpaceDN/>
              <w:bidi w:val="0"/>
              <w:spacing w:beforeLines="0" w:afterLines="0" w:line="240" w:lineRule="auto"/>
              <w:ind w:firstLine="0" w:firstLineChars="0"/>
              <w:jc w:val="cente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t>本项目建成后</w:t>
            </w:r>
          </w:p>
          <w:p w14:paraId="731738B6">
            <w:pPr>
              <w:pStyle w:val="50"/>
              <w:keepNext w:val="0"/>
              <w:keepLines w:val="0"/>
              <w:pageBreakBefore w:val="0"/>
              <w:kinsoku/>
              <w:wordWrap/>
              <w:overflowPunct/>
              <w:topLinePunct w:val="0"/>
              <w:autoSpaceDE/>
              <w:autoSpaceDN/>
              <w:bidi w:val="0"/>
              <w:spacing w:beforeLines="0" w:afterLines="0" w:line="240" w:lineRule="auto"/>
              <w:ind w:firstLine="0" w:firstLineChars="0"/>
              <w:jc w:val="cente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t>全厂排放量（固体废物产生量）</w:t>
            </w: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instrText xml:space="preserve"> = 6 \* GB3 \* MERGEFORMAT </w:instrText>
            </w: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fldChar w:fldCharType="separate"/>
            </w:r>
            <w:r>
              <w:rPr>
                <w:rFonts w:hint="default" w:ascii="Times New Roman" w:hAnsi="Times New Roman" w:eastAsia="黑体" w:cs="Times New Roman"/>
                <w:color w:val="000000" w:themeColor="text1"/>
                <w:kern w:val="2"/>
                <w:szCs w:val="21"/>
                <w:highlight w:val="none"/>
                <w14:textFill>
                  <w14:solidFill>
                    <w14:schemeClr w14:val="tx1"/>
                  </w14:solidFill>
                </w14:textFill>
              </w:rPr>
              <w:t>⑥</w:t>
            </w:r>
            <w:r>
              <w:rPr>
                <w:rFonts w:hint="default" w:ascii="Times New Roman" w:hAnsi="Times New Roman" w:eastAsia="黑体" w:cs="Times New Roman"/>
                <w:snapToGrid w:val="0"/>
                <w:color w:val="000000" w:themeColor="text1"/>
                <w:spacing w:val="-16"/>
                <w:kern w:val="21"/>
                <w:szCs w:val="21"/>
                <w:highlight w:val="none"/>
                <w14:textFill>
                  <w14:solidFill>
                    <w14:schemeClr w14:val="tx1"/>
                  </w14:solidFill>
                </w14:textFill>
              </w:rPr>
              <w:fldChar w:fldCharType="end"/>
            </w:r>
          </w:p>
        </w:tc>
        <w:tc>
          <w:tcPr>
            <w:tcW w:w="1116" w:type="dxa"/>
            <w:noWrap w:val="0"/>
            <w:tcMar>
              <w:left w:w="28" w:type="dxa"/>
              <w:right w:w="28" w:type="dxa"/>
            </w:tcMar>
            <w:vAlign w:val="center"/>
          </w:tcPr>
          <w:p w14:paraId="5B95DBB6">
            <w:pPr>
              <w:pStyle w:val="50"/>
              <w:keepNext w:val="0"/>
              <w:keepLines w:val="0"/>
              <w:pageBreakBefore w:val="0"/>
              <w:kinsoku/>
              <w:wordWrap/>
              <w:overflowPunct/>
              <w:topLinePunct w:val="0"/>
              <w:autoSpaceDE/>
              <w:autoSpaceDN/>
              <w:bidi w:val="0"/>
              <w:spacing w:beforeLines="0" w:afterLines="0" w:line="240" w:lineRule="auto"/>
              <w:ind w:firstLine="0" w:firstLineChars="0"/>
              <w:jc w:val="cente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t>变化量</w:t>
            </w:r>
          </w:p>
          <w:p w14:paraId="6C8F0EB0">
            <w:pPr>
              <w:pStyle w:val="50"/>
              <w:keepNext w:val="0"/>
              <w:keepLines w:val="0"/>
              <w:pageBreakBefore w:val="0"/>
              <w:kinsoku/>
              <w:wordWrap/>
              <w:overflowPunct/>
              <w:topLinePunct w:val="0"/>
              <w:autoSpaceDE/>
              <w:autoSpaceDN/>
              <w:bidi w:val="0"/>
              <w:spacing w:beforeLines="0" w:afterLines="0" w:line="240" w:lineRule="auto"/>
              <w:ind w:firstLine="0" w:firstLineChars="0"/>
              <w:jc w:val="cente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pP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begin"/>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instrText xml:space="preserve"> = 7 \* GB3 \* MERGEFORMAT </w:instrTex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separate"/>
            </w:r>
            <w:r>
              <w:rPr>
                <w:rFonts w:hint="default" w:ascii="Times New Roman" w:hAnsi="Times New Roman" w:eastAsia="黑体" w:cs="Times New Roman"/>
                <w:color w:val="000000" w:themeColor="text1"/>
                <w:kern w:val="2"/>
                <w:szCs w:val="21"/>
                <w:highlight w:val="none"/>
                <w14:textFill>
                  <w14:solidFill>
                    <w14:schemeClr w14:val="tx1"/>
                  </w14:solidFill>
                </w14:textFill>
              </w:rPr>
              <w:t>⑦</w:t>
            </w:r>
            <w:r>
              <w:rPr>
                <w:rFonts w:hint="default" w:ascii="Times New Roman" w:hAnsi="Times New Roman" w:eastAsia="黑体" w:cs="Times New Roman"/>
                <w:snapToGrid w:val="0"/>
                <w:color w:val="000000" w:themeColor="text1"/>
                <w:spacing w:val="-6"/>
                <w:kern w:val="21"/>
                <w:szCs w:val="21"/>
                <w:highlight w:val="none"/>
                <w14:textFill>
                  <w14:solidFill>
                    <w14:schemeClr w14:val="tx1"/>
                  </w14:solidFill>
                </w14:textFill>
              </w:rPr>
              <w:fldChar w:fldCharType="end"/>
            </w:r>
          </w:p>
        </w:tc>
      </w:tr>
      <w:tr w14:paraId="5ADC15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restart"/>
            <w:noWrap w:val="0"/>
            <w:vAlign w:val="center"/>
          </w:tcPr>
          <w:p w14:paraId="148F7AEE">
            <w:pPr>
              <w:pStyle w:val="50"/>
              <w:keepNext w:val="0"/>
              <w:keepLines w:val="0"/>
              <w:pageBreakBefore w:val="0"/>
              <w:kinsoku/>
              <w:wordWrap/>
              <w:overflowPunct/>
              <w:topLinePunct w:val="0"/>
              <w:autoSpaceDE/>
              <w:autoSpaceDN/>
              <w:bidi w:val="0"/>
              <w:spacing w:beforeLines="0" w:afterLines="0" w:line="240" w:lineRule="auto"/>
              <w:ind w:firstLine="0" w:firstLineChars="0"/>
              <w:jc w:val="center"/>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default" w:ascii="Times New Roman" w:hAnsi="Times New Roman" w:cs="Times New Roman"/>
                <w:snapToGrid w:val="0"/>
                <w:color w:val="000000" w:themeColor="text1"/>
                <w:kern w:val="21"/>
                <w:szCs w:val="21"/>
                <w:highlight w:val="none"/>
                <w14:textFill>
                  <w14:solidFill>
                    <w14:schemeClr w14:val="tx1"/>
                  </w14:solidFill>
                </w14:textFill>
              </w:rPr>
              <w:t>废气</w:t>
            </w:r>
          </w:p>
        </w:tc>
        <w:tc>
          <w:tcPr>
            <w:tcW w:w="1417" w:type="dxa"/>
            <w:noWrap w:val="0"/>
            <w:vAlign w:val="center"/>
          </w:tcPr>
          <w:p w14:paraId="4F0A69A0">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Cs/>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Cs w:val="21"/>
                <w:highlight w:val="none"/>
                <w:lang w:val="en-US" w:eastAsia="zh-CN"/>
                <w14:textFill>
                  <w14:solidFill>
                    <w14:schemeClr w14:val="tx1"/>
                  </w14:solidFill>
                </w14:textFill>
              </w:rPr>
              <w:t>NMHC</w:t>
            </w:r>
          </w:p>
        </w:tc>
        <w:tc>
          <w:tcPr>
            <w:tcW w:w="1701" w:type="dxa"/>
            <w:noWrap w:val="0"/>
            <w:vAlign w:val="center"/>
          </w:tcPr>
          <w:p w14:paraId="1E00B204">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276" w:type="dxa"/>
            <w:noWrap w:val="0"/>
            <w:vAlign w:val="center"/>
          </w:tcPr>
          <w:p w14:paraId="48BFE04A">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701" w:type="dxa"/>
            <w:noWrap w:val="0"/>
            <w:vAlign w:val="center"/>
          </w:tcPr>
          <w:p w14:paraId="09B3C8F1">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559" w:type="dxa"/>
            <w:noWrap w:val="0"/>
            <w:vAlign w:val="center"/>
          </w:tcPr>
          <w:p w14:paraId="6CA05CFF">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0.5145</w:t>
            </w:r>
            <w:r>
              <w:rPr>
                <w:rFonts w:hint="eastAsia" w:cs="Times New Roman"/>
                <w:color w:val="000000" w:themeColor="text1"/>
                <w:kern w:val="0"/>
                <w:sz w:val="21"/>
                <w:szCs w:val="21"/>
                <w:highlight w:val="none"/>
                <w:lang w:val="en-US" w:eastAsia="zh-CN" w:bidi="ar-SA"/>
                <w14:textFill>
                  <w14:solidFill>
                    <w14:schemeClr w14:val="tx1"/>
                  </w14:solidFill>
                </w14:textFill>
              </w:rPr>
              <w:t>t/a</w:t>
            </w:r>
          </w:p>
        </w:tc>
        <w:tc>
          <w:tcPr>
            <w:tcW w:w="1761" w:type="dxa"/>
            <w:noWrap w:val="0"/>
            <w:vAlign w:val="center"/>
          </w:tcPr>
          <w:p w14:paraId="4A837756">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669" w:type="dxa"/>
            <w:noWrap w:val="0"/>
            <w:vAlign w:val="center"/>
          </w:tcPr>
          <w:p w14:paraId="60D170E4">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0.5145</w:t>
            </w:r>
            <w:r>
              <w:rPr>
                <w:rFonts w:hint="eastAsia" w:cs="Times New Roman"/>
                <w:color w:val="000000" w:themeColor="text1"/>
                <w:kern w:val="0"/>
                <w:sz w:val="21"/>
                <w:szCs w:val="21"/>
                <w:highlight w:val="none"/>
                <w:lang w:val="en-US" w:eastAsia="zh-CN" w:bidi="ar-SA"/>
                <w14:textFill>
                  <w14:solidFill>
                    <w14:schemeClr w14:val="tx1"/>
                  </w14:solidFill>
                </w14:textFill>
              </w:rPr>
              <w:t>t/a</w:t>
            </w:r>
          </w:p>
        </w:tc>
        <w:tc>
          <w:tcPr>
            <w:tcW w:w="1116" w:type="dxa"/>
            <w:noWrap w:val="0"/>
            <w:vAlign w:val="center"/>
          </w:tcPr>
          <w:p w14:paraId="1A9EC3A3">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0.5145</w:t>
            </w:r>
            <w:r>
              <w:rPr>
                <w:rFonts w:hint="eastAsia" w:cs="Times New Roman"/>
                <w:color w:val="000000" w:themeColor="text1"/>
                <w:kern w:val="0"/>
                <w:sz w:val="21"/>
                <w:szCs w:val="21"/>
                <w:highlight w:val="none"/>
                <w:lang w:val="en-US" w:eastAsia="zh-CN" w:bidi="ar-SA"/>
                <w14:textFill>
                  <w14:solidFill>
                    <w14:schemeClr w14:val="tx1"/>
                  </w14:solidFill>
                </w14:textFill>
              </w:rPr>
              <w:t>t/a</w:t>
            </w:r>
          </w:p>
        </w:tc>
      </w:tr>
      <w:tr w14:paraId="522630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continue"/>
            <w:noWrap w:val="0"/>
            <w:vAlign w:val="center"/>
          </w:tcPr>
          <w:p w14:paraId="0D96583C">
            <w:pPr>
              <w:pStyle w:val="50"/>
              <w:keepNext w:val="0"/>
              <w:keepLines w:val="0"/>
              <w:pageBreakBefore w:val="0"/>
              <w:kinsoku/>
              <w:wordWrap/>
              <w:overflowPunct/>
              <w:topLinePunct w:val="0"/>
              <w:autoSpaceDE/>
              <w:autoSpaceDN/>
              <w:bidi w:val="0"/>
              <w:spacing w:beforeLines="0" w:afterLines="0" w:line="240" w:lineRule="auto"/>
              <w:ind w:firstLine="0" w:firstLineChars="0"/>
              <w:jc w:val="center"/>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417" w:type="dxa"/>
            <w:noWrap w:val="0"/>
            <w:vAlign w:val="center"/>
          </w:tcPr>
          <w:p w14:paraId="1E4CCF11">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Cs/>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Cs w:val="21"/>
                <w:highlight w:val="none"/>
                <w:lang w:val="en-US" w:eastAsia="zh-CN"/>
                <w14:textFill>
                  <w14:solidFill>
                    <w14:schemeClr w14:val="tx1"/>
                  </w14:solidFill>
                </w14:textFill>
              </w:rPr>
              <w:t>氨</w:t>
            </w:r>
          </w:p>
        </w:tc>
        <w:tc>
          <w:tcPr>
            <w:tcW w:w="1701" w:type="dxa"/>
            <w:noWrap w:val="0"/>
            <w:vAlign w:val="center"/>
          </w:tcPr>
          <w:p w14:paraId="640EA1A2">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276" w:type="dxa"/>
            <w:noWrap w:val="0"/>
            <w:vAlign w:val="center"/>
          </w:tcPr>
          <w:p w14:paraId="5FDACF8D">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701" w:type="dxa"/>
            <w:noWrap w:val="0"/>
            <w:vAlign w:val="center"/>
          </w:tcPr>
          <w:p w14:paraId="411E81A9">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559" w:type="dxa"/>
            <w:noWrap w:val="0"/>
            <w:vAlign w:val="center"/>
          </w:tcPr>
          <w:p w14:paraId="3AF855FE">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0.3281</w:t>
            </w:r>
            <w:r>
              <w:rPr>
                <w:rFonts w:hint="eastAsia" w:cs="Times New Roman"/>
                <w:color w:val="000000" w:themeColor="text1"/>
                <w:kern w:val="0"/>
                <w:sz w:val="21"/>
                <w:szCs w:val="21"/>
                <w:highlight w:val="none"/>
                <w:lang w:val="en-US" w:eastAsia="zh-CN" w:bidi="ar-SA"/>
                <w14:textFill>
                  <w14:solidFill>
                    <w14:schemeClr w14:val="tx1"/>
                  </w14:solidFill>
                </w14:textFill>
              </w:rPr>
              <w:t>t/a</w:t>
            </w:r>
          </w:p>
        </w:tc>
        <w:tc>
          <w:tcPr>
            <w:tcW w:w="1761" w:type="dxa"/>
            <w:noWrap w:val="0"/>
            <w:vAlign w:val="center"/>
          </w:tcPr>
          <w:p w14:paraId="7465110A">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669" w:type="dxa"/>
            <w:noWrap w:val="0"/>
            <w:vAlign w:val="center"/>
          </w:tcPr>
          <w:p w14:paraId="7A7B0FD8">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eastAsia"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0.3281</w:t>
            </w:r>
            <w:r>
              <w:rPr>
                <w:rFonts w:hint="eastAsia" w:cs="Times New Roman"/>
                <w:color w:val="000000" w:themeColor="text1"/>
                <w:kern w:val="0"/>
                <w:sz w:val="21"/>
                <w:szCs w:val="21"/>
                <w:highlight w:val="none"/>
                <w:lang w:val="en-US" w:eastAsia="zh-CN" w:bidi="ar-SA"/>
                <w14:textFill>
                  <w14:solidFill>
                    <w14:schemeClr w14:val="tx1"/>
                  </w14:solidFill>
                </w14:textFill>
              </w:rPr>
              <w:t>t/a</w:t>
            </w:r>
          </w:p>
        </w:tc>
        <w:tc>
          <w:tcPr>
            <w:tcW w:w="1116" w:type="dxa"/>
            <w:noWrap w:val="0"/>
            <w:vAlign w:val="center"/>
          </w:tcPr>
          <w:p w14:paraId="5D63C295">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eastAsia"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0.3281</w:t>
            </w:r>
            <w:r>
              <w:rPr>
                <w:rFonts w:hint="eastAsia" w:cs="Times New Roman"/>
                <w:color w:val="000000" w:themeColor="text1"/>
                <w:kern w:val="0"/>
                <w:sz w:val="21"/>
                <w:szCs w:val="21"/>
                <w:highlight w:val="none"/>
                <w:lang w:val="en-US" w:eastAsia="zh-CN" w:bidi="ar-SA"/>
                <w14:textFill>
                  <w14:solidFill>
                    <w14:schemeClr w14:val="tx1"/>
                  </w14:solidFill>
                </w14:textFill>
              </w:rPr>
              <w:t>t/a</w:t>
            </w:r>
          </w:p>
        </w:tc>
      </w:tr>
      <w:tr w14:paraId="310D84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continue"/>
            <w:noWrap w:val="0"/>
            <w:vAlign w:val="center"/>
          </w:tcPr>
          <w:p w14:paraId="34AC4A7C">
            <w:pPr>
              <w:pStyle w:val="50"/>
              <w:keepNext w:val="0"/>
              <w:keepLines w:val="0"/>
              <w:pageBreakBefore w:val="0"/>
              <w:kinsoku/>
              <w:wordWrap/>
              <w:overflowPunct/>
              <w:topLinePunct w:val="0"/>
              <w:autoSpaceDE/>
              <w:autoSpaceDN/>
              <w:bidi w:val="0"/>
              <w:spacing w:beforeLines="0" w:afterLines="0" w:line="240" w:lineRule="auto"/>
              <w:ind w:firstLine="0" w:firstLineChars="0"/>
              <w:jc w:val="center"/>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417" w:type="dxa"/>
            <w:noWrap w:val="0"/>
            <w:vAlign w:val="center"/>
          </w:tcPr>
          <w:p w14:paraId="285EAACB">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Cs/>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Cs w:val="21"/>
                <w:highlight w:val="none"/>
                <w:lang w:val="en-US" w:eastAsia="zh-CN"/>
                <w14:textFill>
                  <w14:solidFill>
                    <w14:schemeClr w14:val="tx1"/>
                  </w14:solidFill>
                </w14:textFill>
              </w:rPr>
              <w:t>硫化氢</w:t>
            </w:r>
          </w:p>
        </w:tc>
        <w:tc>
          <w:tcPr>
            <w:tcW w:w="1701" w:type="dxa"/>
            <w:noWrap w:val="0"/>
            <w:vAlign w:val="center"/>
          </w:tcPr>
          <w:p w14:paraId="7257F82A">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276" w:type="dxa"/>
            <w:noWrap w:val="0"/>
            <w:vAlign w:val="center"/>
          </w:tcPr>
          <w:p w14:paraId="708A4D18">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701" w:type="dxa"/>
            <w:noWrap w:val="0"/>
            <w:vAlign w:val="center"/>
          </w:tcPr>
          <w:p w14:paraId="2C5322A6">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559" w:type="dxa"/>
            <w:noWrap w:val="0"/>
            <w:vAlign w:val="center"/>
          </w:tcPr>
          <w:p w14:paraId="6622D9FD">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0.0050</w:t>
            </w:r>
            <w:r>
              <w:rPr>
                <w:rFonts w:hint="eastAsia" w:cs="Times New Roman"/>
                <w:color w:val="000000" w:themeColor="text1"/>
                <w:kern w:val="0"/>
                <w:sz w:val="21"/>
                <w:szCs w:val="21"/>
                <w:highlight w:val="none"/>
                <w:lang w:val="en-US" w:eastAsia="zh-CN" w:bidi="ar-SA"/>
                <w14:textFill>
                  <w14:solidFill>
                    <w14:schemeClr w14:val="tx1"/>
                  </w14:solidFill>
                </w14:textFill>
              </w:rPr>
              <w:t>t/a</w:t>
            </w:r>
          </w:p>
        </w:tc>
        <w:tc>
          <w:tcPr>
            <w:tcW w:w="1761" w:type="dxa"/>
            <w:noWrap w:val="0"/>
            <w:vAlign w:val="center"/>
          </w:tcPr>
          <w:p w14:paraId="632E0A76">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669" w:type="dxa"/>
            <w:noWrap w:val="0"/>
            <w:vAlign w:val="center"/>
          </w:tcPr>
          <w:p w14:paraId="2D24F007">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eastAsia"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0.0050</w:t>
            </w:r>
            <w:r>
              <w:rPr>
                <w:rFonts w:hint="eastAsia" w:cs="Times New Roman"/>
                <w:color w:val="000000" w:themeColor="text1"/>
                <w:kern w:val="0"/>
                <w:sz w:val="21"/>
                <w:szCs w:val="21"/>
                <w:highlight w:val="none"/>
                <w:lang w:val="en-US" w:eastAsia="zh-CN" w:bidi="ar-SA"/>
                <w14:textFill>
                  <w14:solidFill>
                    <w14:schemeClr w14:val="tx1"/>
                  </w14:solidFill>
                </w14:textFill>
              </w:rPr>
              <w:t>t/a</w:t>
            </w:r>
          </w:p>
        </w:tc>
        <w:tc>
          <w:tcPr>
            <w:tcW w:w="1116" w:type="dxa"/>
            <w:noWrap w:val="0"/>
            <w:vAlign w:val="center"/>
          </w:tcPr>
          <w:p w14:paraId="0B5C602E">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eastAsia"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0.0050</w:t>
            </w:r>
            <w:r>
              <w:rPr>
                <w:rFonts w:hint="eastAsia" w:cs="Times New Roman"/>
                <w:color w:val="000000" w:themeColor="text1"/>
                <w:kern w:val="0"/>
                <w:sz w:val="21"/>
                <w:szCs w:val="21"/>
                <w:highlight w:val="none"/>
                <w:lang w:val="en-US" w:eastAsia="zh-CN" w:bidi="ar-SA"/>
                <w14:textFill>
                  <w14:solidFill>
                    <w14:schemeClr w14:val="tx1"/>
                  </w14:solidFill>
                </w14:textFill>
              </w:rPr>
              <w:t>t/a</w:t>
            </w:r>
          </w:p>
        </w:tc>
      </w:tr>
      <w:tr w14:paraId="06CCED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continue"/>
            <w:noWrap w:val="0"/>
            <w:vAlign w:val="center"/>
          </w:tcPr>
          <w:p w14:paraId="66C76C90">
            <w:pPr>
              <w:pStyle w:val="50"/>
              <w:keepNext w:val="0"/>
              <w:keepLines w:val="0"/>
              <w:pageBreakBefore w:val="0"/>
              <w:kinsoku/>
              <w:wordWrap/>
              <w:overflowPunct/>
              <w:topLinePunct w:val="0"/>
              <w:autoSpaceDE/>
              <w:autoSpaceDN/>
              <w:bidi w:val="0"/>
              <w:spacing w:beforeLines="0" w:afterLines="0" w:line="240" w:lineRule="auto"/>
              <w:ind w:firstLine="0" w:firstLineChars="0"/>
              <w:jc w:val="center"/>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417" w:type="dxa"/>
            <w:noWrap w:val="0"/>
            <w:vAlign w:val="center"/>
          </w:tcPr>
          <w:p w14:paraId="2129006A">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Cs/>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Cs w:val="21"/>
                <w:highlight w:val="none"/>
                <w:lang w:val="en-US" w:eastAsia="zh-CN"/>
                <w14:textFill>
                  <w14:solidFill>
                    <w14:schemeClr w14:val="tx1"/>
                  </w14:solidFill>
                </w14:textFill>
              </w:rPr>
              <w:t>氯化氢</w:t>
            </w:r>
          </w:p>
        </w:tc>
        <w:tc>
          <w:tcPr>
            <w:tcW w:w="1701" w:type="dxa"/>
            <w:noWrap w:val="0"/>
            <w:vAlign w:val="center"/>
          </w:tcPr>
          <w:p w14:paraId="059B3F59">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276" w:type="dxa"/>
            <w:noWrap w:val="0"/>
            <w:vAlign w:val="center"/>
          </w:tcPr>
          <w:p w14:paraId="39BB029F">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701" w:type="dxa"/>
            <w:noWrap w:val="0"/>
            <w:vAlign w:val="center"/>
          </w:tcPr>
          <w:p w14:paraId="7F5D66FD">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559" w:type="dxa"/>
            <w:noWrap w:val="0"/>
            <w:vAlign w:val="center"/>
          </w:tcPr>
          <w:p w14:paraId="5B6B3F8D">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0.0122</w:t>
            </w:r>
            <w:r>
              <w:rPr>
                <w:rFonts w:hint="eastAsia" w:cs="Times New Roman"/>
                <w:color w:val="000000" w:themeColor="text1"/>
                <w:kern w:val="0"/>
                <w:sz w:val="21"/>
                <w:szCs w:val="21"/>
                <w:highlight w:val="none"/>
                <w:lang w:val="en-US" w:eastAsia="zh-CN" w:bidi="ar-SA"/>
                <w14:textFill>
                  <w14:solidFill>
                    <w14:schemeClr w14:val="tx1"/>
                  </w14:solidFill>
                </w14:textFill>
              </w:rPr>
              <w:t>t/a</w:t>
            </w:r>
          </w:p>
        </w:tc>
        <w:tc>
          <w:tcPr>
            <w:tcW w:w="1761" w:type="dxa"/>
            <w:noWrap w:val="0"/>
            <w:vAlign w:val="center"/>
          </w:tcPr>
          <w:p w14:paraId="376B6475">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669" w:type="dxa"/>
            <w:noWrap w:val="0"/>
            <w:vAlign w:val="center"/>
          </w:tcPr>
          <w:p w14:paraId="3ACA6008">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eastAsia"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0.0122</w:t>
            </w:r>
            <w:r>
              <w:rPr>
                <w:rFonts w:hint="eastAsia" w:cs="Times New Roman"/>
                <w:color w:val="000000" w:themeColor="text1"/>
                <w:kern w:val="0"/>
                <w:sz w:val="21"/>
                <w:szCs w:val="21"/>
                <w:highlight w:val="none"/>
                <w:lang w:val="en-US" w:eastAsia="zh-CN" w:bidi="ar-SA"/>
                <w14:textFill>
                  <w14:solidFill>
                    <w14:schemeClr w14:val="tx1"/>
                  </w14:solidFill>
                </w14:textFill>
              </w:rPr>
              <w:t>t/a</w:t>
            </w:r>
          </w:p>
        </w:tc>
        <w:tc>
          <w:tcPr>
            <w:tcW w:w="1116" w:type="dxa"/>
            <w:noWrap w:val="0"/>
            <w:vAlign w:val="center"/>
          </w:tcPr>
          <w:p w14:paraId="065F1F60">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eastAsia"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0.0122</w:t>
            </w:r>
            <w:r>
              <w:rPr>
                <w:rFonts w:hint="eastAsia" w:cs="Times New Roman"/>
                <w:color w:val="000000" w:themeColor="text1"/>
                <w:kern w:val="0"/>
                <w:sz w:val="21"/>
                <w:szCs w:val="21"/>
                <w:highlight w:val="none"/>
                <w:lang w:val="en-US" w:eastAsia="zh-CN" w:bidi="ar-SA"/>
                <w14:textFill>
                  <w14:solidFill>
                    <w14:schemeClr w14:val="tx1"/>
                  </w14:solidFill>
                </w14:textFill>
              </w:rPr>
              <w:t>t/a</w:t>
            </w:r>
          </w:p>
        </w:tc>
      </w:tr>
      <w:tr w14:paraId="5BF987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noWrap w:val="0"/>
            <w:vAlign w:val="center"/>
          </w:tcPr>
          <w:p w14:paraId="4D1DEF65">
            <w:pPr>
              <w:pStyle w:val="50"/>
              <w:keepNext w:val="0"/>
              <w:keepLines w:val="0"/>
              <w:pageBreakBefore w:val="0"/>
              <w:kinsoku/>
              <w:wordWrap/>
              <w:overflowPunct/>
              <w:topLinePunct w:val="0"/>
              <w:autoSpaceDE/>
              <w:autoSpaceDN/>
              <w:bidi w:val="0"/>
              <w:spacing w:beforeLines="0" w:afterLines="0" w:line="240" w:lineRule="auto"/>
              <w:ind w:firstLine="0" w:firstLineChars="0"/>
              <w:jc w:val="center"/>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default" w:ascii="Times New Roman" w:hAnsi="Times New Roman" w:cs="Times New Roman"/>
                <w:snapToGrid w:val="0"/>
                <w:color w:val="000000" w:themeColor="text1"/>
                <w:kern w:val="21"/>
                <w:szCs w:val="21"/>
                <w:highlight w:val="none"/>
                <w14:textFill>
                  <w14:solidFill>
                    <w14:schemeClr w14:val="tx1"/>
                  </w14:solidFill>
                </w14:textFill>
              </w:rPr>
              <w:t>废水</w:t>
            </w:r>
          </w:p>
        </w:tc>
        <w:tc>
          <w:tcPr>
            <w:tcW w:w="1417" w:type="dxa"/>
            <w:noWrap w:val="0"/>
            <w:vAlign w:val="center"/>
          </w:tcPr>
          <w:p w14:paraId="6290A807">
            <w:pPr>
              <w:pStyle w:val="50"/>
              <w:keepNext w:val="0"/>
              <w:keepLines w:val="0"/>
              <w:pageBreakBefore w:val="0"/>
              <w:kinsoku/>
              <w:wordWrap/>
              <w:overflowPunct/>
              <w:topLinePunct w:val="0"/>
              <w:autoSpaceDE/>
              <w:autoSpaceDN/>
              <w:bidi w:val="0"/>
              <w:spacing w:beforeLines="0" w:afterLines="0" w:line="240" w:lineRule="auto"/>
              <w:ind w:firstLine="0" w:firstLineChars="0"/>
              <w:jc w:val="center"/>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default" w:ascii="Times New Roman" w:hAnsi="Times New Roman" w:cs="Times New Roman"/>
                <w:snapToGrid w:val="0"/>
                <w:color w:val="000000" w:themeColor="text1"/>
                <w:kern w:val="21"/>
                <w:szCs w:val="21"/>
                <w:highlight w:val="none"/>
                <w14:textFill>
                  <w14:solidFill>
                    <w14:schemeClr w14:val="tx1"/>
                  </w14:solidFill>
                </w14:textFill>
              </w:rPr>
              <w:t>/</w:t>
            </w:r>
          </w:p>
        </w:tc>
        <w:tc>
          <w:tcPr>
            <w:tcW w:w="1701" w:type="dxa"/>
            <w:noWrap w:val="0"/>
            <w:vAlign w:val="center"/>
          </w:tcPr>
          <w:p w14:paraId="6F6FCA59">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276" w:type="dxa"/>
            <w:noWrap w:val="0"/>
            <w:vAlign w:val="center"/>
          </w:tcPr>
          <w:p w14:paraId="6B3C8F8F">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701" w:type="dxa"/>
            <w:noWrap w:val="0"/>
            <w:vAlign w:val="center"/>
          </w:tcPr>
          <w:p w14:paraId="5A4AE0DC">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559" w:type="dxa"/>
            <w:noWrap w:val="0"/>
            <w:vAlign w:val="center"/>
          </w:tcPr>
          <w:p w14:paraId="6995B88F">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761" w:type="dxa"/>
            <w:noWrap w:val="0"/>
            <w:vAlign w:val="center"/>
          </w:tcPr>
          <w:p w14:paraId="1274351A">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669" w:type="dxa"/>
            <w:noWrap w:val="0"/>
            <w:vAlign w:val="center"/>
          </w:tcPr>
          <w:p w14:paraId="0F3F4FCA">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116" w:type="dxa"/>
            <w:noWrap w:val="0"/>
            <w:vAlign w:val="center"/>
          </w:tcPr>
          <w:p w14:paraId="7F0BAA3A">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r>
      <w:tr w14:paraId="40DB70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noWrap w:val="0"/>
            <w:vAlign w:val="center"/>
          </w:tcPr>
          <w:p w14:paraId="7826EE9A">
            <w:pPr>
              <w:pStyle w:val="50"/>
              <w:keepNext w:val="0"/>
              <w:keepLines w:val="0"/>
              <w:pageBreakBefore w:val="0"/>
              <w:kinsoku/>
              <w:wordWrap/>
              <w:overflowPunct/>
              <w:topLinePunct w:val="0"/>
              <w:autoSpaceDE/>
              <w:autoSpaceDN/>
              <w:bidi w:val="0"/>
              <w:spacing w:beforeLines="0" w:afterLines="0" w:line="240" w:lineRule="auto"/>
              <w:ind w:firstLine="0" w:firstLineChars="0"/>
              <w:jc w:val="center"/>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default" w:ascii="Times New Roman" w:hAnsi="Times New Roman" w:cs="Times New Roman"/>
                <w:snapToGrid w:val="0"/>
                <w:color w:val="000000" w:themeColor="text1"/>
                <w:kern w:val="21"/>
                <w:szCs w:val="21"/>
                <w:highlight w:val="none"/>
                <w14:textFill>
                  <w14:solidFill>
                    <w14:schemeClr w14:val="tx1"/>
                  </w14:solidFill>
                </w14:textFill>
              </w:rPr>
              <w:t>一般工业</w:t>
            </w:r>
          </w:p>
          <w:p w14:paraId="011A2F4B">
            <w:pPr>
              <w:pStyle w:val="50"/>
              <w:keepNext w:val="0"/>
              <w:keepLines w:val="0"/>
              <w:pageBreakBefore w:val="0"/>
              <w:kinsoku/>
              <w:wordWrap/>
              <w:overflowPunct/>
              <w:topLinePunct w:val="0"/>
              <w:autoSpaceDE/>
              <w:autoSpaceDN/>
              <w:bidi w:val="0"/>
              <w:spacing w:beforeLines="0" w:afterLines="0" w:line="240" w:lineRule="auto"/>
              <w:ind w:firstLine="0" w:firstLineChars="0"/>
              <w:jc w:val="center"/>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default" w:ascii="Times New Roman" w:hAnsi="Times New Roman" w:cs="Times New Roman"/>
                <w:snapToGrid w:val="0"/>
                <w:color w:val="000000" w:themeColor="text1"/>
                <w:kern w:val="21"/>
                <w:szCs w:val="21"/>
                <w:highlight w:val="none"/>
                <w14:textFill>
                  <w14:solidFill>
                    <w14:schemeClr w14:val="tx1"/>
                  </w14:solidFill>
                </w14:textFill>
              </w:rPr>
              <w:t>固体废物</w:t>
            </w:r>
          </w:p>
        </w:tc>
        <w:tc>
          <w:tcPr>
            <w:tcW w:w="1417" w:type="dxa"/>
            <w:noWrap w:val="0"/>
            <w:vAlign w:val="center"/>
          </w:tcPr>
          <w:p w14:paraId="6143EB9F">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生活垃圾</w:t>
            </w:r>
          </w:p>
        </w:tc>
        <w:tc>
          <w:tcPr>
            <w:tcW w:w="1701" w:type="dxa"/>
            <w:noWrap w:val="0"/>
            <w:vAlign w:val="center"/>
          </w:tcPr>
          <w:p w14:paraId="5C738FEE">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276" w:type="dxa"/>
            <w:noWrap w:val="0"/>
            <w:vAlign w:val="center"/>
          </w:tcPr>
          <w:p w14:paraId="2B6EF86B">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701" w:type="dxa"/>
            <w:noWrap w:val="0"/>
            <w:vAlign w:val="center"/>
          </w:tcPr>
          <w:p w14:paraId="0F5EC94D">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559" w:type="dxa"/>
            <w:noWrap w:val="0"/>
            <w:vAlign w:val="center"/>
          </w:tcPr>
          <w:p w14:paraId="06B634E8">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1.02</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t/a</w:t>
            </w:r>
          </w:p>
        </w:tc>
        <w:tc>
          <w:tcPr>
            <w:tcW w:w="1761" w:type="dxa"/>
            <w:noWrap w:val="0"/>
            <w:vAlign w:val="center"/>
          </w:tcPr>
          <w:p w14:paraId="1E224FB2">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669" w:type="dxa"/>
            <w:noWrap w:val="0"/>
            <w:vAlign w:val="center"/>
          </w:tcPr>
          <w:p w14:paraId="10FB3A61">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1.02</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t/a</w:t>
            </w:r>
          </w:p>
        </w:tc>
        <w:tc>
          <w:tcPr>
            <w:tcW w:w="1116" w:type="dxa"/>
            <w:noWrap w:val="0"/>
            <w:vAlign w:val="center"/>
          </w:tcPr>
          <w:p w14:paraId="22DD6F9F">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1.02</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t/a</w:t>
            </w:r>
          </w:p>
        </w:tc>
      </w:tr>
      <w:tr w14:paraId="33E27E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restart"/>
            <w:noWrap w:val="0"/>
            <w:vAlign w:val="center"/>
          </w:tcPr>
          <w:p w14:paraId="5ECC0958">
            <w:pPr>
              <w:pStyle w:val="50"/>
              <w:keepNext w:val="0"/>
              <w:keepLines w:val="0"/>
              <w:pageBreakBefore w:val="0"/>
              <w:kinsoku/>
              <w:wordWrap/>
              <w:overflowPunct/>
              <w:topLinePunct w:val="0"/>
              <w:autoSpaceDE/>
              <w:autoSpaceDN/>
              <w:bidi w:val="0"/>
              <w:spacing w:beforeLines="0" w:afterLines="0" w:line="240" w:lineRule="auto"/>
              <w:ind w:firstLine="0" w:firstLineChars="0"/>
              <w:jc w:val="center"/>
              <w:rPr>
                <w:rFonts w:hint="default" w:ascii="Times New Roman" w:hAnsi="Times New Roman" w:cs="Times New Roman"/>
                <w:snapToGrid w:val="0"/>
                <w:color w:val="000000" w:themeColor="text1"/>
                <w:kern w:val="21"/>
                <w:szCs w:val="21"/>
                <w:highlight w:val="none"/>
                <w14:textFill>
                  <w14:solidFill>
                    <w14:schemeClr w14:val="tx1"/>
                  </w14:solidFill>
                </w14:textFill>
              </w:rPr>
            </w:pPr>
            <w:r>
              <w:rPr>
                <w:rFonts w:hint="default" w:ascii="Times New Roman" w:hAnsi="Times New Roman" w:cs="Times New Roman"/>
                <w:snapToGrid w:val="0"/>
                <w:color w:val="000000" w:themeColor="text1"/>
                <w:kern w:val="21"/>
                <w:szCs w:val="21"/>
                <w:highlight w:val="none"/>
                <w14:textFill>
                  <w14:solidFill>
                    <w14:schemeClr w14:val="tx1"/>
                  </w14:solidFill>
                </w14:textFill>
              </w:rPr>
              <w:t>危险废物</w:t>
            </w:r>
          </w:p>
        </w:tc>
        <w:tc>
          <w:tcPr>
            <w:tcW w:w="1417" w:type="dxa"/>
            <w:noWrap w:val="0"/>
            <w:vAlign w:val="center"/>
          </w:tcPr>
          <w:p w14:paraId="5CEA956A">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废活性炭</w:t>
            </w:r>
          </w:p>
        </w:tc>
        <w:tc>
          <w:tcPr>
            <w:tcW w:w="1701" w:type="dxa"/>
            <w:noWrap w:val="0"/>
            <w:vAlign w:val="center"/>
          </w:tcPr>
          <w:p w14:paraId="6290715A">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276" w:type="dxa"/>
            <w:noWrap w:val="0"/>
            <w:vAlign w:val="center"/>
          </w:tcPr>
          <w:p w14:paraId="3C648A9B">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701" w:type="dxa"/>
            <w:noWrap w:val="0"/>
            <w:vAlign w:val="center"/>
          </w:tcPr>
          <w:p w14:paraId="1AD9ECBC">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napToGrid w:val="0"/>
                <w:color w:val="000000" w:themeColor="text1"/>
                <w:kern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559" w:type="dxa"/>
            <w:noWrap w:val="0"/>
            <w:vAlign w:val="center"/>
          </w:tcPr>
          <w:p w14:paraId="05A0A0BA">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8.0</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t/a</w:t>
            </w:r>
          </w:p>
        </w:tc>
        <w:tc>
          <w:tcPr>
            <w:tcW w:w="1761" w:type="dxa"/>
            <w:noWrap w:val="0"/>
            <w:vAlign w:val="center"/>
          </w:tcPr>
          <w:p w14:paraId="15D9FCED">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669" w:type="dxa"/>
            <w:noWrap w:val="0"/>
            <w:vAlign w:val="center"/>
          </w:tcPr>
          <w:p w14:paraId="39C16434">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8.0</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t/a</w:t>
            </w:r>
          </w:p>
        </w:tc>
        <w:tc>
          <w:tcPr>
            <w:tcW w:w="1116" w:type="dxa"/>
            <w:noWrap w:val="0"/>
            <w:vAlign w:val="center"/>
          </w:tcPr>
          <w:p w14:paraId="32449AF4">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napToGrid w:val="0"/>
                <w:color w:val="000000" w:themeColor="text1"/>
                <w:kern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8.0</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t/a</w:t>
            </w:r>
          </w:p>
        </w:tc>
      </w:tr>
      <w:tr w14:paraId="493DCC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continue"/>
            <w:noWrap w:val="0"/>
            <w:vAlign w:val="center"/>
          </w:tcPr>
          <w:p w14:paraId="56E18FBC">
            <w:pPr>
              <w:pStyle w:val="50"/>
              <w:keepNext w:val="0"/>
              <w:keepLines w:val="0"/>
              <w:pageBreakBefore w:val="0"/>
              <w:kinsoku/>
              <w:wordWrap/>
              <w:overflowPunct/>
              <w:topLinePunct w:val="0"/>
              <w:autoSpaceDE/>
              <w:autoSpaceDN/>
              <w:bidi w:val="0"/>
              <w:spacing w:beforeLines="0" w:afterLines="0" w:line="240" w:lineRule="auto"/>
              <w:ind w:firstLine="0" w:firstLineChars="0"/>
              <w:jc w:val="center"/>
              <w:rPr>
                <w:rFonts w:hint="default" w:ascii="Times New Roman" w:hAnsi="Times New Roman" w:cs="Times New Roman"/>
                <w:snapToGrid w:val="0"/>
                <w:color w:val="000000" w:themeColor="text1"/>
                <w:kern w:val="21"/>
                <w:szCs w:val="21"/>
                <w:highlight w:val="none"/>
                <w14:textFill>
                  <w14:solidFill>
                    <w14:schemeClr w14:val="tx1"/>
                  </w14:solidFill>
                </w14:textFill>
              </w:rPr>
            </w:pPr>
          </w:p>
        </w:tc>
        <w:tc>
          <w:tcPr>
            <w:tcW w:w="1417" w:type="dxa"/>
            <w:noWrap w:val="0"/>
            <w:vAlign w:val="center"/>
          </w:tcPr>
          <w:p w14:paraId="6FAE814B">
            <w:pPr>
              <w:keepNext w:val="0"/>
              <w:keepLines w:val="0"/>
              <w:pageBreakBefore w:val="0"/>
              <w:kinsoku/>
              <w:wordWrap/>
              <w:overflowPunct/>
              <w:topLinePunct w:val="0"/>
              <w:autoSpaceDE/>
              <w:autoSpaceDN/>
              <w:bidi w:val="0"/>
              <w:spacing w:line="240" w:lineRule="auto"/>
              <w:ind w:firstLine="0" w:firstLineChars="0"/>
              <w:jc w:val="center"/>
              <w:rPr>
                <w:rFonts w:hint="eastAsia"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废碱液</w:t>
            </w:r>
          </w:p>
          <w:p w14:paraId="1D768DAD">
            <w:pPr>
              <w:keepNext w:val="0"/>
              <w:keepLines w:val="0"/>
              <w:pageBreakBefore w:val="0"/>
              <w:kinsoku/>
              <w:wordWrap/>
              <w:overflowPunct/>
              <w:topLinePunct w:val="0"/>
              <w:autoSpaceDE/>
              <w:autoSpaceDN/>
              <w:bidi w:val="0"/>
              <w:spacing w:line="240" w:lineRule="auto"/>
              <w:ind w:firstLine="0" w:firstLineChars="0"/>
              <w:jc w:val="center"/>
              <w:rPr>
                <w:rFonts w:hint="default" w:cs="Times New Roman"/>
                <w:bCs/>
                <w:color w:val="000000" w:themeColor="text1"/>
                <w:szCs w:val="21"/>
                <w:highlight w:val="none"/>
                <w:lang w:val="en-US" w:eastAsia="zh-CN"/>
                <w14:textFill>
                  <w14:solidFill>
                    <w14:schemeClr w14:val="tx1"/>
                  </w14:solidFill>
                </w14:textFill>
              </w:rPr>
            </w:pPr>
            <w:r>
              <w:rPr>
                <w:rFonts w:hint="eastAsia" w:cs="Times New Roman"/>
                <w:bCs/>
                <w:color w:val="000000" w:themeColor="text1"/>
                <w:szCs w:val="21"/>
                <w:highlight w:val="none"/>
                <w:lang w:val="en-US" w:eastAsia="zh-CN"/>
                <w14:textFill>
                  <w14:solidFill>
                    <w14:schemeClr w14:val="tx1"/>
                  </w14:solidFill>
                </w14:textFill>
              </w:rPr>
              <w:t>吸收液</w:t>
            </w:r>
          </w:p>
        </w:tc>
        <w:tc>
          <w:tcPr>
            <w:tcW w:w="1701" w:type="dxa"/>
            <w:noWrap w:val="0"/>
            <w:vAlign w:val="center"/>
          </w:tcPr>
          <w:p w14:paraId="6FD606FB">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276" w:type="dxa"/>
            <w:noWrap w:val="0"/>
            <w:vAlign w:val="center"/>
          </w:tcPr>
          <w:p w14:paraId="46E02E5F">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701" w:type="dxa"/>
            <w:noWrap w:val="0"/>
            <w:vAlign w:val="center"/>
          </w:tcPr>
          <w:p w14:paraId="65C16D77">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559" w:type="dxa"/>
            <w:noWrap w:val="0"/>
            <w:vAlign w:val="center"/>
          </w:tcPr>
          <w:p w14:paraId="08231D0F">
            <w:pPr>
              <w:keepNext w:val="0"/>
              <w:keepLines w:val="0"/>
              <w:pageBreakBefore w:val="0"/>
              <w:kinsoku/>
              <w:wordWrap/>
              <w:overflowPunct/>
              <w:topLinePunct w:val="0"/>
              <w:autoSpaceDE/>
              <w:autoSpaceDN/>
              <w:bidi w:val="0"/>
              <w:spacing w:line="240" w:lineRule="auto"/>
              <w:ind w:firstLine="0" w:firstLineChars="0"/>
              <w:jc w:val="center"/>
              <w:rPr>
                <w:rFonts w:hint="default"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0.6m</w:t>
            </w:r>
            <w:r>
              <w:rPr>
                <w:rFonts w:hint="eastAsia" w:cs="Times New Roman"/>
                <w:color w:val="000000" w:themeColor="text1"/>
                <w:kern w:val="0"/>
                <w:sz w:val="21"/>
                <w:szCs w:val="21"/>
                <w:highlight w:val="none"/>
                <w:vertAlign w:val="superscript"/>
                <w:lang w:val="en-US" w:eastAsia="zh-CN" w:bidi="ar-SA"/>
                <w14:textFill>
                  <w14:solidFill>
                    <w14:schemeClr w14:val="tx1"/>
                  </w14:solidFill>
                </w14:textFill>
              </w:rPr>
              <w:t>3</w:t>
            </w:r>
            <w:r>
              <w:rPr>
                <w:rFonts w:hint="eastAsia" w:cs="Times New Roman"/>
                <w:color w:val="000000" w:themeColor="text1"/>
                <w:kern w:val="0"/>
                <w:sz w:val="21"/>
                <w:szCs w:val="21"/>
                <w:highlight w:val="none"/>
                <w:lang w:val="en-US" w:eastAsia="zh-CN" w:bidi="ar-SA"/>
                <w14:textFill>
                  <w14:solidFill>
                    <w14:schemeClr w14:val="tx1"/>
                  </w14:solidFill>
                </w14:textFill>
              </w:rPr>
              <w:t>/a</w:t>
            </w:r>
          </w:p>
        </w:tc>
        <w:tc>
          <w:tcPr>
            <w:tcW w:w="1761" w:type="dxa"/>
            <w:noWrap w:val="0"/>
            <w:vAlign w:val="center"/>
          </w:tcPr>
          <w:p w14:paraId="2BB8B8B0">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color w:val="000000" w:themeColor="text1"/>
                <w:szCs w:val="21"/>
                <w:highlight w:val="none"/>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w:t>
            </w:r>
          </w:p>
        </w:tc>
        <w:tc>
          <w:tcPr>
            <w:tcW w:w="1669" w:type="dxa"/>
            <w:noWrap w:val="0"/>
            <w:vAlign w:val="center"/>
          </w:tcPr>
          <w:p w14:paraId="510BE7FB">
            <w:pPr>
              <w:keepNext w:val="0"/>
              <w:keepLines w:val="0"/>
              <w:pageBreakBefore w:val="0"/>
              <w:kinsoku/>
              <w:wordWrap/>
              <w:overflowPunct/>
              <w:topLinePunct w:val="0"/>
              <w:autoSpaceDE/>
              <w:autoSpaceDN/>
              <w:bidi w:val="0"/>
              <w:spacing w:line="240" w:lineRule="auto"/>
              <w:ind w:firstLine="0" w:firstLineChars="0"/>
              <w:jc w:val="center"/>
              <w:rPr>
                <w:rFonts w:hint="eastAsia"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0.6m</w:t>
            </w:r>
            <w:r>
              <w:rPr>
                <w:rFonts w:hint="eastAsia" w:cs="Times New Roman"/>
                <w:color w:val="000000" w:themeColor="text1"/>
                <w:kern w:val="0"/>
                <w:sz w:val="21"/>
                <w:szCs w:val="21"/>
                <w:highlight w:val="none"/>
                <w:vertAlign w:val="superscript"/>
                <w:lang w:val="en-US" w:eastAsia="zh-CN" w:bidi="ar-SA"/>
                <w14:textFill>
                  <w14:solidFill>
                    <w14:schemeClr w14:val="tx1"/>
                  </w14:solidFill>
                </w14:textFill>
              </w:rPr>
              <w:t>3</w:t>
            </w:r>
            <w:r>
              <w:rPr>
                <w:rFonts w:hint="eastAsia" w:cs="Times New Roman"/>
                <w:color w:val="000000" w:themeColor="text1"/>
                <w:kern w:val="0"/>
                <w:sz w:val="21"/>
                <w:szCs w:val="21"/>
                <w:highlight w:val="none"/>
                <w:lang w:val="en-US" w:eastAsia="zh-CN" w:bidi="ar-SA"/>
                <w14:textFill>
                  <w14:solidFill>
                    <w14:schemeClr w14:val="tx1"/>
                  </w14:solidFill>
                </w14:textFill>
              </w:rPr>
              <w:t>/a</w:t>
            </w:r>
          </w:p>
        </w:tc>
        <w:tc>
          <w:tcPr>
            <w:tcW w:w="1116" w:type="dxa"/>
            <w:noWrap w:val="0"/>
            <w:vAlign w:val="center"/>
          </w:tcPr>
          <w:p w14:paraId="528A7870">
            <w:pPr>
              <w:keepNext w:val="0"/>
              <w:keepLines w:val="0"/>
              <w:pageBreakBefore w:val="0"/>
              <w:kinsoku/>
              <w:wordWrap/>
              <w:overflowPunct/>
              <w:topLinePunct w:val="0"/>
              <w:autoSpaceDE/>
              <w:autoSpaceDN/>
              <w:bidi w:val="0"/>
              <w:spacing w:line="240" w:lineRule="auto"/>
              <w:ind w:firstLine="0" w:firstLineChars="0"/>
              <w:jc w:val="center"/>
              <w:rPr>
                <w:rFonts w:hint="eastAsia" w:cs="Times New Roman"/>
                <w:snapToGrid w:val="0"/>
                <w:color w:val="000000" w:themeColor="text1"/>
                <w:kern w:val="21"/>
                <w:szCs w:val="21"/>
                <w:highlight w:val="none"/>
                <w:lang w:val="en-US" w:eastAsia="zh-CN"/>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0.6m</w:t>
            </w:r>
            <w:r>
              <w:rPr>
                <w:rFonts w:hint="eastAsia" w:cs="Times New Roman"/>
                <w:color w:val="000000" w:themeColor="text1"/>
                <w:kern w:val="0"/>
                <w:sz w:val="21"/>
                <w:szCs w:val="21"/>
                <w:highlight w:val="none"/>
                <w:vertAlign w:val="superscript"/>
                <w:lang w:val="en-US" w:eastAsia="zh-CN" w:bidi="ar-SA"/>
                <w14:textFill>
                  <w14:solidFill>
                    <w14:schemeClr w14:val="tx1"/>
                  </w14:solidFill>
                </w14:textFill>
              </w:rPr>
              <w:t>3</w:t>
            </w:r>
            <w:r>
              <w:rPr>
                <w:rFonts w:hint="eastAsia" w:cs="Times New Roman"/>
                <w:color w:val="000000" w:themeColor="text1"/>
                <w:kern w:val="0"/>
                <w:sz w:val="21"/>
                <w:szCs w:val="21"/>
                <w:highlight w:val="none"/>
                <w:lang w:val="en-US" w:eastAsia="zh-CN" w:bidi="ar-SA"/>
                <w14:textFill>
                  <w14:solidFill>
                    <w14:schemeClr w14:val="tx1"/>
                  </w14:solidFill>
                </w14:textFill>
              </w:rPr>
              <w:t>/a</w:t>
            </w:r>
          </w:p>
        </w:tc>
      </w:tr>
    </w:tbl>
    <w:p w14:paraId="1AD5E85E">
      <w:pPr>
        <w:pStyle w:val="50"/>
        <w:spacing w:before="192" w:beforeLines="80" w:after="24"/>
        <w:jc w:val="left"/>
        <w:rPr>
          <w:rFonts w:hint="eastAsia" w:hAnsi="宋体"/>
          <w:snapToGrid w:val="0"/>
          <w:color w:val="000000" w:themeColor="text1"/>
          <w:spacing w:val="-6"/>
          <w:kern w:val="21"/>
          <w:szCs w:val="21"/>
          <w:highlight w:val="none"/>
          <w14:textFill>
            <w14:solidFill>
              <w14:schemeClr w14:val="tx1"/>
            </w14:solidFill>
          </w14:textFill>
        </w:rPr>
      </w:pPr>
      <w:r>
        <w:rPr>
          <w:rFonts w:hAnsi="宋体"/>
          <w:snapToGrid w:val="0"/>
          <w:color w:val="000000" w:themeColor="text1"/>
          <w:kern w:val="21"/>
          <w:szCs w:val="21"/>
          <w:highlight w:val="none"/>
          <w14:textFill>
            <w14:solidFill>
              <w14:schemeClr w14:val="tx1"/>
            </w14:solidFill>
          </w14:textFill>
        </w:rPr>
        <w:t>注：</w:t>
      </w:r>
      <w:r>
        <w:rPr>
          <w:rFonts w:hAnsi="宋体"/>
          <w:snapToGrid w:val="0"/>
          <w:color w:val="000000" w:themeColor="text1"/>
          <w:spacing w:val="-16"/>
          <w:kern w:val="21"/>
          <w:szCs w:val="21"/>
          <w:highlight w:val="none"/>
          <w14:textFill>
            <w14:solidFill>
              <w14:schemeClr w14:val="tx1"/>
            </w14:solidFill>
          </w14:textFill>
        </w:rPr>
        <w:fldChar w:fldCharType="begin"/>
      </w:r>
      <w:r>
        <w:rPr>
          <w:rFonts w:hAnsi="宋体"/>
          <w:snapToGrid w:val="0"/>
          <w:color w:val="000000" w:themeColor="text1"/>
          <w:spacing w:val="-16"/>
          <w:kern w:val="21"/>
          <w:szCs w:val="21"/>
          <w:highlight w:val="none"/>
          <w14:textFill>
            <w14:solidFill>
              <w14:schemeClr w14:val="tx1"/>
            </w14:solidFill>
          </w14:textFill>
        </w:rPr>
        <w:instrText xml:space="preserve"> = 6 \* GB3 \* MERGEFORMAT </w:instrText>
      </w:r>
      <w:r>
        <w:rPr>
          <w:rFonts w:hAnsi="宋体"/>
          <w:snapToGrid w:val="0"/>
          <w:color w:val="000000" w:themeColor="text1"/>
          <w:spacing w:val="-16"/>
          <w:kern w:val="21"/>
          <w:szCs w:val="21"/>
          <w:highlight w:val="none"/>
          <w14:textFill>
            <w14:solidFill>
              <w14:schemeClr w14:val="tx1"/>
            </w14:solidFill>
          </w14:textFill>
        </w:rPr>
        <w:fldChar w:fldCharType="separate"/>
      </w:r>
      <w:r>
        <w:rPr>
          <w:rFonts w:hint="eastAsia" w:hAnsi="宋体"/>
          <w:color w:val="000000" w:themeColor="text1"/>
          <w:szCs w:val="21"/>
          <w:highlight w:val="none"/>
          <w14:textFill>
            <w14:solidFill>
              <w14:schemeClr w14:val="tx1"/>
            </w14:solidFill>
          </w14:textFill>
        </w:rPr>
        <w:t>⑥</w:t>
      </w:r>
      <w:r>
        <w:rPr>
          <w:rFonts w:hAnsi="宋体"/>
          <w:snapToGrid w:val="0"/>
          <w:color w:val="000000" w:themeColor="text1"/>
          <w:spacing w:val="-16"/>
          <w:kern w:val="21"/>
          <w:szCs w:val="21"/>
          <w:highlight w:val="none"/>
          <w14:textFill>
            <w14:solidFill>
              <w14:schemeClr w14:val="tx1"/>
            </w14:solidFill>
          </w14:textFill>
        </w:rPr>
        <w:fldChar w:fldCharType="end"/>
      </w:r>
      <w:r>
        <w:rPr>
          <w:rFonts w:hAnsi="宋体"/>
          <w:snapToGrid w:val="0"/>
          <w:color w:val="000000" w:themeColor="text1"/>
          <w:spacing w:val="-16"/>
          <w:kern w:val="21"/>
          <w:szCs w:val="21"/>
          <w:highlight w:val="none"/>
          <w14:textFill>
            <w14:solidFill>
              <w14:schemeClr w14:val="tx1"/>
            </w14:solidFill>
          </w14:textFill>
        </w:rPr>
        <w:t>=</w:t>
      </w:r>
      <w:r>
        <w:rPr>
          <w:rFonts w:hAnsi="宋体"/>
          <w:snapToGrid w:val="0"/>
          <w:color w:val="000000" w:themeColor="text1"/>
          <w:spacing w:val="-6"/>
          <w:kern w:val="21"/>
          <w:szCs w:val="21"/>
          <w:highlight w:val="none"/>
          <w14:textFill>
            <w14:solidFill>
              <w14:schemeClr w14:val="tx1"/>
            </w14:solidFill>
          </w14:textFill>
        </w:rPr>
        <w:fldChar w:fldCharType="begin"/>
      </w:r>
      <w:r>
        <w:rPr>
          <w:rFonts w:hAnsi="宋体"/>
          <w:snapToGrid w:val="0"/>
          <w:color w:val="000000" w:themeColor="text1"/>
          <w:spacing w:val="-6"/>
          <w:kern w:val="21"/>
          <w:szCs w:val="21"/>
          <w:highlight w:val="none"/>
          <w14:textFill>
            <w14:solidFill>
              <w14:schemeClr w14:val="tx1"/>
            </w14:solidFill>
          </w14:textFill>
        </w:rPr>
        <w:instrText xml:space="preserve"> = 1 \* GB3 \* MERGEFORMAT </w:instrText>
      </w:r>
      <w:r>
        <w:rPr>
          <w:rFonts w:hAnsi="宋体"/>
          <w:snapToGrid w:val="0"/>
          <w:color w:val="000000" w:themeColor="text1"/>
          <w:spacing w:val="-6"/>
          <w:kern w:val="21"/>
          <w:szCs w:val="21"/>
          <w:highlight w:val="none"/>
          <w14:textFill>
            <w14:solidFill>
              <w14:schemeClr w14:val="tx1"/>
            </w14:solidFill>
          </w14:textFill>
        </w:rPr>
        <w:fldChar w:fldCharType="separate"/>
      </w:r>
      <w:r>
        <w:rPr>
          <w:rFonts w:hint="eastAsia" w:hAnsi="宋体"/>
          <w:color w:val="000000" w:themeColor="text1"/>
          <w:szCs w:val="21"/>
          <w:highlight w:val="none"/>
          <w14:textFill>
            <w14:solidFill>
              <w14:schemeClr w14:val="tx1"/>
            </w14:solidFill>
          </w14:textFill>
        </w:rPr>
        <w:t>①</w:t>
      </w:r>
      <w:r>
        <w:rPr>
          <w:rFonts w:hAnsi="宋体"/>
          <w:snapToGrid w:val="0"/>
          <w:color w:val="000000" w:themeColor="text1"/>
          <w:spacing w:val="-6"/>
          <w:kern w:val="21"/>
          <w:szCs w:val="21"/>
          <w:highlight w:val="none"/>
          <w14:textFill>
            <w14:solidFill>
              <w14:schemeClr w14:val="tx1"/>
            </w14:solidFill>
          </w14:textFill>
        </w:rPr>
        <w:fldChar w:fldCharType="end"/>
      </w:r>
      <w:r>
        <w:rPr>
          <w:rFonts w:hAnsi="宋体"/>
          <w:snapToGrid w:val="0"/>
          <w:color w:val="000000" w:themeColor="text1"/>
          <w:spacing w:val="-6"/>
          <w:kern w:val="21"/>
          <w:szCs w:val="21"/>
          <w:highlight w:val="none"/>
          <w14:textFill>
            <w14:solidFill>
              <w14:schemeClr w14:val="tx1"/>
            </w14:solidFill>
          </w14:textFill>
        </w:rPr>
        <w:t>+</w:t>
      </w:r>
      <w:r>
        <w:rPr>
          <w:rFonts w:hAnsi="宋体"/>
          <w:snapToGrid w:val="0"/>
          <w:color w:val="000000" w:themeColor="text1"/>
          <w:spacing w:val="-6"/>
          <w:kern w:val="21"/>
          <w:szCs w:val="21"/>
          <w:highlight w:val="none"/>
          <w14:textFill>
            <w14:solidFill>
              <w14:schemeClr w14:val="tx1"/>
            </w14:solidFill>
          </w14:textFill>
        </w:rPr>
        <w:fldChar w:fldCharType="begin"/>
      </w:r>
      <w:r>
        <w:rPr>
          <w:rFonts w:hAnsi="宋体"/>
          <w:snapToGrid w:val="0"/>
          <w:color w:val="000000" w:themeColor="text1"/>
          <w:spacing w:val="-6"/>
          <w:kern w:val="21"/>
          <w:szCs w:val="21"/>
          <w:highlight w:val="none"/>
          <w14:textFill>
            <w14:solidFill>
              <w14:schemeClr w14:val="tx1"/>
            </w14:solidFill>
          </w14:textFill>
        </w:rPr>
        <w:instrText xml:space="preserve"> = 3 \* GB3 \* MERGEFORMAT </w:instrText>
      </w:r>
      <w:r>
        <w:rPr>
          <w:rFonts w:hAnsi="宋体"/>
          <w:snapToGrid w:val="0"/>
          <w:color w:val="000000" w:themeColor="text1"/>
          <w:spacing w:val="-6"/>
          <w:kern w:val="21"/>
          <w:szCs w:val="21"/>
          <w:highlight w:val="none"/>
          <w14:textFill>
            <w14:solidFill>
              <w14:schemeClr w14:val="tx1"/>
            </w14:solidFill>
          </w14:textFill>
        </w:rPr>
        <w:fldChar w:fldCharType="separate"/>
      </w:r>
      <w:r>
        <w:rPr>
          <w:rFonts w:hint="eastAsia" w:hAnsi="宋体"/>
          <w:color w:val="000000" w:themeColor="text1"/>
          <w:szCs w:val="21"/>
          <w:highlight w:val="none"/>
          <w14:textFill>
            <w14:solidFill>
              <w14:schemeClr w14:val="tx1"/>
            </w14:solidFill>
          </w14:textFill>
        </w:rPr>
        <w:t>③</w:t>
      </w:r>
      <w:r>
        <w:rPr>
          <w:rFonts w:hAnsi="宋体"/>
          <w:snapToGrid w:val="0"/>
          <w:color w:val="000000" w:themeColor="text1"/>
          <w:spacing w:val="-6"/>
          <w:kern w:val="21"/>
          <w:szCs w:val="21"/>
          <w:highlight w:val="none"/>
          <w14:textFill>
            <w14:solidFill>
              <w14:schemeClr w14:val="tx1"/>
            </w14:solidFill>
          </w14:textFill>
        </w:rPr>
        <w:fldChar w:fldCharType="end"/>
      </w:r>
      <w:r>
        <w:rPr>
          <w:rFonts w:hAnsi="宋体"/>
          <w:snapToGrid w:val="0"/>
          <w:color w:val="000000" w:themeColor="text1"/>
          <w:spacing w:val="-6"/>
          <w:kern w:val="21"/>
          <w:szCs w:val="21"/>
          <w:highlight w:val="none"/>
          <w14:textFill>
            <w14:solidFill>
              <w14:schemeClr w14:val="tx1"/>
            </w14:solidFill>
          </w14:textFill>
        </w:rPr>
        <w:t>+</w:t>
      </w:r>
      <w:r>
        <w:rPr>
          <w:rFonts w:hAnsi="宋体"/>
          <w:snapToGrid w:val="0"/>
          <w:color w:val="000000" w:themeColor="text1"/>
          <w:spacing w:val="-6"/>
          <w:kern w:val="21"/>
          <w:szCs w:val="21"/>
          <w:highlight w:val="none"/>
          <w14:textFill>
            <w14:solidFill>
              <w14:schemeClr w14:val="tx1"/>
            </w14:solidFill>
          </w14:textFill>
        </w:rPr>
        <w:fldChar w:fldCharType="begin"/>
      </w:r>
      <w:r>
        <w:rPr>
          <w:rFonts w:hAnsi="宋体"/>
          <w:snapToGrid w:val="0"/>
          <w:color w:val="000000" w:themeColor="text1"/>
          <w:spacing w:val="-6"/>
          <w:kern w:val="21"/>
          <w:szCs w:val="21"/>
          <w:highlight w:val="none"/>
          <w14:textFill>
            <w14:solidFill>
              <w14:schemeClr w14:val="tx1"/>
            </w14:solidFill>
          </w14:textFill>
        </w:rPr>
        <w:instrText xml:space="preserve"> = 4 \* GB3 \* MERGEFORMAT </w:instrText>
      </w:r>
      <w:r>
        <w:rPr>
          <w:rFonts w:hAnsi="宋体"/>
          <w:snapToGrid w:val="0"/>
          <w:color w:val="000000" w:themeColor="text1"/>
          <w:spacing w:val="-6"/>
          <w:kern w:val="21"/>
          <w:szCs w:val="21"/>
          <w:highlight w:val="none"/>
          <w14:textFill>
            <w14:solidFill>
              <w14:schemeClr w14:val="tx1"/>
            </w14:solidFill>
          </w14:textFill>
        </w:rPr>
        <w:fldChar w:fldCharType="separate"/>
      </w:r>
      <w:r>
        <w:rPr>
          <w:rFonts w:hint="eastAsia" w:hAnsi="宋体"/>
          <w:color w:val="000000" w:themeColor="text1"/>
          <w:szCs w:val="21"/>
          <w:highlight w:val="none"/>
          <w14:textFill>
            <w14:solidFill>
              <w14:schemeClr w14:val="tx1"/>
            </w14:solidFill>
          </w14:textFill>
        </w:rPr>
        <w:t>④</w:t>
      </w:r>
      <w:r>
        <w:rPr>
          <w:rFonts w:hAnsi="宋体"/>
          <w:snapToGrid w:val="0"/>
          <w:color w:val="000000" w:themeColor="text1"/>
          <w:spacing w:val="-6"/>
          <w:kern w:val="21"/>
          <w:szCs w:val="21"/>
          <w:highlight w:val="none"/>
          <w14:textFill>
            <w14:solidFill>
              <w14:schemeClr w14:val="tx1"/>
            </w14:solidFill>
          </w14:textFill>
        </w:rPr>
        <w:fldChar w:fldCharType="end"/>
      </w:r>
      <w:r>
        <w:rPr>
          <w:rFonts w:hAnsi="宋体"/>
          <w:snapToGrid w:val="0"/>
          <w:color w:val="000000" w:themeColor="text1"/>
          <w:spacing w:val="-6"/>
          <w:kern w:val="21"/>
          <w:szCs w:val="21"/>
          <w:highlight w:val="none"/>
          <w14:textFill>
            <w14:solidFill>
              <w14:schemeClr w14:val="tx1"/>
            </w14:solidFill>
          </w14:textFill>
        </w:rPr>
        <w:t>-</w:t>
      </w:r>
      <w:r>
        <w:rPr>
          <w:rFonts w:hAnsi="宋体"/>
          <w:snapToGrid w:val="0"/>
          <w:color w:val="000000" w:themeColor="text1"/>
          <w:spacing w:val="-16"/>
          <w:kern w:val="21"/>
          <w:szCs w:val="21"/>
          <w:highlight w:val="none"/>
          <w14:textFill>
            <w14:solidFill>
              <w14:schemeClr w14:val="tx1"/>
            </w14:solidFill>
          </w14:textFill>
        </w:rPr>
        <w:fldChar w:fldCharType="begin"/>
      </w:r>
      <w:r>
        <w:rPr>
          <w:rFonts w:hAnsi="宋体"/>
          <w:snapToGrid w:val="0"/>
          <w:color w:val="000000" w:themeColor="text1"/>
          <w:spacing w:val="-16"/>
          <w:kern w:val="21"/>
          <w:szCs w:val="21"/>
          <w:highlight w:val="none"/>
          <w14:textFill>
            <w14:solidFill>
              <w14:schemeClr w14:val="tx1"/>
            </w14:solidFill>
          </w14:textFill>
        </w:rPr>
        <w:instrText xml:space="preserve"> = 5 \* GB3 \* MERGEFORMAT </w:instrText>
      </w:r>
      <w:r>
        <w:rPr>
          <w:rFonts w:hAnsi="宋体"/>
          <w:snapToGrid w:val="0"/>
          <w:color w:val="000000" w:themeColor="text1"/>
          <w:spacing w:val="-16"/>
          <w:kern w:val="21"/>
          <w:szCs w:val="21"/>
          <w:highlight w:val="none"/>
          <w14:textFill>
            <w14:solidFill>
              <w14:schemeClr w14:val="tx1"/>
            </w14:solidFill>
          </w14:textFill>
        </w:rPr>
        <w:fldChar w:fldCharType="separate"/>
      </w:r>
      <w:r>
        <w:rPr>
          <w:rFonts w:hint="eastAsia" w:hAnsi="宋体"/>
          <w:color w:val="000000" w:themeColor="text1"/>
          <w:szCs w:val="21"/>
          <w:highlight w:val="none"/>
          <w14:textFill>
            <w14:solidFill>
              <w14:schemeClr w14:val="tx1"/>
            </w14:solidFill>
          </w14:textFill>
        </w:rPr>
        <w:t>⑤</w:t>
      </w:r>
      <w:r>
        <w:rPr>
          <w:rFonts w:hAnsi="宋体"/>
          <w:snapToGrid w:val="0"/>
          <w:color w:val="000000" w:themeColor="text1"/>
          <w:spacing w:val="-16"/>
          <w:kern w:val="21"/>
          <w:szCs w:val="21"/>
          <w:highlight w:val="none"/>
          <w14:textFill>
            <w14:solidFill>
              <w14:schemeClr w14:val="tx1"/>
            </w14:solidFill>
          </w14:textFill>
        </w:rPr>
        <w:fldChar w:fldCharType="end"/>
      </w:r>
      <w:r>
        <w:rPr>
          <w:rFonts w:hAnsi="宋体"/>
          <w:snapToGrid w:val="0"/>
          <w:color w:val="000000" w:themeColor="text1"/>
          <w:spacing w:val="-16"/>
          <w:kern w:val="21"/>
          <w:szCs w:val="21"/>
          <w:highlight w:val="none"/>
          <w14:textFill>
            <w14:solidFill>
              <w14:schemeClr w14:val="tx1"/>
            </w14:solidFill>
          </w14:textFill>
        </w:rPr>
        <w:t>；</w:t>
      </w:r>
      <w:r>
        <w:rPr>
          <w:rFonts w:hAnsi="宋体"/>
          <w:snapToGrid w:val="0"/>
          <w:color w:val="000000" w:themeColor="text1"/>
          <w:spacing w:val="-6"/>
          <w:kern w:val="21"/>
          <w:szCs w:val="21"/>
          <w:highlight w:val="none"/>
          <w14:textFill>
            <w14:solidFill>
              <w14:schemeClr w14:val="tx1"/>
            </w14:solidFill>
          </w14:textFill>
        </w:rPr>
        <w:fldChar w:fldCharType="begin"/>
      </w:r>
      <w:r>
        <w:rPr>
          <w:rFonts w:hAnsi="宋体"/>
          <w:snapToGrid w:val="0"/>
          <w:color w:val="000000" w:themeColor="text1"/>
          <w:spacing w:val="-6"/>
          <w:kern w:val="21"/>
          <w:szCs w:val="21"/>
          <w:highlight w:val="none"/>
          <w14:textFill>
            <w14:solidFill>
              <w14:schemeClr w14:val="tx1"/>
            </w14:solidFill>
          </w14:textFill>
        </w:rPr>
        <w:instrText xml:space="preserve"> = 7 \* GB3 \* MERGEFORMAT </w:instrText>
      </w:r>
      <w:r>
        <w:rPr>
          <w:rFonts w:hAnsi="宋体"/>
          <w:snapToGrid w:val="0"/>
          <w:color w:val="000000" w:themeColor="text1"/>
          <w:spacing w:val="-6"/>
          <w:kern w:val="21"/>
          <w:szCs w:val="21"/>
          <w:highlight w:val="none"/>
          <w14:textFill>
            <w14:solidFill>
              <w14:schemeClr w14:val="tx1"/>
            </w14:solidFill>
          </w14:textFill>
        </w:rPr>
        <w:fldChar w:fldCharType="separate"/>
      </w:r>
      <w:r>
        <w:rPr>
          <w:rFonts w:hint="eastAsia" w:hAnsi="宋体"/>
          <w:color w:val="000000" w:themeColor="text1"/>
          <w:szCs w:val="21"/>
          <w:highlight w:val="none"/>
          <w14:textFill>
            <w14:solidFill>
              <w14:schemeClr w14:val="tx1"/>
            </w14:solidFill>
          </w14:textFill>
        </w:rPr>
        <w:t>⑦</w:t>
      </w:r>
      <w:r>
        <w:rPr>
          <w:rFonts w:hAnsi="宋体"/>
          <w:snapToGrid w:val="0"/>
          <w:color w:val="000000" w:themeColor="text1"/>
          <w:spacing w:val="-6"/>
          <w:kern w:val="21"/>
          <w:szCs w:val="21"/>
          <w:highlight w:val="none"/>
          <w14:textFill>
            <w14:solidFill>
              <w14:schemeClr w14:val="tx1"/>
            </w14:solidFill>
          </w14:textFill>
        </w:rPr>
        <w:fldChar w:fldCharType="end"/>
      </w:r>
      <w:r>
        <w:rPr>
          <w:rFonts w:hAnsi="宋体"/>
          <w:snapToGrid w:val="0"/>
          <w:color w:val="000000" w:themeColor="text1"/>
          <w:spacing w:val="-6"/>
          <w:kern w:val="21"/>
          <w:szCs w:val="21"/>
          <w:highlight w:val="none"/>
          <w14:textFill>
            <w14:solidFill>
              <w14:schemeClr w14:val="tx1"/>
            </w14:solidFill>
          </w14:textFill>
        </w:rPr>
        <w:t>=</w:t>
      </w:r>
      <w:r>
        <w:rPr>
          <w:rFonts w:hAnsi="宋体"/>
          <w:snapToGrid w:val="0"/>
          <w:color w:val="000000" w:themeColor="text1"/>
          <w:spacing w:val="-16"/>
          <w:kern w:val="21"/>
          <w:szCs w:val="21"/>
          <w:highlight w:val="none"/>
          <w14:textFill>
            <w14:solidFill>
              <w14:schemeClr w14:val="tx1"/>
            </w14:solidFill>
          </w14:textFill>
        </w:rPr>
        <w:fldChar w:fldCharType="begin"/>
      </w:r>
      <w:r>
        <w:rPr>
          <w:rFonts w:hAnsi="宋体"/>
          <w:snapToGrid w:val="0"/>
          <w:color w:val="000000" w:themeColor="text1"/>
          <w:spacing w:val="-16"/>
          <w:kern w:val="21"/>
          <w:szCs w:val="21"/>
          <w:highlight w:val="none"/>
          <w14:textFill>
            <w14:solidFill>
              <w14:schemeClr w14:val="tx1"/>
            </w14:solidFill>
          </w14:textFill>
        </w:rPr>
        <w:instrText xml:space="preserve"> = 6 \* GB3 \* MERGEFORMAT </w:instrText>
      </w:r>
      <w:r>
        <w:rPr>
          <w:rFonts w:hAnsi="宋体"/>
          <w:snapToGrid w:val="0"/>
          <w:color w:val="000000" w:themeColor="text1"/>
          <w:spacing w:val="-16"/>
          <w:kern w:val="21"/>
          <w:szCs w:val="21"/>
          <w:highlight w:val="none"/>
          <w14:textFill>
            <w14:solidFill>
              <w14:schemeClr w14:val="tx1"/>
            </w14:solidFill>
          </w14:textFill>
        </w:rPr>
        <w:fldChar w:fldCharType="separate"/>
      </w:r>
      <w:r>
        <w:rPr>
          <w:rFonts w:hint="eastAsia" w:hAnsi="宋体"/>
          <w:color w:val="000000" w:themeColor="text1"/>
          <w:szCs w:val="21"/>
          <w:highlight w:val="none"/>
          <w14:textFill>
            <w14:solidFill>
              <w14:schemeClr w14:val="tx1"/>
            </w14:solidFill>
          </w14:textFill>
        </w:rPr>
        <w:t>⑥</w:t>
      </w:r>
      <w:r>
        <w:rPr>
          <w:rFonts w:hAnsi="宋体"/>
          <w:snapToGrid w:val="0"/>
          <w:color w:val="000000" w:themeColor="text1"/>
          <w:spacing w:val="-16"/>
          <w:kern w:val="21"/>
          <w:szCs w:val="21"/>
          <w:highlight w:val="none"/>
          <w14:textFill>
            <w14:solidFill>
              <w14:schemeClr w14:val="tx1"/>
            </w14:solidFill>
          </w14:textFill>
        </w:rPr>
        <w:fldChar w:fldCharType="end"/>
      </w:r>
      <w:r>
        <w:rPr>
          <w:rFonts w:hAnsi="宋体"/>
          <w:snapToGrid w:val="0"/>
          <w:color w:val="000000" w:themeColor="text1"/>
          <w:spacing w:val="-16"/>
          <w:kern w:val="21"/>
          <w:szCs w:val="21"/>
          <w:highlight w:val="none"/>
          <w14:textFill>
            <w14:solidFill>
              <w14:schemeClr w14:val="tx1"/>
            </w14:solidFill>
          </w14:textFill>
        </w:rPr>
        <w:t>-</w:t>
      </w:r>
      <w:r>
        <w:rPr>
          <w:rFonts w:hAnsi="宋体"/>
          <w:snapToGrid w:val="0"/>
          <w:color w:val="000000" w:themeColor="text1"/>
          <w:spacing w:val="-6"/>
          <w:kern w:val="21"/>
          <w:szCs w:val="21"/>
          <w:highlight w:val="none"/>
          <w14:textFill>
            <w14:solidFill>
              <w14:schemeClr w14:val="tx1"/>
            </w14:solidFill>
          </w14:textFill>
        </w:rPr>
        <w:fldChar w:fldCharType="begin"/>
      </w:r>
      <w:r>
        <w:rPr>
          <w:rFonts w:hAnsi="宋体"/>
          <w:snapToGrid w:val="0"/>
          <w:color w:val="000000" w:themeColor="text1"/>
          <w:spacing w:val="-6"/>
          <w:kern w:val="21"/>
          <w:szCs w:val="21"/>
          <w:highlight w:val="none"/>
          <w14:textFill>
            <w14:solidFill>
              <w14:schemeClr w14:val="tx1"/>
            </w14:solidFill>
          </w14:textFill>
        </w:rPr>
        <w:instrText xml:space="preserve"> = 1 \* GB3 \* MERGEFORMAT </w:instrText>
      </w:r>
      <w:r>
        <w:rPr>
          <w:rFonts w:hAnsi="宋体"/>
          <w:snapToGrid w:val="0"/>
          <w:color w:val="000000" w:themeColor="text1"/>
          <w:spacing w:val="-6"/>
          <w:kern w:val="21"/>
          <w:szCs w:val="21"/>
          <w:highlight w:val="none"/>
          <w14:textFill>
            <w14:solidFill>
              <w14:schemeClr w14:val="tx1"/>
            </w14:solidFill>
          </w14:textFill>
        </w:rPr>
        <w:fldChar w:fldCharType="separate"/>
      </w:r>
      <w:r>
        <w:rPr>
          <w:rFonts w:hint="eastAsia" w:hAnsi="宋体"/>
          <w:color w:val="000000" w:themeColor="text1"/>
          <w:szCs w:val="21"/>
          <w:highlight w:val="none"/>
          <w14:textFill>
            <w14:solidFill>
              <w14:schemeClr w14:val="tx1"/>
            </w14:solidFill>
          </w14:textFill>
        </w:rPr>
        <w:t>①</w:t>
      </w:r>
      <w:r>
        <w:rPr>
          <w:rFonts w:hAnsi="宋体"/>
          <w:snapToGrid w:val="0"/>
          <w:color w:val="000000" w:themeColor="text1"/>
          <w:spacing w:val="-6"/>
          <w:kern w:val="21"/>
          <w:szCs w:val="21"/>
          <w:highlight w:val="none"/>
          <w14:textFill>
            <w14:solidFill>
              <w14:schemeClr w14:val="tx1"/>
            </w14:solidFill>
          </w14:textFill>
        </w:rPr>
        <w:fldChar w:fldCharType="end"/>
      </w:r>
    </w:p>
    <w:p w14:paraId="5C8A94AC">
      <w:pPr>
        <w:rPr>
          <w:rFonts w:hint="eastAsia"/>
          <w:color w:val="000000" w:themeColor="text1"/>
          <w:highlight w:val="none"/>
          <w14:textFill>
            <w14:solidFill>
              <w14:schemeClr w14:val="tx1"/>
            </w14:solidFill>
          </w14:textFill>
        </w:rPr>
      </w:pPr>
    </w:p>
    <w:p w14:paraId="4209566F">
      <w:pPr>
        <w:rPr>
          <w:rFonts w:hint="eastAsia"/>
          <w:color w:val="000000" w:themeColor="text1"/>
          <w:highlight w:val="none"/>
          <w14:textFill>
            <w14:solidFill>
              <w14:schemeClr w14:val="tx1"/>
            </w14:solidFill>
          </w14:textFill>
        </w:rPr>
        <w:sectPr>
          <w:footerReference r:id="rId8" w:type="default"/>
          <w:pgSz w:w="16838" w:h="11906" w:orient="landscape"/>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1EC98839">
      <w:pPr>
        <w:pStyle w:val="2"/>
        <w:keepNext w:val="0"/>
        <w:keepLines w:val="0"/>
        <w:pageBreakBefore w:val="0"/>
        <w:widowControl/>
        <w:kinsoku/>
        <w:wordWrap/>
        <w:overflowPunct/>
        <w:topLinePunct w:val="0"/>
        <w:autoSpaceDE/>
        <w:autoSpaceDN/>
        <w:bidi w:val="0"/>
        <w:adjustRightInd/>
        <w:snapToGrid w:val="0"/>
        <w:spacing w:before="0" w:after="0" w:line="360" w:lineRule="auto"/>
        <w:ind w:right="0"/>
        <w:jc w:val="left"/>
        <w:textAlignment w:val="auto"/>
        <w:outlineLvl w:val="0"/>
        <w:rPr>
          <w:rStyle w:val="45"/>
          <w:rFonts w:hint="eastAsia"/>
          <w:b/>
          <w:bCs/>
          <w:color w:val="000000" w:themeColor="text1"/>
          <w:highlight w:val="none"/>
          <w:lang w:val="en-US" w:eastAsia="zh-CN"/>
          <w14:textFill>
            <w14:solidFill>
              <w14:schemeClr w14:val="tx1"/>
            </w14:solidFill>
          </w14:textFill>
        </w:rPr>
      </w:pPr>
      <w:bookmarkStart w:id="81" w:name="_Toc15137"/>
      <w:r>
        <w:rPr>
          <w:rStyle w:val="45"/>
          <w:rFonts w:hint="eastAsia"/>
          <w:b/>
          <w:bCs/>
          <w:color w:val="000000" w:themeColor="text1"/>
          <w:highlight w:val="none"/>
          <w:lang w:val="en-US" w:eastAsia="zh-CN"/>
          <w14:textFill>
            <w14:solidFill>
              <w14:schemeClr w14:val="tx1"/>
            </w14:solidFill>
          </w14:textFill>
        </w:rPr>
        <w:t>附件1 营业执照</w:t>
      </w:r>
      <w:bookmarkEnd w:id="81"/>
    </w:p>
    <w:p w14:paraId="049D0061">
      <w:pPr>
        <w:jc w:val="center"/>
        <w:rPr>
          <w:rFonts w:hint="default" w:ascii="Times New Roman" w:hAnsi="Times New Roman" w:eastAsia="宋体" w:cs="Times New Roman"/>
          <w:color w:val="000000" w:themeColor="text1"/>
          <w:sz w:val="21"/>
          <w:highlight w:val="none"/>
          <w14:textFill>
            <w14:solidFill>
              <w14:schemeClr w14:val="tx1"/>
            </w14:solidFill>
          </w14:textFill>
        </w:rPr>
        <w:sectPr>
          <w:footerReference r:id="rId9" w:type="default"/>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r>
        <w:rPr>
          <w:color w:val="000000" w:themeColor="text1"/>
          <w:highlight w:val="none"/>
          <w14:textFill>
            <w14:solidFill>
              <w14:schemeClr w14:val="tx1"/>
            </w14:solidFill>
          </w14:textFill>
        </w:rPr>
        <w:drawing>
          <wp:inline distT="0" distB="0" distL="114300" distR="114300">
            <wp:extent cx="7483475" cy="5314315"/>
            <wp:effectExtent l="0" t="0" r="3175" b="635"/>
            <wp:docPr id="10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6"/>
                    <pic:cNvPicPr>
                      <a:picLocks noChangeAspect="1"/>
                    </pic:cNvPicPr>
                  </pic:nvPicPr>
                  <pic:blipFill>
                    <a:blip r:embed="rId19"/>
                    <a:stretch>
                      <a:fillRect/>
                    </a:stretch>
                  </pic:blipFill>
                  <pic:spPr>
                    <a:xfrm>
                      <a:off x="0" y="0"/>
                      <a:ext cx="7483475" cy="5314315"/>
                    </a:xfrm>
                    <a:prstGeom prst="rect">
                      <a:avLst/>
                    </a:prstGeom>
                    <a:noFill/>
                    <a:ln>
                      <a:noFill/>
                    </a:ln>
                  </pic:spPr>
                </pic:pic>
              </a:graphicData>
            </a:graphic>
          </wp:inline>
        </w:drawing>
      </w:r>
    </w:p>
    <w:p w14:paraId="1A3F733E">
      <w:pPr>
        <w:pStyle w:val="2"/>
        <w:keepNext w:val="0"/>
        <w:keepLines w:val="0"/>
        <w:pageBreakBefore w:val="0"/>
        <w:widowControl/>
        <w:kinsoku/>
        <w:wordWrap/>
        <w:overflowPunct/>
        <w:topLinePunct w:val="0"/>
        <w:autoSpaceDE/>
        <w:autoSpaceDN/>
        <w:bidi w:val="0"/>
        <w:adjustRightInd/>
        <w:snapToGrid w:val="0"/>
        <w:spacing w:before="0" w:after="0" w:line="360" w:lineRule="auto"/>
        <w:ind w:right="113"/>
        <w:jc w:val="left"/>
        <w:textAlignment w:val="auto"/>
        <w:outlineLvl w:val="0"/>
        <w:rPr>
          <w:rStyle w:val="45"/>
          <w:rFonts w:hint="default"/>
          <w:b/>
          <w:bCs/>
          <w:color w:val="000000" w:themeColor="text1"/>
          <w:highlight w:val="none"/>
          <w:lang w:val="en-US" w:eastAsia="zh-CN"/>
          <w14:textFill>
            <w14:solidFill>
              <w14:schemeClr w14:val="tx1"/>
            </w14:solidFill>
          </w14:textFill>
        </w:rPr>
      </w:pPr>
      <w:bookmarkStart w:id="82" w:name="_Toc13292"/>
      <w:r>
        <w:rPr>
          <w:rStyle w:val="45"/>
          <w:rFonts w:hint="eastAsia"/>
          <w:b/>
          <w:bCs/>
          <w:color w:val="000000" w:themeColor="text1"/>
          <w:highlight w:val="none"/>
          <w:lang w:val="en-US" w:eastAsia="zh-CN"/>
          <w14:textFill>
            <w14:solidFill>
              <w14:schemeClr w14:val="tx1"/>
            </w14:solidFill>
          </w14:textFill>
        </w:rPr>
        <w:t>附件2 土地使用证</w:t>
      </w:r>
      <w:bookmarkEnd w:id="82"/>
      <w:r>
        <w:rPr>
          <w:rStyle w:val="45"/>
          <w:rFonts w:hint="eastAsia"/>
          <w:b/>
          <w:bCs/>
          <w:color w:val="000000" w:themeColor="text1"/>
          <w:highlight w:val="none"/>
          <w:lang w:val="en-US" w:eastAsia="zh-CN"/>
          <w14:textFill>
            <w14:solidFill>
              <w14:schemeClr w14:val="tx1"/>
            </w14:solidFill>
          </w14:textFill>
        </w:rPr>
        <w:t>及租赁协议</w:t>
      </w:r>
    </w:p>
    <w:p w14:paraId="3FE99653">
      <w:pPr>
        <w:jc w:val="center"/>
        <w:rPr>
          <w:color w:val="000000" w:themeColor="text1"/>
          <w:highlight w:val="none"/>
          <w14:textFill>
            <w14:solidFill>
              <w14:schemeClr w14:val="tx1"/>
            </w14:solidFill>
          </w14:textFill>
        </w:rPr>
        <w:sectPr>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r>
        <w:rPr>
          <w:color w:val="000000" w:themeColor="text1"/>
          <w:highlight w:val="none"/>
          <w14:textFill>
            <w14:solidFill>
              <w14:schemeClr w14:val="tx1"/>
            </w14:solidFill>
          </w14:textFill>
        </w:rPr>
        <w:drawing>
          <wp:inline distT="0" distB="0" distL="114300" distR="114300">
            <wp:extent cx="7948295" cy="5283200"/>
            <wp:effectExtent l="0" t="0" r="14605" b="12700"/>
            <wp:docPr id="11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8"/>
                    <pic:cNvPicPr>
                      <a:picLocks noChangeAspect="1"/>
                    </pic:cNvPicPr>
                  </pic:nvPicPr>
                  <pic:blipFill>
                    <a:blip r:embed="rId20"/>
                    <a:stretch>
                      <a:fillRect/>
                    </a:stretch>
                  </pic:blipFill>
                  <pic:spPr>
                    <a:xfrm>
                      <a:off x="0" y="0"/>
                      <a:ext cx="7948295" cy="5283200"/>
                    </a:xfrm>
                    <a:prstGeom prst="rect">
                      <a:avLst/>
                    </a:prstGeom>
                    <a:noFill/>
                    <a:ln>
                      <a:noFill/>
                    </a:ln>
                  </pic:spPr>
                </pic:pic>
              </a:graphicData>
            </a:graphic>
          </wp:inline>
        </w:drawing>
      </w:r>
    </w:p>
    <w:p w14:paraId="0FBD3DD9">
      <w:pPr>
        <w:pStyle w:val="35"/>
        <w:jc w:val="center"/>
        <w:rPr>
          <w:rFonts w:hint="default"/>
          <w:color w:val="000000" w:themeColor="text1"/>
          <w:highlight w:val="none"/>
          <w:lang w:val="en-US" w:eastAsia="zh-CN"/>
          <w14:textFill>
            <w14:solidFill>
              <w14:schemeClr w14:val="tx1"/>
            </w14:solidFill>
          </w14:textFill>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r>
        <w:rPr>
          <w:color w:val="000000" w:themeColor="text1"/>
          <w:highlight w:val="none"/>
          <w14:textFill>
            <w14:solidFill>
              <w14:schemeClr w14:val="tx1"/>
            </w14:solidFill>
          </w14:textFill>
        </w:rPr>
        <w:drawing>
          <wp:inline distT="0" distB="0" distL="114300" distR="114300">
            <wp:extent cx="5331460" cy="8526780"/>
            <wp:effectExtent l="0" t="0" r="2540" b="7620"/>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21"/>
                    <a:stretch>
                      <a:fillRect/>
                    </a:stretch>
                  </pic:blipFill>
                  <pic:spPr>
                    <a:xfrm>
                      <a:off x="0" y="0"/>
                      <a:ext cx="5331460" cy="8526780"/>
                    </a:xfrm>
                    <a:prstGeom prst="rect">
                      <a:avLst/>
                    </a:prstGeom>
                    <a:noFill/>
                    <a:ln>
                      <a:noFill/>
                    </a:ln>
                  </pic:spPr>
                </pic:pic>
              </a:graphicData>
            </a:graphic>
          </wp:inline>
        </w:drawing>
      </w:r>
    </w:p>
    <w:p w14:paraId="60A4533A">
      <w:pPr>
        <w:keepNext w:val="0"/>
        <w:keepLines w:val="0"/>
        <w:pageBreakBefore w:val="0"/>
        <w:widowControl w:val="0"/>
        <w:kinsoku/>
        <w:wordWrap/>
        <w:overflowPunct/>
        <w:topLinePunct w:val="0"/>
        <w:autoSpaceDE/>
        <w:autoSpaceDN/>
        <w:bidi w:val="0"/>
        <w:adjustRightInd/>
        <w:snapToGrid/>
        <w:jc w:val="left"/>
        <w:textAlignment w:val="auto"/>
        <w:outlineLvl w:val="0"/>
        <w:rPr>
          <w:rStyle w:val="45"/>
          <w:rFonts w:hint="eastAsia"/>
          <w:b/>
          <w:bCs/>
          <w:color w:val="000000" w:themeColor="text1"/>
          <w:highlight w:val="none"/>
          <w:lang w:val="en-US" w:eastAsia="zh-CN"/>
          <w14:textFill>
            <w14:solidFill>
              <w14:schemeClr w14:val="tx1"/>
            </w14:solidFill>
          </w14:textFill>
        </w:rPr>
      </w:pPr>
      <w:bookmarkStart w:id="83" w:name="_Toc27838"/>
      <w:r>
        <w:rPr>
          <w:rStyle w:val="45"/>
          <w:rFonts w:hint="eastAsia"/>
          <w:b/>
          <w:bCs/>
          <w:color w:val="000000" w:themeColor="text1"/>
          <w:highlight w:val="none"/>
          <w:lang w:val="en-US" w:eastAsia="zh-CN"/>
          <w14:textFill>
            <w14:solidFill>
              <w14:schemeClr w14:val="tx1"/>
            </w14:solidFill>
          </w14:textFill>
        </w:rPr>
        <w:t>附件3引用现状检测报告</w:t>
      </w:r>
      <w:bookmarkEnd w:id="83"/>
      <w:r>
        <w:rPr>
          <w:rStyle w:val="45"/>
          <w:rFonts w:hint="eastAsia"/>
          <w:b/>
          <w:bCs/>
          <w:color w:val="000000" w:themeColor="text1"/>
          <w:highlight w:val="none"/>
          <w:lang w:val="en-US" w:eastAsia="zh-CN"/>
          <w14:textFill>
            <w14:solidFill>
              <w14:schemeClr w14:val="tx1"/>
            </w14:solidFill>
          </w14:textFill>
        </w:rPr>
        <w:t>（节选）</w:t>
      </w:r>
    </w:p>
    <w:p w14:paraId="14376408">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5010150" cy="7105650"/>
            <wp:effectExtent l="0" t="0" r="0" b="0"/>
            <wp:docPr id="6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7"/>
                    <pic:cNvPicPr>
                      <a:picLocks noChangeAspect="1"/>
                    </pic:cNvPicPr>
                  </pic:nvPicPr>
                  <pic:blipFill>
                    <a:blip r:embed="rId22"/>
                    <a:stretch>
                      <a:fillRect/>
                    </a:stretch>
                  </pic:blipFill>
                  <pic:spPr>
                    <a:xfrm>
                      <a:off x="0" y="0"/>
                      <a:ext cx="5010150" cy="710565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581650" cy="7915275"/>
            <wp:effectExtent l="0" t="0" r="0" b="9525"/>
            <wp:docPr id="6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8"/>
                    <pic:cNvPicPr>
                      <a:picLocks noChangeAspect="1"/>
                    </pic:cNvPicPr>
                  </pic:nvPicPr>
                  <pic:blipFill>
                    <a:blip r:embed="rId23"/>
                    <a:stretch>
                      <a:fillRect/>
                    </a:stretch>
                  </pic:blipFill>
                  <pic:spPr>
                    <a:xfrm>
                      <a:off x="0" y="0"/>
                      <a:ext cx="5581650" cy="791527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619115" cy="7934960"/>
            <wp:effectExtent l="0" t="0" r="635" b="8890"/>
            <wp:docPr id="6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9"/>
                    <pic:cNvPicPr>
                      <a:picLocks noChangeAspect="1"/>
                    </pic:cNvPicPr>
                  </pic:nvPicPr>
                  <pic:blipFill>
                    <a:blip r:embed="rId24"/>
                    <a:stretch>
                      <a:fillRect/>
                    </a:stretch>
                  </pic:blipFill>
                  <pic:spPr>
                    <a:xfrm>
                      <a:off x="0" y="0"/>
                      <a:ext cx="5619115" cy="793496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629275" cy="8015605"/>
            <wp:effectExtent l="0" t="0" r="9525" b="4445"/>
            <wp:docPr id="6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10"/>
                    <pic:cNvPicPr>
                      <a:picLocks noChangeAspect="1"/>
                    </pic:cNvPicPr>
                  </pic:nvPicPr>
                  <pic:blipFill>
                    <a:blip r:embed="rId25"/>
                    <a:stretch>
                      <a:fillRect/>
                    </a:stretch>
                  </pic:blipFill>
                  <pic:spPr>
                    <a:xfrm>
                      <a:off x="0" y="0"/>
                      <a:ext cx="5629275" cy="801560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571490" cy="7933690"/>
            <wp:effectExtent l="0" t="0" r="10160" b="10160"/>
            <wp:docPr id="6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11"/>
                    <pic:cNvPicPr>
                      <a:picLocks noChangeAspect="1"/>
                    </pic:cNvPicPr>
                  </pic:nvPicPr>
                  <pic:blipFill>
                    <a:blip r:embed="rId26"/>
                    <a:stretch>
                      <a:fillRect/>
                    </a:stretch>
                  </pic:blipFill>
                  <pic:spPr>
                    <a:xfrm>
                      <a:off x="0" y="0"/>
                      <a:ext cx="5571490" cy="793369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624830" cy="7958455"/>
            <wp:effectExtent l="0" t="0" r="13970" b="4445"/>
            <wp:docPr id="7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12"/>
                    <pic:cNvPicPr>
                      <a:picLocks noChangeAspect="1"/>
                    </pic:cNvPicPr>
                  </pic:nvPicPr>
                  <pic:blipFill>
                    <a:blip r:embed="rId27"/>
                    <a:stretch>
                      <a:fillRect/>
                    </a:stretch>
                  </pic:blipFill>
                  <pic:spPr>
                    <a:xfrm>
                      <a:off x="0" y="0"/>
                      <a:ext cx="5624830" cy="795845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638800" cy="7983855"/>
            <wp:effectExtent l="0" t="0" r="0" b="17145"/>
            <wp:docPr id="7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13"/>
                    <pic:cNvPicPr>
                      <a:picLocks noChangeAspect="1"/>
                    </pic:cNvPicPr>
                  </pic:nvPicPr>
                  <pic:blipFill>
                    <a:blip r:embed="rId28"/>
                    <a:stretch>
                      <a:fillRect/>
                    </a:stretch>
                  </pic:blipFill>
                  <pic:spPr>
                    <a:xfrm>
                      <a:off x="0" y="0"/>
                      <a:ext cx="5638800" cy="798385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600700" cy="7914640"/>
            <wp:effectExtent l="0" t="0" r="0" b="10160"/>
            <wp:docPr id="7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14"/>
                    <pic:cNvPicPr>
                      <a:picLocks noChangeAspect="1"/>
                    </pic:cNvPicPr>
                  </pic:nvPicPr>
                  <pic:blipFill>
                    <a:blip r:embed="rId29"/>
                    <a:stretch>
                      <a:fillRect/>
                    </a:stretch>
                  </pic:blipFill>
                  <pic:spPr>
                    <a:xfrm>
                      <a:off x="0" y="0"/>
                      <a:ext cx="5600700" cy="791464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561965" cy="7864475"/>
            <wp:effectExtent l="0" t="0" r="635" b="3175"/>
            <wp:docPr id="7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15"/>
                    <pic:cNvPicPr>
                      <a:picLocks noChangeAspect="1"/>
                    </pic:cNvPicPr>
                  </pic:nvPicPr>
                  <pic:blipFill>
                    <a:blip r:embed="rId30"/>
                    <a:stretch>
                      <a:fillRect/>
                    </a:stretch>
                  </pic:blipFill>
                  <pic:spPr>
                    <a:xfrm>
                      <a:off x="0" y="0"/>
                      <a:ext cx="5561965" cy="786447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572125" cy="7889240"/>
            <wp:effectExtent l="0" t="0" r="9525" b="16510"/>
            <wp:docPr id="7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6"/>
                    <pic:cNvPicPr>
                      <a:picLocks noChangeAspect="1"/>
                    </pic:cNvPicPr>
                  </pic:nvPicPr>
                  <pic:blipFill>
                    <a:blip r:embed="rId31"/>
                    <a:stretch>
                      <a:fillRect/>
                    </a:stretch>
                  </pic:blipFill>
                  <pic:spPr>
                    <a:xfrm>
                      <a:off x="0" y="0"/>
                      <a:ext cx="5572125" cy="788924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590540" cy="7940040"/>
            <wp:effectExtent l="0" t="0" r="10160" b="3810"/>
            <wp:docPr id="7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7"/>
                    <pic:cNvPicPr>
                      <a:picLocks noChangeAspect="1"/>
                    </pic:cNvPicPr>
                  </pic:nvPicPr>
                  <pic:blipFill>
                    <a:blip r:embed="rId32"/>
                    <a:stretch>
                      <a:fillRect/>
                    </a:stretch>
                  </pic:blipFill>
                  <pic:spPr>
                    <a:xfrm>
                      <a:off x="0" y="0"/>
                      <a:ext cx="5590540" cy="794004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572125" cy="7884795"/>
            <wp:effectExtent l="0" t="0" r="9525" b="1905"/>
            <wp:docPr id="7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18"/>
                    <pic:cNvPicPr>
                      <a:picLocks noChangeAspect="1"/>
                    </pic:cNvPicPr>
                  </pic:nvPicPr>
                  <pic:blipFill>
                    <a:blip r:embed="rId33"/>
                    <a:stretch>
                      <a:fillRect/>
                    </a:stretch>
                  </pic:blipFill>
                  <pic:spPr>
                    <a:xfrm>
                      <a:off x="0" y="0"/>
                      <a:ext cx="5572125" cy="788479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619750" cy="7907655"/>
            <wp:effectExtent l="0" t="0" r="0" b="17145"/>
            <wp:docPr id="7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9"/>
                    <pic:cNvPicPr>
                      <a:picLocks noChangeAspect="1"/>
                    </pic:cNvPicPr>
                  </pic:nvPicPr>
                  <pic:blipFill>
                    <a:blip r:embed="rId34"/>
                    <a:stretch>
                      <a:fillRect/>
                    </a:stretch>
                  </pic:blipFill>
                  <pic:spPr>
                    <a:xfrm>
                      <a:off x="0" y="0"/>
                      <a:ext cx="5619750" cy="790765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619750" cy="7997825"/>
            <wp:effectExtent l="0" t="0" r="0" b="3175"/>
            <wp:docPr id="7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20"/>
                    <pic:cNvPicPr>
                      <a:picLocks noChangeAspect="1"/>
                    </pic:cNvPicPr>
                  </pic:nvPicPr>
                  <pic:blipFill>
                    <a:blip r:embed="rId35"/>
                    <a:stretch>
                      <a:fillRect/>
                    </a:stretch>
                  </pic:blipFill>
                  <pic:spPr>
                    <a:xfrm>
                      <a:off x="0" y="0"/>
                      <a:ext cx="5619750" cy="799782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581650" cy="7929880"/>
            <wp:effectExtent l="0" t="0" r="0" b="13970"/>
            <wp:docPr id="7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21"/>
                    <pic:cNvPicPr>
                      <a:picLocks noChangeAspect="1"/>
                    </pic:cNvPicPr>
                  </pic:nvPicPr>
                  <pic:blipFill>
                    <a:blip r:embed="rId36"/>
                    <a:stretch>
                      <a:fillRect/>
                    </a:stretch>
                  </pic:blipFill>
                  <pic:spPr>
                    <a:xfrm>
                      <a:off x="0" y="0"/>
                      <a:ext cx="5581650" cy="792988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648325" cy="8001635"/>
            <wp:effectExtent l="0" t="0" r="9525" b="18415"/>
            <wp:docPr id="8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22"/>
                    <pic:cNvPicPr>
                      <a:picLocks noChangeAspect="1"/>
                    </pic:cNvPicPr>
                  </pic:nvPicPr>
                  <pic:blipFill>
                    <a:blip r:embed="rId37"/>
                    <a:stretch>
                      <a:fillRect/>
                    </a:stretch>
                  </pic:blipFill>
                  <pic:spPr>
                    <a:xfrm>
                      <a:off x="0" y="0"/>
                      <a:ext cx="5648325" cy="800163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610225" cy="7949565"/>
            <wp:effectExtent l="0" t="0" r="9525" b="13335"/>
            <wp:docPr id="81"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23"/>
                    <pic:cNvPicPr>
                      <a:picLocks noChangeAspect="1"/>
                    </pic:cNvPicPr>
                  </pic:nvPicPr>
                  <pic:blipFill>
                    <a:blip r:embed="rId38"/>
                    <a:stretch>
                      <a:fillRect/>
                    </a:stretch>
                  </pic:blipFill>
                  <pic:spPr>
                    <a:xfrm>
                      <a:off x="0" y="0"/>
                      <a:ext cx="5610225" cy="794956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629275" cy="7919085"/>
            <wp:effectExtent l="0" t="0" r="9525" b="5715"/>
            <wp:docPr id="82"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24"/>
                    <pic:cNvPicPr>
                      <a:picLocks noChangeAspect="1"/>
                    </pic:cNvPicPr>
                  </pic:nvPicPr>
                  <pic:blipFill>
                    <a:blip r:embed="rId39"/>
                    <a:stretch>
                      <a:fillRect/>
                    </a:stretch>
                  </pic:blipFill>
                  <pic:spPr>
                    <a:xfrm>
                      <a:off x="0" y="0"/>
                      <a:ext cx="5629275" cy="791908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610225" cy="7913370"/>
            <wp:effectExtent l="0" t="0" r="9525" b="11430"/>
            <wp:docPr id="83"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25"/>
                    <pic:cNvPicPr>
                      <a:picLocks noChangeAspect="1"/>
                    </pic:cNvPicPr>
                  </pic:nvPicPr>
                  <pic:blipFill>
                    <a:blip r:embed="rId40"/>
                    <a:stretch>
                      <a:fillRect/>
                    </a:stretch>
                  </pic:blipFill>
                  <pic:spPr>
                    <a:xfrm>
                      <a:off x="0" y="0"/>
                      <a:ext cx="5610225" cy="791337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628640" cy="7969250"/>
            <wp:effectExtent l="0" t="0" r="10160" b="12700"/>
            <wp:docPr id="84"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26"/>
                    <pic:cNvPicPr>
                      <a:picLocks noChangeAspect="1"/>
                    </pic:cNvPicPr>
                  </pic:nvPicPr>
                  <pic:blipFill>
                    <a:blip r:embed="rId41"/>
                    <a:stretch>
                      <a:fillRect/>
                    </a:stretch>
                  </pic:blipFill>
                  <pic:spPr>
                    <a:xfrm>
                      <a:off x="0" y="0"/>
                      <a:ext cx="5628640" cy="796925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590540" cy="7941310"/>
            <wp:effectExtent l="0" t="0" r="10160" b="2540"/>
            <wp:docPr id="85"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27"/>
                    <pic:cNvPicPr>
                      <a:picLocks noChangeAspect="1"/>
                    </pic:cNvPicPr>
                  </pic:nvPicPr>
                  <pic:blipFill>
                    <a:blip r:embed="rId42"/>
                    <a:stretch>
                      <a:fillRect/>
                    </a:stretch>
                  </pic:blipFill>
                  <pic:spPr>
                    <a:xfrm>
                      <a:off x="0" y="0"/>
                      <a:ext cx="5590540" cy="794131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629275" cy="7999095"/>
            <wp:effectExtent l="0" t="0" r="9525" b="1905"/>
            <wp:docPr id="86"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28"/>
                    <pic:cNvPicPr>
                      <a:picLocks noChangeAspect="1"/>
                    </pic:cNvPicPr>
                  </pic:nvPicPr>
                  <pic:blipFill>
                    <a:blip r:embed="rId43"/>
                    <a:stretch>
                      <a:fillRect/>
                    </a:stretch>
                  </pic:blipFill>
                  <pic:spPr>
                    <a:xfrm>
                      <a:off x="0" y="0"/>
                      <a:ext cx="5629275" cy="799909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600700" cy="7910830"/>
            <wp:effectExtent l="0" t="0" r="0" b="13970"/>
            <wp:docPr id="87"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29"/>
                    <pic:cNvPicPr>
                      <a:picLocks noChangeAspect="1"/>
                    </pic:cNvPicPr>
                  </pic:nvPicPr>
                  <pic:blipFill>
                    <a:blip r:embed="rId44"/>
                    <a:stretch>
                      <a:fillRect/>
                    </a:stretch>
                  </pic:blipFill>
                  <pic:spPr>
                    <a:xfrm>
                      <a:off x="0" y="0"/>
                      <a:ext cx="5600700" cy="791083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600065" cy="7875905"/>
            <wp:effectExtent l="0" t="0" r="635" b="10795"/>
            <wp:docPr id="88"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30"/>
                    <pic:cNvPicPr>
                      <a:picLocks noChangeAspect="1"/>
                    </pic:cNvPicPr>
                  </pic:nvPicPr>
                  <pic:blipFill>
                    <a:blip r:embed="rId45"/>
                    <a:stretch>
                      <a:fillRect/>
                    </a:stretch>
                  </pic:blipFill>
                  <pic:spPr>
                    <a:xfrm>
                      <a:off x="0" y="0"/>
                      <a:ext cx="5600065" cy="787590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657850" cy="8025765"/>
            <wp:effectExtent l="0" t="0" r="0" b="13335"/>
            <wp:docPr id="98"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31"/>
                    <pic:cNvPicPr>
                      <a:picLocks noChangeAspect="1"/>
                    </pic:cNvPicPr>
                  </pic:nvPicPr>
                  <pic:blipFill>
                    <a:blip r:embed="rId46"/>
                    <a:stretch>
                      <a:fillRect/>
                    </a:stretch>
                  </pic:blipFill>
                  <pic:spPr>
                    <a:xfrm>
                      <a:off x="0" y="0"/>
                      <a:ext cx="5657850" cy="802576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664835" cy="8010525"/>
            <wp:effectExtent l="0" t="0" r="12065" b="9525"/>
            <wp:docPr id="99"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32"/>
                    <pic:cNvPicPr>
                      <a:picLocks noChangeAspect="1"/>
                    </pic:cNvPicPr>
                  </pic:nvPicPr>
                  <pic:blipFill>
                    <a:blip r:embed="rId47"/>
                    <a:stretch>
                      <a:fillRect/>
                    </a:stretch>
                  </pic:blipFill>
                  <pic:spPr>
                    <a:xfrm>
                      <a:off x="0" y="0"/>
                      <a:ext cx="5664835" cy="801052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029200" cy="7105650"/>
            <wp:effectExtent l="0" t="0" r="0" b="0"/>
            <wp:docPr id="100"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33"/>
                    <pic:cNvPicPr>
                      <a:picLocks noChangeAspect="1"/>
                    </pic:cNvPicPr>
                  </pic:nvPicPr>
                  <pic:blipFill>
                    <a:blip r:embed="rId48"/>
                    <a:stretch>
                      <a:fillRect/>
                    </a:stretch>
                  </pic:blipFill>
                  <pic:spPr>
                    <a:xfrm>
                      <a:off x="0" y="0"/>
                      <a:ext cx="5029200" cy="710565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572125" cy="7832725"/>
            <wp:effectExtent l="0" t="0" r="9525" b="15875"/>
            <wp:docPr id="101"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34"/>
                    <pic:cNvPicPr>
                      <a:picLocks noChangeAspect="1"/>
                    </pic:cNvPicPr>
                  </pic:nvPicPr>
                  <pic:blipFill>
                    <a:blip r:embed="rId49"/>
                    <a:stretch>
                      <a:fillRect/>
                    </a:stretch>
                  </pic:blipFill>
                  <pic:spPr>
                    <a:xfrm>
                      <a:off x="0" y="0"/>
                      <a:ext cx="5572125" cy="783272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619115" cy="7990840"/>
            <wp:effectExtent l="0" t="0" r="635" b="10160"/>
            <wp:docPr id="102"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35"/>
                    <pic:cNvPicPr>
                      <a:picLocks noChangeAspect="1"/>
                    </pic:cNvPicPr>
                  </pic:nvPicPr>
                  <pic:blipFill>
                    <a:blip r:embed="rId50"/>
                    <a:stretch>
                      <a:fillRect/>
                    </a:stretch>
                  </pic:blipFill>
                  <pic:spPr>
                    <a:xfrm>
                      <a:off x="0" y="0"/>
                      <a:ext cx="5619115" cy="799084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600700" cy="7996555"/>
            <wp:effectExtent l="0" t="0" r="0" b="4445"/>
            <wp:docPr id="103"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36"/>
                    <pic:cNvPicPr>
                      <a:picLocks noChangeAspect="1"/>
                    </pic:cNvPicPr>
                  </pic:nvPicPr>
                  <pic:blipFill>
                    <a:blip r:embed="rId51"/>
                    <a:stretch>
                      <a:fillRect/>
                    </a:stretch>
                  </pic:blipFill>
                  <pic:spPr>
                    <a:xfrm>
                      <a:off x="0" y="0"/>
                      <a:ext cx="5600700" cy="799655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619750" cy="7931150"/>
            <wp:effectExtent l="0" t="0" r="0" b="12700"/>
            <wp:docPr id="106"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37"/>
                    <pic:cNvPicPr>
                      <a:picLocks noChangeAspect="1"/>
                    </pic:cNvPicPr>
                  </pic:nvPicPr>
                  <pic:blipFill>
                    <a:blip r:embed="rId52"/>
                    <a:stretch>
                      <a:fillRect/>
                    </a:stretch>
                  </pic:blipFill>
                  <pic:spPr>
                    <a:xfrm>
                      <a:off x="0" y="0"/>
                      <a:ext cx="5619750" cy="793115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600065" cy="7907655"/>
            <wp:effectExtent l="0" t="0" r="635" b="17145"/>
            <wp:docPr id="10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38"/>
                    <pic:cNvPicPr>
                      <a:picLocks noChangeAspect="1"/>
                    </pic:cNvPicPr>
                  </pic:nvPicPr>
                  <pic:blipFill>
                    <a:blip r:embed="rId53"/>
                    <a:stretch>
                      <a:fillRect/>
                    </a:stretch>
                  </pic:blipFill>
                  <pic:spPr>
                    <a:xfrm>
                      <a:off x="0" y="0"/>
                      <a:ext cx="5600065" cy="790765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552440" cy="7872095"/>
            <wp:effectExtent l="0" t="0" r="10160" b="14605"/>
            <wp:docPr id="10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39"/>
                    <pic:cNvPicPr>
                      <a:picLocks noChangeAspect="1"/>
                    </pic:cNvPicPr>
                  </pic:nvPicPr>
                  <pic:blipFill>
                    <a:blip r:embed="rId54"/>
                    <a:stretch>
                      <a:fillRect/>
                    </a:stretch>
                  </pic:blipFill>
                  <pic:spPr>
                    <a:xfrm>
                      <a:off x="0" y="0"/>
                      <a:ext cx="5552440" cy="787209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579745" cy="7905115"/>
            <wp:effectExtent l="0" t="0" r="1905" b="635"/>
            <wp:docPr id="11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40"/>
                    <pic:cNvPicPr>
                      <a:picLocks noChangeAspect="1"/>
                    </pic:cNvPicPr>
                  </pic:nvPicPr>
                  <pic:blipFill>
                    <a:blip r:embed="rId55"/>
                    <a:stretch>
                      <a:fillRect/>
                    </a:stretch>
                  </pic:blipFill>
                  <pic:spPr>
                    <a:xfrm>
                      <a:off x="0" y="0"/>
                      <a:ext cx="5579745" cy="790511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5619750" cy="7916545"/>
            <wp:effectExtent l="0" t="0" r="0" b="8255"/>
            <wp:docPr id="113"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1"/>
                    <pic:cNvPicPr>
                      <a:picLocks noChangeAspect="1"/>
                    </pic:cNvPicPr>
                  </pic:nvPicPr>
                  <pic:blipFill>
                    <a:blip r:embed="rId56"/>
                    <a:stretch>
                      <a:fillRect/>
                    </a:stretch>
                  </pic:blipFill>
                  <pic:spPr>
                    <a:xfrm>
                      <a:off x="0" y="0"/>
                      <a:ext cx="5619750" cy="7916545"/>
                    </a:xfrm>
                    <a:prstGeom prst="rect">
                      <a:avLst/>
                    </a:prstGeom>
                    <a:noFill/>
                    <a:ln>
                      <a:noFill/>
                    </a:ln>
                  </pic:spPr>
                </pic:pic>
              </a:graphicData>
            </a:graphic>
          </wp:inline>
        </w:drawing>
      </w:r>
    </w:p>
    <w:p w14:paraId="45AB2FC3">
      <w:pPr>
        <w:rPr>
          <w:color w:val="000000" w:themeColor="text1"/>
          <w:highlight w:val="none"/>
          <w14:textFill>
            <w14:solidFill>
              <w14:schemeClr w14:val="tx1"/>
            </w14:solidFill>
          </w14:textFill>
        </w:rPr>
      </w:pPr>
    </w:p>
    <w:p w14:paraId="1DB2D4DB">
      <w:pPr>
        <w:rPr>
          <w:color w:val="000000" w:themeColor="text1"/>
          <w:highlight w:val="none"/>
          <w14:textFill>
            <w14:solidFill>
              <w14:schemeClr w14:val="tx1"/>
            </w14:solidFill>
          </w14:textFill>
        </w:rPr>
      </w:pPr>
    </w:p>
    <w:p w14:paraId="04EE8092">
      <w:pPr>
        <w:rPr>
          <w:color w:val="000000" w:themeColor="text1"/>
          <w:highlight w:val="none"/>
          <w14:textFill>
            <w14:solidFill>
              <w14:schemeClr w14:val="tx1"/>
            </w14:solidFill>
          </w14:textFill>
        </w:rPr>
      </w:pPr>
    </w:p>
    <w:p w14:paraId="563E23A6">
      <w:pPr>
        <w:outlineLvl w:val="0"/>
        <w:rPr>
          <w:rFonts w:hint="default" w:eastAsia="宋体"/>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附件</w:t>
      </w:r>
      <w:r>
        <w:rPr>
          <w:rFonts w:hint="eastAsia" w:cs="Times New Roman"/>
          <w:b/>
          <w:bCs/>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现状监测报告</w:t>
      </w:r>
    </w:p>
    <w:p w14:paraId="01265567">
      <w:pPr>
        <w:jc w:val="left"/>
        <w:rPr>
          <w:rFonts w:hint="eastAsia"/>
          <w:color w:val="000000" w:themeColor="text1"/>
          <w:highlight w:val="none"/>
          <w:lang w:val="en-US" w:eastAsia="zh-CN"/>
          <w14:textFill>
            <w14:solidFill>
              <w14:schemeClr w14:val="tx1"/>
            </w14:solidFill>
          </w14:textFill>
        </w:rPr>
      </w:pPr>
      <w:r>
        <w:drawing>
          <wp:inline distT="0" distB="0" distL="114300" distR="114300">
            <wp:extent cx="5504815" cy="7833995"/>
            <wp:effectExtent l="0" t="0" r="635" b="1460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57"/>
                    <a:stretch>
                      <a:fillRect/>
                    </a:stretch>
                  </pic:blipFill>
                  <pic:spPr>
                    <a:xfrm>
                      <a:off x="0" y="0"/>
                      <a:ext cx="5504815" cy="7833995"/>
                    </a:xfrm>
                    <a:prstGeom prst="rect">
                      <a:avLst/>
                    </a:prstGeom>
                    <a:noFill/>
                    <a:ln>
                      <a:noFill/>
                    </a:ln>
                  </pic:spPr>
                </pic:pic>
              </a:graphicData>
            </a:graphic>
          </wp:inline>
        </w:drawing>
      </w:r>
      <w:r>
        <w:drawing>
          <wp:inline distT="0" distB="0" distL="114300" distR="114300">
            <wp:extent cx="5628005" cy="8013700"/>
            <wp:effectExtent l="0" t="0" r="10795" b="635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58"/>
                    <a:stretch>
                      <a:fillRect/>
                    </a:stretch>
                  </pic:blipFill>
                  <pic:spPr>
                    <a:xfrm>
                      <a:off x="0" y="0"/>
                      <a:ext cx="5628005" cy="8013700"/>
                    </a:xfrm>
                    <a:prstGeom prst="rect">
                      <a:avLst/>
                    </a:prstGeom>
                    <a:noFill/>
                    <a:ln>
                      <a:noFill/>
                    </a:ln>
                  </pic:spPr>
                </pic:pic>
              </a:graphicData>
            </a:graphic>
          </wp:inline>
        </w:drawing>
      </w:r>
      <w:r>
        <w:drawing>
          <wp:inline distT="0" distB="0" distL="114300" distR="114300">
            <wp:extent cx="5598160" cy="7969885"/>
            <wp:effectExtent l="0" t="0" r="2540" b="12065"/>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59"/>
                    <a:stretch>
                      <a:fillRect/>
                    </a:stretch>
                  </pic:blipFill>
                  <pic:spPr>
                    <a:xfrm>
                      <a:off x="0" y="0"/>
                      <a:ext cx="5598160" cy="7969885"/>
                    </a:xfrm>
                    <a:prstGeom prst="rect">
                      <a:avLst/>
                    </a:prstGeom>
                    <a:noFill/>
                    <a:ln>
                      <a:noFill/>
                    </a:ln>
                  </pic:spPr>
                </pic:pic>
              </a:graphicData>
            </a:graphic>
          </wp:inline>
        </w:drawing>
      </w:r>
      <w:r>
        <w:drawing>
          <wp:inline distT="0" distB="0" distL="114300" distR="114300">
            <wp:extent cx="5585460" cy="7882255"/>
            <wp:effectExtent l="0" t="0" r="15240" b="4445"/>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60"/>
                    <a:stretch>
                      <a:fillRect/>
                    </a:stretch>
                  </pic:blipFill>
                  <pic:spPr>
                    <a:xfrm>
                      <a:off x="0" y="0"/>
                      <a:ext cx="5585460" cy="7882255"/>
                    </a:xfrm>
                    <a:prstGeom prst="rect">
                      <a:avLst/>
                    </a:prstGeom>
                    <a:noFill/>
                    <a:ln>
                      <a:noFill/>
                    </a:ln>
                  </pic:spPr>
                </pic:pic>
              </a:graphicData>
            </a:graphic>
          </wp:inline>
        </w:drawing>
      </w:r>
      <w:r>
        <w:drawing>
          <wp:inline distT="0" distB="0" distL="114300" distR="114300">
            <wp:extent cx="5593080" cy="8004810"/>
            <wp:effectExtent l="0" t="0" r="7620" b="15240"/>
            <wp:docPr id="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1"/>
                    </pic:cNvPicPr>
                  </pic:nvPicPr>
                  <pic:blipFill>
                    <a:blip r:embed="rId61"/>
                    <a:stretch>
                      <a:fillRect/>
                    </a:stretch>
                  </pic:blipFill>
                  <pic:spPr>
                    <a:xfrm>
                      <a:off x="0" y="0"/>
                      <a:ext cx="5593080" cy="8004810"/>
                    </a:xfrm>
                    <a:prstGeom prst="rect">
                      <a:avLst/>
                    </a:prstGeom>
                    <a:noFill/>
                    <a:ln>
                      <a:noFill/>
                    </a:ln>
                  </pic:spPr>
                </pic:pic>
              </a:graphicData>
            </a:graphic>
          </wp:inline>
        </w:drawing>
      </w:r>
      <w:r>
        <w:drawing>
          <wp:inline distT="0" distB="0" distL="114300" distR="114300">
            <wp:extent cx="5620385" cy="8026400"/>
            <wp:effectExtent l="0" t="0" r="18415" b="12700"/>
            <wp:docPr id="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6"/>
                    <pic:cNvPicPr>
                      <a:picLocks noChangeAspect="1"/>
                    </pic:cNvPicPr>
                  </pic:nvPicPr>
                  <pic:blipFill>
                    <a:blip r:embed="rId62"/>
                    <a:stretch>
                      <a:fillRect/>
                    </a:stretch>
                  </pic:blipFill>
                  <pic:spPr>
                    <a:xfrm>
                      <a:off x="0" y="0"/>
                      <a:ext cx="5620385" cy="8026400"/>
                    </a:xfrm>
                    <a:prstGeom prst="rect">
                      <a:avLst/>
                    </a:prstGeom>
                    <a:noFill/>
                    <a:ln>
                      <a:noFill/>
                    </a:ln>
                  </pic:spPr>
                </pic:pic>
              </a:graphicData>
            </a:graphic>
          </wp:inline>
        </w:drawing>
      </w:r>
      <w:r>
        <w:drawing>
          <wp:inline distT="0" distB="0" distL="114300" distR="114300">
            <wp:extent cx="5629275" cy="7927975"/>
            <wp:effectExtent l="0" t="0" r="9525" b="15875"/>
            <wp:docPr id="2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7"/>
                    <pic:cNvPicPr>
                      <a:picLocks noChangeAspect="1"/>
                    </pic:cNvPicPr>
                  </pic:nvPicPr>
                  <pic:blipFill>
                    <a:blip r:embed="rId63"/>
                    <a:stretch>
                      <a:fillRect/>
                    </a:stretch>
                  </pic:blipFill>
                  <pic:spPr>
                    <a:xfrm>
                      <a:off x="0" y="0"/>
                      <a:ext cx="5629275" cy="7927975"/>
                    </a:xfrm>
                    <a:prstGeom prst="rect">
                      <a:avLst/>
                    </a:prstGeom>
                    <a:noFill/>
                    <a:ln>
                      <a:noFill/>
                    </a:ln>
                  </pic:spPr>
                </pic:pic>
              </a:graphicData>
            </a:graphic>
          </wp:inline>
        </w:drawing>
      </w:r>
    </w:p>
    <w:p w14:paraId="2408DE85">
      <w:pPr>
        <w:pStyle w:val="26"/>
        <w:rPr>
          <w:color w:val="000000" w:themeColor="text1"/>
          <w:highlight w:val="none"/>
          <w14:textFill>
            <w14:solidFill>
              <w14:schemeClr w14:val="tx1"/>
            </w14:solidFill>
          </w14:textFill>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r>
        <w:rPr>
          <w:color w:val="000000" w:themeColor="text1"/>
          <w:highlight w:val="none"/>
          <w14:textFill>
            <w14:solidFill>
              <w14:schemeClr w14:val="tx1"/>
            </w14:solidFill>
          </w14:textFill>
        </w:rPr>
        <w:drawing>
          <wp:inline distT="0" distB="0" distL="114300" distR="114300">
            <wp:extent cx="5615305" cy="7938770"/>
            <wp:effectExtent l="0" t="0" r="4445" b="5080"/>
            <wp:docPr id="3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2"/>
                    <pic:cNvPicPr>
                      <a:picLocks noChangeAspect="1"/>
                    </pic:cNvPicPr>
                  </pic:nvPicPr>
                  <pic:blipFill>
                    <a:blip r:embed="rId64"/>
                    <a:stretch>
                      <a:fillRect/>
                    </a:stretch>
                  </pic:blipFill>
                  <pic:spPr>
                    <a:xfrm>
                      <a:off x="0" y="0"/>
                      <a:ext cx="5615305" cy="7938770"/>
                    </a:xfrm>
                    <a:prstGeom prst="rect">
                      <a:avLst/>
                    </a:prstGeom>
                    <a:noFill/>
                    <a:ln>
                      <a:noFill/>
                    </a:ln>
                  </pic:spPr>
                </pic:pic>
              </a:graphicData>
            </a:graphic>
          </wp:inline>
        </w:drawing>
      </w:r>
    </w:p>
    <w:p w14:paraId="5EDE9E0A">
      <w:pPr>
        <w:rPr>
          <w:color w:val="000000" w:themeColor="text1"/>
          <w:highlight w:val="none"/>
          <w14:textFill>
            <w14:solidFill>
              <w14:schemeClr w14:val="tx1"/>
            </w14:solidFill>
          </w14:textFill>
        </w:rPr>
        <w:sectPr>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r>
        <w:rPr>
          <w:color w:val="000000" w:themeColor="text1"/>
          <w:highlight w:val="none"/>
          <w14:textFill>
            <w14:solidFill>
              <w14:schemeClr w14:val="tx1"/>
            </w14:solidFill>
          </w14:textFill>
        </w:rPr>
        <w:drawing>
          <wp:inline distT="0" distB="0" distL="114300" distR="114300">
            <wp:extent cx="7947660" cy="5615305"/>
            <wp:effectExtent l="0" t="0" r="15240" b="4445"/>
            <wp:docPr id="3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3"/>
                    <pic:cNvPicPr>
                      <a:picLocks noChangeAspect="1"/>
                    </pic:cNvPicPr>
                  </pic:nvPicPr>
                  <pic:blipFill>
                    <a:blip r:embed="rId65"/>
                    <a:stretch>
                      <a:fillRect/>
                    </a:stretch>
                  </pic:blipFill>
                  <pic:spPr>
                    <a:xfrm>
                      <a:off x="0" y="0"/>
                      <a:ext cx="7947660" cy="561530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7900670" cy="5614670"/>
            <wp:effectExtent l="0" t="0" r="5080" b="5080"/>
            <wp:docPr id="3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4"/>
                    <pic:cNvPicPr>
                      <a:picLocks noChangeAspect="1"/>
                    </pic:cNvPicPr>
                  </pic:nvPicPr>
                  <pic:blipFill>
                    <a:blip r:embed="rId66"/>
                    <a:stretch>
                      <a:fillRect/>
                    </a:stretch>
                  </pic:blipFill>
                  <pic:spPr>
                    <a:xfrm>
                      <a:off x="0" y="0"/>
                      <a:ext cx="7900670" cy="561467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7959090" cy="5612765"/>
            <wp:effectExtent l="0" t="0" r="3810" b="6985"/>
            <wp:docPr id="4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5"/>
                    <pic:cNvPicPr>
                      <a:picLocks noChangeAspect="1"/>
                    </pic:cNvPicPr>
                  </pic:nvPicPr>
                  <pic:blipFill>
                    <a:blip r:embed="rId67"/>
                    <a:stretch>
                      <a:fillRect/>
                    </a:stretch>
                  </pic:blipFill>
                  <pic:spPr>
                    <a:xfrm>
                      <a:off x="0" y="0"/>
                      <a:ext cx="7959090" cy="561276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7965440" cy="5611495"/>
            <wp:effectExtent l="0" t="0" r="16510" b="8255"/>
            <wp:docPr id="4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6"/>
                    <pic:cNvPicPr>
                      <a:picLocks noChangeAspect="1"/>
                    </pic:cNvPicPr>
                  </pic:nvPicPr>
                  <pic:blipFill>
                    <a:blip r:embed="rId68"/>
                    <a:stretch>
                      <a:fillRect/>
                    </a:stretch>
                  </pic:blipFill>
                  <pic:spPr>
                    <a:xfrm>
                      <a:off x="0" y="0"/>
                      <a:ext cx="7965440" cy="561149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7891145" cy="5614670"/>
            <wp:effectExtent l="0" t="0" r="14605" b="5080"/>
            <wp:docPr id="4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7"/>
                    <pic:cNvPicPr>
                      <a:picLocks noChangeAspect="1"/>
                    </pic:cNvPicPr>
                  </pic:nvPicPr>
                  <pic:blipFill>
                    <a:blip r:embed="rId69"/>
                    <a:stretch>
                      <a:fillRect/>
                    </a:stretch>
                  </pic:blipFill>
                  <pic:spPr>
                    <a:xfrm>
                      <a:off x="0" y="0"/>
                      <a:ext cx="7891145" cy="561467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7990840" cy="5614035"/>
            <wp:effectExtent l="0" t="0" r="10160" b="5715"/>
            <wp:docPr id="4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8"/>
                    <pic:cNvPicPr>
                      <a:picLocks noChangeAspect="1"/>
                    </pic:cNvPicPr>
                  </pic:nvPicPr>
                  <pic:blipFill>
                    <a:blip r:embed="rId70"/>
                    <a:stretch>
                      <a:fillRect/>
                    </a:stretch>
                  </pic:blipFill>
                  <pic:spPr>
                    <a:xfrm>
                      <a:off x="0" y="0"/>
                      <a:ext cx="7990840" cy="561403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7960995" cy="5610225"/>
            <wp:effectExtent l="0" t="0" r="1905" b="9525"/>
            <wp:docPr id="4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9"/>
                    <pic:cNvPicPr>
                      <a:picLocks noChangeAspect="1"/>
                    </pic:cNvPicPr>
                  </pic:nvPicPr>
                  <pic:blipFill>
                    <a:blip r:embed="rId71"/>
                    <a:stretch>
                      <a:fillRect/>
                    </a:stretch>
                  </pic:blipFill>
                  <pic:spPr>
                    <a:xfrm>
                      <a:off x="0" y="0"/>
                      <a:ext cx="7960995" cy="561022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7957185" cy="5615305"/>
            <wp:effectExtent l="0" t="0" r="5715" b="4445"/>
            <wp:docPr id="5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0"/>
                    <pic:cNvPicPr>
                      <a:picLocks noChangeAspect="1"/>
                    </pic:cNvPicPr>
                  </pic:nvPicPr>
                  <pic:blipFill>
                    <a:blip r:embed="rId72"/>
                    <a:stretch>
                      <a:fillRect/>
                    </a:stretch>
                  </pic:blipFill>
                  <pic:spPr>
                    <a:xfrm>
                      <a:off x="0" y="0"/>
                      <a:ext cx="7957185" cy="561530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7947660" cy="5615305"/>
            <wp:effectExtent l="0" t="0" r="15240" b="4445"/>
            <wp:docPr id="5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1"/>
                    <pic:cNvPicPr>
                      <a:picLocks noChangeAspect="1"/>
                    </pic:cNvPicPr>
                  </pic:nvPicPr>
                  <pic:blipFill>
                    <a:blip r:embed="rId73"/>
                    <a:stretch>
                      <a:fillRect/>
                    </a:stretch>
                  </pic:blipFill>
                  <pic:spPr>
                    <a:xfrm>
                      <a:off x="0" y="0"/>
                      <a:ext cx="7947660" cy="561530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7938770" cy="5615305"/>
            <wp:effectExtent l="0" t="0" r="5080" b="4445"/>
            <wp:docPr id="5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2"/>
                    <pic:cNvPicPr>
                      <a:picLocks noChangeAspect="1"/>
                    </pic:cNvPicPr>
                  </pic:nvPicPr>
                  <pic:blipFill>
                    <a:blip r:embed="rId74"/>
                    <a:stretch>
                      <a:fillRect/>
                    </a:stretch>
                  </pic:blipFill>
                  <pic:spPr>
                    <a:xfrm>
                      <a:off x="0" y="0"/>
                      <a:ext cx="7938770" cy="5615305"/>
                    </a:xfrm>
                    <a:prstGeom prst="rect">
                      <a:avLst/>
                    </a:prstGeom>
                    <a:noFill/>
                    <a:ln>
                      <a:noFill/>
                    </a:ln>
                  </pic:spPr>
                </pic:pic>
              </a:graphicData>
            </a:graphic>
          </wp:inline>
        </w:drawing>
      </w:r>
    </w:p>
    <w:p w14:paraId="524CED54">
      <w:pPr>
        <w:pStyle w:val="35"/>
        <w:outlineLvl w:val="0"/>
        <w:rPr>
          <w:rFonts w:hint="default" w:ascii="Times New Roman" w:hAnsi="Times New Roman" w:eastAsia="宋体" w:cs="Times New Roman"/>
          <w:b/>
          <w:bCs/>
          <w:color w:val="000000" w:themeColor="text1"/>
          <w:highlight w:val="none"/>
          <w14:textFill>
            <w14:solidFill>
              <w14:schemeClr w14:val="tx1"/>
            </w14:solidFill>
          </w14:textFill>
        </w:rPr>
      </w:pP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附件5</w:t>
      </w:r>
      <w:r>
        <w:rPr>
          <w:rFonts w:hint="default" w:ascii="Times New Roman" w:hAnsi="Times New Roman" w:eastAsia="宋体" w:cs="Times New Roman"/>
          <w:b/>
          <w:bCs/>
          <w:color w:val="000000" w:themeColor="text1"/>
          <w:highlight w:val="none"/>
          <w14:textFill>
            <w14:solidFill>
              <w14:schemeClr w14:val="tx1"/>
            </w14:solidFill>
          </w14:textFill>
        </w:rPr>
        <w:t>生态环境分区管控分析报告</w:t>
      </w:r>
    </w:p>
    <w:p w14:paraId="3910050C">
      <w:pPr>
        <w:pStyle w:val="35"/>
        <w:rPr>
          <w:color w:val="000000" w:themeColor="text1"/>
          <w:highlight w:val="none"/>
          <w14:textFill>
            <w14:solidFill>
              <w14:schemeClr w14:val="tx1"/>
            </w14:solidFill>
          </w14:textFill>
        </w:rPr>
        <w:sectPr>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r>
        <w:rPr>
          <w:color w:val="000000" w:themeColor="text1"/>
          <w:highlight w:val="none"/>
          <w14:textFill>
            <w14:solidFill>
              <w14:schemeClr w14:val="tx1"/>
            </w14:solidFill>
          </w14:textFill>
        </w:rPr>
        <w:drawing>
          <wp:inline distT="0" distB="0" distL="114300" distR="114300">
            <wp:extent cx="7668895" cy="5400675"/>
            <wp:effectExtent l="0" t="0" r="8255" b="9525"/>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75"/>
                    <a:stretch>
                      <a:fillRect/>
                    </a:stretch>
                  </pic:blipFill>
                  <pic:spPr>
                    <a:xfrm>
                      <a:off x="0" y="0"/>
                      <a:ext cx="7668895" cy="540067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8141335" cy="5581015"/>
            <wp:effectExtent l="0" t="0" r="12065" b="635"/>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76"/>
                    <a:stretch>
                      <a:fillRect/>
                    </a:stretch>
                  </pic:blipFill>
                  <pic:spPr>
                    <a:xfrm>
                      <a:off x="0" y="0"/>
                      <a:ext cx="8141335" cy="558101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7927340" cy="5612765"/>
            <wp:effectExtent l="0" t="0" r="16510" b="6985"/>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77"/>
                    <a:stretch>
                      <a:fillRect/>
                    </a:stretch>
                  </pic:blipFill>
                  <pic:spPr>
                    <a:xfrm>
                      <a:off x="0" y="0"/>
                      <a:ext cx="7927340" cy="561276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7930515" cy="5610860"/>
            <wp:effectExtent l="0" t="0" r="13335" b="8890"/>
            <wp:docPr id="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
                    <pic:cNvPicPr>
                      <a:picLocks noChangeAspect="1"/>
                    </pic:cNvPicPr>
                  </pic:nvPicPr>
                  <pic:blipFill>
                    <a:blip r:embed="rId78"/>
                    <a:stretch>
                      <a:fillRect/>
                    </a:stretch>
                  </pic:blipFill>
                  <pic:spPr>
                    <a:xfrm>
                      <a:off x="0" y="0"/>
                      <a:ext cx="7930515" cy="561086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7901940" cy="5610860"/>
            <wp:effectExtent l="0" t="0" r="3810" b="8890"/>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79"/>
                    <a:stretch>
                      <a:fillRect/>
                    </a:stretch>
                  </pic:blipFill>
                  <pic:spPr>
                    <a:xfrm>
                      <a:off x="0" y="0"/>
                      <a:ext cx="7901940" cy="561086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7936865" cy="5612765"/>
            <wp:effectExtent l="0" t="0" r="6985" b="6985"/>
            <wp:docPr id="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pic:cNvPicPr>
                      <a:picLocks noChangeAspect="1"/>
                    </pic:cNvPicPr>
                  </pic:nvPicPr>
                  <pic:blipFill>
                    <a:blip r:embed="rId80"/>
                    <a:stretch>
                      <a:fillRect/>
                    </a:stretch>
                  </pic:blipFill>
                  <pic:spPr>
                    <a:xfrm>
                      <a:off x="0" y="0"/>
                      <a:ext cx="7936865" cy="561276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7936865" cy="5612765"/>
            <wp:effectExtent l="0" t="0" r="6985" b="6985"/>
            <wp:docPr id="1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8"/>
                    <pic:cNvPicPr>
                      <a:picLocks noChangeAspect="1"/>
                    </pic:cNvPicPr>
                  </pic:nvPicPr>
                  <pic:blipFill>
                    <a:blip r:embed="rId81"/>
                    <a:stretch>
                      <a:fillRect/>
                    </a:stretch>
                  </pic:blipFill>
                  <pic:spPr>
                    <a:xfrm>
                      <a:off x="0" y="0"/>
                      <a:ext cx="7936865" cy="561276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7943215" cy="5614670"/>
            <wp:effectExtent l="0" t="0" r="635" b="5080"/>
            <wp:docPr id="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pic:cNvPicPr>
                      <a:picLocks noChangeAspect="1"/>
                    </pic:cNvPicPr>
                  </pic:nvPicPr>
                  <pic:blipFill>
                    <a:blip r:embed="rId82"/>
                    <a:stretch>
                      <a:fillRect/>
                    </a:stretch>
                  </pic:blipFill>
                  <pic:spPr>
                    <a:xfrm>
                      <a:off x="0" y="0"/>
                      <a:ext cx="7943215" cy="561467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7922260" cy="5614670"/>
            <wp:effectExtent l="0" t="0" r="2540" b="5080"/>
            <wp:docPr id="2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0"/>
                    <pic:cNvPicPr>
                      <a:picLocks noChangeAspect="1"/>
                    </pic:cNvPicPr>
                  </pic:nvPicPr>
                  <pic:blipFill>
                    <a:blip r:embed="rId83"/>
                    <a:stretch>
                      <a:fillRect/>
                    </a:stretch>
                  </pic:blipFill>
                  <pic:spPr>
                    <a:xfrm>
                      <a:off x="0" y="0"/>
                      <a:ext cx="7922260" cy="561467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7917815" cy="5612765"/>
            <wp:effectExtent l="0" t="0" r="6985" b="6985"/>
            <wp:docPr id="2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1"/>
                    <pic:cNvPicPr>
                      <a:picLocks noChangeAspect="1"/>
                    </pic:cNvPicPr>
                  </pic:nvPicPr>
                  <pic:blipFill>
                    <a:blip r:embed="rId84"/>
                    <a:stretch>
                      <a:fillRect/>
                    </a:stretch>
                  </pic:blipFill>
                  <pic:spPr>
                    <a:xfrm>
                      <a:off x="0" y="0"/>
                      <a:ext cx="7917815" cy="5612765"/>
                    </a:xfrm>
                    <a:prstGeom prst="rect">
                      <a:avLst/>
                    </a:prstGeom>
                    <a:noFill/>
                    <a:ln>
                      <a:noFill/>
                    </a:ln>
                  </pic:spPr>
                </pic:pic>
              </a:graphicData>
            </a:graphic>
          </wp:inline>
        </w:drawing>
      </w:r>
    </w:p>
    <w:p w14:paraId="7BF04ACA">
      <w:pPr>
        <w:pStyle w:val="35"/>
        <w:spacing w:line="360" w:lineRule="auto"/>
        <w:outlineLvl w:val="0"/>
        <w:rPr>
          <w:color w:val="000000" w:themeColor="text1"/>
          <w:highlight w:val="none"/>
          <w14:textFill>
            <w14:solidFill>
              <w14:schemeClr w14:val="tx1"/>
            </w14:solidFill>
          </w14:textFill>
        </w:rPr>
      </w:pPr>
      <w:r>
        <w:rPr>
          <w:rFonts w:ascii="Times New Roman"/>
          <w:b/>
          <w:bCs/>
          <w:color w:val="000000" w:themeColor="text1"/>
          <w:szCs w:val="24"/>
          <w:highlight w:val="none"/>
          <w14:textFill>
            <w14:solidFill>
              <w14:schemeClr w14:val="tx1"/>
            </w14:solidFill>
          </w14:textFill>
        </w:rPr>
        <w:t>附件</w:t>
      </w:r>
      <w:r>
        <w:rPr>
          <w:rFonts w:hint="eastAsia" w:ascii="Times New Roman"/>
          <w:b/>
          <w:bCs/>
          <w:color w:val="000000" w:themeColor="text1"/>
          <w:szCs w:val="24"/>
          <w:highlight w:val="none"/>
          <w:lang w:val="en-US" w:eastAsia="zh-CN"/>
          <w14:textFill>
            <w14:solidFill>
              <w14:schemeClr w14:val="tx1"/>
            </w14:solidFill>
          </w14:textFill>
        </w:rPr>
        <w:t>6</w:t>
      </w:r>
      <w:r>
        <w:rPr>
          <w:rFonts w:ascii="Times New Roman"/>
          <w:b/>
          <w:bCs/>
          <w:color w:val="000000" w:themeColor="text1"/>
          <w:szCs w:val="24"/>
          <w:highlight w:val="none"/>
          <w14:textFill>
            <w14:solidFill>
              <w14:schemeClr w14:val="tx1"/>
            </w14:solidFill>
          </w14:textFill>
        </w:rPr>
        <w:t>核定总量计算说明</w:t>
      </w:r>
    </w:p>
    <w:p w14:paraId="595CBA8D">
      <w:pPr>
        <w:spacing w:line="360" w:lineRule="auto"/>
        <w:jc w:val="center"/>
        <w:rPr>
          <w:color w:val="000000" w:themeColor="text1"/>
          <w:sz w:val="24"/>
          <w:highlight w:val="none"/>
          <w14:textFill>
            <w14:solidFill>
              <w14:schemeClr w14:val="tx1"/>
            </w14:solidFill>
          </w14:textFill>
        </w:rPr>
      </w:pPr>
      <w:r>
        <w:rPr>
          <w:b/>
          <w:bCs/>
          <w:color w:val="000000" w:themeColor="text1"/>
          <w:sz w:val="30"/>
          <w:szCs w:val="30"/>
          <w:highlight w:val="none"/>
          <w14:textFill>
            <w14:solidFill>
              <w14:schemeClr w14:val="tx1"/>
            </w14:solidFill>
          </w14:textFill>
        </w:rPr>
        <w:t>核定排放量计算说明</w:t>
      </w:r>
    </w:p>
    <w:p w14:paraId="3EB91C68">
      <w:pPr>
        <w:pStyle w:val="111"/>
        <w:spacing w:line="360" w:lineRule="auto"/>
        <w:rPr>
          <w:rFonts w:ascii="Times New Roman" w:hAnsi="Times New Roman"/>
          <w:color w:val="000000" w:themeColor="text1"/>
          <w:highlight w:val="none"/>
          <w:lang w:bidi="ar"/>
          <w14:textFill>
            <w14:solidFill>
              <w14:schemeClr w14:val="tx1"/>
            </w14:solidFill>
          </w14:textFill>
        </w:rPr>
      </w:pPr>
      <w:r>
        <w:rPr>
          <w:color w:val="000000" w:themeColor="text1"/>
          <w:highlight w:val="none"/>
          <w:lang w:bidi="ar"/>
          <w14:textFill>
            <w14:solidFill>
              <w14:schemeClr w14:val="tx1"/>
            </w14:solidFill>
          </w14:textFill>
        </w:rPr>
        <w:t>1</w:t>
      </w:r>
      <w:r>
        <w:rPr>
          <w:rFonts w:hint="eastAsia"/>
          <w:color w:val="000000" w:themeColor="text1"/>
          <w:highlight w:val="none"/>
          <w:lang w:bidi="ar"/>
          <w14:textFill>
            <w14:solidFill>
              <w14:schemeClr w14:val="tx1"/>
            </w14:solidFill>
          </w14:textFill>
        </w:rPr>
        <w:t>、本</w:t>
      </w:r>
      <w:r>
        <w:rPr>
          <w:rFonts w:ascii="Times New Roman" w:hAnsi="Times New Roman"/>
          <w:color w:val="000000" w:themeColor="text1"/>
          <w:highlight w:val="none"/>
          <w:lang w:bidi="ar"/>
          <w14:textFill>
            <w14:solidFill>
              <w14:schemeClr w14:val="tx1"/>
            </w14:solidFill>
          </w14:textFill>
        </w:rPr>
        <w:t>项目</w:t>
      </w:r>
      <w:r>
        <w:rPr>
          <w:rFonts w:hint="eastAsia" w:ascii="Times New Roman" w:hAnsi="Times New Roman" w:cs="Times New Roman"/>
          <w:color w:val="000000" w:themeColor="text1"/>
          <w:highlight w:val="none"/>
          <w:lang w:val="en-US" w:eastAsia="zh-CN"/>
          <w14:textFill>
            <w14:solidFill>
              <w14:schemeClr w14:val="tx1"/>
            </w14:solidFill>
          </w14:textFill>
        </w:rPr>
        <w:t>挥发性有机物（NMHC）</w:t>
      </w:r>
      <w:r>
        <w:rPr>
          <w:rFonts w:hint="eastAsia" w:ascii="Times New Roman" w:hAnsi="Times New Roman"/>
          <w:color w:val="000000" w:themeColor="text1"/>
          <w:highlight w:val="none"/>
          <w:lang w:eastAsia="zh-CN" w:bidi="ar"/>
          <w14:textFill>
            <w14:solidFill>
              <w14:schemeClr w14:val="tx1"/>
            </w14:solidFill>
          </w14:textFill>
        </w:rPr>
        <w:t>核定排放量</w:t>
      </w:r>
      <w:r>
        <w:rPr>
          <w:rFonts w:ascii="Times New Roman" w:hAnsi="Times New Roman"/>
          <w:color w:val="000000" w:themeColor="text1"/>
          <w:highlight w:val="none"/>
          <w:lang w:bidi="ar"/>
          <w14:textFill>
            <w14:solidFill>
              <w14:schemeClr w14:val="tx1"/>
            </w14:solidFill>
          </w14:textFill>
        </w:rPr>
        <w:t>：</w:t>
      </w:r>
    </w:p>
    <w:p w14:paraId="7C486610">
      <w:pPr>
        <w:pStyle w:val="111"/>
        <w:spacing w:line="360" w:lineRule="auto"/>
        <w:ind w:left="0" w:leftChars="0" w:firstLine="480" w:firstLineChars="200"/>
        <w:rPr>
          <w:rFonts w:hint="default" w:ascii="Times New Roman" w:hAnsi="Times New Roman" w:eastAsia="宋体"/>
          <w:color w:val="000000" w:themeColor="text1"/>
          <w:highlight w:val="none"/>
          <w:lang w:val="en-US" w:eastAsia="zh-CN" w:bidi="ar"/>
          <w14:textFill>
            <w14:solidFill>
              <w14:schemeClr w14:val="tx1"/>
            </w14:solidFill>
          </w14:textFill>
        </w:rPr>
      </w:pPr>
      <w:r>
        <w:rPr>
          <w:rFonts w:hint="eastAsia" w:ascii="Times New Roman" w:hAnsi="Times New Roman" w:cs="Times New Roman"/>
          <w:color w:val="000000" w:themeColor="text1"/>
          <w:highlight w:val="none"/>
          <w:lang w:eastAsia="zh-CN"/>
          <w14:textFill>
            <w14:solidFill>
              <w14:schemeClr w14:val="tx1"/>
            </w14:solidFill>
          </w14:textFill>
        </w:rPr>
        <w:t>本项目</w:t>
      </w:r>
      <w:r>
        <w:rPr>
          <w:rFonts w:hint="eastAsia" w:ascii="Times New Roman" w:hAnsi="Times New Roman" w:cs="Times New Roman"/>
          <w:color w:val="000000" w:themeColor="text1"/>
          <w:highlight w:val="none"/>
          <w:lang w:val="en-US" w:eastAsia="zh-CN"/>
          <w14:textFill>
            <w14:solidFill>
              <w14:schemeClr w14:val="tx1"/>
            </w14:solidFill>
          </w14:textFill>
        </w:rPr>
        <w:t>挥发性有机物（NMHC）</w:t>
      </w:r>
      <w:r>
        <w:rPr>
          <w:rFonts w:hint="eastAsia" w:ascii="Times New Roman" w:hAnsi="Times New Roman" w:cs="Times New Roman"/>
          <w:color w:val="000000" w:themeColor="text1"/>
          <w:highlight w:val="none"/>
          <w:lang w:eastAsia="zh-CN"/>
          <w14:textFill>
            <w14:solidFill>
              <w14:schemeClr w14:val="tx1"/>
            </w14:solidFill>
          </w14:textFill>
        </w:rPr>
        <w:t>有组织排放</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《大气污染物综合排放标准》（GB16297-1996）表2</w:t>
      </w:r>
      <w:r>
        <w:rPr>
          <w:rFonts w:hint="default" w:ascii="Times New Roman" w:hAnsi="Times New Roman" w:eastAsia="宋体" w:cs="Times New Roman"/>
          <w:color w:val="000000" w:themeColor="text1"/>
          <w:highlight w:val="none"/>
          <w14:textFill>
            <w14:solidFill>
              <w14:schemeClr w14:val="tx1"/>
            </w14:solidFill>
          </w14:textFill>
        </w:rPr>
        <w:t>中标</w:t>
      </w:r>
      <w:r>
        <w:rPr>
          <w:rFonts w:hint="default" w:ascii="Times New Roman" w:hAnsi="Times New Roman" w:eastAsia="宋体" w:cs="Times New Roman"/>
          <w:color w:val="000000" w:themeColor="text1"/>
          <w:sz w:val="24"/>
          <w:szCs w:val="24"/>
          <w:highlight w:val="none"/>
          <w14:textFill>
            <w14:solidFill>
              <w14:schemeClr w14:val="tx1"/>
            </w14:solidFill>
          </w14:textFill>
        </w:rPr>
        <w:t>准限值</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120</w:t>
      </w:r>
      <w:r>
        <w:rPr>
          <w:rFonts w:ascii="Times New Roman" w:hAnsi="Times New Roman" w:cs="Times New Roman"/>
          <w:color w:val="000000" w:themeColor="text1"/>
          <w:sz w:val="24"/>
          <w:szCs w:val="24"/>
          <w:highlight w:val="none"/>
          <w14:textFill>
            <w14:solidFill>
              <w14:schemeClr w14:val="tx1"/>
            </w14:solidFill>
          </w14:textFill>
        </w:rPr>
        <w:t>mg/m</w:t>
      </w:r>
      <w:r>
        <w:rPr>
          <w:rFonts w:ascii="Times New Roman" w:hAnsi="Times New Roman" w:cs="Times New Roman"/>
          <w:color w:val="000000" w:themeColor="text1"/>
          <w:sz w:val="24"/>
          <w:szCs w:val="24"/>
          <w:highlight w:val="none"/>
          <w:vertAlign w:val="superscript"/>
          <w14:textFill>
            <w14:solidFill>
              <w14:schemeClr w14:val="tx1"/>
            </w14:solidFill>
          </w14:textFill>
        </w:rPr>
        <w:t>3</w:t>
      </w:r>
      <w:r>
        <w:rPr>
          <w:rFonts w:hint="eastAsia" w:ascii="Times New Roman" w:hAnsi="Times New Roman"/>
          <w:color w:val="000000" w:themeColor="text1"/>
          <w:highlight w:val="none"/>
          <w:lang w:eastAsia="zh-CN" w:bidi="ar"/>
          <w14:textFill>
            <w14:solidFill>
              <w14:schemeClr w14:val="tx1"/>
            </w14:solidFill>
          </w14:textFill>
        </w:rPr>
        <w:t>，</w:t>
      </w:r>
      <w:r>
        <w:rPr>
          <w:rFonts w:hint="eastAsia" w:ascii="Times New Roman" w:hAnsi="Times New Roman"/>
          <w:color w:val="000000" w:themeColor="text1"/>
          <w:highlight w:val="none"/>
          <w:lang w:val="en-US" w:eastAsia="zh-CN" w:bidi="ar"/>
          <w14:textFill>
            <w14:solidFill>
              <w14:schemeClr w14:val="tx1"/>
            </w14:solidFill>
          </w14:textFill>
        </w:rPr>
        <w:t>危险废物贮存库贮存时间8760小时。</w:t>
      </w:r>
    </w:p>
    <w:p w14:paraId="546FA14E">
      <w:pPr>
        <w:pStyle w:val="111"/>
        <w:ind w:left="0" w:leftChars="0" w:firstLine="0" w:firstLineChars="0"/>
        <w:jc w:val="left"/>
        <w:rPr>
          <w:rFonts w:hint="eastAsia" w:ascii="Times New Roman" w:hAnsi="Times New Roman" w:eastAsia="宋体"/>
          <w:color w:val="000000" w:themeColor="text1"/>
          <w:highlight w:val="none"/>
          <w:lang w:val="en-US" w:eastAsia="zh-CN" w:bidi="ar"/>
          <w14:textFill>
            <w14:solidFill>
              <w14:schemeClr w14:val="tx1"/>
            </w14:solidFill>
          </w14:textFill>
        </w:rPr>
      </w:pPr>
      <w:r>
        <w:rPr>
          <w:rFonts w:hint="eastAsia"/>
          <w:color w:val="000000" w:themeColor="text1"/>
          <w:highlight w:val="none"/>
          <w:lang w:val="en-US" w:eastAsia="zh-CN"/>
          <w14:textFill>
            <w14:solidFill>
              <w14:schemeClr w14:val="tx1"/>
            </w14:solidFill>
          </w14:textFill>
        </w:rPr>
        <w:t>挥发性有机物</w:t>
      </w:r>
      <w:r>
        <w:rPr>
          <w:rFonts w:hint="eastAsia" w:ascii="Times New Roman" w:hAnsi="Times New Roman" w:cs="Times New Roman"/>
          <w:color w:val="000000" w:themeColor="text1"/>
          <w:highlight w:val="none"/>
          <w:lang w:val="en-US" w:eastAsia="zh-CN"/>
          <w14:textFill>
            <w14:solidFill>
              <w14:schemeClr w14:val="tx1"/>
            </w14:solidFill>
          </w14:textFill>
        </w:rPr>
        <w:t>（NMHC）</w:t>
      </w:r>
      <w:r>
        <w:rPr>
          <w:rFonts w:hint="eastAsia" w:ascii="Times New Roman" w:hAnsi="Times New Roman"/>
          <w:color w:val="000000" w:themeColor="text1"/>
          <w:highlight w:val="none"/>
          <w:lang w:eastAsia="zh-CN" w:bidi="ar"/>
          <w14:textFill>
            <w14:solidFill>
              <w14:schemeClr w14:val="tx1"/>
            </w14:solidFill>
          </w14:textFill>
        </w:rPr>
        <w:t>有组织核定排放量</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=120</w:t>
      </w:r>
      <w:r>
        <w:rPr>
          <w:rFonts w:ascii="Times New Roman" w:hAnsi="Times New Roman" w:cs="Times New Roman"/>
          <w:color w:val="000000" w:themeColor="text1"/>
          <w:sz w:val="24"/>
          <w:szCs w:val="24"/>
          <w:highlight w:val="none"/>
          <w14:textFill>
            <w14:solidFill>
              <w14:schemeClr w14:val="tx1"/>
            </w14:solidFill>
          </w14:textFill>
        </w:rPr>
        <w:t>mg/m</w:t>
      </w:r>
      <w:r>
        <w:rPr>
          <w:rFonts w:ascii="Times New Roman" w:hAnsi="Times New Roman" w:cs="Times New Roman"/>
          <w:color w:val="000000" w:themeColor="text1"/>
          <w:sz w:val="24"/>
          <w:szCs w:val="24"/>
          <w:highlight w:val="none"/>
          <w:vertAlign w:val="superscript"/>
          <w14:textFill>
            <w14:solidFill>
              <w14:schemeClr w14:val="tx1"/>
            </w14:solidFill>
          </w14:textFill>
        </w:rPr>
        <w:t>3</w:t>
      </w:r>
      <w:r>
        <w:rPr>
          <w:rFonts w:ascii="Times New Roman" w:hAnsi="Times New Roman"/>
          <w:color w:val="000000" w:themeColor="text1"/>
          <w:highlight w:val="none"/>
          <w:lang w:bidi="ar"/>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40000</w:t>
      </w:r>
      <w:r>
        <w:rPr>
          <w:rFonts w:hint="default"/>
          <w:color w:val="000000" w:themeColor="text1"/>
          <w:sz w:val="24"/>
          <w:szCs w:val="24"/>
          <w:highlight w:val="none"/>
          <w14:textFill>
            <w14:solidFill>
              <w14:schemeClr w14:val="tx1"/>
            </w14:solidFill>
          </w14:textFill>
        </w:rPr>
        <w:t>m</w:t>
      </w:r>
      <w:r>
        <w:rPr>
          <w:rFonts w:hint="default"/>
          <w:color w:val="000000" w:themeColor="text1"/>
          <w:sz w:val="24"/>
          <w:szCs w:val="24"/>
          <w:highlight w:val="none"/>
          <w:vertAlign w:val="superscript"/>
          <w14:textFill>
            <w14:solidFill>
              <w14:schemeClr w14:val="tx1"/>
            </w14:solidFill>
          </w14:textFill>
        </w:rPr>
        <w:t>3</w:t>
      </w:r>
      <w:r>
        <w:rPr>
          <w:rFonts w:hint="default"/>
          <w:color w:val="000000" w:themeColor="text1"/>
          <w:sz w:val="24"/>
          <w:szCs w:val="24"/>
          <w:highlight w:val="none"/>
          <w14:textFill>
            <w14:solidFill>
              <w14:schemeClr w14:val="tx1"/>
            </w14:solidFill>
          </w14:textFill>
        </w:rPr>
        <w:t>/h</w:t>
      </w:r>
      <w:r>
        <w:rPr>
          <w:rFonts w:ascii="Times New Roman" w:hAnsi="Times New Roman"/>
          <w:color w:val="000000" w:themeColor="text1"/>
          <w:highlight w:val="none"/>
          <w:lang w:bidi="ar"/>
          <w14:textFill>
            <w14:solidFill>
              <w14:schemeClr w14:val="tx1"/>
            </w14:solidFill>
          </w14:textFill>
        </w:rPr>
        <w:t>×</w:t>
      </w:r>
      <w:r>
        <w:rPr>
          <w:rFonts w:hint="eastAsia" w:ascii="Times New Roman" w:hAnsi="Times New Roman"/>
          <w:color w:val="000000" w:themeColor="text1"/>
          <w:highlight w:val="none"/>
          <w:lang w:val="en-US" w:eastAsia="zh-CN" w:bidi="ar"/>
          <w14:textFill>
            <w14:solidFill>
              <w14:schemeClr w14:val="tx1"/>
            </w14:solidFill>
          </w14:textFill>
        </w:rPr>
        <w:t>8760</w:t>
      </w:r>
      <w:r>
        <w:rPr>
          <w:rFonts w:ascii="Times New Roman" w:hAnsi="Times New Roman"/>
          <w:color w:val="000000" w:themeColor="text1"/>
          <w:highlight w:val="none"/>
          <w:lang w:bidi="ar"/>
          <w14:textFill>
            <w14:solidFill>
              <w14:schemeClr w14:val="tx1"/>
            </w14:solidFill>
          </w14:textFill>
        </w:rPr>
        <w:t>×10</w:t>
      </w:r>
      <w:r>
        <w:rPr>
          <w:rFonts w:ascii="Times New Roman" w:hAnsi="Times New Roman"/>
          <w:color w:val="000000" w:themeColor="text1"/>
          <w:highlight w:val="none"/>
          <w:vertAlign w:val="superscript"/>
          <w:lang w:bidi="ar"/>
          <w14:textFill>
            <w14:solidFill>
              <w14:schemeClr w14:val="tx1"/>
            </w14:solidFill>
          </w14:textFill>
        </w:rPr>
        <w:t>-</w:t>
      </w:r>
      <w:r>
        <w:rPr>
          <w:rFonts w:hint="eastAsia" w:ascii="Times New Roman" w:hAnsi="Times New Roman"/>
          <w:color w:val="000000" w:themeColor="text1"/>
          <w:highlight w:val="none"/>
          <w:vertAlign w:val="superscript"/>
          <w:lang w:val="en-US" w:eastAsia="zh-CN" w:bidi="ar"/>
          <w14:textFill>
            <w14:solidFill>
              <w14:schemeClr w14:val="tx1"/>
            </w14:solidFill>
          </w14:textFill>
        </w:rPr>
        <w:t>9</w:t>
      </w:r>
      <w:r>
        <w:rPr>
          <w:rFonts w:hint="eastAsia" w:ascii="Times New Roman" w:hAnsi="Times New Roman"/>
          <w:color w:val="000000" w:themeColor="text1"/>
          <w:highlight w:val="none"/>
          <w:lang w:val="en-US" w:eastAsia="zh-CN" w:bidi="ar"/>
          <w14:textFill>
            <w14:solidFill>
              <w14:schemeClr w14:val="tx1"/>
            </w14:solidFill>
          </w14:textFill>
        </w:rPr>
        <w:t>=42.05</w:t>
      </w:r>
      <w:r>
        <w:rPr>
          <w:rFonts w:ascii="Times New Roman" w:hAnsi="Times New Roman"/>
          <w:color w:val="000000" w:themeColor="text1"/>
          <w:highlight w:val="none"/>
          <w:lang w:bidi="ar"/>
          <w14:textFill>
            <w14:solidFill>
              <w14:schemeClr w14:val="tx1"/>
            </w14:solidFill>
          </w14:textFill>
        </w:rPr>
        <w:t>t/a</w:t>
      </w:r>
      <w:r>
        <w:rPr>
          <w:rFonts w:hint="eastAsia" w:ascii="Times New Roman" w:hAnsi="Times New Roman"/>
          <w:color w:val="000000" w:themeColor="text1"/>
          <w:highlight w:val="none"/>
          <w:lang w:eastAsia="zh-CN" w:bidi="ar"/>
          <w14:textFill>
            <w14:solidFill>
              <w14:schemeClr w14:val="tx1"/>
            </w14:solidFill>
          </w14:textFill>
        </w:rPr>
        <w:t>。</w:t>
      </w:r>
    </w:p>
    <w:p w14:paraId="548FFEC0">
      <w:pPr>
        <w:pStyle w:val="111"/>
        <w:rPr>
          <w:rFonts w:hint="eastAsia" w:ascii="Times New Roman" w:hAnsi="Times New Roman"/>
          <w:color w:val="000000" w:themeColor="text1"/>
          <w:highlight w:val="none"/>
          <w:lang w:val="en-US" w:eastAsia="zh-CN" w:bidi="ar"/>
          <w14:textFill>
            <w14:solidFill>
              <w14:schemeClr w14:val="tx1"/>
            </w14:solidFill>
          </w14:textFill>
        </w:rPr>
      </w:pPr>
      <w:r>
        <w:rPr>
          <w:rFonts w:hint="eastAsia"/>
          <w:color w:val="000000" w:themeColor="text1"/>
          <w:highlight w:val="none"/>
          <w:lang w:val="en-US" w:eastAsia="zh-CN"/>
          <w14:textFill>
            <w14:solidFill>
              <w14:schemeClr w14:val="tx1"/>
            </w14:solidFill>
          </w14:textFill>
        </w:rPr>
        <w:t>挥发性有机物</w:t>
      </w:r>
      <w:r>
        <w:rPr>
          <w:rFonts w:hint="eastAsia" w:ascii="Times New Roman" w:hAnsi="Times New Roman" w:cs="Times New Roman"/>
          <w:color w:val="000000" w:themeColor="text1"/>
          <w:highlight w:val="none"/>
          <w:lang w:val="en-US" w:eastAsia="zh-CN"/>
          <w14:textFill>
            <w14:solidFill>
              <w14:schemeClr w14:val="tx1"/>
            </w14:solidFill>
          </w14:textFill>
        </w:rPr>
        <w:t>（NMHC）</w:t>
      </w:r>
      <w:r>
        <w:rPr>
          <w:rFonts w:hint="eastAsia" w:ascii="Times New Roman" w:hAnsi="Times New Roman"/>
          <w:color w:val="000000" w:themeColor="text1"/>
          <w:highlight w:val="none"/>
          <w:lang w:eastAsia="zh-CN" w:bidi="ar"/>
          <w14:textFill>
            <w14:solidFill>
              <w14:schemeClr w14:val="tx1"/>
            </w14:solidFill>
          </w14:textFill>
        </w:rPr>
        <w:t>无组织核定排放量</w:t>
      </w:r>
      <w:r>
        <w:rPr>
          <w:rFonts w:hint="eastAsia" w:ascii="Times New Roman" w:hAnsi="Times New Roman"/>
          <w:color w:val="000000" w:themeColor="text1"/>
          <w:highlight w:val="none"/>
          <w:lang w:val="en-US" w:eastAsia="zh-CN" w:bidi="ar"/>
          <w14:textFill>
            <w14:solidFill>
              <w14:schemeClr w14:val="tx1"/>
            </w14:solidFill>
          </w14:textFill>
        </w:rPr>
        <w:t>即为预测量=0.2708</w:t>
      </w:r>
      <w:r>
        <w:rPr>
          <w:rFonts w:ascii="Times New Roman" w:hAnsi="Times New Roman"/>
          <w:color w:val="000000" w:themeColor="text1"/>
          <w:highlight w:val="none"/>
          <w:lang w:bidi="ar"/>
          <w14:textFill>
            <w14:solidFill>
              <w14:schemeClr w14:val="tx1"/>
            </w14:solidFill>
          </w14:textFill>
        </w:rPr>
        <w:t>t/a</w:t>
      </w:r>
      <w:r>
        <w:rPr>
          <w:rFonts w:hint="eastAsia" w:ascii="Times New Roman" w:hAnsi="Times New Roman"/>
          <w:color w:val="000000" w:themeColor="text1"/>
          <w:highlight w:val="none"/>
          <w:lang w:eastAsia="zh-CN" w:bidi="ar"/>
          <w14:textFill>
            <w14:solidFill>
              <w14:schemeClr w14:val="tx1"/>
            </w14:solidFill>
          </w14:textFill>
        </w:rPr>
        <w:t>。</w:t>
      </w:r>
    </w:p>
    <w:p w14:paraId="49E51AEB">
      <w:pPr>
        <w:pStyle w:val="111"/>
        <w:ind w:left="0" w:leftChars="0" w:firstLine="240" w:firstLineChars="100"/>
        <w:rPr>
          <w:rFonts w:hint="eastAsia" w:ascii="Times New Roman" w:hAnsi="Times New Roman" w:eastAsia="宋体"/>
          <w:color w:val="000000" w:themeColor="text1"/>
          <w:highlight w:val="none"/>
          <w:lang w:val="en-US" w:eastAsia="zh-CN" w:bidi="ar"/>
          <w14:textFill>
            <w14:solidFill>
              <w14:schemeClr w14:val="tx1"/>
            </w14:solidFill>
          </w14:textFill>
        </w:rPr>
      </w:pPr>
      <w:r>
        <w:rPr>
          <w:rFonts w:hint="eastAsia" w:ascii="Times New Roman" w:hAnsi="Times New Roman"/>
          <w:color w:val="000000" w:themeColor="text1"/>
          <w:highlight w:val="none"/>
          <w:lang w:val="en-US" w:eastAsia="zh-CN" w:bidi="ar"/>
          <w14:textFill>
            <w14:solidFill>
              <w14:schemeClr w14:val="tx1"/>
            </w14:solidFill>
          </w14:textFill>
        </w:rPr>
        <w:t xml:space="preserve">  3、本项目</w:t>
      </w:r>
      <w:r>
        <w:rPr>
          <w:rFonts w:hint="eastAsia"/>
          <w:color w:val="000000" w:themeColor="text1"/>
          <w:highlight w:val="none"/>
          <w:lang w:val="en-US" w:eastAsia="zh-CN"/>
          <w14:textFill>
            <w14:solidFill>
              <w14:schemeClr w14:val="tx1"/>
            </w14:solidFill>
          </w14:textFill>
        </w:rPr>
        <w:t>挥发性有机物</w:t>
      </w:r>
      <w:r>
        <w:rPr>
          <w:rFonts w:hint="eastAsia" w:ascii="Times New Roman" w:hAnsi="Times New Roman" w:cs="Times New Roman"/>
          <w:color w:val="000000" w:themeColor="text1"/>
          <w:highlight w:val="none"/>
          <w:lang w:val="en-US" w:eastAsia="zh-CN"/>
          <w14:textFill>
            <w14:solidFill>
              <w14:schemeClr w14:val="tx1"/>
            </w14:solidFill>
          </w14:textFill>
        </w:rPr>
        <w:t>（NMHC）</w:t>
      </w:r>
      <w:r>
        <w:rPr>
          <w:rFonts w:hint="eastAsia" w:ascii="Times New Roman" w:hAnsi="Times New Roman"/>
          <w:color w:val="000000" w:themeColor="text1"/>
          <w:highlight w:val="none"/>
          <w:lang w:eastAsia="zh-CN" w:bidi="ar"/>
          <w14:textFill>
            <w14:solidFill>
              <w14:schemeClr w14:val="tx1"/>
            </w14:solidFill>
          </w14:textFill>
        </w:rPr>
        <w:t>核定排放量合计</w:t>
      </w:r>
      <w:r>
        <w:rPr>
          <w:rFonts w:hint="eastAsia" w:ascii="Times New Roman" w:hAnsi="Times New Roman"/>
          <w:color w:val="000000" w:themeColor="text1"/>
          <w:highlight w:val="none"/>
          <w:lang w:val="en-US" w:eastAsia="zh-CN" w:bidi="ar"/>
          <w14:textFill>
            <w14:solidFill>
              <w14:schemeClr w14:val="tx1"/>
            </w14:solidFill>
          </w14:textFill>
        </w:rPr>
        <w:t>=42.05</w:t>
      </w:r>
      <w:r>
        <w:rPr>
          <w:rFonts w:ascii="Times New Roman" w:hAnsi="Times New Roman"/>
          <w:color w:val="000000" w:themeColor="text1"/>
          <w:highlight w:val="none"/>
          <w:lang w:bidi="ar"/>
          <w14:textFill>
            <w14:solidFill>
              <w14:schemeClr w14:val="tx1"/>
            </w14:solidFill>
          </w14:textFill>
        </w:rPr>
        <w:t>t/a</w:t>
      </w:r>
      <w:r>
        <w:rPr>
          <w:rFonts w:hint="eastAsia" w:ascii="Times New Roman" w:hAnsi="Times New Roman"/>
          <w:color w:val="000000" w:themeColor="text1"/>
          <w:highlight w:val="none"/>
          <w:lang w:val="en-US" w:eastAsia="zh-CN" w:bidi="ar"/>
          <w14:textFill>
            <w14:solidFill>
              <w14:schemeClr w14:val="tx1"/>
            </w14:solidFill>
          </w14:textFill>
        </w:rPr>
        <w:t>+0.2708</w:t>
      </w:r>
      <w:r>
        <w:rPr>
          <w:rFonts w:ascii="Times New Roman" w:hAnsi="Times New Roman"/>
          <w:color w:val="000000" w:themeColor="text1"/>
          <w:highlight w:val="none"/>
          <w:lang w:bidi="ar"/>
          <w14:textFill>
            <w14:solidFill>
              <w14:schemeClr w14:val="tx1"/>
            </w14:solidFill>
          </w14:textFill>
        </w:rPr>
        <w:t>t/a</w:t>
      </w:r>
      <w:r>
        <w:rPr>
          <w:rFonts w:hint="eastAsia" w:ascii="Times New Roman" w:hAnsi="Times New Roman"/>
          <w:color w:val="000000" w:themeColor="text1"/>
          <w:highlight w:val="none"/>
          <w:lang w:val="en-US" w:eastAsia="zh-CN" w:bidi="ar"/>
          <w14:textFill>
            <w14:solidFill>
              <w14:schemeClr w14:val="tx1"/>
            </w14:solidFill>
          </w14:textFill>
        </w:rPr>
        <w:t>=42.3208</w:t>
      </w:r>
      <w:r>
        <w:rPr>
          <w:rFonts w:ascii="Times New Roman" w:hAnsi="Times New Roman"/>
          <w:color w:val="000000" w:themeColor="text1"/>
          <w:highlight w:val="none"/>
          <w:lang w:bidi="ar"/>
          <w14:textFill>
            <w14:solidFill>
              <w14:schemeClr w14:val="tx1"/>
            </w14:solidFill>
          </w14:textFill>
        </w:rPr>
        <w:t>t/a</w:t>
      </w:r>
      <w:r>
        <w:rPr>
          <w:rFonts w:hint="eastAsia" w:ascii="Times New Roman" w:hAnsi="Times New Roman"/>
          <w:color w:val="000000" w:themeColor="text1"/>
          <w:highlight w:val="none"/>
          <w:lang w:eastAsia="zh-CN" w:bidi="ar"/>
          <w14:textFill>
            <w14:solidFill>
              <w14:schemeClr w14:val="tx1"/>
            </w14:solidFill>
          </w14:textFill>
        </w:rPr>
        <w:t>。</w:t>
      </w:r>
    </w:p>
    <w:p w14:paraId="7A29E579">
      <w:pPr>
        <w:rPr>
          <w:rFonts w:hint="default"/>
          <w:color w:val="000000" w:themeColor="text1"/>
          <w:highlight w:val="none"/>
          <w:lang w:val="en-US" w:eastAsia="zh-CN"/>
          <w14:textFill>
            <w14:solidFill>
              <w14:schemeClr w14:val="tx1"/>
            </w14:solidFill>
          </w14:textFill>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7F247539">
      <w:pPr>
        <w:jc w:val="center"/>
        <w:rPr>
          <w:rFonts w:hint="default" w:ascii="Times New Roman" w:hAnsi="Times New Roman" w:eastAsia="宋体" w:cs="Times New Roman"/>
          <w:color w:val="000000" w:themeColor="text1"/>
          <w:sz w:val="28"/>
          <w:szCs w:val="36"/>
          <w:highlight w:val="none"/>
          <w:lang w:val="en-US" w:eastAsia="zh-CN"/>
          <w14:textFill>
            <w14:solidFill>
              <w14:schemeClr w14:val="tx1"/>
            </w14:solidFill>
          </w14:textFill>
        </w:rPr>
      </w:pPr>
      <w:bookmarkStart w:id="84" w:name="bookmark17"/>
      <w:bookmarkEnd w:id="84"/>
      <w:r>
        <w:rPr>
          <w:color w:val="000000" w:themeColor="text1"/>
          <w:highlight w:val="none"/>
          <w14:textFill>
            <w14:solidFill>
              <w14:schemeClr w14:val="tx1"/>
            </w14:solidFill>
          </w14:textFill>
        </w:rPr>
        <w:drawing>
          <wp:anchor distT="0" distB="0" distL="114300" distR="114300" simplePos="0" relativeHeight="251685888" behindDoc="0" locked="0" layoutInCell="1" allowOverlap="1">
            <wp:simplePos x="0" y="0"/>
            <wp:positionH relativeFrom="column">
              <wp:posOffset>7565390</wp:posOffset>
            </wp:positionH>
            <wp:positionV relativeFrom="paragraph">
              <wp:posOffset>13970</wp:posOffset>
            </wp:positionV>
            <wp:extent cx="958215" cy="672465"/>
            <wp:effectExtent l="0" t="0" r="13335" b="13335"/>
            <wp:wrapNone/>
            <wp:docPr id="9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2"/>
                    <pic:cNvPicPr>
                      <a:picLocks noChangeAspect="1"/>
                    </pic:cNvPicPr>
                  </pic:nvPicPr>
                  <pic:blipFill>
                    <a:blip r:embed="rId85"/>
                    <a:stretch>
                      <a:fillRect/>
                    </a:stretch>
                  </pic:blipFill>
                  <pic:spPr>
                    <a:xfrm>
                      <a:off x="0" y="0"/>
                      <a:ext cx="958215" cy="672465"/>
                    </a:xfrm>
                    <a:prstGeom prst="rect">
                      <a:avLst/>
                    </a:prstGeom>
                    <a:noFill/>
                    <a:ln>
                      <a:noFill/>
                    </a:ln>
                  </pic:spPr>
                </pic:pic>
              </a:graphicData>
            </a:graphic>
          </wp:anchor>
        </w:drawing>
      </w:r>
      <w:r>
        <w:rPr>
          <w:rFonts w:hint="default" w:ascii="Times New Roman" w:hAnsi="Times New Roman" w:eastAsia="宋体" w:cs="Times New Roman"/>
          <w:color w:val="000000" w:themeColor="text1"/>
          <w:sz w:val="21"/>
          <w:highlight w:val="none"/>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2631440</wp:posOffset>
                </wp:positionH>
                <wp:positionV relativeFrom="paragraph">
                  <wp:posOffset>1828800</wp:posOffset>
                </wp:positionV>
                <wp:extent cx="1238250" cy="286385"/>
                <wp:effectExtent l="4445" t="4445" r="509905" b="299720"/>
                <wp:wrapNone/>
                <wp:docPr id="13" name="自选图形 150"/>
                <wp:cNvGraphicFramePr/>
                <a:graphic xmlns:a="http://schemas.openxmlformats.org/drawingml/2006/main">
                  <a:graphicData uri="http://schemas.microsoft.com/office/word/2010/wordprocessingShape">
                    <wps:wsp>
                      <wps:cNvSpPr/>
                      <wps:spPr>
                        <a:xfrm>
                          <a:off x="0" y="0"/>
                          <a:ext cx="1238250" cy="286385"/>
                        </a:xfrm>
                        <a:prstGeom prst="wedgeRoundRectCallout">
                          <a:avLst>
                            <a:gd name="adj1" fmla="val 87028"/>
                            <a:gd name="adj2" fmla="val 143792"/>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3AA0186E">
                            <w:pPr>
                              <w:rPr>
                                <w:rFonts w:hint="default" w:eastAsia="宋体"/>
                                <w:lang w:val="en-US" w:eastAsia="zh-CN"/>
                              </w:rPr>
                            </w:pPr>
                            <w:r>
                              <w:rPr>
                                <w:rFonts w:hint="eastAsia"/>
                                <w:lang w:val="en-US" w:eastAsia="zh-CN"/>
                              </w:rPr>
                              <w:t>本项目所在位置</w:t>
                            </w:r>
                          </w:p>
                        </w:txbxContent>
                      </wps:txbx>
                      <wps:bodyPr vert="horz" wrap="square" anchor="t" anchorCtr="0" upright="1"/>
                    </wps:wsp>
                  </a:graphicData>
                </a:graphic>
              </wp:anchor>
            </w:drawing>
          </mc:Choice>
          <mc:Fallback>
            <w:pict>
              <v:shape id="自选图形 150" o:spid="_x0000_s1026" o:spt="62" type="#_x0000_t62" style="position:absolute;left:0pt;margin-left:207.2pt;margin-top:144pt;height:22.55pt;width:97.5pt;z-index:251664384;mso-width-relative:page;mso-height-relative:page;" fillcolor="#FFFFFF" filled="t" stroked="t" coordsize="21600,21600" o:gfxdata="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Cg5kk7XAAAACwEAAA8AAAAAAAAAAQAgAAAAIgAAAGRycy9kb3ducmV2LnhtbFBL&#10;AQIUABQAAAAIAIdO4kChXgkSaQIAAOwEAAAOAAAAAAAAAAEAIAAAACYBAABkcnMvZTJvRG9jLnht&#10;bFBLBQYAAAAABgAGAFkBAAABBgAAAAA=&#10;" adj="29598,41859,14400">
                <v:fill on="t" focussize="0,0"/>
                <v:stroke color="#000000" joinstyle="miter"/>
                <v:imagedata o:title=""/>
                <o:lock v:ext="edit" aspectratio="f"/>
                <v:textbox>
                  <w:txbxContent>
                    <w:p w14:paraId="3AA0186E">
                      <w:pPr>
                        <w:rPr>
                          <w:rFonts w:hint="default" w:eastAsia="宋体"/>
                          <w:lang w:val="en-US" w:eastAsia="zh-CN"/>
                        </w:rPr>
                      </w:pPr>
                      <w:r>
                        <w:rPr>
                          <w:rFonts w:hint="eastAsia"/>
                          <w:lang w:val="en-US" w:eastAsia="zh-CN"/>
                        </w:rPr>
                        <w:t>本项目所在位置</w:t>
                      </w:r>
                    </w:p>
                  </w:txbxContent>
                </v:textbox>
              </v:shape>
            </w:pict>
          </mc:Fallback>
        </mc:AlternateContent>
      </w:r>
      <w:bookmarkStart w:id="85" w:name="_Toc11327"/>
      <w:bookmarkStart w:id="86" w:name="_Toc31789"/>
      <w:bookmarkStart w:id="87" w:name="_Toc4677"/>
      <w:bookmarkStart w:id="88" w:name="_Toc27975"/>
      <w:r>
        <w:rPr>
          <w:color w:val="000000" w:themeColor="text1"/>
          <w:highlight w:val="none"/>
          <w14:textFill>
            <w14:solidFill>
              <w14:schemeClr w14:val="tx1"/>
            </w14:solidFill>
          </w14:textFill>
        </w:rPr>
        <w:drawing>
          <wp:inline distT="0" distB="0" distL="114300" distR="114300">
            <wp:extent cx="8524240" cy="4855845"/>
            <wp:effectExtent l="0" t="0" r="10160" b="1905"/>
            <wp:docPr id="11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9"/>
                    <pic:cNvPicPr>
                      <a:picLocks noChangeAspect="1"/>
                    </pic:cNvPicPr>
                  </pic:nvPicPr>
                  <pic:blipFill>
                    <a:blip r:embed="rId86"/>
                    <a:stretch>
                      <a:fillRect/>
                    </a:stretch>
                  </pic:blipFill>
                  <pic:spPr>
                    <a:xfrm>
                      <a:off x="0" y="0"/>
                      <a:ext cx="8524240" cy="4855845"/>
                    </a:xfrm>
                    <a:prstGeom prst="rect">
                      <a:avLst/>
                    </a:prstGeom>
                    <a:noFill/>
                    <a:ln>
                      <a:noFill/>
                    </a:ln>
                  </pic:spPr>
                </pic:pic>
              </a:graphicData>
            </a:graphic>
          </wp:inline>
        </w:drawing>
      </w:r>
    </w:p>
    <w:p w14:paraId="4C728BD5">
      <w:pPr>
        <w:keepNext w:val="0"/>
        <w:keepLines w:val="0"/>
        <w:pageBreakBefore w:val="0"/>
        <w:widowControl w:val="0"/>
        <w:kinsoku/>
        <w:wordWrap/>
        <w:overflowPunct/>
        <w:topLinePunct w:val="0"/>
        <w:autoSpaceDE/>
        <w:autoSpaceDN/>
        <w:bidi w:val="0"/>
        <w:adjustRightInd/>
        <w:snapToGrid/>
        <w:spacing w:before="157" w:beforeLines="50"/>
        <w:jc w:val="center"/>
        <w:textAlignment w:val="auto"/>
        <w:outlineLvl w:val="0"/>
        <w:rPr>
          <w:rFonts w:hint="default" w:ascii="Times New Roman" w:hAnsi="Times New Roman" w:eastAsia="宋体" w:cs="Times New Roman"/>
          <w:color w:val="000000" w:themeColor="text1"/>
          <w:sz w:val="28"/>
          <w:szCs w:val="36"/>
          <w:highlight w:val="none"/>
          <w:lang w:val="en-US" w:eastAsia="zh-CN"/>
          <w14:textFill>
            <w14:solidFill>
              <w14:schemeClr w14:val="tx1"/>
            </w14:solidFill>
          </w14:textFill>
        </w:rPr>
        <w:sectPr>
          <w:headerReference r:id="rId10" w:type="default"/>
          <w:footerReference r:id="rId11" w:type="default"/>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bookmarkStart w:id="89" w:name="_Toc30514"/>
      <w:r>
        <w:rPr>
          <w:rFonts w:hint="default" w:ascii="Times New Roman" w:hAnsi="Times New Roman" w:eastAsia="宋体" w:cs="Times New Roman"/>
          <w:b/>
          <w:bCs/>
          <w:color w:val="000000" w:themeColor="text1"/>
          <w:sz w:val="28"/>
          <w:szCs w:val="36"/>
          <w:highlight w:val="none"/>
          <w:lang w:val="en-US" w:eastAsia="zh-CN"/>
          <w14:textFill>
            <w14:solidFill>
              <w14:schemeClr w14:val="tx1"/>
            </w14:solidFill>
          </w14:textFill>
        </w:rPr>
        <w:t>附图1 建设项目地理位置图</w:t>
      </w:r>
      <w:bookmarkEnd w:id="85"/>
      <w:bookmarkEnd w:id="86"/>
      <w:bookmarkEnd w:id="87"/>
      <w:bookmarkEnd w:id="88"/>
      <w:bookmarkEnd w:id="89"/>
    </w:p>
    <w:p w14:paraId="50882C8B">
      <w:pPr>
        <w:pStyle w:val="34"/>
        <w:jc w:val="center"/>
        <w:rPr>
          <w:color w:val="000000" w:themeColor="text1"/>
          <w:highlight w:val="none"/>
          <w14:textFill>
            <w14:solidFill>
              <w14:schemeClr w14:val="tx1"/>
            </w14:solidFill>
          </w14:textFill>
        </w:rPr>
      </w:pPr>
      <w:r>
        <w:rPr>
          <w:color w:val="000000" w:themeColor="text1"/>
          <w:sz w:val="21"/>
          <w:highlight w:val="none"/>
          <w14:textFill>
            <w14:solidFill>
              <w14:schemeClr w14:val="tx1"/>
            </w14:solidFill>
          </w14:textFill>
        </w:rPr>
        <mc:AlternateContent>
          <mc:Choice Requires="wps">
            <w:drawing>
              <wp:anchor distT="0" distB="0" distL="114300" distR="114300" simplePos="0" relativeHeight="251667456" behindDoc="0" locked="0" layoutInCell="1" allowOverlap="1">
                <wp:simplePos x="0" y="0"/>
                <wp:positionH relativeFrom="column">
                  <wp:posOffset>1014730</wp:posOffset>
                </wp:positionH>
                <wp:positionV relativeFrom="paragraph">
                  <wp:posOffset>605790</wp:posOffset>
                </wp:positionV>
                <wp:extent cx="211455" cy="133985"/>
                <wp:effectExtent l="12700" t="12700" r="23495" b="24765"/>
                <wp:wrapNone/>
                <wp:docPr id="121" name="矩形 121"/>
                <wp:cNvGraphicFramePr/>
                <a:graphic xmlns:a="http://schemas.openxmlformats.org/drawingml/2006/main">
                  <a:graphicData uri="http://schemas.microsoft.com/office/word/2010/wordprocessingShape">
                    <wps:wsp>
                      <wps:cNvSpPr/>
                      <wps:spPr>
                        <a:xfrm>
                          <a:off x="2226945" y="2024380"/>
                          <a:ext cx="211455" cy="13398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9.9pt;margin-top:47.7pt;height:10.55pt;width:16.65pt;z-index:251667456;v-text-anchor:middle;mso-width-relative:page;mso-height-relative:page;" filled="f" stroked="t" coordsize="21600,21600" o:gfxdata="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QW7rM2AAAAAoBAAAPAAAAAAAAAAEAIAAAACIAAABkcnMvZG93bnJldi54bWxQ&#10;SwECFAAUAAAACACHTuJANVVlJGkCAADDBAAADgAAAAAAAAABACAAAAAnAQAAZHJzL2Uyb0RvYy54&#10;bWxQSwUGAAAAAAYABgBZAQAAAgYAAAAA&#10;">
                <v:fill on="f" focussize="0,0"/>
                <v:stroke weight="2pt" color="#FF0000 [2404]" joinstyle="round"/>
                <v:imagedata o:title=""/>
                <o:lock v:ext="edit" aspectratio="f"/>
              </v:rect>
            </w:pict>
          </mc:Fallback>
        </mc:AlternateContent>
      </w:r>
      <w:r>
        <w:rPr>
          <w:color w:val="000000" w:themeColor="text1"/>
          <w:sz w:val="21"/>
          <w:highlight w:val="none"/>
          <w14:textFill>
            <w14:solidFill>
              <w14:schemeClr w14:val="tx1"/>
            </w14:solidFill>
          </w14:textFill>
        </w:rPr>
        <mc:AlternateContent>
          <mc:Choice Requires="wps">
            <w:drawing>
              <wp:anchor distT="0" distB="0" distL="114300" distR="114300" simplePos="0" relativeHeight="251670528" behindDoc="0" locked="0" layoutInCell="1" allowOverlap="1">
                <wp:simplePos x="0" y="0"/>
                <wp:positionH relativeFrom="column">
                  <wp:posOffset>6871970</wp:posOffset>
                </wp:positionH>
                <wp:positionV relativeFrom="paragraph">
                  <wp:posOffset>420370</wp:posOffset>
                </wp:positionV>
                <wp:extent cx="654685" cy="280670"/>
                <wp:effectExtent l="0" t="0" r="12065" b="5080"/>
                <wp:wrapNone/>
                <wp:docPr id="124" name="文本框 124"/>
                <wp:cNvGraphicFramePr/>
                <a:graphic xmlns:a="http://schemas.openxmlformats.org/drawingml/2006/main">
                  <a:graphicData uri="http://schemas.microsoft.com/office/word/2010/wordprocessingShape">
                    <wps:wsp>
                      <wps:cNvSpPr txBox="1"/>
                      <wps:spPr>
                        <a:xfrm>
                          <a:off x="0" y="0"/>
                          <a:ext cx="654685" cy="2806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C5839D">
                            <w:pPr>
                              <w:rPr>
                                <w:rFonts w:hint="default" w:eastAsia="宋体"/>
                                <w:color w:val="FF0000"/>
                                <w:lang w:val="en-US" w:eastAsia="zh-CN"/>
                              </w:rPr>
                            </w:pPr>
                            <w:r>
                              <w:rPr>
                                <w:rFonts w:hint="eastAsia"/>
                                <w:color w:val="FF0000"/>
                                <w:lang w:val="en-US" w:eastAsia="zh-CN"/>
                              </w:rPr>
                              <w:t>DA001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1.1pt;margin-top:33.1pt;height:22.1pt;width:51.55pt;z-index:251670528;mso-width-relative:page;mso-height-relative:page;" filled="f" stroked="f" coordsize="21600,21600" o:gfxdata="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Q5RjPtsAAAAMAQAADwAAAAAAAAABACAAAAAiAAAA&#10;ZHJzL2Rvd25yZXYueG1sUEsBAhQAFAAAAAgAh07iQDKSfeE9AgAAaQQAAA4AAAAAAAAAAQAgAAAA&#10;KgEAAGRycy9lMm9Eb2MueG1sUEsFBgAAAAAGAAYAWQEAANkFAAAAAA==&#10;">
                <v:fill on="f" focussize="0,0"/>
                <v:stroke on="f" weight="0.5pt"/>
                <v:imagedata o:title=""/>
                <o:lock v:ext="edit" aspectratio="f"/>
                <v:textbox>
                  <w:txbxContent>
                    <w:p w14:paraId="7FC5839D">
                      <w:pPr>
                        <w:rPr>
                          <w:rFonts w:hint="default" w:eastAsia="宋体"/>
                          <w:color w:val="FF0000"/>
                          <w:lang w:val="en-US" w:eastAsia="zh-CN"/>
                        </w:rPr>
                      </w:pPr>
                      <w:r>
                        <w:rPr>
                          <w:rFonts w:hint="eastAsia"/>
                          <w:color w:val="FF0000"/>
                          <w:lang w:val="en-US" w:eastAsia="zh-CN"/>
                        </w:rPr>
                        <w:t>DA001</w:t>
                      </w:r>
                    </w:p>
                  </w:txbxContent>
                </v:textbox>
              </v:shape>
            </w:pict>
          </mc:Fallback>
        </mc:AlternateContent>
      </w:r>
      <w:r>
        <w:rPr>
          <w:color w:val="000000" w:themeColor="text1"/>
          <w:sz w:val="21"/>
          <w:highlight w:val="none"/>
          <w14:textFill>
            <w14:solidFill>
              <w14:schemeClr w14:val="tx1"/>
            </w14:solidFill>
          </w14:textFill>
        </w:rPr>
        <mc:AlternateContent>
          <mc:Choice Requires="wps">
            <w:drawing>
              <wp:anchor distT="0" distB="0" distL="114300" distR="114300" simplePos="0" relativeHeight="251669504" behindDoc="0" locked="0" layoutInCell="1" allowOverlap="1">
                <wp:simplePos x="0" y="0"/>
                <wp:positionH relativeFrom="column">
                  <wp:posOffset>7239000</wp:posOffset>
                </wp:positionH>
                <wp:positionV relativeFrom="paragraph">
                  <wp:posOffset>647700</wp:posOffset>
                </wp:positionV>
                <wp:extent cx="85725" cy="75565"/>
                <wp:effectExtent l="12700" t="12700" r="15875" b="26035"/>
                <wp:wrapNone/>
                <wp:docPr id="123" name="流程图: 联系 123"/>
                <wp:cNvGraphicFramePr/>
                <a:graphic xmlns:a="http://schemas.openxmlformats.org/drawingml/2006/main">
                  <a:graphicData uri="http://schemas.microsoft.com/office/word/2010/wordprocessingShape">
                    <wps:wsp>
                      <wps:cNvSpPr/>
                      <wps:spPr>
                        <a:xfrm>
                          <a:off x="8465185" y="2039620"/>
                          <a:ext cx="85725" cy="75565"/>
                        </a:xfrm>
                        <a:prstGeom prst="flowChartConnector">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0" type="#_x0000_t120" style="position:absolute;left:0pt;margin-left:570pt;margin-top:51pt;height:5.95pt;width:6.75pt;z-index:251669504;v-text-anchor:middle;mso-width-relative:page;mso-height-relative:page;" fillcolor="#FF0000" filled="t" stroked="t" coordsize="21600,21600" o:gfxdata="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CXp9OF2QAAAA0BAAAPAAAA&#10;AAAAAAEAIAAAACIAAABkcnMvZG93bnJldi54bWxQSwECFAAUAAAACACHTuJALwVAbYYCAAADBQAA&#10;DgAAAAAAAAABACAAAAAoAQAAZHJzL2Uyb0RvYy54bWxQSwUGAAAAAAYABgBZAQAAIAYAAAAA&#10;">
                <v:fill on="t" focussize="0,0"/>
                <v:stroke weight="2pt" color="#FF0000 [2404]" joinstyle="round"/>
                <v:imagedata o:title=""/>
                <o:lock v:ext="edit" aspectratio="f"/>
              </v:shape>
            </w:pict>
          </mc:Fallback>
        </mc:AlternateContent>
      </w:r>
      <w:r>
        <w:rPr>
          <w:color w:val="000000" w:themeColor="text1"/>
          <w:sz w:val="21"/>
          <w:highlight w:val="none"/>
          <w14:textFill>
            <w14:solidFill>
              <w14:schemeClr w14:val="tx1"/>
            </w14:solidFill>
          </w14:textFill>
        </w:rPr>
        <mc:AlternateContent>
          <mc:Choice Requires="wps">
            <w:drawing>
              <wp:anchor distT="0" distB="0" distL="114300" distR="114300" simplePos="0" relativeHeight="251678720" behindDoc="0" locked="0" layoutInCell="1" allowOverlap="1">
                <wp:simplePos x="0" y="0"/>
                <wp:positionH relativeFrom="column">
                  <wp:posOffset>7368540</wp:posOffset>
                </wp:positionH>
                <wp:positionV relativeFrom="paragraph">
                  <wp:posOffset>383540</wp:posOffset>
                </wp:positionV>
                <wp:extent cx="412115" cy="344170"/>
                <wp:effectExtent l="12700" t="12700" r="13335" b="24130"/>
                <wp:wrapNone/>
                <wp:docPr id="11" name="矩形 11"/>
                <wp:cNvGraphicFramePr/>
                <a:graphic xmlns:a="http://schemas.openxmlformats.org/drawingml/2006/main">
                  <a:graphicData uri="http://schemas.microsoft.com/office/word/2010/wordprocessingShape">
                    <wps:wsp>
                      <wps:cNvSpPr/>
                      <wps:spPr>
                        <a:xfrm>
                          <a:off x="8250555" y="1368425"/>
                          <a:ext cx="412115" cy="344170"/>
                        </a:xfrm>
                        <a:prstGeom prst="rect">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80.2pt;margin-top:30.2pt;height:27.1pt;width:32.45pt;z-index:251678720;v-text-anchor:middle;mso-width-relative:page;mso-height-relative:page;" filled="f" stroked="t" coordsize="21600,21600" o:gfxdata="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rco60dgAAAAMAQAADwAAAAAAAAABACAAAAAiAAAAZHJzL2Rvd25yZXYueG1s&#10;UEsBAhQAFAAAAAgAh07iQLmjQ75qAgAAwQQAAA4AAAAAAAAAAQAgAAAAJwEAAGRycy9lMm9Eb2Mu&#10;eG1sUEsFBgAAAAAGAAYAWQEAAAMGAAAAAA==&#10;">
                <v:fill on="f" focussize="0,0"/>
                <v:stroke weight="2pt" color="#000000 [3213]" joinstyle="round"/>
                <v:imagedata o:title=""/>
                <o:lock v:ext="edit" aspectratio="f"/>
              </v:rect>
            </w:pict>
          </mc:Fallback>
        </mc:AlternateContent>
      </w:r>
      <w:r>
        <w:rPr>
          <w:color w:val="000000" w:themeColor="text1"/>
          <w:sz w:val="21"/>
          <w:highlight w:val="none"/>
          <w14:textFill>
            <w14:solidFill>
              <w14:schemeClr w14:val="tx1"/>
            </w14:solidFill>
          </w14:textFill>
        </w:rPr>
        <mc:AlternateContent>
          <mc:Choice Requires="wps">
            <w:drawing>
              <wp:anchor distT="0" distB="0" distL="114300" distR="114300" simplePos="0" relativeHeight="251677696" behindDoc="0" locked="0" layoutInCell="1" allowOverlap="1">
                <wp:simplePos x="0" y="0"/>
                <wp:positionH relativeFrom="column">
                  <wp:posOffset>5980430</wp:posOffset>
                </wp:positionH>
                <wp:positionV relativeFrom="paragraph">
                  <wp:posOffset>955040</wp:posOffset>
                </wp:positionV>
                <wp:extent cx="1175385" cy="344043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175385" cy="34404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A4B3E0">
                            <w:pPr>
                              <w:spacing w:line="720" w:lineRule="auto"/>
                              <w:rPr>
                                <w:rFonts w:hint="default"/>
                                <w:sz w:val="36"/>
                                <w:szCs w:val="36"/>
                                <w:lang w:val="en-US" w:eastAsia="zh-CN"/>
                              </w:rPr>
                            </w:pPr>
                            <w:r>
                              <w:rPr>
                                <w:rFonts w:hint="eastAsia"/>
                                <w:sz w:val="36"/>
                                <w:szCs w:val="36"/>
                                <w:lang w:val="en-US" w:eastAsia="zh-CN"/>
                              </w:rPr>
                              <w:t>18#</w:t>
                            </w:r>
                          </w:p>
                          <w:p w14:paraId="2B8C0AE1">
                            <w:pPr>
                              <w:pStyle w:val="26"/>
                              <w:spacing w:line="600" w:lineRule="auto"/>
                              <w:ind w:left="0" w:leftChars="0" w:firstLine="0" w:firstLineChars="0"/>
                              <w:rPr>
                                <w:rFonts w:hint="default"/>
                                <w:sz w:val="36"/>
                                <w:szCs w:val="36"/>
                                <w:lang w:val="en-US" w:eastAsia="zh-CN"/>
                              </w:rPr>
                            </w:pPr>
                            <w:r>
                              <w:rPr>
                                <w:rFonts w:hint="eastAsia"/>
                                <w:sz w:val="36"/>
                                <w:szCs w:val="36"/>
                                <w:lang w:val="en-US" w:eastAsia="zh-CN"/>
                              </w:rPr>
                              <w:t>19#</w:t>
                            </w:r>
                          </w:p>
                          <w:p w14:paraId="54BB080E">
                            <w:pPr>
                              <w:pStyle w:val="26"/>
                              <w:spacing w:line="600" w:lineRule="auto"/>
                              <w:ind w:left="0" w:leftChars="0" w:firstLine="0" w:firstLineChars="0"/>
                              <w:rPr>
                                <w:rFonts w:hint="eastAsia"/>
                                <w:sz w:val="36"/>
                                <w:szCs w:val="36"/>
                                <w:lang w:val="en-US" w:eastAsia="zh-CN"/>
                              </w:rPr>
                            </w:pPr>
                          </w:p>
                          <w:p w14:paraId="2695FC4C">
                            <w:pPr>
                              <w:pStyle w:val="26"/>
                              <w:spacing w:line="600" w:lineRule="auto"/>
                              <w:ind w:left="0" w:leftChars="0" w:firstLine="0" w:firstLineChars="0"/>
                              <w:rPr>
                                <w:rFonts w:hint="default"/>
                                <w:sz w:val="36"/>
                                <w:szCs w:val="36"/>
                                <w:lang w:val="en-US" w:eastAsia="zh-CN"/>
                              </w:rPr>
                            </w:pPr>
                            <w:r>
                              <w:rPr>
                                <w:rFonts w:hint="eastAsia"/>
                                <w:sz w:val="36"/>
                                <w:szCs w:val="36"/>
                                <w:lang w:val="en-US" w:eastAsia="zh-CN"/>
                              </w:rPr>
                              <w:t>20#</w:t>
                            </w:r>
                          </w:p>
                          <w:p w14:paraId="1EAA20DA">
                            <w:pPr>
                              <w:pStyle w:val="26"/>
                              <w:ind w:left="0" w:leftChars="0" w:firstLine="0" w:firstLineChars="0"/>
                              <w:rPr>
                                <w:rFonts w:hint="default"/>
                                <w:sz w:val="44"/>
                                <w:szCs w:val="44"/>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70.9pt;margin-top:75.2pt;height:270.9pt;width:92.55pt;z-index:251677696;mso-width-relative:page;mso-height-relative:page;" filled="f" stroked="f" coordsize="21600,21600" o:gfxdata="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MBxixNwAAAAMAQAADwAAAAAAAAABACAAAAAiAAAA&#10;ZHJzL2Rvd25yZXYueG1sUEsBAhQAFAAAAAgAh07iQJc3geo8AgAAZwQAAA4AAAAAAAAAAQAgAAAA&#10;KwEAAGRycy9lMm9Eb2MueG1sUEsFBgAAAAAGAAYAWQEAANkFAAAAAA==&#10;">
                <v:fill on="f" focussize="0,0"/>
                <v:stroke on="f" weight="0.5pt"/>
                <v:imagedata o:title=""/>
                <o:lock v:ext="edit" aspectratio="f"/>
                <v:textbox>
                  <w:txbxContent>
                    <w:p w14:paraId="16A4B3E0">
                      <w:pPr>
                        <w:spacing w:line="720" w:lineRule="auto"/>
                        <w:rPr>
                          <w:rFonts w:hint="default"/>
                          <w:sz w:val="36"/>
                          <w:szCs w:val="36"/>
                          <w:lang w:val="en-US" w:eastAsia="zh-CN"/>
                        </w:rPr>
                      </w:pPr>
                      <w:r>
                        <w:rPr>
                          <w:rFonts w:hint="eastAsia"/>
                          <w:sz w:val="36"/>
                          <w:szCs w:val="36"/>
                          <w:lang w:val="en-US" w:eastAsia="zh-CN"/>
                        </w:rPr>
                        <w:t>18#</w:t>
                      </w:r>
                    </w:p>
                    <w:p w14:paraId="2B8C0AE1">
                      <w:pPr>
                        <w:pStyle w:val="26"/>
                        <w:spacing w:line="600" w:lineRule="auto"/>
                        <w:ind w:left="0" w:leftChars="0" w:firstLine="0" w:firstLineChars="0"/>
                        <w:rPr>
                          <w:rFonts w:hint="default"/>
                          <w:sz w:val="36"/>
                          <w:szCs w:val="36"/>
                          <w:lang w:val="en-US" w:eastAsia="zh-CN"/>
                        </w:rPr>
                      </w:pPr>
                      <w:r>
                        <w:rPr>
                          <w:rFonts w:hint="eastAsia"/>
                          <w:sz w:val="36"/>
                          <w:szCs w:val="36"/>
                          <w:lang w:val="en-US" w:eastAsia="zh-CN"/>
                        </w:rPr>
                        <w:t>19#</w:t>
                      </w:r>
                    </w:p>
                    <w:p w14:paraId="54BB080E">
                      <w:pPr>
                        <w:pStyle w:val="26"/>
                        <w:spacing w:line="600" w:lineRule="auto"/>
                        <w:ind w:left="0" w:leftChars="0" w:firstLine="0" w:firstLineChars="0"/>
                        <w:rPr>
                          <w:rFonts w:hint="eastAsia"/>
                          <w:sz w:val="36"/>
                          <w:szCs w:val="36"/>
                          <w:lang w:val="en-US" w:eastAsia="zh-CN"/>
                        </w:rPr>
                      </w:pPr>
                    </w:p>
                    <w:p w14:paraId="2695FC4C">
                      <w:pPr>
                        <w:pStyle w:val="26"/>
                        <w:spacing w:line="600" w:lineRule="auto"/>
                        <w:ind w:left="0" w:leftChars="0" w:firstLine="0" w:firstLineChars="0"/>
                        <w:rPr>
                          <w:rFonts w:hint="default"/>
                          <w:sz w:val="36"/>
                          <w:szCs w:val="36"/>
                          <w:lang w:val="en-US" w:eastAsia="zh-CN"/>
                        </w:rPr>
                      </w:pPr>
                      <w:r>
                        <w:rPr>
                          <w:rFonts w:hint="eastAsia"/>
                          <w:sz w:val="36"/>
                          <w:szCs w:val="36"/>
                          <w:lang w:val="en-US" w:eastAsia="zh-CN"/>
                        </w:rPr>
                        <w:t>20#</w:t>
                      </w:r>
                    </w:p>
                    <w:p w14:paraId="1EAA20DA">
                      <w:pPr>
                        <w:pStyle w:val="26"/>
                        <w:ind w:left="0" w:leftChars="0" w:firstLine="0" w:firstLineChars="0"/>
                        <w:rPr>
                          <w:rFonts w:hint="default"/>
                          <w:sz w:val="44"/>
                          <w:szCs w:val="44"/>
                          <w:lang w:val="en-US" w:eastAsia="zh-CN"/>
                        </w:rPr>
                      </w:pPr>
                    </w:p>
                  </w:txbxContent>
                </v:textbox>
              </v:shape>
            </w:pict>
          </mc:Fallback>
        </mc:AlternateContent>
      </w:r>
      <w:r>
        <w:rPr>
          <w:color w:val="000000" w:themeColor="text1"/>
          <w:sz w:val="21"/>
          <w:highlight w:val="none"/>
          <w14:textFill>
            <w14:solidFill>
              <w14:schemeClr w14:val="tx1"/>
            </w14:solidFill>
          </w14:textFill>
        </w:rPr>
        <mc:AlternateContent>
          <mc:Choice Requires="wps">
            <w:drawing>
              <wp:anchor distT="0" distB="0" distL="114300" distR="114300" simplePos="0" relativeHeight="251676672" behindDoc="0" locked="0" layoutInCell="1" allowOverlap="1">
                <wp:simplePos x="0" y="0"/>
                <wp:positionH relativeFrom="column">
                  <wp:posOffset>5028565</wp:posOffset>
                </wp:positionH>
                <wp:positionV relativeFrom="paragraph">
                  <wp:posOffset>1153795</wp:posOffset>
                </wp:positionV>
                <wp:extent cx="1175385" cy="344043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175385" cy="34404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4DEE9A">
                            <w:pPr>
                              <w:spacing w:line="720" w:lineRule="auto"/>
                              <w:rPr>
                                <w:rFonts w:hint="default"/>
                                <w:sz w:val="36"/>
                                <w:szCs w:val="36"/>
                                <w:lang w:val="en-US" w:eastAsia="zh-CN"/>
                              </w:rPr>
                            </w:pPr>
                            <w:r>
                              <w:rPr>
                                <w:rFonts w:hint="eastAsia"/>
                                <w:sz w:val="36"/>
                                <w:szCs w:val="36"/>
                                <w:lang w:val="en-US" w:eastAsia="zh-CN"/>
                              </w:rPr>
                              <w:t>14#</w:t>
                            </w:r>
                          </w:p>
                          <w:p w14:paraId="411C9F5B">
                            <w:pPr>
                              <w:pStyle w:val="26"/>
                              <w:spacing w:line="720" w:lineRule="auto"/>
                              <w:ind w:left="0" w:leftChars="0" w:firstLine="0" w:firstLineChars="0"/>
                              <w:rPr>
                                <w:rFonts w:hint="default"/>
                                <w:sz w:val="36"/>
                                <w:szCs w:val="36"/>
                                <w:lang w:val="en-US" w:eastAsia="zh-CN"/>
                              </w:rPr>
                            </w:pPr>
                            <w:r>
                              <w:rPr>
                                <w:rFonts w:hint="eastAsia"/>
                                <w:sz w:val="36"/>
                                <w:szCs w:val="36"/>
                                <w:lang w:val="en-US" w:eastAsia="zh-CN"/>
                              </w:rPr>
                              <w:t>15#</w:t>
                            </w:r>
                          </w:p>
                          <w:p w14:paraId="28AC6257">
                            <w:pPr>
                              <w:spacing w:line="720" w:lineRule="auto"/>
                              <w:rPr>
                                <w:rFonts w:hint="default"/>
                                <w:sz w:val="36"/>
                                <w:szCs w:val="36"/>
                                <w:lang w:val="en-US" w:eastAsia="zh-CN"/>
                              </w:rPr>
                            </w:pPr>
                            <w:r>
                              <w:rPr>
                                <w:rFonts w:hint="eastAsia"/>
                                <w:sz w:val="36"/>
                                <w:szCs w:val="36"/>
                                <w:lang w:val="en-US" w:eastAsia="zh-CN"/>
                              </w:rPr>
                              <w:t>16#</w:t>
                            </w:r>
                          </w:p>
                          <w:p w14:paraId="75BE95E9">
                            <w:pPr>
                              <w:pStyle w:val="26"/>
                              <w:spacing w:line="720" w:lineRule="auto"/>
                              <w:ind w:left="0" w:leftChars="0" w:firstLine="0" w:firstLineChars="0"/>
                              <w:rPr>
                                <w:rFonts w:hint="default"/>
                                <w:sz w:val="36"/>
                                <w:szCs w:val="36"/>
                                <w:lang w:val="en-US" w:eastAsia="zh-CN"/>
                              </w:rPr>
                            </w:pPr>
                            <w:r>
                              <w:rPr>
                                <w:rFonts w:hint="eastAsia"/>
                                <w:sz w:val="36"/>
                                <w:szCs w:val="36"/>
                                <w:lang w:val="en-US" w:eastAsia="zh-CN"/>
                              </w:rPr>
                              <w:t>17#</w:t>
                            </w:r>
                          </w:p>
                          <w:p w14:paraId="00497F43">
                            <w:pPr>
                              <w:pStyle w:val="26"/>
                              <w:ind w:left="0" w:leftChars="0" w:firstLine="0" w:firstLineChars="0"/>
                              <w:rPr>
                                <w:rFonts w:hint="default"/>
                                <w:sz w:val="44"/>
                                <w:szCs w:val="44"/>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95.95pt;margin-top:90.85pt;height:270.9pt;width:92.55pt;z-index:251676672;mso-width-relative:page;mso-height-relative:page;" filled="f" stroked="f" coordsize="21600,21600" o:gfxdata="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e2frH2wAAAAsBAAAPAAAAAAAAAAEAIAAAACIAAABk&#10;cnMvZG93bnJldi54bWxQSwECFAAUAAAACACHTuJAma5pEDwCAABnBAAADgAAAAAAAAABACAAAAAq&#10;AQAAZHJzL2Uyb0RvYy54bWxQSwUGAAAAAAYABgBZAQAA2AUAAAAA&#10;">
                <v:fill on="f" focussize="0,0"/>
                <v:stroke on="f" weight="0.5pt"/>
                <v:imagedata o:title=""/>
                <o:lock v:ext="edit" aspectratio="f"/>
                <v:textbox>
                  <w:txbxContent>
                    <w:p w14:paraId="464DEE9A">
                      <w:pPr>
                        <w:spacing w:line="720" w:lineRule="auto"/>
                        <w:rPr>
                          <w:rFonts w:hint="default"/>
                          <w:sz w:val="36"/>
                          <w:szCs w:val="36"/>
                          <w:lang w:val="en-US" w:eastAsia="zh-CN"/>
                        </w:rPr>
                      </w:pPr>
                      <w:r>
                        <w:rPr>
                          <w:rFonts w:hint="eastAsia"/>
                          <w:sz w:val="36"/>
                          <w:szCs w:val="36"/>
                          <w:lang w:val="en-US" w:eastAsia="zh-CN"/>
                        </w:rPr>
                        <w:t>14#</w:t>
                      </w:r>
                    </w:p>
                    <w:p w14:paraId="411C9F5B">
                      <w:pPr>
                        <w:pStyle w:val="26"/>
                        <w:spacing w:line="720" w:lineRule="auto"/>
                        <w:ind w:left="0" w:leftChars="0" w:firstLine="0" w:firstLineChars="0"/>
                        <w:rPr>
                          <w:rFonts w:hint="default"/>
                          <w:sz w:val="36"/>
                          <w:szCs w:val="36"/>
                          <w:lang w:val="en-US" w:eastAsia="zh-CN"/>
                        </w:rPr>
                      </w:pPr>
                      <w:r>
                        <w:rPr>
                          <w:rFonts w:hint="eastAsia"/>
                          <w:sz w:val="36"/>
                          <w:szCs w:val="36"/>
                          <w:lang w:val="en-US" w:eastAsia="zh-CN"/>
                        </w:rPr>
                        <w:t>15#</w:t>
                      </w:r>
                    </w:p>
                    <w:p w14:paraId="28AC6257">
                      <w:pPr>
                        <w:spacing w:line="720" w:lineRule="auto"/>
                        <w:rPr>
                          <w:rFonts w:hint="default"/>
                          <w:sz w:val="36"/>
                          <w:szCs w:val="36"/>
                          <w:lang w:val="en-US" w:eastAsia="zh-CN"/>
                        </w:rPr>
                      </w:pPr>
                      <w:r>
                        <w:rPr>
                          <w:rFonts w:hint="eastAsia"/>
                          <w:sz w:val="36"/>
                          <w:szCs w:val="36"/>
                          <w:lang w:val="en-US" w:eastAsia="zh-CN"/>
                        </w:rPr>
                        <w:t>16#</w:t>
                      </w:r>
                    </w:p>
                    <w:p w14:paraId="75BE95E9">
                      <w:pPr>
                        <w:pStyle w:val="26"/>
                        <w:spacing w:line="720" w:lineRule="auto"/>
                        <w:ind w:left="0" w:leftChars="0" w:firstLine="0" w:firstLineChars="0"/>
                        <w:rPr>
                          <w:rFonts w:hint="default"/>
                          <w:sz w:val="36"/>
                          <w:szCs w:val="36"/>
                          <w:lang w:val="en-US" w:eastAsia="zh-CN"/>
                        </w:rPr>
                      </w:pPr>
                      <w:r>
                        <w:rPr>
                          <w:rFonts w:hint="eastAsia"/>
                          <w:sz w:val="36"/>
                          <w:szCs w:val="36"/>
                          <w:lang w:val="en-US" w:eastAsia="zh-CN"/>
                        </w:rPr>
                        <w:t>17#</w:t>
                      </w:r>
                    </w:p>
                    <w:p w14:paraId="00497F43">
                      <w:pPr>
                        <w:pStyle w:val="26"/>
                        <w:ind w:left="0" w:leftChars="0" w:firstLine="0" w:firstLineChars="0"/>
                        <w:rPr>
                          <w:rFonts w:hint="default"/>
                          <w:sz w:val="44"/>
                          <w:szCs w:val="44"/>
                          <w:lang w:val="en-US" w:eastAsia="zh-CN"/>
                        </w:rPr>
                      </w:pPr>
                    </w:p>
                  </w:txbxContent>
                </v:textbox>
              </v:shape>
            </w:pict>
          </mc:Fallback>
        </mc:AlternateContent>
      </w:r>
      <w:r>
        <w:rPr>
          <w:color w:val="000000" w:themeColor="text1"/>
          <w:sz w:val="21"/>
          <w:highlight w:val="none"/>
          <w14:textFill>
            <w14:solidFill>
              <w14:schemeClr w14:val="tx1"/>
            </w14:solidFill>
          </w14:textFill>
        </w:rPr>
        <mc:AlternateContent>
          <mc:Choice Requires="wps">
            <w:drawing>
              <wp:anchor distT="0" distB="0" distL="114300" distR="114300" simplePos="0" relativeHeight="251675648" behindDoc="0" locked="0" layoutInCell="1" allowOverlap="1">
                <wp:simplePos x="0" y="0"/>
                <wp:positionH relativeFrom="column">
                  <wp:posOffset>2851785</wp:posOffset>
                </wp:positionH>
                <wp:positionV relativeFrom="paragraph">
                  <wp:posOffset>1054100</wp:posOffset>
                </wp:positionV>
                <wp:extent cx="1175385" cy="344043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175385" cy="34404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C8DE9D">
                            <w:pPr>
                              <w:spacing w:line="720" w:lineRule="auto"/>
                              <w:rPr>
                                <w:rFonts w:hint="default"/>
                                <w:sz w:val="36"/>
                                <w:szCs w:val="36"/>
                                <w:lang w:val="en-US" w:eastAsia="zh-CN"/>
                              </w:rPr>
                            </w:pPr>
                            <w:r>
                              <w:rPr>
                                <w:rFonts w:hint="eastAsia"/>
                                <w:sz w:val="36"/>
                                <w:szCs w:val="36"/>
                                <w:lang w:val="en-US" w:eastAsia="zh-CN"/>
                              </w:rPr>
                              <w:t>10#</w:t>
                            </w:r>
                          </w:p>
                          <w:p w14:paraId="4B93AEEF">
                            <w:pPr>
                              <w:pStyle w:val="26"/>
                              <w:spacing w:line="720" w:lineRule="auto"/>
                              <w:ind w:left="0" w:leftChars="0" w:firstLine="0" w:firstLineChars="0"/>
                              <w:rPr>
                                <w:rFonts w:hint="default"/>
                                <w:sz w:val="36"/>
                                <w:szCs w:val="36"/>
                                <w:lang w:val="en-US" w:eastAsia="zh-CN"/>
                              </w:rPr>
                            </w:pPr>
                            <w:r>
                              <w:rPr>
                                <w:rFonts w:hint="eastAsia"/>
                                <w:sz w:val="36"/>
                                <w:szCs w:val="36"/>
                                <w:lang w:val="en-US" w:eastAsia="zh-CN"/>
                              </w:rPr>
                              <w:t>11#</w:t>
                            </w:r>
                          </w:p>
                          <w:p w14:paraId="5240394A">
                            <w:pPr>
                              <w:spacing w:line="720" w:lineRule="auto"/>
                              <w:rPr>
                                <w:rFonts w:hint="default"/>
                                <w:sz w:val="36"/>
                                <w:szCs w:val="36"/>
                                <w:lang w:val="en-US" w:eastAsia="zh-CN"/>
                              </w:rPr>
                            </w:pPr>
                            <w:r>
                              <w:rPr>
                                <w:rFonts w:hint="eastAsia"/>
                                <w:sz w:val="36"/>
                                <w:szCs w:val="36"/>
                                <w:lang w:val="en-US" w:eastAsia="zh-CN"/>
                              </w:rPr>
                              <w:t>12#</w:t>
                            </w:r>
                          </w:p>
                          <w:p w14:paraId="78E79321">
                            <w:pPr>
                              <w:pStyle w:val="26"/>
                              <w:spacing w:line="720" w:lineRule="auto"/>
                              <w:ind w:left="0" w:leftChars="0" w:firstLine="0" w:firstLineChars="0"/>
                              <w:rPr>
                                <w:rFonts w:hint="default"/>
                                <w:sz w:val="36"/>
                                <w:szCs w:val="36"/>
                                <w:lang w:val="en-US" w:eastAsia="zh-CN"/>
                              </w:rPr>
                            </w:pPr>
                            <w:r>
                              <w:rPr>
                                <w:rFonts w:hint="eastAsia"/>
                                <w:sz w:val="36"/>
                                <w:szCs w:val="36"/>
                                <w:lang w:val="en-US" w:eastAsia="zh-CN"/>
                              </w:rPr>
                              <w:t>13#</w:t>
                            </w:r>
                          </w:p>
                          <w:p w14:paraId="7CA37A56">
                            <w:pPr>
                              <w:pStyle w:val="26"/>
                              <w:ind w:left="0" w:leftChars="0" w:firstLine="0" w:firstLineChars="0"/>
                              <w:rPr>
                                <w:rFonts w:hint="default"/>
                                <w:sz w:val="44"/>
                                <w:szCs w:val="44"/>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4.55pt;margin-top:83pt;height:270.9pt;width:92.55pt;z-index:251675648;mso-width-relative:page;mso-height-relative:page;" filled="f" stroked="f" coordsize="21600,21600" o:gfxdata="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SlHzF9wAAAALAQAADwAAAAAAAAABACAAAAAiAAAA&#10;ZHJzL2Rvd25yZXYueG1sUEsBAhQAFAAAAAgAh07iQLbzF/o8AgAAZwQAAA4AAAAAAAAAAQAgAAAA&#10;KwEAAGRycy9lMm9Eb2MueG1sUEsFBgAAAAAGAAYAWQEAANkFAAAAAA==&#10;">
                <v:fill on="f" focussize="0,0"/>
                <v:stroke on="f" weight="0.5pt"/>
                <v:imagedata o:title=""/>
                <o:lock v:ext="edit" aspectratio="f"/>
                <v:textbox>
                  <w:txbxContent>
                    <w:p w14:paraId="23C8DE9D">
                      <w:pPr>
                        <w:spacing w:line="720" w:lineRule="auto"/>
                        <w:rPr>
                          <w:rFonts w:hint="default"/>
                          <w:sz w:val="36"/>
                          <w:szCs w:val="36"/>
                          <w:lang w:val="en-US" w:eastAsia="zh-CN"/>
                        </w:rPr>
                      </w:pPr>
                      <w:r>
                        <w:rPr>
                          <w:rFonts w:hint="eastAsia"/>
                          <w:sz w:val="36"/>
                          <w:szCs w:val="36"/>
                          <w:lang w:val="en-US" w:eastAsia="zh-CN"/>
                        </w:rPr>
                        <w:t>10#</w:t>
                      </w:r>
                    </w:p>
                    <w:p w14:paraId="4B93AEEF">
                      <w:pPr>
                        <w:pStyle w:val="26"/>
                        <w:spacing w:line="720" w:lineRule="auto"/>
                        <w:ind w:left="0" w:leftChars="0" w:firstLine="0" w:firstLineChars="0"/>
                        <w:rPr>
                          <w:rFonts w:hint="default"/>
                          <w:sz w:val="36"/>
                          <w:szCs w:val="36"/>
                          <w:lang w:val="en-US" w:eastAsia="zh-CN"/>
                        </w:rPr>
                      </w:pPr>
                      <w:r>
                        <w:rPr>
                          <w:rFonts w:hint="eastAsia"/>
                          <w:sz w:val="36"/>
                          <w:szCs w:val="36"/>
                          <w:lang w:val="en-US" w:eastAsia="zh-CN"/>
                        </w:rPr>
                        <w:t>11#</w:t>
                      </w:r>
                    </w:p>
                    <w:p w14:paraId="5240394A">
                      <w:pPr>
                        <w:spacing w:line="720" w:lineRule="auto"/>
                        <w:rPr>
                          <w:rFonts w:hint="default"/>
                          <w:sz w:val="36"/>
                          <w:szCs w:val="36"/>
                          <w:lang w:val="en-US" w:eastAsia="zh-CN"/>
                        </w:rPr>
                      </w:pPr>
                      <w:r>
                        <w:rPr>
                          <w:rFonts w:hint="eastAsia"/>
                          <w:sz w:val="36"/>
                          <w:szCs w:val="36"/>
                          <w:lang w:val="en-US" w:eastAsia="zh-CN"/>
                        </w:rPr>
                        <w:t>12#</w:t>
                      </w:r>
                    </w:p>
                    <w:p w14:paraId="78E79321">
                      <w:pPr>
                        <w:pStyle w:val="26"/>
                        <w:spacing w:line="720" w:lineRule="auto"/>
                        <w:ind w:left="0" w:leftChars="0" w:firstLine="0" w:firstLineChars="0"/>
                        <w:rPr>
                          <w:rFonts w:hint="default"/>
                          <w:sz w:val="36"/>
                          <w:szCs w:val="36"/>
                          <w:lang w:val="en-US" w:eastAsia="zh-CN"/>
                        </w:rPr>
                      </w:pPr>
                      <w:r>
                        <w:rPr>
                          <w:rFonts w:hint="eastAsia"/>
                          <w:sz w:val="36"/>
                          <w:szCs w:val="36"/>
                          <w:lang w:val="en-US" w:eastAsia="zh-CN"/>
                        </w:rPr>
                        <w:t>13#</w:t>
                      </w:r>
                    </w:p>
                    <w:p w14:paraId="7CA37A56">
                      <w:pPr>
                        <w:pStyle w:val="26"/>
                        <w:ind w:left="0" w:leftChars="0" w:firstLine="0" w:firstLineChars="0"/>
                        <w:rPr>
                          <w:rFonts w:hint="default"/>
                          <w:sz w:val="44"/>
                          <w:szCs w:val="44"/>
                          <w:lang w:val="en-US" w:eastAsia="zh-CN"/>
                        </w:rPr>
                      </w:pPr>
                    </w:p>
                  </w:txbxContent>
                </v:textbox>
              </v:shape>
            </w:pict>
          </mc:Fallback>
        </mc:AlternateContent>
      </w:r>
      <w:r>
        <w:rPr>
          <w:color w:val="000000" w:themeColor="text1"/>
          <w:sz w:val="21"/>
          <w:highlight w:val="none"/>
          <w14:textFill>
            <w14:solidFill>
              <w14:schemeClr w14:val="tx1"/>
            </w14:solidFill>
          </w14:textFill>
        </w:rPr>
        <mc:AlternateContent>
          <mc:Choice Requires="wps">
            <w:drawing>
              <wp:anchor distT="0" distB="0" distL="114300" distR="114300" simplePos="0" relativeHeight="251674624" behindDoc="0" locked="0" layoutInCell="1" allowOverlap="1">
                <wp:simplePos x="0" y="0"/>
                <wp:positionH relativeFrom="column">
                  <wp:posOffset>965200</wp:posOffset>
                </wp:positionH>
                <wp:positionV relativeFrom="paragraph">
                  <wp:posOffset>783590</wp:posOffset>
                </wp:positionV>
                <wp:extent cx="1030605" cy="3836035"/>
                <wp:effectExtent l="0" t="0" r="0" b="0"/>
                <wp:wrapNone/>
                <wp:docPr id="4" name="文本框 4"/>
                <wp:cNvGraphicFramePr/>
                <a:graphic xmlns:a="http://schemas.openxmlformats.org/drawingml/2006/main">
                  <a:graphicData uri="http://schemas.microsoft.com/office/word/2010/wordprocessingShape">
                    <wps:wsp>
                      <wps:cNvSpPr txBox="1"/>
                      <wps:spPr>
                        <a:xfrm>
                          <a:off x="2427605" y="2241550"/>
                          <a:ext cx="1030605" cy="38360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726E91">
                            <w:pPr>
                              <w:rPr>
                                <w:rFonts w:hint="default"/>
                                <w:sz w:val="44"/>
                                <w:szCs w:val="44"/>
                                <w:lang w:val="en-US" w:eastAsia="zh-CN"/>
                              </w:rPr>
                            </w:pPr>
                            <w:r>
                              <w:rPr>
                                <w:rFonts w:hint="eastAsia"/>
                                <w:sz w:val="44"/>
                                <w:szCs w:val="44"/>
                                <w:lang w:val="en-US" w:eastAsia="zh-CN"/>
                              </w:rPr>
                              <w:t>1#</w:t>
                            </w:r>
                          </w:p>
                          <w:p w14:paraId="4EE1D1CD">
                            <w:pPr>
                              <w:pStyle w:val="26"/>
                              <w:ind w:left="0" w:leftChars="0" w:firstLine="0" w:firstLineChars="0"/>
                              <w:rPr>
                                <w:rFonts w:hint="default"/>
                                <w:sz w:val="44"/>
                                <w:szCs w:val="44"/>
                                <w:lang w:val="en-US" w:eastAsia="zh-CN"/>
                              </w:rPr>
                            </w:pPr>
                            <w:r>
                              <w:rPr>
                                <w:rFonts w:hint="eastAsia"/>
                                <w:sz w:val="44"/>
                                <w:szCs w:val="44"/>
                                <w:lang w:val="en-US" w:eastAsia="zh-CN"/>
                              </w:rPr>
                              <w:t>2#</w:t>
                            </w:r>
                          </w:p>
                          <w:p w14:paraId="43B7DD99">
                            <w:pPr>
                              <w:spacing w:line="360" w:lineRule="auto"/>
                              <w:rPr>
                                <w:rFonts w:hint="default"/>
                                <w:sz w:val="44"/>
                                <w:szCs w:val="44"/>
                                <w:lang w:val="en-US" w:eastAsia="zh-CN"/>
                              </w:rPr>
                            </w:pPr>
                            <w:r>
                              <w:rPr>
                                <w:rFonts w:hint="eastAsia"/>
                                <w:sz w:val="44"/>
                                <w:szCs w:val="44"/>
                                <w:lang w:val="en-US" w:eastAsia="zh-CN"/>
                              </w:rPr>
                              <w:t>3#</w:t>
                            </w:r>
                          </w:p>
                          <w:p w14:paraId="07A58DB5">
                            <w:pPr>
                              <w:pStyle w:val="26"/>
                              <w:spacing w:line="240" w:lineRule="auto"/>
                              <w:ind w:left="0" w:leftChars="0" w:firstLine="0" w:firstLineChars="0"/>
                              <w:rPr>
                                <w:rFonts w:hint="default"/>
                                <w:sz w:val="44"/>
                                <w:szCs w:val="44"/>
                                <w:lang w:val="en-US" w:eastAsia="zh-CN"/>
                              </w:rPr>
                            </w:pPr>
                            <w:r>
                              <w:rPr>
                                <w:rFonts w:hint="eastAsia"/>
                                <w:sz w:val="44"/>
                                <w:szCs w:val="44"/>
                                <w:lang w:val="en-US" w:eastAsia="zh-CN"/>
                              </w:rPr>
                              <w:t>4#</w:t>
                            </w:r>
                          </w:p>
                          <w:p w14:paraId="5B1B6629">
                            <w:pPr>
                              <w:spacing w:line="240" w:lineRule="auto"/>
                              <w:rPr>
                                <w:rFonts w:hint="default"/>
                                <w:sz w:val="44"/>
                                <w:szCs w:val="44"/>
                                <w:lang w:val="en-US" w:eastAsia="zh-CN"/>
                              </w:rPr>
                            </w:pPr>
                            <w:r>
                              <w:rPr>
                                <w:rFonts w:hint="eastAsia"/>
                                <w:sz w:val="44"/>
                                <w:szCs w:val="44"/>
                                <w:lang w:val="en-US" w:eastAsia="zh-CN"/>
                              </w:rPr>
                              <w:t>5#</w:t>
                            </w:r>
                          </w:p>
                          <w:p w14:paraId="62BDF44D">
                            <w:pPr>
                              <w:pStyle w:val="26"/>
                              <w:ind w:left="0" w:leftChars="0" w:firstLine="0" w:firstLineChars="0"/>
                              <w:rPr>
                                <w:rFonts w:hint="default"/>
                                <w:sz w:val="44"/>
                                <w:szCs w:val="44"/>
                                <w:lang w:val="en-US" w:eastAsia="zh-CN"/>
                              </w:rPr>
                            </w:pPr>
                            <w:r>
                              <w:rPr>
                                <w:rFonts w:hint="eastAsia"/>
                                <w:sz w:val="44"/>
                                <w:szCs w:val="44"/>
                                <w:lang w:val="en-US" w:eastAsia="zh-CN"/>
                              </w:rPr>
                              <w:t>6#</w:t>
                            </w:r>
                          </w:p>
                          <w:p w14:paraId="79FC6DBD">
                            <w:pPr>
                              <w:rPr>
                                <w:rFonts w:hint="default"/>
                                <w:sz w:val="44"/>
                                <w:szCs w:val="44"/>
                                <w:lang w:val="en-US" w:eastAsia="zh-CN"/>
                              </w:rPr>
                            </w:pPr>
                            <w:r>
                              <w:rPr>
                                <w:rFonts w:hint="eastAsia"/>
                                <w:sz w:val="44"/>
                                <w:szCs w:val="44"/>
                                <w:lang w:val="en-US" w:eastAsia="zh-CN"/>
                              </w:rPr>
                              <w:t>7#</w:t>
                            </w:r>
                          </w:p>
                          <w:p w14:paraId="085DD5C9">
                            <w:pPr>
                              <w:pStyle w:val="26"/>
                              <w:spacing w:line="240" w:lineRule="auto"/>
                              <w:ind w:left="0" w:leftChars="0" w:firstLine="0" w:firstLineChars="0"/>
                              <w:rPr>
                                <w:rFonts w:hint="default"/>
                                <w:sz w:val="44"/>
                                <w:szCs w:val="44"/>
                                <w:lang w:val="en-US" w:eastAsia="zh-CN"/>
                              </w:rPr>
                            </w:pPr>
                            <w:r>
                              <w:rPr>
                                <w:rFonts w:hint="eastAsia"/>
                                <w:sz w:val="44"/>
                                <w:szCs w:val="44"/>
                                <w:lang w:val="en-US" w:eastAsia="zh-CN"/>
                              </w:rPr>
                              <w:t>8#</w:t>
                            </w:r>
                          </w:p>
                          <w:p w14:paraId="47560C3D">
                            <w:pPr>
                              <w:spacing w:line="240" w:lineRule="auto"/>
                              <w:rPr>
                                <w:rFonts w:hint="default"/>
                                <w:sz w:val="44"/>
                                <w:szCs w:val="44"/>
                                <w:lang w:val="en-US" w:eastAsia="zh-CN"/>
                              </w:rPr>
                            </w:pPr>
                            <w:r>
                              <w:rPr>
                                <w:rFonts w:hint="eastAsia"/>
                                <w:sz w:val="44"/>
                                <w:szCs w:val="44"/>
                                <w:lang w:val="en-US" w:eastAsia="zh-CN"/>
                              </w:rPr>
                              <w:t>9#</w:t>
                            </w:r>
                          </w:p>
                          <w:p w14:paraId="6ABBEBC7">
                            <w:pPr>
                              <w:pStyle w:val="26"/>
                              <w:ind w:left="0" w:leftChars="0" w:firstLine="0" w:firstLineChars="0"/>
                              <w:rPr>
                                <w:rFonts w:hint="default"/>
                                <w:sz w:val="44"/>
                                <w:szCs w:val="44"/>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6pt;margin-top:61.7pt;height:302.05pt;width:81.15pt;z-index:251674624;mso-width-relative:page;mso-height-relative:page;" filled="f" stroked="f" coordsize="21600,21600" o:gfxdata="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1alwK3AAAAAsBAAAPAAAAAAAAAAEA&#10;IAAAACIAAABkcnMvZG93bnJldi54bWxQSwECFAAUAAAACACHTuJAcDnm4kQCAABzBAAADgAAAAAA&#10;AAABACAAAAArAQAAZHJzL2Uyb0RvYy54bWxQSwUGAAAAAAYABgBZAQAA4QUAAAAA&#10;">
                <v:fill on="f" focussize="0,0"/>
                <v:stroke on="f" weight="0.5pt"/>
                <v:imagedata o:title=""/>
                <o:lock v:ext="edit" aspectratio="f"/>
                <v:textbox>
                  <w:txbxContent>
                    <w:p w14:paraId="2F726E91">
                      <w:pPr>
                        <w:rPr>
                          <w:rFonts w:hint="default"/>
                          <w:sz w:val="44"/>
                          <w:szCs w:val="44"/>
                          <w:lang w:val="en-US" w:eastAsia="zh-CN"/>
                        </w:rPr>
                      </w:pPr>
                      <w:r>
                        <w:rPr>
                          <w:rFonts w:hint="eastAsia"/>
                          <w:sz w:val="44"/>
                          <w:szCs w:val="44"/>
                          <w:lang w:val="en-US" w:eastAsia="zh-CN"/>
                        </w:rPr>
                        <w:t>1#</w:t>
                      </w:r>
                    </w:p>
                    <w:p w14:paraId="4EE1D1CD">
                      <w:pPr>
                        <w:pStyle w:val="26"/>
                        <w:ind w:left="0" w:leftChars="0" w:firstLine="0" w:firstLineChars="0"/>
                        <w:rPr>
                          <w:rFonts w:hint="default"/>
                          <w:sz w:val="44"/>
                          <w:szCs w:val="44"/>
                          <w:lang w:val="en-US" w:eastAsia="zh-CN"/>
                        </w:rPr>
                      </w:pPr>
                      <w:r>
                        <w:rPr>
                          <w:rFonts w:hint="eastAsia"/>
                          <w:sz w:val="44"/>
                          <w:szCs w:val="44"/>
                          <w:lang w:val="en-US" w:eastAsia="zh-CN"/>
                        </w:rPr>
                        <w:t>2#</w:t>
                      </w:r>
                    </w:p>
                    <w:p w14:paraId="43B7DD99">
                      <w:pPr>
                        <w:spacing w:line="360" w:lineRule="auto"/>
                        <w:rPr>
                          <w:rFonts w:hint="default"/>
                          <w:sz w:val="44"/>
                          <w:szCs w:val="44"/>
                          <w:lang w:val="en-US" w:eastAsia="zh-CN"/>
                        </w:rPr>
                      </w:pPr>
                      <w:r>
                        <w:rPr>
                          <w:rFonts w:hint="eastAsia"/>
                          <w:sz w:val="44"/>
                          <w:szCs w:val="44"/>
                          <w:lang w:val="en-US" w:eastAsia="zh-CN"/>
                        </w:rPr>
                        <w:t>3#</w:t>
                      </w:r>
                    </w:p>
                    <w:p w14:paraId="07A58DB5">
                      <w:pPr>
                        <w:pStyle w:val="26"/>
                        <w:spacing w:line="240" w:lineRule="auto"/>
                        <w:ind w:left="0" w:leftChars="0" w:firstLine="0" w:firstLineChars="0"/>
                        <w:rPr>
                          <w:rFonts w:hint="default"/>
                          <w:sz w:val="44"/>
                          <w:szCs w:val="44"/>
                          <w:lang w:val="en-US" w:eastAsia="zh-CN"/>
                        </w:rPr>
                      </w:pPr>
                      <w:r>
                        <w:rPr>
                          <w:rFonts w:hint="eastAsia"/>
                          <w:sz w:val="44"/>
                          <w:szCs w:val="44"/>
                          <w:lang w:val="en-US" w:eastAsia="zh-CN"/>
                        </w:rPr>
                        <w:t>4#</w:t>
                      </w:r>
                    </w:p>
                    <w:p w14:paraId="5B1B6629">
                      <w:pPr>
                        <w:spacing w:line="240" w:lineRule="auto"/>
                        <w:rPr>
                          <w:rFonts w:hint="default"/>
                          <w:sz w:val="44"/>
                          <w:szCs w:val="44"/>
                          <w:lang w:val="en-US" w:eastAsia="zh-CN"/>
                        </w:rPr>
                      </w:pPr>
                      <w:r>
                        <w:rPr>
                          <w:rFonts w:hint="eastAsia"/>
                          <w:sz w:val="44"/>
                          <w:szCs w:val="44"/>
                          <w:lang w:val="en-US" w:eastAsia="zh-CN"/>
                        </w:rPr>
                        <w:t>5#</w:t>
                      </w:r>
                    </w:p>
                    <w:p w14:paraId="62BDF44D">
                      <w:pPr>
                        <w:pStyle w:val="26"/>
                        <w:ind w:left="0" w:leftChars="0" w:firstLine="0" w:firstLineChars="0"/>
                        <w:rPr>
                          <w:rFonts w:hint="default"/>
                          <w:sz w:val="44"/>
                          <w:szCs w:val="44"/>
                          <w:lang w:val="en-US" w:eastAsia="zh-CN"/>
                        </w:rPr>
                      </w:pPr>
                      <w:r>
                        <w:rPr>
                          <w:rFonts w:hint="eastAsia"/>
                          <w:sz w:val="44"/>
                          <w:szCs w:val="44"/>
                          <w:lang w:val="en-US" w:eastAsia="zh-CN"/>
                        </w:rPr>
                        <w:t>6#</w:t>
                      </w:r>
                    </w:p>
                    <w:p w14:paraId="79FC6DBD">
                      <w:pPr>
                        <w:rPr>
                          <w:rFonts w:hint="default"/>
                          <w:sz w:val="44"/>
                          <w:szCs w:val="44"/>
                          <w:lang w:val="en-US" w:eastAsia="zh-CN"/>
                        </w:rPr>
                      </w:pPr>
                      <w:r>
                        <w:rPr>
                          <w:rFonts w:hint="eastAsia"/>
                          <w:sz w:val="44"/>
                          <w:szCs w:val="44"/>
                          <w:lang w:val="en-US" w:eastAsia="zh-CN"/>
                        </w:rPr>
                        <w:t>7#</w:t>
                      </w:r>
                    </w:p>
                    <w:p w14:paraId="085DD5C9">
                      <w:pPr>
                        <w:pStyle w:val="26"/>
                        <w:spacing w:line="240" w:lineRule="auto"/>
                        <w:ind w:left="0" w:leftChars="0" w:firstLine="0" w:firstLineChars="0"/>
                        <w:rPr>
                          <w:rFonts w:hint="default"/>
                          <w:sz w:val="44"/>
                          <w:szCs w:val="44"/>
                          <w:lang w:val="en-US" w:eastAsia="zh-CN"/>
                        </w:rPr>
                      </w:pPr>
                      <w:r>
                        <w:rPr>
                          <w:rFonts w:hint="eastAsia"/>
                          <w:sz w:val="44"/>
                          <w:szCs w:val="44"/>
                          <w:lang w:val="en-US" w:eastAsia="zh-CN"/>
                        </w:rPr>
                        <w:t>8#</w:t>
                      </w:r>
                    </w:p>
                    <w:p w14:paraId="47560C3D">
                      <w:pPr>
                        <w:spacing w:line="240" w:lineRule="auto"/>
                        <w:rPr>
                          <w:rFonts w:hint="default"/>
                          <w:sz w:val="44"/>
                          <w:szCs w:val="44"/>
                          <w:lang w:val="en-US" w:eastAsia="zh-CN"/>
                        </w:rPr>
                      </w:pPr>
                      <w:r>
                        <w:rPr>
                          <w:rFonts w:hint="eastAsia"/>
                          <w:sz w:val="44"/>
                          <w:szCs w:val="44"/>
                          <w:lang w:val="en-US" w:eastAsia="zh-CN"/>
                        </w:rPr>
                        <w:t>9#</w:t>
                      </w:r>
                    </w:p>
                    <w:p w14:paraId="6ABBEBC7">
                      <w:pPr>
                        <w:pStyle w:val="26"/>
                        <w:ind w:left="0" w:leftChars="0" w:firstLine="0" w:firstLineChars="0"/>
                        <w:rPr>
                          <w:rFonts w:hint="default"/>
                          <w:sz w:val="44"/>
                          <w:szCs w:val="44"/>
                          <w:lang w:val="en-US" w:eastAsia="zh-CN"/>
                        </w:rPr>
                      </w:pPr>
                    </w:p>
                  </w:txbxContent>
                </v:textbox>
              </v:shape>
            </w:pict>
          </mc:Fallback>
        </mc:AlternateContent>
      </w:r>
      <w:r>
        <w:rPr>
          <w:color w:val="000000" w:themeColor="text1"/>
          <w:sz w:val="21"/>
          <w:highlight w:val="none"/>
          <w14:textFill>
            <w14:solidFill>
              <w14:schemeClr w14:val="tx1"/>
            </w14:solidFill>
          </w14:textFill>
        </w:rPr>
        <mc:AlternateContent>
          <mc:Choice Requires="wps">
            <w:drawing>
              <wp:anchor distT="0" distB="0" distL="114300" distR="114300" simplePos="0" relativeHeight="251668480" behindDoc="0" locked="0" layoutInCell="1" allowOverlap="1">
                <wp:simplePos x="0" y="0"/>
                <wp:positionH relativeFrom="column">
                  <wp:posOffset>1045845</wp:posOffset>
                </wp:positionH>
                <wp:positionV relativeFrom="paragraph">
                  <wp:posOffset>271145</wp:posOffset>
                </wp:positionV>
                <wp:extent cx="686435" cy="280670"/>
                <wp:effectExtent l="0" t="0" r="18415" b="5080"/>
                <wp:wrapNone/>
                <wp:docPr id="122" name="文本框 122"/>
                <wp:cNvGraphicFramePr/>
                <a:graphic xmlns:a="http://schemas.openxmlformats.org/drawingml/2006/main">
                  <a:graphicData uri="http://schemas.microsoft.com/office/word/2010/wordprocessingShape">
                    <wps:wsp>
                      <wps:cNvSpPr txBox="1"/>
                      <wps:spPr>
                        <a:xfrm>
                          <a:off x="1985010" y="1672590"/>
                          <a:ext cx="686435" cy="2806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AC6C600">
                            <w:pPr>
                              <w:rPr>
                                <w:rFonts w:hint="eastAsia" w:eastAsia="宋体"/>
                                <w:lang w:val="en-US" w:eastAsia="zh-CN"/>
                              </w:rPr>
                            </w:pPr>
                            <w:r>
                              <w:rPr>
                                <w:rFonts w:hint="eastAsia"/>
                                <w:lang w:val="en-US" w:eastAsia="zh-CN"/>
                              </w:rPr>
                              <w:t>事故池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2.35pt;margin-top:21.35pt;height:22.1pt;width:54.05pt;z-index:251668480;mso-width-relative:page;mso-height-relative:page;" fillcolor="#FFFFFF [3201]" filled="t" stroked="f" coordsize="21600,21600" o:gfxdata="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AkY4c9QA&#10;AAAJAQAADwAAAAAAAAABACAAAAAiAAAAZHJzL2Rvd25yZXYueG1sUEsBAhQAFAAAAAgAh07iQCU/&#10;OJRcAgAAngQAAA4AAAAAAAAAAQAgAAAAIwEAAGRycy9lMm9Eb2MueG1sUEsFBgAAAAAGAAYAWQEA&#10;APEFAAAAAA==&#10;">
                <v:fill on="t" focussize="0,0"/>
                <v:stroke on="f" weight="0.5pt"/>
                <v:imagedata o:title=""/>
                <o:lock v:ext="edit" aspectratio="f"/>
                <v:textbox>
                  <w:txbxContent>
                    <w:p w14:paraId="3AC6C600">
                      <w:pPr>
                        <w:rPr>
                          <w:rFonts w:hint="eastAsia" w:eastAsia="宋体"/>
                          <w:lang w:val="en-US" w:eastAsia="zh-CN"/>
                        </w:rPr>
                      </w:pPr>
                      <w:r>
                        <w:rPr>
                          <w:rFonts w:hint="eastAsia"/>
                          <w:lang w:val="en-US" w:eastAsia="zh-CN"/>
                        </w:rPr>
                        <w:t>事故池</w:t>
                      </w:r>
                    </w:p>
                  </w:txbxContent>
                </v:textbox>
              </v:shape>
            </w:pict>
          </mc:Fallback>
        </mc:AlternateContent>
      </w:r>
      <w:r>
        <w:rPr>
          <w:color w:val="000000" w:themeColor="text1"/>
          <w:highlight w:val="none"/>
          <w14:textFill>
            <w14:solidFill>
              <w14:schemeClr w14:val="tx1"/>
            </w14:solidFill>
          </w14:textFill>
        </w:rPr>
        <w:drawing>
          <wp:inline distT="0" distB="0" distL="114300" distR="114300">
            <wp:extent cx="8066405" cy="4748530"/>
            <wp:effectExtent l="0" t="0" r="10795" b="13970"/>
            <wp:docPr id="12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0"/>
                    <pic:cNvPicPr>
                      <a:picLocks noChangeAspect="1"/>
                    </pic:cNvPicPr>
                  </pic:nvPicPr>
                  <pic:blipFill>
                    <a:blip r:embed="rId87"/>
                    <a:stretch>
                      <a:fillRect/>
                    </a:stretch>
                  </pic:blipFill>
                  <pic:spPr>
                    <a:xfrm>
                      <a:off x="0" y="0"/>
                      <a:ext cx="8066405" cy="4748530"/>
                    </a:xfrm>
                    <a:prstGeom prst="rect">
                      <a:avLst/>
                    </a:prstGeom>
                    <a:noFill/>
                    <a:ln>
                      <a:noFill/>
                    </a:ln>
                  </pic:spPr>
                </pic:pic>
              </a:graphicData>
            </a:graphic>
          </wp:inline>
        </w:drawing>
      </w:r>
      <w:r>
        <w:rPr>
          <w:color w:val="000000" w:themeColor="text1"/>
          <w:sz w:val="21"/>
          <w:highlight w:val="none"/>
          <w14:textFill>
            <w14:solidFill>
              <w14:schemeClr w14:val="tx1"/>
            </w14:solidFill>
          </w14:textFill>
        </w:rPr>
        <mc:AlternateContent>
          <mc:Choice Requires="wps">
            <w:drawing>
              <wp:anchor distT="0" distB="0" distL="114300" distR="114300" simplePos="0" relativeHeight="251666432" behindDoc="0" locked="0" layoutInCell="1" allowOverlap="1">
                <wp:simplePos x="0" y="0"/>
                <wp:positionH relativeFrom="column">
                  <wp:posOffset>1011555</wp:posOffset>
                </wp:positionH>
                <wp:positionV relativeFrom="paragraph">
                  <wp:posOffset>143510</wp:posOffset>
                </wp:positionV>
                <wp:extent cx="617220" cy="304165"/>
                <wp:effectExtent l="4445" t="4445" r="6985" b="15240"/>
                <wp:wrapNone/>
                <wp:docPr id="118" name="文本框 118"/>
                <wp:cNvGraphicFramePr/>
                <a:graphic xmlns:a="http://schemas.openxmlformats.org/drawingml/2006/main">
                  <a:graphicData uri="http://schemas.microsoft.com/office/word/2010/wordprocessingShape">
                    <wps:wsp>
                      <wps:cNvSpPr txBox="1"/>
                      <wps:spPr>
                        <a:xfrm>
                          <a:off x="2091690" y="1537335"/>
                          <a:ext cx="617220" cy="304165"/>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3FEF0941">
                            <w:pPr>
                              <w:rPr>
                                <w14:textOutline w14:w="12700" w14:cmpd="sng">
                                  <w14:solidFill>
                                    <w14:schemeClr w14:val="bg1">
                                      <w14:alpha w14:val="0"/>
                                    </w14:schemeClr>
                                  </w14:solidFill>
                                  <w14:prstDash w14:val="solid"/>
                                  <w14:round/>
                                </w14:textOutline>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9.65pt;margin-top:11.3pt;height:23.95pt;width:48.6pt;z-index:251666432;mso-width-relative:page;mso-height-relative:page;" fillcolor="#FFFFFF [3201]" filled="t" stroked="t" coordsize="21600,21600" o:gfxdata="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P&#10;3Rss1wAAAAkBAAAPAAAAAAAAAAEAIAAAACIAAABkcnMvZG93bnJldi54bWxQSwECFAAUAAAACACH&#10;TuJAldUd414CAADHBAAADgAAAAAAAAABACAAAAAmAQAAZHJzL2Uyb0RvYy54bWxQSwUGAAAAAAYA&#10;BgBZAQAA9gUAAAAA&#10;">
                <v:fill on="t" focussize="0,0"/>
                <v:stroke weight="0.5pt" color="#FFFFFF [3212]" joinstyle="round"/>
                <v:imagedata o:title=""/>
                <o:lock v:ext="edit" aspectratio="f"/>
                <v:textbox>
                  <w:txbxContent>
                    <w:p w14:paraId="3FEF0941">
                      <w:pPr>
                        <w:rPr>
                          <w14:textOutline w14:w="12700" w14:cmpd="sng">
                            <w14:solidFill>
                              <w14:schemeClr w14:val="bg1">
                                <w14:alpha w14:val="0"/>
                              </w14:schemeClr>
                            </w14:solidFill>
                            <w14:prstDash w14:val="solid"/>
                            <w14:round/>
                          </w14:textOutline>
                          <w14:textFill>
                            <w14:noFill/>
                          </w14:textFill>
                        </w:rPr>
                      </w:pPr>
                    </w:p>
                  </w:txbxContent>
                </v:textbox>
              </v:shape>
            </w:pict>
          </mc:Fallback>
        </mc:AlternateContent>
      </w:r>
    </w:p>
    <w:p w14:paraId="2EB32F1C">
      <w:pPr>
        <w:rPr>
          <w:rFonts w:hint="default" w:eastAsia="宋体"/>
          <w:color w:val="000000" w:themeColor="text1"/>
          <w:highlight w:val="none"/>
          <w:lang w:val="en-US" w:eastAsia="zh-CN"/>
          <w14:textFill>
            <w14:solidFill>
              <w14:schemeClr w14:val="tx1"/>
            </w14:solidFill>
          </w14:textFill>
        </w:rPr>
      </w:pPr>
      <w:r>
        <w:rPr>
          <w:color w:val="000000" w:themeColor="text1"/>
          <w:sz w:val="21"/>
          <w:highlight w:val="none"/>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column">
                  <wp:posOffset>-324485</wp:posOffset>
                </wp:positionH>
                <wp:positionV relativeFrom="paragraph">
                  <wp:posOffset>41275</wp:posOffset>
                </wp:positionV>
                <wp:extent cx="218440" cy="76200"/>
                <wp:effectExtent l="12700" t="635" r="16510" b="18415"/>
                <wp:wrapNone/>
                <wp:docPr id="104" name="任意多边形 104"/>
                <wp:cNvGraphicFramePr/>
                <a:graphic xmlns:a="http://schemas.openxmlformats.org/drawingml/2006/main">
                  <a:graphicData uri="http://schemas.microsoft.com/office/word/2010/wordprocessingShape">
                    <wps:wsp>
                      <wps:cNvSpPr/>
                      <wps:spPr>
                        <a:xfrm>
                          <a:off x="0" y="0"/>
                          <a:ext cx="218440" cy="76200"/>
                        </a:xfrm>
                        <a:custGeom>
                          <a:avLst/>
                          <a:gdLst>
                            <a:gd name="connisteX0" fmla="*/ 0 w 304165"/>
                            <a:gd name="connsiteY0" fmla="*/ 0 h 62230"/>
                            <a:gd name="connisteX1" fmla="*/ 0 w 304165"/>
                            <a:gd name="connsiteY1" fmla="*/ 62230 h 62230"/>
                            <a:gd name="connisteX2" fmla="*/ 304165 w 304165"/>
                            <a:gd name="connsiteY2" fmla="*/ 62230 h 62230"/>
                            <a:gd name="connisteX3" fmla="*/ 296545 w 304165"/>
                            <a:gd name="connsiteY3" fmla="*/ 0 h 62230"/>
                          </a:gdLst>
                          <a:ahLst/>
                          <a:cxnLst>
                            <a:cxn ang="0">
                              <a:pos x="connisteX0" y="connsiteY0"/>
                            </a:cxn>
                            <a:cxn ang="0">
                              <a:pos x="connisteX1" y="connsiteY1"/>
                            </a:cxn>
                            <a:cxn ang="0">
                              <a:pos x="connisteX2" y="connsiteY2"/>
                            </a:cxn>
                            <a:cxn ang="0">
                              <a:pos x="connisteX3" y="connsiteY3"/>
                            </a:cxn>
                          </a:cxnLst>
                          <a:rect l="l" t="t" r="r" b="b"/>
                          <a:pathLst>
                            <a:path w="304165" h="62230">
                              <a:moveTo>
                                <a:pt x="0" y="0"/>
                              </a:moveTo>
                              <a:lnTo>
                                <a:pt x="0" y="62230"/>
                              </a:lnTo>
                              <a:lnTo>
                                <a:pt x="304165" y="62230"/>
                              </a:lnTo>
                              <a:lnTo>
                                <a:pt x="296545" y="0"/>
                              </a:lnTo>
                            </a:path>
                          </a:pathLst>
                        </a:custGeom>
                        <a:noFill/>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5.55pt;margin-top:3.25pt;height:6pt;width:17.2pt;z-index:251665408;mso-width-relative:page;mso-height-relative:page;" filled="f" stroked="t" coordsize="304165,62230" o:gfxdata="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" path="m0,0l0,62230,304165,62230,296545,0e">
                <v:path o:connectlocs="0,0;0,76200;218440,76200;212967,0" o:connectangles="0,0,0,0"/>
                <v:fill on="f" focussize="0,0"/>
                <v:stroke weight="2pt" color="#376092 [2404]" joinstyle="round"/>
                <v:imagedata o:title=""/>
                <o:lock v:ext="edit" aspectratio="f"/>
              </v:shape>
            </w:pict>
          </mc:Fallback>
        </mc:AlternateContent>
      </w:r>
      <w:r>
        <w:rPr>
          <w:rFonts w:hint="eastAsia"/>
          <w:color w:val="000000" w:themeColor="text1"/>
          <w:highlight w:val="none"/>
          <w:lang w:val="en-US" w:eastAsia="zh-CN"/>
          <w14:textFill>
            <w14:solidFill>
              <w14:schemeClr w14:val="tx1"/>
            </w14:solidFill>
          </w14:textFill>
        </w:rPr>
        <w:t>比例尺1：300</w:t>
      </w:r>
    </w:p>
    <w:p w14:paraId="72A35385">
      <w:pPr>
        <w:pStyle w:val="34"/>
        <w:keepNext w:val="0"/>
        <w:keepLines w:val="0"/>
        <w:pageBreakBefore w:val="0"/>
        <w:widowControl w:val="0"/>
        <w:kinsoku/>
        <w:wordWrap/>
        <w:overflowPunct/>
        <w:topLinePunct w:val="0"/>
        <w:autoSpaceDE/>
        <w:autoSpaceDN/>
        <w:bidi w:val="0"/>
        <w:adjustRightInd/>
        <w:snapToGrid/>
        <w:jc w:val="center"/>
        <w:textAlignment w:val="auto"/>
        <w:outlineLvl w:val="0"/>
        <w:rPr>
          <w:rFonts w:hint="default" w:ascii="Times New Roman" w:hAnsi="Times New Roman" w:eastAsia="宋体" w:cs="Times New Roman"/>
          <w:color w:val="000000" w:themeColor="text1"/>
          <w:kern w:val="2"/>
          <w:sz w:val="28"/>
          <w:szCs w:val="36"/>
          <w:highlight w:val="none"/>
          <w:lang w:val="en-US" w:eastAsia="zh-CN" w:bidi="ar-SA"/>
          <w14:textFill>
            <w14:solidFill>
              <w14:schemeClr w14:val="tx1"/>
            </w14:solidFill>
          </w14:textFill>
        </w:rPr>
        <w:sectPr>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bookmarkStart w:id="90" w:name="_Toc446"/>
      <w:r>
        <w:rPr>
          <w:rFonts w:hint="default" w:ascii="Times New Roman" w:hAnsi="Times New Roman" w:eastAsia="宋体" w:cs="Times New Roman"/>
          <w:b/>
          <w:bCs/>
          <w:color w:val="000000" w:themeColor="text1"/>
          <w:kern w:val="2"/>
          <w:sz w:val="28"/>
          <w:szCs w:val="36"/>
          <w:highlight w:val="none"/>
          <w:lang w:val="en-US" w:eastAsia="zh-CN" w:bidi="ar-SA"/>
          <w14:textFill>
            <w14:solidFill>
              <w14:schemeClr w14:val="tx1"/>
            </w14:solidFill>
          </w14:textFill>
        </w:rPr>
        <w:t>附图2 项目平面布置图</w:t>
      </w:r>
      <w:bookmarkEnd w:id="90"/>
    </w:p>
    <w:p w14:paraId="76C16C34">
      <w:pPr>
        <w:tabs>
          <w:tab w:val="left" w:pos="1890"/>
        </w:tabs>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8208645" cy="5041900"/>
            <wp:effectExtent l="0" t="0" r="1905" b="6350"/>
            <wp:docPr id="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
                    <pic:cNvPicPr>
                      <a:picLocks noChangeAspect="1"/>
                    </pic:cNvPicPr>
                  </pic:nvPicPr>
                  <pic:blipFill>
                    <a:blip r:embed="rId88"/>
                    <a:stretch>
                      <a:fillRect/>
                    </a:stretch>
                  </pic:blipFill>
                  <pic:spPr>
                    <a:xfrm>
                      <a:off x="0" y="0"/>
                      <a:ext cx="8208645" cy="5041900"/>
                    </a:xfrm>
                    <a:prstGeom prst="rect">
                      <a:avLst/>
                    </a:prstGeom>
                    <a:noFill/>
                    <a:ln>
                      <a:noFill/>
                    </a:ln>
                  </pic:spPr>
                </pic:pic>
              </a:graphicData>
            </a:graphic>
          </wp:inline>
        </w:drawing>
      </w:r>
    </w:p>
    <w:p w14:paraId="7BD3F54F">
      <w:pPr>
        <w:rPr>
          <w:rFonts w:hint="eastAsia"/>
          <w:color w:val="000000" w:themeColor="text1"/>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mc:AlternateContent>
          <mc:Choice Requires="wps">
            <w:drawing>
              <wp:anchor distT="0" distB="0" distL="114300" distR="114300" simplePos="0" relativeHeight="251673600" behindDoc="0" locked="0" layoutInCell="1" allowOverlap="1">
                <wp:simplePos x="0" y="0"/>
                <wp:positionH relativeFrom="column">
                  <wp:posOffset>2956560</wp:posOffset>
                </wp:positionH>
                <wp:positionV relativeFrom="paragraph">
                  <wp:posOffset>52705</wp:posOffset>
                </wp:positionV>
                <wp:extent cx="196850" cy="124460"/>
                <wp:effectExtent l="12700" t="12700" r="19050" b="15240"/>
                <wp:wrapNone/>
                <wp:docPr id="130" name="矩形 130"/>
                <wp:cNvGraphicFramePr/>
                <a:graphic xmlns:a="http://schemas.openxmlformats.org/drawingml/2006/main">
                  <a:graphicData uri="http://schemas.microsoft.com/office/word/2010/wordprocessingShape">
                    <wps:wsp>
                      <wps:cNvSpPr/>
                      <wps:spPr>
                        <a:xfrm>
                          <a:off x="4036695" y="6035040"/>
                          <a:ext cx="196850" cy="124460"/>
                        </a:xfrm>
                        <a:prstGeom prst="rect">
                          <a:avLst/>
                        </a:prstGeom>
                        <a:solidFill>
                          <a:srgbClr val="92D050"/>
                        </a:solid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2.8pt;margin-top:4.15pt;height:9.8pt;width:15.5pt;z-index:251673600;v-text-anchor:middle;mso-width-relative:page;mso-height-relative:page;" fillcolor="#92D050" filled="t" stroked="t" coordsize="21600,21600" o:gfxdata="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BzxGKrYAAAACAEAAA8AAAAAAAAAAQAgAAAAIgAAAGRycy9k&#10;b3ducmV2LnhtbFBLAQIUABQAAAAIAIdO4kAfj5ySdAIAAOwEAAAOAAAAAAAAAAEAIAAAACcBAABk&#10;cnMvZTJvRG9jLnhtbFBLBQYAAAAABgAGAFkBAAANBgAAAAA=&#10;">
                <v:fill on="t" focussize="0,0"/>
                <v:stroke weight="2pt" color="#00B050 [2404]" joinstyle="round"/>
                <v:imagedata o:title=""/>
                <o:lock v:ext="edit" aspectratio="f"/>
              </v:rect>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72576" behindDoc="0" locked="0" layoutInCell="1" allowOverlap="1">
                <wp:simplePos x="0" y="0"/>
                <wp:positionH relativeFrom="column">
                  <wp:posOffset>1672590</wp:posOffset>
                </wp:positionH>
                <wp:positionV relativeFrom="paragraph">
                  <wp:posOffset>55880</wp:posOffset>
                </wp:positionV>
                <wp:extent cx="187325" cy="102870"/>
                <wp:effectExtent l="12700" t="12700" r="28575" b="17780"/>
                <wp:wrapNone/>
                <wp:docPr id="129" name="矩形 129"/>
                <wp:cNvGraphicFramePr/>
                <a:graphic xmlns:a="http://schemas.openxmlformats.org/drawingml/2006/main">
                  <a:graphicData uri="http://schemas.microsoft.com/office/word/2010/wordprocessingShape">
                    <wps:wsp>
                      <wps:cNvSpPr/>
                      <wps:spPr>
                        <a:xfrm>
                          <a:off x="2794000" y="6048375"/>
                          <a:ext cx="187325" cy="102870"/>
                        </a:xfrm>
                        <a:prstGeom prst="rect">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1.7pt;margin-top:4.4pt;height:8.1pt;width:14.75pt;z-index:251672576;v-text-anchor:middle;mso-width-relative:page;mso-height-relative:page;" fillcolor="#FF0000" filled="t" stroked="t" coordsize="21600,21600" o:gfxdata="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E0s27XXAAAACAEAAA8AAAAAAAAAAQAgAAAAIgAAAGRycy9kb3ducmV2&#10;LnhtbFBLAQIUABQAAAAIAIdO4kBBswv0bwIAAOwEAAAOAAAAAAAAAAEAIAAAACYBAABkcnMvZTJv&#10;RG9jLnhtbFBLBQYAAAAABgAGAFkBAAAHBgAAAAA=&#10;">
                <v:fill on="t" focussize="0,0"/>
                <v:stroke weight="2pt" color="#FF0000 [2404]" joinstyle="round"/>
                <v:imagedata o:title=""/>
                <o:lock v:ext="edit" aspectratio="f"/>
              </v:rect>
            </w:pict>
          </mc:Fallback>
        </mc:AlternateContent>
      </w:r>
      <w:r>
        <w:rPr>
          <w:color w:val="000000" w:themeColor="text1"/>
          <w:sz w:val="24"/>
          <w:szCs w:val="24"/>
          <w:highlight w:val="none"/>
          <w14:textFill>
            <w14:solidFill>
              <w14:schemeClr w14:val="tx1"/>
            </w14:solidFill>
          </w14:textFill>
        </w:rPr>
        <mc:AlternateContent>
          <mc:Choice Requires="wps">
            <w:drawing>
              <wp:anchor distT="0" distB="0" distL="114300" distR="114300" simplePos="0" relativeHeight="251671552" behindDoc="0" locked="0" layoutInCell="1" allowOverlap="1">
                <wp:simplePos x="0" y="0"/>
                <wp:positionH relativeFrom="column">
                  <wp:posOffset>-324485</wp:posOffset>
                </wp:positionH>
                <wp:positionV relativeFrom="paragraph">
                  <wp:posOffset>41275</wp:posOffset>
                </wp:positionV>
                <wp:extent cx="207645" cy="76200"/>
                <wp:effectExtent l="12700" t="635" r="27305" b="18415"/>
                <wp:wrapNone/>
                <wp:docPr id="128" name="任意多边形 128"/>
                <wp:cNvGraphicFramePr/>
                <a:graphic xmlns:a="http://schemas.openxmlformats.org/drawingml/2006/main">
                  <a:graphicData uri="http://schemas.microsoft.com/office/word/2010/wordprocessingShape">
                    <wps:wsp>
                      <wps:cNvSpPr/>
                      <wps:spPr>
                        <a:xfrm>
                          <a:off x="0" y="0"/>
                          <a:ext cx="207645" cy="76200"/>
                        </a:xfrm>
                        <a:custGeom>
                          <a:avLst/>
                          <a:gdLst>
                            <a:gd name="connisteX0" fmla="*/ 0 w 304165"/>
                            <a:gd name="connsiteY0" fmla="*/ 0 h 62230"/>
                            <a:gd name="connisteX1" fmla="*/ 0 w 304165"/>
                            <a:gd name="connsiteY1" fmla="*/ 62230 h 62230"/>
                            <a:gd name="connisteX2" fmla="*/ 304165 w 304165"/>
                            <a:gd name="connsiteY2" fmla="*/ 62230 h 62230"/>
                            <a:gd name="connisteX3" fmla="*/ 296545 w 304165"/>
                            <a:gd name="connsiteY3" fmla="*/ 0 h 62230"/>
                          </a:gdLst>
                          <a:ahLst/>
                          <a:cxnLst>
                            <a:cxn ang="0">
                              <a:pos x="connisteX0" y="connsiteY0"/>
                            </a:cxn>
                            <a:cxn ang="0">
                              <a:pos x="connisteX1" y="connsiteY1"/>
                            </a:cxn>
                            <a:cxn ang="0">
                              <a:pos x="connisteX2" y="connsiteY2"/>
                            </a:cxn>
                            <a:cxn ang="0">
                              <a:pos x="connisteX3" y="connsiteY3"/>
                            </a:cxn>
                          </a:cxnLst>
                          <a:rect l="l" t="t" r="r" b="b"/>
                          <a:pathLst>
                            <a:path w="304165" h="62230">
                              <a:moveTo>
                                <a:pt x="0" y="0"/>
                              </a:moveTo>
                              <a:lnTo>
                                <a:pt x="0" y="62230"/>
                              </a:lnTo>
                              <a:lnTo>
                                <a:pt x="304165" y="62230"/>
                              </a:lnTo>
                              <a:lnTo>
                                <a:pt x="296545" y="0"/>
                              </a:lnTo>
                            </a:path>
                          </a:pathLst>
                        </a:custGeom>
                        <a:noFill/>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5.55pt;margin-top:3.25pt;height:6pt;width:16.35pt;z-index:251671552;mso-width-relative:page;mso-height-relative:page;" filled="f" stroked="t" coordsize="304165,62230" o:gfxdata="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" path="m0,0l0,62230,304165,62230,296545,0e">
                <v:path o:connectlocs="0,0;0,76200;207645,76200;202443,0" o:connectangles="0,0,0,0"/>
                <v:fill on="f" focussize="0,0"/>
                <v:stroke weight="2pt" color="#376092 [2404]" joinstyle="round"/>
                <v:imagedata o:title=""/>
                <o:lock v:ext="edit" aspectratio="f"/>
              </v:shape>
            </w:pict>
          </mc:Fallback>
        </mc:AlternateContent>
      </w:r>
      <w:r>
        <w:rPr>
          <w:rFonts w:hint="eastAsia"/>
          <w:color w:val="000000" w:themeColor="text1"/>
          <w:sz w:val="24"/>
          <w:szCs w:val="24"/>
          <w:highlight w:val="none"/>
          <w:lang w:val="en-US" w:eastAsia="zh-CN"/>
          <w14:textFill>
            <w14:solidFill>
              <w14:schemeClr w14:val="tx1"/>
            </w14:solidFill>
          </w14:textFill>
        </w:rPr>
        <w:t>比例尺1：300</w:t>
      </w:r>
      <w:r>
        <w:rPr>
          <w:rFonts w:hint="eastAsia"/>
          <w:color w:val="000000" w:themeColor="text1"/>
          <w:highlight w:val="none"/>
          <w:lang w:val="en-US" w:eastAsia="zh-CN"/>
          <w14:textFill>
            <w14:solidFill>
              <w14:schemeClr w14:val="tx1"/>
            </w14:solidFill>
          </w14:textFill>
        </w:rPr>
        <w:t xml:space="preserve">     图例：    重点防渗区          简单防渗区 · </w:t>
      </w:r>
    </w:p>
    <w:p w14:paraId="773BA075">
      <w:pPr>
        <w:pStyle w:val="26"/>
        <w:jc w:val="center"/>
        <w:outlineLvl w:val="0"/>
        <w:rPr>
          <w:rFonts w:hint="default" w:ascii="Times New Roman" w:hAnsi="Times New Roman" w:eastAsia="宋体" w:cs="Times New Roman"/>
          <w:b/>
          <w:bCs/>
          <w:color w:val="000000" w:themeColor="text1"/>
          <w:sz w:val="28"/>
          <w:szCs w:val="28"/>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8"/>
          <w:szCs w:val="28"/>
          <w:highlight w:val="none"/>
          <w:lang w:val="en-US" w:eastAsia="zh-CN"/>
          <w14:textFill>
            <w14:solidFill>
              <w14:schemeClr w14:val="tx1"/>
            </w14:solidFill>
          </w14:textFill>
        </w:rPr>
        <w:t>附图3</w:t>
      </w:r>
      <w:r>
        <w:rPr>
          <w:rFonts w:hint="eastAsia" w:ascii="Times New Roman" w:hAnsi="Times New Roman" w:eastAsia="宋体" w:cs="Times New Roman"/>
          <w:b/>
          <w:bCs/>
          <w:color w:val="000000" w:themeColor="text1"/>
          <w:sz w:val="28"/>
          <w:szCs w:val="28"/>
          <w:highlight w:val="none"/>
          <w:lang w:val="en-US" w:eastAsia="zh-CN"/>
          <w14:textFill>
            <w14:solidFill>
              <w14:schemeClr w14:val="tx1"/>
            </w14:solidFill>
          </w14:textFill>
        </w:rPr>
        <w:t>项目</w:t>
      </w:r>
      <w:r>
        <w:rPr>
          <w:rFonts w:hint="default" w:ascii="Times New Roman" w:hAnsi="Times New Roman" w:eastAsia="宋体" w:cs="Times New Roman"/>
          <w:b/>
          <w:bCs/>
          <w:color w:val="000000" w:themeColor="text1"/>
          <w:sz w:val="28"/>
          <w:szCs w:val="28"/>
          <w:highlight w:val="none"/>
          <w:lang w:val="en-US" w:eastAsia="zh-CN"/>
          <w14:textFill>
            <w14:solidFill>
              <w14:schemeClr w14:val="tx1"/>
            </w14:solidFill>
          </w14:textFill>
        </w:rPr>
        <w:t>分区防渗图</w:t>
      </w:r>
    </w:p>
    <w:p w14:paraId="4D5A84C7">
      <w:pPr>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drawing>
          <wp:anchor distT="0" distB="0" distL="114300" distR="114300" simplePos="0" relativeHeight="251687936" behindDoc="0" locked="0" layoutInCell="1" allowOverlap="1">
            <wp:simplePos x="0" y="0"/>
            <wp:positionH relativeFrom="column">
              <wp:posOffset>285750</wp:posOffset>
            </wp:positionH>
            <wp:positionV relativeFrom="paragraph">
              <wp:posOffset>4101465</wp:posOffset>
            </wp:positionV>
            <wp:extent cx="1327785" cy="1028065"/>
            <wp:effectExtent l="0" t="0" r="5715" b="635"/>
            <wp:wrapNone/>
            <wp:docPr id="13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3"/>
                    <pic:cNvPicPr>
                      <a:picLocks noChangeAspect="1"/>
                    </pic:cNvPicPr>
                  </pic:nvPicPr>
                  <pic:blipFill>
                    <a:blip r:embed="rId89"/>
                    <a:stretch>
                      <a:fillRect/>
                    </a:stretch>
                  </pic:blipFill>
                  <pic:spPr>
                    <a:xfrm>
                      <a:off x="0" y="0"/>
                      <a:ext cx="1327785" cy="1028065"/>
                    </a:xfrm>
                    <a:prstGeom prst="rect">
                      <a:avLst/>
                    </a:prstGeom>
                    <a:noFill/>
                    <a:ln>
                      <a:noFill/>
                    </a:ln>
                  </pic:spPr>
                </pic:pic>
              </a:graphicData>
            </a:graphic>
          </wp:anchor>
        </w:drawing>
      </w:r>
      <w:r>
        <w:rPr>
          <w:color w:val="000000" w:themeColor="text1"/>
          <w:highlight w:val="none"/>
          <w14:textFill>
            <w14:solidFill>
              <w14:schemeClr w14:val="tx1"/>
            </w14:solidFill>
          </w14:textFill>
        </w:rPr>
        <w:drawing>
          <wp:anchor distT="0" distB="0" distL="114300" distR="114300" simplePos="0" relativeHeight="251686912" behindDoc="0" locked="0" layoutInCell="1" allowOverlap="1">
            <wp:simplePos x="0" y="0"/>
            <wp:positionH relativeFrom="column">
              <wp:posOffset>6436360</wp:posOffset>
            </wp:positionH>
            <wp:positionV relativeFrom="paragraph">
              <wp:posOffset>-6350</wp:posOffset>
            </wp:positionV>
            <wp:extent cx="958215" cy="672465"/>
            <wp:effectExtent l="0" t="0" r="13335" b="13335"/>
            <wp:wrapNone/>
            <wp:docPr id="1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2"/>
                    <pic:cNvPicPr>
                      <a:picLocks noChangeAspect="1"/>
                    </pic:cNvPicPr>
                  </pic:nvPicPr>
                  <pic:blipFill>
                    <a:blip r:embed="rId85"/>
                    <a:stretch>
                      <a:fillRect/>
                    </a:stretch>
                  </pic:blipFill>
                  <pic:spPr>
                    <a:xfrm>
                      <a:off x="0" y="0"/>
                      <a:ext cx="958215" cy="672465"/>
                    </a:xfrm>
                    <a:prstGeom prst="rect">
                      <a:avLst/>
                    </a:prstGeom>
                    <a:noFill/>
                    <a:ln>
                      <a:noFill/>
                    </a:ln>
                  </pic:spPr>
                </pic:pic>
              </a:graphicData>
            </a:graphic>
          </wp:anchor>
        </w:drawing>
      </w:r>
      <w:r>
        <w:rPr>
          <w:color w:val="000000" w:themeColor="text1"/>
          <w:sz w:val="21"/>
          <w:highlight w:val="none"/>
          <w14:textFill>
            <w14:solidFill>
              <w14:schemeClr w14:val="tx1"/>
            </w14:solidFill>
          </w14:textFill>
        </w:rPr>
        <mc:AlternateContent>
          <mc:Choice Requires="wps">
            <w:drawing>
              <wp:anchor distT="0" distB="0" distL="114300" distR="114300" simplePos="0" relativeHeight="251682816" behindDoc="0" locked="0" layoutInCell="1" allowOverlap="1">
                <wp:simplePos x="0" y="0"/>
                <wp:positionH relativeFrom="column">
                  <wp:posOffset>1773555</wp:posOffset>
                </wp:positionH>
                <wp:positionV relativeFrom="paragraph">
                  <wp:posOffset>374650</wp:posOffset>
                </wp:positionV>
                <wp:extent cx="2721610" cy="2135505"/>
                <wp:effectExtent l="4445" t="4445" r="17145" b="12700"/>
                <wp:wrapNone/>
                <wp:docPr id="140" name="任意多边形 140"/>
                <wp:cNvGraphicFramePr/>
                <a:graphic xmlns:a="http://schemas.openxmlformats.org/drawingml/2006/main">
                  <a:graphicData uri="http://schemas.microsoft.com/office/word/2010/wordprocessingShape">
                    <wps:wsp>
                      <wps:cNvSpPr/>
                      <wps:spPr>
                        <a:xfrm>
                          <a:off x="2874645" y="1346835"/>
                          <a:ext cx="2721610" cy="2135505"/>
                        </a:xfrm>
                        <a:custGeom>
                          <a:avLst/>
                          <a:gdLst>
                            <a:gd name="connisteX0" fmla="*/ 0 w 2700655"/>
                            <a:gd name="connsiteY0" fmla="*/ 6350 h 2135505"/>
                            <a:gd name="connisteX1" fmla="*/ 26670 w 2700655"/>
                            <a:gd name="connsiteY1" fmla="*/ 1965960 h 2135505"/>
                            <a:gd name="connisteX2" fmla="*/ 121920 w 2700655"/>
                            <a:gd name="connsiteY2" fmla="*/ 1931670 h 2135505"/>
                            <a:gd name="connisteX3" fmla="*/ 231140 w 2700655"/>
                            <a:gd name="connsiteY3" fmla="*/ 2135505 h 2135505"/>
                            <a:gd name="connisteX4" fmla="*/ 346710 w 2700655"/>
                            <a:gd name="connsiteY4" fmla="*/ 2074545 h 2135505"/>
                            <a:gd name="connisteX5" fmla="*/ 238125 w 2700655"/>
                            <a:gd name="connsiteY5" fmla="*/ 1741170 h 2135505"/>
                            <a:gd name="connisteX6" fmla="*/ 441960 w 2700655"/>
                            <a:gd name="connsiteY6" fmla="*/ 1768475 h 2135505"/>
                            <a:gd name="connisteX7" fmla="*/ 687070 w 2700655"/>
                            <a:gd name="connsiteY7" fmla="*/ 1931670 h 2135505"/>
                            <a:gd name="connisteX8" fmla="*/ 986155 w 2700655"/>
                            <a:gd name="connsiteY8" fmla="*/ 1619250 h 2135505"/>
                            <a:gd name="connisteX9" fmla="*/ 1143000 w 2700655"/>
                            <a:gd name="connsiteY9" fmla="*/ 1604645 h 2135505"/>
                            <a:gd name="connisteX10" fmla="*/ 1306195 w 2700655"/>
                            <a:gd name="connsiteY10" fmla="*/ 1673225 h 2135505"/>
                            <a:gd name="connisteX11" fmla="*/ 1564640 w 2700655"/>
                            <a:gd name="connsiteY11" fmla="*/ 1625600 h 2135505"/>
                            <a:gd name="connisteX12" fmla="*/ 1584960 w 2700655"/>
                            <a:gd name="connsiteY12" fmla="*/ 1476375 h 2135505"/>
                            <a:gd name="connisteX13" fmla="*/ 1972945 w 2700655"/>
                            <a:gd name="connsiteY13" fmla="*/ 1461770 h 2135505"/>
                            <a:gd name="connisteX14" fmla="*/ 2088515 w 2700655"/>
                            <a:gd name="connsiteY14" fmla="*/ 1706880 h 2135505"/>
                            <a:gd name="connisteX15" fmla="*/ 2231390 w 2700655"/>
                            <a:gd name="connsiteY15" fmla="*/ 1687195 h 2135505"/>
                            <a:gd name="connisteX16" fmla="*/ 2163445 w 2700655"/>
                            <a:gd name="connsiteY16" fmla="*/ 1394460 h 2135505"/>
                            <a:gd name="connisteX17" fmla="*/ 2231390 w 2700655"/>
                            <a:gd name="connsiteY17" fmla="*/ 1122045 h 2135505"/>
                            <a:gd name="connisteX18" fmla="*/ 2455545 w 2700655"/>
                            <a:gd name="connsiteY18" fmla="*/ 1325880 h 2135505"/>
                            <a:gd name="connisteX19" fmla="*/ 2639695 w 2700655"/>
                            <a:gd name="connsiteY19" fmla="*/ 1584960 h 2135505"/>
                            <a:gd name="connisteX20" fmla="*/ 2700655 w 2700655"/>
                            <a:gd name="connsiteY20" fmla="*/ 1557020 h 2135505"/>
                            <a:gd name="connisteX21" fmla="*/ 2578100 w 2700655"/>
                            <a:gd name="connsiteY21" fmla="*/ 1176020 h 2135505"/>
                            <a:gd name="connisteX22" fmla="*/ 2115820 w 2700655"/>
                            <a:gd name="connsiteY22" fmla="*/ 842645 h 2135505"/>
                            <a:gd name="connisteX23" fmla="*/ 1666875 w 2700655"/>
                            <a:gd name="connsiteY23" fmla="*/ 918210 h 2135505"/>
                            <a:gd name="connisteX24" fmla="*/ 1557655 w 2700655"/>
                            <a:gd name="connsiteY24" fmla="*/ 693420 h 2135505"/>
                            <a:gd name="connisteX25" fmla="*/ 1476375 w 2700655"/>
                            <a:gd name="connsiteY25" fmla="*/ 407670 h 2135505"/>
                            <a:gd name="connisteX26" fmla="*/ 1550670 w 2700655"/>
                            <a:gd name="connsiteY26" fmla="*/ 196850 h 2135505"/>
                            <a:gd name="connisteX27" fmla="*/ 1469390 w 2700655"/>
                            <a:gd name="connsiteY27" fmla="*/ 0 h 2135505"/>
                            <a:gd name="connisteX28" fmla="*/ 0 w 2700655"/>
                            <a:gd name="connsiteY28" fmla="*/ 6350 h 213550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 ang="0">
                              <a:pos x="connisteX13" y="connsiteY13"/>
                            </a:cxn>
                            <a:cxn ang="0">
                              <a:pos x="connisteX14" y="connsiteY14"/>
                            </a:cxn>
                            <a:cxn ang="0">
                              <a:pos x="connisteX15" y="connsiteY15"/>
                            </a:cxn>
                            <a:cxn ang="0">
                              <a:pos x="connisteX16" y="connsiteY16"/>
                            </a:cxn>
                            <a:cxn ang="0">
                              <a:pos x="connisteX17" y="connsiteY17"/>
                            </a:cxn>
                            <a:cxn ang="0">
                              <a:pos x="connisteX18" y="connsiteY18"/>
                            </a:cxn>
                            <a:cxn ang="0">
                              <a:pos x="connisteX19" y="connsiteY19"/>
                            </a:cxn>
                            <a:cxn ang="0">
                              <a:pos x="connisteX20" y="connsiteY20"/>
                            </a:cxn>
                            <a:cxn ang="0">
                              <a:pos x="connisteX21" y="connsiteY21"/>
                            </a:cxn>
                            <a:cxn ang="0">
                              <a:pos x="connisteX22" y="connsiteY22"/>
                            </a:cxn>
                            <a:cxn ang="0">
                              <a:pos x="connisteX23" y="connsiteY23"/>
                            </a:cxn>
                            <a:cxn ang="0">
                              <a:pos x="connisteX24" y="connsiteY24"/>
                            </a:cxn>
                            <a:cxn ang="0">
                              <a:pos x="connisteX25" y="connsiteY25"/>
                            </a:cxn>
                            <a:cxn ang="0">
                              <a:pos x="connisteX26" y="connsiteY26"/>
                            </a:cxn>
                            <a:cxn ang="0">
                              <a:pos x="connisteX27" y="connsiteY27"/>
                            </a:cxn>
                            <a:cxn ang="0">
                              <a:pos x="connisteX28" y="connsiteY28"/>
                            </a:cxn>
                          </a:cxnLst>
                          <a:rect l="l" t="t" r="r" b="b"/>
                          <a:pathLst>
                            <a:path w="2700655" h="2135505">
                              <a:moveTo>
                                <a:pt x="0" y="6350"/>
                              </a:moveTo>
                              <a:lnTo>
                                <a:pt x="26670" y="1965960"/>
                              </a:lnTo>
                              <a:lnTo>
                                <a:pt x="121920" y="1931670"/>
                              </a:lnTo>
                              <a:lnTo>
                                <a:pt x="231140" y="2135505"/>
                              </a:lnTo>
                              <a:lnTo>
                                <a:pt x="346710" y="2074545"/>
                              </a:lnTo>
                              <a:lnTo>
                                <a:pt x="238125" y="1741170"/>
                              </a:lnTo>
                              <a:lnTo>
                                <a:pt x="441960" y="1768475"/>
                              </a:lnTo>
                              <a:lnTo>
                                <a:pt x="687070" y="1931670"/>
                              </a:lnTo>
                              <a:lnTo>
                                <a:pt x="986155" y="1619250"/>
                              </a:lnTo>
                              <a:lnTo>
                                <a:pt x="1143000" y="1604645"/>
                              </a:lnTo>
                              <a:lnTo>
                                <a:pt x="1306195" y="1673225"/>
                              </a:lnTo>
                              <a:lnTo>
                                <a:pt x="1564640" y="1625600"/>
                              </a:lnTo>
                              <a:lnTo>
                                <a:pt x="1584960" y="1476375"/>
                              </a:lnTo>
                              <a:lnTo>
                                <a:pt x="1972945" y="1461770"/>
                              </a:lnTo>
                              <a:lnTo>
                                <a:pt x="2088515" y="1706880"/>
                              </a:lnTo>
                              <a:lnTo>
                                <a:pt x="2231390" y="1687195"/>
                              </a:lnTo>
                              <a:lnTo>
                                <a:pt x="2163445" y="1394460"/>
                              </a:lnTo>
                              <a:lnTo>
                                <a:pt x="2231390" y="1122045"/>
                              </a:lnTo>
                              <a:lnTo>
                                <a:pt x="2455545" y="1325880"/>
                              </a:lnTo>
                              <a:lnTo>
                                <a:pt x="2639695" y="1584960"/>
                              </a:lnTo>
                              <a:lnTo>
                                <a:pt x="2700655" y="1557020"/>
                              </a:lnTo>
                              <a:lnTo>
                                <a:pt x="2578100" y="1176020"/>
                              </a:lnTo>
                              <a:lnTo>
                                <a:pt x="2115820" y="842645"/>
                              </a:lnTo>
                              <a:lnTo>
                                <a:pt x="1666875" y="918210"/>
                              </a:lnTo>
                              <a:lnTo>
                                <a:pt x="1557655" y="693420"/>
                              </a:lnTo>
                              <a:lnTo>
                                <a:pt x="1476375" y="407670"/>
                              </a:lnTo>
                              <a:lnTo>
                                <a:pt x="1550670" y="196850"/>
                              </a:lnTo>
                              <a:lnTo>
                                <a:pt x="1469390" y="0"/>
                              </a:lnTo>
                              <a:lnTo>
                                <a:pt x="0" y="6350"/>
                              </a:lnTo>
                              <a:close/>
                            </a:path>
                          </a:pathLst>
                        </a:custGeom>
                        <a:solidFill>
                          <a:schemeClr val="accent4">
                            <a:alpha val="27000"/>
                          </a:schemeClr>
                        </a:solidFill>
                        <a:ln w="63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id="_x0000_s1026" o:spid="_x0000_s1026" o:spt="100" style="position:absolute;left:0pt;margin-left:139.65pt;margin-top:29.5pt;height:168.15pt;width:214.3pt;z-index:251682816;mso-width-relative:page;mso-height-relative:page;" fillcolor="#8064A2 [3207]" filled="t" stroked="t" coordsize="2700655,2135505" o:gfxdata="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" path="m0,6350l26670,1965960,121920,1931670,231140,2135505,346710,2074545,238125,1741170,441960,1768475,687070,1931670,986155,1619250,1143000,1604645,1306195,1673225,1564640,1625600,1584960,1476375,1972945,1461770,2088515,1706880,2231390,1687195,2163445,1394460,2231390,1122045,2455545,1325880,2639695,1584960,2700655,1557020,2578100,1176020,2115820,842645,1666875,918210,1557655,693420,1476375,407670,1550670,196850,1469390,0,0,6350xe">
                <v:path o:connectlocs="0,6350;26876,1965960;122866,1931670;232933,2135505;349400,2074545;239972,1741170;445389,1768475;692401,1931670;993806,1619250;1151868,1604645;1316330,1673225;1576780,1625600;1597258,1476375;1988253,1461770;2104720,1706880;2248703,1687195;2180231,1394460;2248703,1122045;2474598,1325880;2660176,1584960;2721610,1557020;2598104,1176020;2132237,842645;1679808,918210;1569741,693420;1487830,407670;1562702,196850;1480791,0;0,6350" o:connectangles="0,0,0,0,0,0,0,0,0,0,0,0,0,0,0,0,0,0,0,0,0,0,0,0,0,0,0,0,0"/>
                <v:fill on="t" opacity="17694f" focussize="0,0"/>
                <v:stroke weight="0.5pt" color="#FF0000 [3204]" joinstyle="round"/>
                <v:imagedata o:title=""/>
                <o:lock v:ext="edit" aspectratio="f"/>
              </v:shape>
            </w:pict>
          </mc:Fallback>
        </mc:AlternateContent>
      </w:r>
      <w:r>
        <w:rPr>
          <w:color w:val="000000" w:themeColor="text1"/>
          <w:sz w:val="21"/>
          <w:highlight w:val="none"/>
          <w14:textFill>
            <w14:solidFill>
              <w14:schemeClr w14:val="tx1"/>
            </w14:solidFill>
          </w14:textFill>
        </w:rPr>
        <mc:AlternateContent>
          <mc:Choice Requires="wps">
            <w:drawing>
              <wp:anchor distT="0" distB="0" distL="114300" distR="114300" simplePos="0" relativeHeight="251683840" behindDoc="0" locked="0" layoutInCell="1" allowOverlap="1">
                <wp:simplePos x="0" y="0"/>
                <wp:positionH relativeFrom="column">
                  <wp:posOffset>2400935</wp:posOffset>
                </wp:positionH>
                <wp:positionV relativeFrom="paragraph">
                  <wp:posOffset>1351915</wp:posOffset>
                </wp:positionV>
                <wp:extent cx="899160" cy="342265"/>
                <wp:effectExtent l="0" t="0" r="0" b="0"/>
                <wp:wrapNone/>
                <wp:docPr id="141" name="文本框 141"/>
                <wp:cNvGraphicFramePr/>
                <a:graphic xmlns:a="http://schemas.openxmlformats.org/drawingml/2006/main">
                  <a:graphicData uri="http://schemas.microsoft.com/office/word/2010/wordprocessingShape">
                    <wps:wsp>
                      <wps:cNvSpPr txBox="1"/>
                      <wps:spPr>
                        <a:xfrm>
                          <a:off x="0" y="0"/>
                          <a:ext cx="899160" cy="3422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CCF57C">
                            <w:pPr>
                              <w:rPr>
                                <w:rFonts w:hint="default" w:ascii="Times New Roman" w:hAnsi="Times New Roman" w:cs="Times New Roman"/>
                                <w:color w:val="FF0000"/>
                                <w:sz w:val="15"/>
                                <w:szCs w:val="15"/>
                                <w:highlight w:val="none"/>
                              </w:rPr>
                            </w:pPr>
                            <w:r>
                              <w:rPr>
                                <w:rFonts w:hint="default" w:ascii="Times New Roman" w:hAnsi="Times New Roman" w:eastAsia="宋体" w:cs="Times New Roman"/>
                                <w:color w:val="FF0000"/>
                                <w:sz w:val="15"/>
                                <w:szCs w:val="15"/>
                                <w:highlight w:val="none"/>
                                <w:lang w:val="en-US" w:eastAsia="zh-CN"/>
                              </w:rPr>
                              <w:t>黑龙江伊春兴安国家森林公园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9.05pt;margin-top:106.45pt;height:26.95pt;width:70.8pt;z-index:251683840;mso-width-relative:page;mso-height-relative:page;" filled="f" stroked="f" coordsize="21600,21600" o:gfxdata="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ESxLE9wAAAALAQAADwAAAAAAAAABACAAAAAiAAAA&#10;ZHJzL2Rvd25yZXYueG1sUEsBAhQAFAAAAAgAh07iQGog6Gw8AgAAaQQAAA4AAAAAAAAAAQAgAAAA&#10;KwEAAGRycy9lMm9Eb2MueG1sUEsFBgAAAAAGAAYAWQEAANkFAAAAAA==&#10;">
                <v:fill on="f" focussize="0,0"/>
                <v:stroke on="f" weight="0.5pt"/>
                <v:imagedata o:title=""/>
                <o:lock v:ext="edit" aspectratio="f"/>
                <v:textbox>
                  <w:txbxContent>
                    <w:p w14:paraId="3BCCF57C">
                      <w:pPr>
                        <w:rPr>
                          <w:rFonts w:hint="default" w:ascii="Times New Roman" w:hAnsi="Times New Roman" w:cs="Times New Roman"/>
                          <w:color w:val="FF0000"/>
                          <w:sz w:val="15"/>
                          <w:szCs w:val="15"/>
                          <w:highlight w:val="none"/>
                        </w:rPr>
                      </w:pPr>
                      <w:r>
                        <w:rPr>
                          <w:rFonts w:hint="default" w:ascii="Times New Roman" w:hAnsi="Times New Roman" w:eastAsia="宋体" w:cs="Times New Roman"/>
                          <w:color w:val="FF0000"/>
                          <w:sz w:val="15"/>
                          <w:szCs w:val="15"/>
                          <w:highlight w:val="none"/>
                          <w:lang w:val="en-US" w:eastAsia="zh-CN"/>
                        </w:rPr>
                        <w:t>黑龙江伊春兴安国家森林公园</w:t>
                      </w:r>
                    </w:p>
                  </w:txbxContent>
                </v:textbox>
              </v:shape>
            </w:pict>
          </mc:Fallback>
        </mc:AlternateContent>
      </w:r>
      <w:r>
        <w:rPr>
          <w:color w:val="000000" w:themeColor="text1"/>
          <w:sz w:val="21"/>
          <w:highlight w:val="none"/>
          <w14:textFill>
            <w14:solidFill>
              <w14:schemeClr w14:val="tx1"/>
            </w14:solidFill>
          </w14:textFill>
        </w:rPr>
        <mc:AlternateContent>
          <mc:Choice Requires="wps">
            <w:drawing>
              <wp:anchor distT="0" distB="0" distL="114300" distR="114300" simplePos="0" relativeHeight="251681792" behindDoc="0" locked="0" layoutInCell="1" allowOverlap="1">
                <wp:simplePos x="0" y="0"/>
                <wp:positionH relativeFrom="column">
                  <wp:posOffset>2259965</wp:posOffset>
                </wp:positionH>
                <wp:positionV relativeFrom="paragraph">
                  <wp:posOffset>3540125</wp:posOffset>
                </wp:positionV>
                <wp:extent cx="3633470" cy="1299210"/>
                <wp:effectExtent l="4445" t="4445" r="19685" b="10795"/>
                <wp:wrapNone/>
                <wp:docPr id="137" name="任意多边形 137"/>
                <wp:cNvGraphicFramePr/>
                <a:graphic xmlns:a="http://schemas.openxmlformats.org/drawingml/2006/main">
                  <a:graphicData uri="http://schemas.microsoft.com/office/word/2010/wordprocessingShape">
                    <wps:wsp>
                      <wps:cNvSpPr/>
                      <wps:spPr>
                        <a:xfrm>
                          <a:off x="3331210" y="4516755"/>
                          <a:ext cx="3633470" cy="1299210"/>
                        </a:xfrm>
                        <a:custGeom>
                          <a:avLst/>
                          <a:gdLst>
                            <a:gd name="connisteX0" fmla="*/ 1979930 w 3633470"/>
                            <a:gd name="connsiteY0" fmla="*/ 238125 h 1299210"/>
                            <a:gd name="connisteX1" fmla="*/ 1809750 w 3633470"/>
                            <a:gd name="connsiteY1" fmla="*/ 251460 h 1299210"/>
                            <a:gd name="connisteX2" fmla="*/ 1659890 w 3633470"/>
                            <a:gd name="connsiteY2" fmla="*/ 156210 h 1299210"/>
                            <a:gd name="connisteX3" fmla="*/ 1626235 w 3633470"/>
                            <a:gd name="connsiteY3" fmla="*/ 211455 h 1299210"/>
                            <a:gd name="connisteX4" fmla="*/ 1320165 w 3633470"/>
                            <a:gd name="connsiteY4" fmla="*/ 0 h 1299210"/>
                            <a:gd name="connisteX5" fmla="*/ 1265555 w 3633470"/>
                            <a:gd name="connsiteY5" fmla="*/ 13335 h 1299210"/>
                            <a:gd name="connisteX6" fmla="*/ 1299845 w 3633470"/>
                            <a:gd name="connsiteY6" fmla="*/ 108585 h 1299210"/>
                            <a:gd name="connisteX7" fmla="*/ 1204595 w 3633470"/>
                            <a:gd name="connsiteY7" fmla="*/ 238125 h 1299210"/>
                            <a:gd name="connisteX8" fmla="*/ 966470 w 3633470"/>
                            <a:gd name="connsiteY8" fmla="*/ 136525 h 1299210"/>
                            <a:gd name="connisteX9" fmla="*/ 918845 w 3633470"/>
                            <a:gd name="connsiteY9" fmla="*/ 203835 h 1299210"/>
                            <a:gd name="connisteX10" fmla="*/ 891540 w 3633470"/>
                            <a:gd name="connsiteY10" fmla="*/ 306705 h 1299210"/>
                            <a:gd name="connisteX11" fmla="*/ 701040 w 3633470"/>
                            <a:gd name="connsiteY11" fmla="*/ 469900 h 1299210"/>
                            <a:gd name="connisteX12" fmla="*/ 551180 w 3633470"/>
                            <a:gd name="connsiteY12" fmla="*/ 469900 h 1299210"/>
                            <a:gd name="connisteX13" fmla="*/ 469265 w 3633470"/>
                            <a:gd name="connsiteY13" fmla="*/ 598805 h 1299210"/>
                            <a:gd name="connisteX14" fmla="*/ 401320 w 3633470"/>
                            <a:gd name="connsiteY14" fmla="*/ 830580 h 1299210"/>
                            <a:gd name="connisteX15" fmla="*/ 0 w 3633470"/>
                            <a:gd name="connsiteY15" fmla="*/ 1163955 h 1299210"/>
                            <a:gd name="connisteX16" fmla="*/ 0 w 3633470"/>
                            <a:gd name="connsiteY16" fmla="*/ 1299210 h 1299210"/>
                            <a:gd name="connisteX17" fmla="*/ 3633470 w 3633470"/>
                            <a:gd name="connsiteY17" fmla="*/ 1279525 h 1299210"/>
                            <a:gd name="connisteX18" fmla="*/ 2333625 w 3633470"/>
                            <a:gd name="connsiteY18" fmla="*/ 374650 h 1299210"/>
                            <a:gd name="connisteX19" fmla="*/ 1979930 w 3633470"/>
                            <a:gd name="connsiteY19" fmla="*/ 238125 h 129921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 ang="0">
                              <a:pos x="connisteX13" y="connsiteY13"/>
                            </a:cxn>
                            <a:cxn ang="0">
                              <a:pos x="connisteX14" y="connsiteY14"/>
                            </a:cxn>
                            <a:cxn ang="0">
                              <a:pos x="connisteX15" y="connsiteY15"/>
                            </a:cxn>
                            <a:cxn ang="0">
                              <a:pos x="connisteX16" y="connsiteY16"/>
                            </a:cxn>
                            <a:cxn ang="0">
                              <a:pos x="connisteX17" y="connsiteY17"/>
                            </a:cxn>
                            <a:cxn ang="0">
                              <a:pos x="connisteX18" y="connsiteY18"/>
                            </a:cxn>
                            <a:cxn ang="0">
                              <a:pos x="connisteX19" y="connsiteY19"/>
                            </a:cxn>
                          </a:cxnLst>
                          <a:rect l="l" t="t" r="r" b="b"/>
                          <a:pathLst>
                            <a:path w="3633470" h="1299210">
                              <a:moveTo>
                                <a:pt x="1979930" y="238125"/>
                              </a:moveTo>
                              <a:lnTo>
                                <a:pt x="1809750" y="251460"/>
                              </a:lnTo>
                              <a:lnTo>
                                <a:pt x="1659890" y="156210"/>
                              </a:lnTo>
                              <a:lnTo>
                                <a:pt x="1626235" y="211455"/>
                              </a:lnTo>
                              <a:lnTo>
                                <a:pt x="1320165" y="0"/>
                              </a:lnTo>
                              <a:lnTo>
                                <a:pt x="1265555" y="13335"/>
                              </a:lnTo>
                              <a:lnTo>
                                <a:pt x="1299845" y="108585"/>
                              </a:lnTo>
                              <a:lnTo>
                                <a:pt x="1204595" y="238125"/>
                              </a:lnTo>
                              <a:lnTo>
                                <a:pt x="966470" y="136525"/>
                              </a:lnTo>
                              <a:lnTo>
                                <a:pt x="918845" y="203835"/>
                              </a:lnTo>
                              <a:lnTo>
                                <a:pt x="891540" y="306705"/>
                              </a:lnTo>
                              <a:lnTo>
                                <a:pt x="701040" y="469900"/>
                              </a:lnTo>
                              <a:lnTo>
                                <a:pt x="551180" y="469900"/>
                              </a:lnTo>
                              <a:lnTo>
                                <a:pt x="469265" y="598805"/>
                              </a:lnTo>
                              <a:lnTo>
                                <a:pt x="401320" y="830580"/>
                              </a:lnTo>
                              <a:lnTo>
                                <a:pt x="0" y="1163955"/>
                              </a:lnTo>
                              <a:lnTo>
                                <a:pt x="0" y="1299210"/>
                              </a:lnTo>
                              <a:lnTo>
                                <a:pt x="3633470" y="1279525"/>
                              </a:lnTo>
                              <a:lnTo>
                                <a:pt x="2333625" y="374650"/>
                              </a:lnTo>
                              <a:lnTo>
                                <a:pt x="1979930" y="238125"/>
                              </a:lnTo>
                              <a:close/>
                            </a:path>
                          </a:pathLst>
                        </a:custGeom>
                        <a:solidFill>
                          <a:schemeClr val="accent4">
                            <a:alpha val="62000"/>
                          </a:schemeClr>
                        </a:solidFill>
                        <a:ln w="63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id="_x0000_s1026" o:spid="_x0000_s1026" o:spt="100" style="position:absolute;left:0pt;margin-left:177.95pt;margin-top:278.75pt;height:102.3pt;width:286.1pt;z-index:251681792;mso-width-relative:page;mso-height-relative:page;" fillcolor="#8064A2 [3207]" filled="t" stroked="t" coordsize="3633470,1299210" o:gfxdata="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" path="m1979930,238125l1809750,251460,1659890,156210,1626235,211455,1320165,0,1265555,13335,1299845,108585,1204595,238125,966470,136525,918845,203835,891540,306705,701040,469900,551180,469900,469265,598805,401320,830580,0,1163955,0,1299210,3633470,1279525,2333625,374650,1979930,238125xe">
                <v:path o:connectlocs="1979930,238125;1809750,251460;1659890,156210;1626235,211455;1320165,0;1265555,13335;1299845,108585;1204595,238125;966470,136525;918845,203835;891540,306705;701040,469900;551180,469900;469265,598805;401320,830580;0,1163955;0,1299210;3633470,1279525;2333625,374650;1979930,238125" o:connectangles="0,0,0,0,0,0,0,0,0,0,0,0,0,0,0,0,0,0,0,0"/>
                <v:fill on="t" opacity="40632f" focussize="0,0"/>
                <v:stroke weight="0.5pt" color="#FF0000 [3204]" joinstyle="round"/>
                <v:imagedata o:title=""/>
                <o:lock v:ext="edit" aspectratio="f"/>
              </v:shape>
            </w:pict>
          </mc:Fallback>
        </mc:AlternateContent>
      </w:r>
      <w:r>
        <w:rPr>
          <w:color w:val="000000" w:themeColor="text1"/>
          <w:highlight w:val="none"/>
          <w14:textFill>
            <w14:solidFill>
              <w14:schemeClr w14:val="tx1"/>
            </w14:solidFill>
          </w14:textFill>
        </w:rPr>
        <w:drawing>
          <wp:inline distT="0" distB="0" distL="114300" distR="114300">
            <wp:extent cx="6247765" cy="5140325"/>
            <wp:effectExtent l="0" t="0" r="635" b="3175"/>
            <wp:docPr id="10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5"/>
                    <pic:cNvPicPr>
                      <a:picLocks noChangeAspect="1"/>
                    </pic:cNvPicPr>
                  </pic:nvPicPr>
                  <pic:blipFill>
                    <a:blip r:embed="rId90"/>
                    <a:stretch>
                      <a:fillRect/>
                    </a:stretch>
                  </pic:blipFill>
                  <pic:spPr>
                    <a:xfrm>
                      <a:off x="0" y="0"/>
                      <a:ext cx="6247765" cy="5140325"/>
                    </a:xfrm>
                    <a:prstGeom prst="rect">
                      <a:avLst/>
                    </a:prstGeom>
                    <a:noFill/>
                    <a:ln>
                      <a:noFill/>
                    </a:ln>
                  </pic:spPr>
                </pic:pic>
              </a:graphicData>
            </a:graphic>
          </wp:inline>
        </w:drawing>
      </w:r>
      <w:r>
        <w:rPr>
          <w:color w:val="000000" w:themeColor="text1"/>
          <w:sz w:val="21"/>
          <w:highlight w:val="none"/>
          <w14:textFill>
            <w14:solidFill>
              <w14:schemeClr w14:val="tx1"/>
            </w14:solidFill>
          </w14:textFill>
        </w:rPr>
        <mc:AlternateContent>
          <mc:Choice Requires="wps">
            <w:drawing>
              <wp:anchor distT="0" distB="0" distL="114300" distR="114300" simplePos="0" relativeHeight="251679744" behindDoc="0" locked="0" layoutInCell="1" allowOverlap="1">
                <wp:simplePos x="0" y="0"/>
                <wp:positionH relativeFrom="column">
                  <wp:posOffset>3520440</wp:posOffset>
                </wp:positionH>
                <wp:positionV relativeFrom="paragraph">
                  <wp:posOffset>4219575</wp:posOffset>
                </wp:positionV>
                <wp:extent cx="899160" cy="342265"/>
                <wp:effectExtent l="0" t="0" r="0" b="0"/>
                <wp:wrapNone/>
                <wp:docPr id="133" name="文本框 133"/>
                <wp:cNvGraphicFramePr/>
                <a:graphic xmlns:a="http://schemas.openxmlformats.org/drawingml/2006/main">
                  <a:graphicData uri="http://schemas.microsoft.com/office/word/2010/wordprocessingShape">
                    <wps:wsp>
                      <wps:cNvSpPr txBox="1"/>
                      <wps:spPr>
                        <a:xfrm>
                          <a:off x="4409440" y="5084445"/>
                          <a:ext cx="899160" cy="3422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B82F4B">
                            <w:pPr>
                              <w:rPr>
                                <w:rFonts w:hint="default" w:ascii="Times New Roman" w:hAnsi="Times New Roman" w:cs="Times New Roman"/>
                                <w:color w:val="FF0000"/>
                                <w:sz w:val="15"/>
                                <w:szCs w:val="15"/>
                                <w:highlight w:val="none"/>
                              </w:rPr>
                            </w:pPr>
                            <w:r>
                              <w:rPr>
                                <w:rFonts w:hint="default" w:ascii="Times New Roman" w:hAnsi="Times New Roman" w:eastAsia="宋体" w:cs="Times New Roman"/>
                                <w:color w:val="FF0000"/>
                                <w:sz w:val="15"/>
                                <w:szCs w:val="15"/>
                                <w:highlight w:val="none"/>
                                <w:lang w:val="en-US" w:eastAsia="zh-CN"/>
                              </w:rPr>
                              <w:t>黑龙江伊春兴安国家森林公园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7.2pt;margin-top:332.25pt;height:26.95pt;width:70.8pt;z-index:251679744;mso-width-relative:page;mso-height-relative:page;" filled="f" stroked="f" coordsize="21600,21600" o:gfxdata="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Mgq40bcAAAACwEAAA8AAAAA&#10;AAAAAQAgAAAAIgAAAGRycy9kb3ducmV2LnhtbFBLAQIUABQAAAAIAIdO4kCFr9EmSQIAAHUEAAAO&#10;AAAAAAAAAAEAIAAAACsBAABkcnMvZTJvRG9jLnhtbFBLBQYAAAAABgAGAFkBAADmBQAAAAA=&#10;">
                <v:fill on="f" focussize="0,0"/>
                <v:stroke on="f" weight="0.5pt"/>
                <v:imagedata o:title=""/>
                <o:lock v:ext="edit" aspectratio="f"/>
                <v:textbox>
                  <w:txbxContent>
                    <w:p w14:paraId="45B82F4B">
                      <w:pPr>
                        <w:rPr>
                          <w:rFonts w:hint="default" w:ascii="Times New Roman" w:hAnsi="Times New Roman" w:cs="Times New Roman"/>
                          <w:color w:val="FF0000"/>
                          <w:sz w:val="15"/>
                          <w:szCs w:val="15"/>
                          <w:highlight w:val="none"/>
                        </w:rPr>
                      </w:pPr>
                      <w:r>
                        <w:rPr>
                          <w:rFonts w:hint="default" w:ascii="Times New Roman" w:hAnsi="Times New Roman" w:eastAsia="宋体" w:cs="Times New Roman"/>
                          <w:color w:val="FF0000"/>
                          <w:sz w:val="15"/>
                          <w:szCs w:val="15"/>
                          <w:highlight w:val="none"/>
                          <w:lang w:val="en-US" w:eastAsia="zh-CN"/>
                        </w:rPr>
                        <w:t>黑龙江伊春兴安国家森林公园</w:t>
                      </w:r>
                    </w:p>
                  </w:txbxContent>
                </v:textbox>
              </v:shape>
            </w:pict>
          </mc:Fallback>
        </mc:AlternateContent>
      </w:r>
      <w:r>
        <w:rPr>
          <w:color w:val="000000" w:themeColor="text1"/>
          <w:sz w:val="21"/>
          <w:highlight w:val="none"/>
          <w14:textFill>
            <w14:solidFill>
              <w14:schemeClr w14:val="tx1"/>
            </w14:solidFill>
          </w14:textFill>
        </w:rPr>
        <mc:AlternateContent>
          <mc:Choice Requires="wps">
            <w:drawing>
              <wp:anchor distT="0" distB="0" distL="114300" distR="114300" simplePos="0" relativeHeight="251680768" behindDoc="0" locked="0" layoutInCell="1" allowOverlap="1">
                <wp:simplePos x="0" y="0"/>
                <wp:positionH relativeFrom="column">
                  <wp:posOffset>3057525</wp:posOffset>
                </wp:positionH>
                <wp:positionV relativeFrom="paragraph">
                  <wp:posOffset>2501265</wp:posOffset>
                </wp:positionV>
                <wp:extent cx="478790" cy="196850"/>
                <wp:effectExtent l="0" t="0" r="0" b="0"/>
                <wp:wrapNone/>
                <wp:docPr id="134" name="文本框 134" descr="7b0a2020202022776f7264617274223a20227b5c2269645c223a32353030343637382c5c227469645c223a31333531357d220a7d0a"/>
                <wp:cNvGraphicFramePr/>
                <a:graphic xmlns:a="http://schemas.openxmlformats.org/drawingml/2006/main">
                  <a:graphicData uri="http://schemas.microsoft.com/office/word/2010/wordprocessingShape">
                    <wps:wsp>
                      <wps:cNvSpPr txBox="1"/>
                      <wps:spPr>
                        <a:xfrm>
                          <a:off x="4236720" y="3412490"/>
                          <a:ext cx="478790" cy="1968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7D238F">
                            <w:pPr>
                              <w:rPr>
                                <w:rFonts w:hint="eastAsia" w:ascii="汉仪力量黑简" w:hAnsi="汉仪力量黑简" w:eastAsia="汉仪力量黑简" w:cs="汉仪力量黑简"/>
                                <w:b/>
                                <w:bCs/>
                                <w:i w:val="0"/>
                                <w:iCs w:val="0"/>
                                <w:color w:val="FFFFFF"/>
                                <w:sz w:val="10"/>
                                <w:szCs w:val="10"/>
                                <w:lang w:val="en-US" w:eastAsia="zh-CN"/>
                                <w14:glow w14:rad="0">
                                  <w14:srgbClr w14:val="FFFFFF"/>
                                </w14:glow>
                                <w14:shadow w14:blurRad="0" w14:dist="38100" w14:dir="2700000" w14:sx="100000" w14:sy="100000" w14:kx="0" w14:ky="0" w14:algn="tl">
                                  <w14:srgbClr w14:val="FFCC01">
                                    <w14:alpha w14:val="6000"/>
                                  </w14:srgbClr>
                                </w14:shadow>
                                <w14:reflection w14:blurRad="0" w14:stA="100000" w14:stPos="0" w14:endA="0" w14:endPos="100000" w14:dist="0" w14:dir="0" w14:fadeDir="5400000" w14:sx="100000" w14:sy="100000" w14:kx="0" w14:algn="b"/>
                                <w14:textOutline w14:w="3215" w14:cmpd="sng">
                                  <w14:solidFill>
                                    <w14:srgbClr w14:val="F475B9"/>
                                  </w14:solidFill>
                                  <w14:prstDash w14:val="solid"/>
                                  <w14:round/>
                                </w14:textOutline>
                                <w14:props3d w14:extrusionH="12056" w14:contourW="401">
                                  <w14:extrusionClr>
                                    <w14:srgbClr w14:val="F575BE"/>
                                  </w14:extrusionClr>
                                  <w14:contourClr>
                                    <w14:srgbClr w14:val="FFDE5C"/>
                                  </w14:contourClr>
                                </w14:props3d>
                              </w:rPr>
                            </w:pPr>
                            <w:r>
                              <w:rPr>
                                <w:rFonts w:hint="eastAsia" w:ascii="汉仪力量黑简" w:hAnsi="汉仪力量黑简" w:eastAsia="汉仪力量黑简" w:cs="汉仪力量黑简"/>
                                <w:b/>
                                <w:bCs/>
                                <w:i w:val="0"/>
                                <w:iCs w:val="0"/>
                                <w:color w:val="FFFFFF"/>
                                <w:sz w:val="10"/>
                                <w:szCs w:val="10"/>
                                <w:lang w:val="en-US" w:eastAsia="zh-CN"/>
                                <w14:glow w14:rad="0">
                                  <w14:srgbClr w14:val="FFFFFF"/>
                                </w14:glow>
                                <w14:shadow w14:blurRad="0" w14:dist="38100" w14:dir="2700000" w14:sx="100000" w14:sy="100000" w14:kx="0" w14:ky="0" w14:algn="tl">
                                  <w14:srgbClr w14:val="FFCC01">
                                    <w14:alpha w14:val="6000"/>
                                  </w14:srgbClr>
                                </w14:shadow>
                                <w14:reflection w14:blurRad="0" w14:stA="100000" w14:stPos="0" w14:endA="0" w14:endPos="100000" w14:dist="0" w14:dir="0" w14:fadeDir="5400000" w14:sx="100000" w14:sy="100000" w14:kx="0" w14:algn="b"/>
                                <w14:textOutline w14:w="3215" w14:cmpd="sng">
                                  <w14:solidFill>
                                    <w14:srgbClr w14:val="F475B9"/>
                                  </w14:solidFill>
                                  <w14:prstDash w14:val="solid"/>
                                  <w14:round/>
                                </w14:textOutline>
                                <w14:props3d w14:extrusionH="12056" w14:contourW="401">
                                  <w14:extrusionClr>
                                    <w14:srgbClr w14:val="F575BE"/>
                                  </w14:extrusionClr>
                                  <w14:contourClr>
                                    <w14:srgbClr w14:val="FFDE5C"/>
                                  </w14:contourClr>
                                </w14:props3d>
                              </w:rPr>
                              <w:t>北郡B区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alt="7b0a2020202022776f7264617274223a20227b5c2269645c223a32353030343637382c5c227469645c223a31333531357d220a7d0a" type="#_x0000_t202" style="position:absolute;left:0pt;margin-left:240.75pt;margin-top:196.95pt;height:15.5pt;width:37.7pt;z-index:251680768;mso-width-relative:page;mso-height-relative:page;" filled="f" stroked="f" coordsize="21600,21600" o:gfxdata="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MUJ19zc&#10;AAAACwEAAA8AAAAAAAAAAQAgAAAAIgAAAGRycy9kb3ducmV2LnhtbFBLAQIUABQAAAAIAIdO4kBv&#10;H1KWjgIAAOgEAAAOAAAAAAAAAAEAIAAAACsBAABkcnMvZTJvRG9jLnhtbFBLBQYAAAAABgAGAFkB&#10;AAArBgAAAAA=&#10;">
                <v:fill on="f" focussize="0,0"/>
                <v:stroke on="f" weight="0.5pt"/>
                <v:imagedata o:title=""/>
                <o:lock v:ext="edit" aspectratio="f"/>
                <v:textbox>
                  <w:txbxContent>
                    <w:p w14:paraId="747D238F">
                      <w:pPr>
                        <w:rPr>
                          <w:rFonts w:hint="eastAsia" w:ascii="汉仪力量黑简" w:hAnsi="汉仪力量黑简" w:eastAsia="汉仪力量黑简" w:cs="汉仪力量黑简"/>
                          <w:b/>
                          <w:bCs/>
                          <w:i w:val="0"/>
                          <w:iCs w:val="0"/>
                          <w:color w:val="FFFFFF"/>
                          <w:sz w:val="10"/>
                          <w:szCs w:val="10"/>
                          <w:lang w:val="en-US" w:eastAsia="zh-CN"/>
                          <w14:glow w14:rad="0">
                            <w14:srgbClr w14:val="FFFFFF"/>
                          </w14:glow>
                          <w14:shadow w14:blurRad="0" w14:dist="38100" w14:dir="2700000" w14:sx="100000" w14:sy="100000" w14:kx="0" w14:ky="0" w14:algn="tl">
                            <w14:srgbClr w14:val="FFCC01">
                              <w14:alpha w14:val="6000"/>
                            </w14:srgbClr>
                          </w14:shadow>
                          <w14:reflection w14:blurRad="0" w14:stA="100000" w14:stPos="0" w14:endA="0" w14:endPos="100000" w14:dist="0" w14:dir="0" w14:fadeDir="5400000" w14:sx="100000" w14:sy="100000" w14:kx="0" w14:algn="b"/>
                          <w14:textOutline w14:w="3215" w14:cmpd="sng">
                            <w14:solidFill>
                              <w14:srgbClr w14:val="F475B9"/>
                            </w14:solidFill>
                            <w14:prstDash w14:val="solid"/>
                            <w14:round/>
                          </w14:textOutline>
                          <w14:props3d w14:extrusionH="12056" w14:contourW="401">
                            <w14:extrusionClr>
                              <w14:srgbClr w14:val="F575BE"/>
                            </w14:extrusionClr>
                            <w14:contourClr>
                              <w14:srgbClr w14:val="FFDE5C"/>
                            </w14:contourClr>
                          </w14:props3d>
                        </w:rPr>
                      </w:pPr>
                      <w:r>
                        <w:rPr>
                          <w:rFonts w:hint="eastAsia" w:ascii="汉仪力量黑简" w:hAnsi="汉仪力量黑简" w:eastAsia="汉仪力量黑简" w:cs="汉仪力量黑简"/>
                          <w:b/>
                          <w:bCs/>
                          <w:i w:val="0"/>
                          <w:iCs w:val="0"/>
                          <w:color w:val="FFFFFF"/>
                          <w:sz w:val="10"/>
                          <w:szCs w:val="10"/>
                          <w:lang w:val="en-US" w:eastAsia="zh-CN"/>
                          <w14:glow w14:rad="0">
                            <w14:srgbClr w14:val="FFFFFF"/>
                          </w14:glow>
                          <w14:shadow w14:blurRad="0" w14:dist="38100" w14:dir="2700000" w14:sx="100000" w14:sy="100000" w14:kx="0" w14:ky="0" w14:algn="tl">
                            <w14:srgbClr w14:val="FFCC01">
                              <w14:alpha w14:val="6000"/>
                            </w14:srgbClr>
                          </w14:shadow>
                          <w14:reflection w14:blurRad="0" w14:stA="100000" w14:stPos="0" w14:endA="0" w14:endPos="100000" w14:dist="0" w14:dir="0" w14:fadeDir="5400000" w14:sx="100000" w14:sy="100000" w14:kx="0" w14:algn="b"/>
                          <w14:textOutline w14:w="3215" w14:cmpd="sng">
                            <w14:solidFill>
                              <w14:srgbClr w14:val="F475B9"/>
                            </w14:solidFill>
                            <w14:prstDash w14:val="solid"/>
                            <w14:round/>
                          </w14:textOutline>
                          <w14:props3d w14:extrusionH="12056" w14:contourW="401">
                            <w14:extrusionClr>
                              <w14:srgbClr w14:val="F575BE"/>
                            </w14:extrusionClr>
                            <w14:contourClr>
                              <w14:srgbClr w14:val="FFDE5C"/>
                            </w14:contourClr>
                          </w14:props3d>
                        </w:rPr>
                        <w:t>北郡B区</w:t>
                      </w:r>
                    </w:p>
                  </w:txbxContent>
                </v:textbox>
              </v:shape>
            </w:pict>
          </mc:Fallback>
        </mc:AlternateContent>
      </w:r>
    </w:p>
    <w:p w14:paraId="7BCA8DDF">
      <w:pPr>
        <w:keepNext w:val="0"/>
        <w:keepLines w:val="0"/>
        <w:pageBreakBefore w:val="0"/>
        <w:widowControl w:val="0"/>
        <w:kinsoku/>
        <w:wordWrap/>
        <w:overflowPunct/>
        <w:topLinePunct w:val="0"/>
        <w:autoSpaceDE/>
        <w:autoSpaceDN/>
        <w:bidi w:val="0"/>
        <w:adjustRightInd/>
        <w:snapToGrid/>
        <w:jc w:val="center"/>
        <w:textAlignment w:val="auto"/>
        <w:outlineLvl w:val="0"/>
        <w:rPr>
          <w:rFonts w:hint="default" w:ascii="Times New Roman" w:hAnsi="Times New Roman" w:eastAsia="宋体" w:cs="Times New Roman"/>
          <w:b/>
          <w:bCs/>
          <w:color w:val="000000" w:themeColor="text1"/>
          <w:sz w:val="28"/>
          <w:szCs w:val="36"/>
          <w:highlight w:val="none"/>
          <w:lang w:val="en-US" w:eastAsia="zh-CN"/>
          <w14:textFill>
            <w14:solidFill>
              <w14:schemeClr w14:val="tx1"/>
            </w14:solidFill>
          </w14:textFill>
        </w:rPr>
        <w:sectPr>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bookmarkStart w:id="91" w:name="_Toc1085"/>
      <w:bookmarkStart w:id="92" w:name="_Toc15447"/>
      <w:bookmarkStart w:id="93" w:name="_Toc13870"/>
      <w:bookmarkStart w:id="94" w:name="_Toc12940"/>
      <w:bookmarkStart w:id="95" w:name="_Toc11583"/>
      <w:r>
        <w:rPr>
          <w:rFonts w:hint="default" w:ascii="Times New Roman" w:hAnsi="Times New Roman" w:eastAsia="宋体" w:cs="Times New Roman"/>
          <w:b/>
          <w:bCs/>
          <w:color w:val="000000" w:themeColor="text1"/>
          <w:sz w:val="28"/>
          <w:szCs w:val="36"/>
          <w:highlight w:val="none"/>
          <w:lang w:val="en-US" w:eastAsia="zh-CN"/>
          <w14:textFill>
            <w14:solidFill>
              <w14:schemeClr w14:val="tx1"/>
            </w14:solidFill>
          </w14:textFill>
        </w:rPr>
        <w:t>附图</w:t>
      </w:r>
      <w:r>
        <w:rPr>
          <w:rFonts w:hint="eastAsia" w:cs="Times New Roman"/>
          <w:b/>
          <w:bCs/>
          <w:color w:val="000000" w:themeColor="text1"/>
          <w:sz w:val="28"/>
          <w:szCs w:val="36"/>
          <w:highlight w:val="none"/>
          <w:lang w:val="en-US" w:eastAsia="zh-CN"/>
          <w14:textFill>
            <w14:solidFill>
              <w14:schemeClr w14:val="tx1"/>
            </w14:solidFill>
          </w14:textFill>
        </w:rPr>
        <w:t>4</w:t>
      </w:r>
      <w:r>
        <w:rPr>
          <w:rFonts w:hint="default" w:ascii="Times New Roman" w:hAnsi="Times New Roman" w:eastAsia="宋体" w:cs="Times New Roman"/>
          <w:b/>
          <w:bCs/>
          <w:color w:val="000000" w:themeColor="text1"/>
          <w:sz w:val="28"/>
          <w:szCs w:val="36"/>
          <w:highlight w:val="none"/>
          <w:lang w:val="en-US" w:eastAsia="zh-CN"/>
          <w14:textFill>
            <w14:solidFill>
              <w14:schemeClr w14:val="tx1"/>
            </w14:solidFill>
          </w14:textFill>
        </w:rPr>
        <w:t xml:space="preserve"> 环境保护目标分布图</w:t>
      </w:r>
      <w:bookmarkEnd w:id="91"/>
      <w:bookmarkEnd w:id="92"/>
      <w:bookmarkEnd w:id="93"/>
      <w:bookmarkEnd w:id="94"/>
      <w:bookmarkEnd w:id="95"/>
    </w:p>
    <w:p w14:paraId="47FA53F2">
      <w:pPr>
        <w:outlineLvl w:val="0"/>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pPr>
      <w:bookmarkStart w:id="96" w:name="_Toc21630"/>
      <w:r>
        <w:rPr>
          <w:rFonts w:hint="default" w:ascii="Times New Roman" w:hAnsi="Times New Roman" w:eastAsia="宋体" w:cs="Times New Roman"/>
          <w:b/>
          <w:color w:val="000000" w:themeColor="text1"/>
          <w:sz w:val="24"/>
          <w:highlight w:val="none"/>
          <w14:textFill>
            <w14:solidFill>
              <w14:schemeClr w14:val="tx1"/>
            </w14:solidFill>
          </w14:textFill>
        </w:rPr>
        <w:t>附图</w:t>
      </w:r>
      <w:r>
        <w:rPr>
          <w:rFonts w:hint="eastAsia" w:cs="Times New Roman"/>
          <w:b/>
          <w:color w:val="000000" w:themeColor="text1"/>
          <w:sz w:val="24"/>
          <w:highlight w:val="none"/>
          <w:lang w:val="en-US" w:eastAsia="zh-CN"/>
          <w14:textFill>
            <w14:solidFill>
              <w14:schemeClr w14:val="tx1"/>
            </w14:solidFill>
          </w14:textFill>
        </w:rPr>
        <w:t>5</w:t>
      </w: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t>周边及现场照片</w:t>
      </w:r>
      <w:bookmarkEnd w:id="96"/>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5"/>
        <w:gridCol w:w="6907"/>
      </w:tblGrid>
      <w:tr w14:paraId="7A0E1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45" w:type="dxa"/>
            <w:shd w:val="clear" w:color="auto" w:fill="auto"/>
            <w:vAlign w:val="center"/>
          </w:tcPr>
          <w:p w14:paraId="12C63221">
            <w:pPr>
              <w:bidi w:val="0"/>
              <w:jc w:val="center"/>
              <w:rPr>
                <w:rFonts w:hint="default" w:ascii="Times New Roman" w:hAnsi="Times New Roman" w:eastAsia="宋体" w:cs="Times New Roman"/>
                <w:color w:val="000000" w:themeColor="text1"/>
                <w:kern w:val="2"/>
                <w:sz w:val="24"/>
                <w:szCs w:val="24"/>
                <w:highlight w:val="none"/>
                <w:vertAlign w:val="baseline"/>
                <w:lang w:val="en-US" w:eastAsia="zh-CN" w:bidi="ar-SA"/>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3383280" cy="2108835"/>
                  <wp:effectExtent l="0" t="0" r="7620" b="5715"/>
                  <wp:docPr id="3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6"/>
                          <pic:cNvPicPr>
                            <a:picLocks noChangeAspect="1"/>
                          </pic:cNvPicPr>
                        </pic:nvPicPr>
                        <pic:blipFill>
                          <a:blip r:embed="rId91"/>
                          <a:stretch>
                            <a:fillRect/>
                          </a:stretch>
                        </pic:blipFill>
                        <pic:spPr>
                          <a:xfrm>
                            <a:off x="0" y="0"/>
                            <a:ext cx="3383280" cy="2108835"/>
                          </a:xfrm>
                          <a:prstGeom prst="rect">
                            <a:avLst/>
                          </a:prstGeom>
                          <a:noFill/>
                          <a:ln>
                            <a:noFill/>
                          </a:ln>
                        </pic:spPr>
                      </pic:pic>
                    </a:graphicData>
                  </a:graphic>
                </wp:inline>
              </w:drawing>
            </w:r>
          </w:p>
        </w:tc>
        <w:tc>
          <w:tcPr>
            <w:tcW w:w="6907" w:type="dxa"/>
            <w:vAlign w:val="center"/>
          </w:tcPr>
          <w:p w14:paraId="00704579">
            <w:pPr>
              <w:bidi w:val="0"/>
              <w:jc w:val="cente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drawing>
                <wp:inline distT="0" distB="0" distL="114300" distR="114300">
                  <wp:extent cx="2823845" cy="2118995"/>
                  <wp:effectExtent l="0" t="0" r="14605" b="14605"/>
                  <wp:docPr id="29" name="图片 29" descr="b34b26a5ae58a2694426f5b4cb5a33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b34b26a5ae58a2694426f5b4cb5a33c4"/>
                          <pic:cNvPicPr>
                            <a:picLocks noChangeAspect="1"/>
                          </pic:cNvPicPr>
                        </pic:nvPicPr>
                        <pic:blipFill>
                          <a:blip r:embed="rId92"/>
                          <a:stretch>
                            <a:fillRect/>
                          </a:stretch>
                        </pic:blipFill>
                        <pic:spPr>
                          <a:xfrm>
                            <a:off x="0" y="0"/>
                            <a:ext cx="2823845" cy="2118995"/>
                          </a:xfrm>
                          <a:prstGeom prst="rect">
                            <a:avLst/>
                          </a:prstGeom>
                        </pic:spPr>
                      </pic:pic>
                    </a:graphicData>
                  </a:graphic>
                </wp:inline>
              </w:drawing>
            </w:r>
          </w:p>
        </w:tc>
      </w:tr>
      <w:tr w14:paraId="2E39D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45" w:type="dxa"/>
            <w:shd w:val="clear" w:color="auto" w:fill="auto"/>
            <w:vAlign w:val="center"/>
          </w:tcPr>
          <w:p w14:paraId="28EDAFCB">
            <w:pPr>
              <w:bidi w:val="0"/>
              <w:jc w:val="center"/>
              <w:rPr>
                <w:rFonts w:hint="default" w:ascii="Times New Roman" w:hAnsi="Times New Roman" w:cs="Times New Roman"/>
                <w:bCs/>
                <w:color w:val="000000" w:themeColor="text1"/>
                <w:kern w:val="0"/>
                <w:sz w:val="24"/>
                <w:szCs w:val="21"/>
                <w:highlight w:val="none"/>
                <w:lang w:val="en-US" w:eastAsia="zh-CN"/>
                <w14:textFill>
                  <w14:solidFill>
                    <w14:schemeClr w14:val="tx1"/>
                  </w14:solidFill>
                </w14:textFill>
              </w:rPr>
            </w:pPr>
            <w:r>
              <w:rPr>
                <w:rFonts w:hint="default" w:ascii="Times New Roman" w:hAnsi="Times New Roman" w:cs="Times New Roman"/>
                <w:bCs/>
                <w:color w:val="000000" w:themeColor="text1"/>
                <w:kern w:val="0"/>
                <w:sz w:val="24"/>
                <w:szCs w:val="21"/>
                <w:highlight w:val="none"/>
                <w:lang w:val="en-US" w:eastAsia="zh-CN"/>
                <w14:textFill>
                  <w14:solidFill>
                    <w14:schemeClr w14:val="tx1"/>
                  </w14:solidFill>
                </w14:textFill>
              </w:rPr>
              <w:t>东侧</w:t>
            </w:r>
            <w:bookmarkStart w:id="97" w:name="OLE_LINK1"/>
            <w:r>
              <w:rPr>
                <w:rFonts w:hint="eastAsia" w:ascii="Times New Roman" w:hAnsi="Times New Roman" w:cs="Times New Roman"/>
                <w:bCs/>
                <w:color w:val="000000" w:themeColor="text1"/>
                <w:kern w:val="0"/>
                <w:sz w:val="24"/>
                <w:szCs w:val="21"/>
                <w:highlight w:val="none"/>
                <w:lang w:val="en-US" w:eastAsia="zh-CN"/>
                <w14:textFill>
                  <w14:solidFill>
                    <w14:schemeClr w14:val="tx1"/>
                  </w14:solidFill>
                </w14:textFill>
              </w:rPr>
              <w:t>为伊春市应急物资储备库</w:t>
            </w:r>
            <w:bookmarkEnd w:id="97"/>
          </w:p>
        </w:tc>
        <w:tc>
          <w:tcPr>
            <w:tcW w:w="6907" w:type="dxa"/>
            <w:vAlign w:val="center"/>
          </w:tcPr>
          <w:p w14:paraId="42CFD52E">
            <w:pPr>
              <w:bidi w:val="0"/>
              <w:jc w:val="center"/>
              <w:rPr>
                <w:rFonts w:hint="default" w:ascii="Times New Roman" w:hAnsi="Times New Roman" w:cs="Times New Roman"/>
                <w:bCs/>
                <w:color w:val="000000" w:themeColor="text1"/>
                <w:kern w:val="0"/>
                <w:sz w:val="24"/>
                <w:szCs w:val="21"/>
                <w:highlight w:val="none"/>
                <w:lang w:val="en-US" w:eastAsia="zh-CN"/>
                <w14:textFill>
                  <w14:solidFill>
                    <w14:schemeClr w14:val="tx1"/>
                  </w14:solidFill>
                </w14:textFill>
              </w:rPr>
            </w:pPr>
            <w:r>
              <w:rPr>
                <w:rFonts w:hint="default" w:ascii="Times New Roman" w:hAnsi="Times New Roman" w:cs="Times New Roman"/>
                <w:bCs/>
                <w:color w:val="000000" w:themeColor="text1"/>
                <w:kern w:val="0"/>
                <w:sz w:val="24"/>
                <w:szCs w:val="21"/>
                <w:highlight w:val="none"/>
                <w:lang w:val="en-US" w:eastAsia="zh-CN"/>
                <w14:textFill>
                  <w14:solidFill>
                    <w14:schemeClr w14:val="tx1"/>
                  </w14:solidFill>
                </w14:textFill>
              </w:rPr>
              <w:t>南侧</w:t>
            </w:r>
            <w:r>
              <w:rPr>
                <w:rFonts w:hint="eastAsia" w:ascii="Times New Roman" w:hAnsi="Times New Roman" w:cs="Times New Roman"/>
                <w:bCs/>
                <w:color w:val="000000" w:themeColor="text1"/>
                <w:kern w:val="0"/>
                <w:sz w:val="24"/>
                <w:szCs w:val="21"/>
                <w:highlight w:val="none"/>
                <w:lang w:val="en-US" w:eastAsia="zh-CN"/>
                <w14:textFill>
                  <w14:solidFill>
                    <w14:schemeClr w14:val="tx1"/>
                  </w14:solidFill>
                </w14:textFill>
              </w:rPr>
              <w:t>为商混站</w:t>
            </w:r>
          </w:p>
        </w:tc>
      </w:tr>
      <w:tr w14:paraId="73C2F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5" w:hRule="atLeast"/>
          <w:jc w:val="center"/>
        </w:trPr>
        <w:tc>
          <w:tcPr>
            <w:tcW w:w="6745" w:type="dxa"/>
            <w:vAlign w:val="center"/>
          </w:tcPr>
          <w:p w14:paraId="22A775D4">
            <w:pPr>
              <w:bidi w:val="0"/>
              <w:jc w:val="cente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3961130" cy="2159635"/>
                  <wp:effectExtent l="0" t="0" r="1270" b="12065"/>
                  <wp:docPr id="4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8"/>
                          <pic:cNvPicPr>
                            <a:picLocks noChangeAspect="1"/>
                          </pic:cNvPicPr>
                        </pic:nvPicPr>
                        <pic:blipFill>
                          <a:blip r:embed="rId93"/>
                          <a:stretch>
                            <a:fillRect/>
                          </a:stretch>
                        </pic:blipFill>
                        <pic:spPr>
                          <a:xfrm>
                            <a:off x="0" y="0"/>
                            <a:ext cx="3961130" cy="2159635"/>
                          </a:xfrm>
                          <a:prstGeom prst="rect">
                            <a:avLst/>
                          </a:prstGeom>
                          <a:noFill/>
                          <a:ln>
                            <a:noFill/>
                          </a:ln>
                        </pic:spPr>
                      </pic:pic>
                    </a:graphicData>
                  </a:graphic>
                </wp:inline>
              </w:drawing>
            </w:r>
          </w:p>
        </w:tc>
        <w:tc>
          <w:tcPr>
            <w:tcW w:w="6907" w:type="dxa"/>
            <w:vAlign w:val="center"/>
          </w:tcPr>
          <w:p w14:paraId="3C38E67E">
            <w:pPr>
              <w:bidi w:val="0"/>
              <w:jc w:val="cente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3894455" cy="2124075"/>
                  <wp:effectExtent l="0" t="0" r="10795" b="9525"/>
                  <wp:docPr id="4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0"/>
                          <pic:cNvPicPr>
                            <a:picLocks noChangeAspect="1"/>
                          </pic:cNvPicPr>
                        </pic:nvPicPr>
                        <pic:blipFill>
                          <a:blip r:embed="rId94"/>
                          <a:stretch>
                            <a:fillRect/>
                          </a:stretch>
                        </pic:blipFill>
                        <pic:spPr>
                          <a:xfrm>
                            <a:off x="0" y="0"/>
                            <a:ext cx="3894455" cy="2124075"/>
                          </a:xfrm>
                          <a:prstGeom prst="rect">
                            <a:avLst/>
                          </a:prstGeom>
                          <a:noFill/>
                          <a:ln>
                            <a:noFill/>
                          </a:ln>
                        </pic:spPr>
                      </pic:pic>
                    </a:graphicData>
                  </a:graphic>
                </wp:inline>
              </w:drawing>
            </w:r>
          </w:p>
        </w:tc>
      </w:tr>
      <w:tr w14:paraId="45EE4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6745" w:type="dxa"/>
            <w:vAlign w:val="center"/>
          </w:tcPr>
          <w:p w14:paraId="41AA20F7">
            <w:pPr>
              <w:bidi w:val="0"/>
              <w:jc w:val="cente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pPr>
            <w:r>
              <w:rPr>
                <w:rFonts w:hint="default" w:ascii="Times New Roman" w:hAnsi="Times New Roman" w:cs="Times New Roman"/>
                <w:bCs/>
                <w:color w:val="000000" w:themeColor="text1"/>
                <w:kern w:val="0"/>
                <w:sz w:val="24"/>
                <w:szCs w:val="21"/>
                <w:highlight w:val="none"/>
                <w:lang w:val="en-US" w:eastAsia="zh-CN"/>
                <w14:textFill>
                  <w14:solidFill>
                    <w14:schemeClr w14:val="tx1"/>
                  </w14:solidFill>
                </w14:textFill>
              </w:rPr>
              <w:t>西侧为</w:t>
            </w:r>
            <w:r>
              <w:rPr>
                <w:rFonts w:hint="eastAsia" w:ascii="Times New Roman" w:hAnsi="Times New Roman" w:cs="Times New Roman"/>
                <w:bCs/>
                <w:color w:val="000000" w:themeColor="text1"/>
                <w:kern w:val="0"/>
                <w:sz w:val="24"/>
                <w:szCs w:val="21"/>
                <w:highlight w:val="none"/>
                <w:lang w:val="en-US" w:eastAsia="zh-CN"/>
                <w14:textFill>
                  <w14:solidFill>
                    <w14:schemeClr w14:val="tx1"/>
                  </w14:solidFill>
                </w14:textFill>
              </w:rPr>
              <w:t>伊春市林源家具有限公司厂区闲置厂房</w:t>
            </w:r>
          </w:p>
        </w:tc>
        <w:tc>
          <w:tcPr>
            <w:tcW w:w="6907" w:type="dxa"/>
            <w:vAlign w:val="center"/>
          </w:tcPr>
          <w:p w14:paraId="752CF571">
            <w:pPr>
              <w:bidi w:val="0"/>
              <w:jc w:val="center"/>
              <w:rPr>
                <w:rFonts w:hint="default" w:ascii="Times New Roman" w:hAnsi="Times New Roman" w:eastAsia="宋体" w:cs="Times New Roman"/>
                <w:color w:val="000000" w:themeColor="text1"/>
                <w:highlight w:val="none"/>
                <w:vertAlign w:val="baseline"/>
                <w:lang w:val="en-US" w:eastAsia="zh-CN"/>
                <w14:textFill>
                  <w14:solidFill>
                    <w14:schemeClr w14:val="tx1"/>
                  </w14:solidFill>
                </w14:textFill>
              </w:rPr>
            </w:pPr>
            <w:r>
              <w:rPr>
                <w:rFonts w:hint="default" w:ascii="Times New Roman" w:hAnsi="Times New Roman" w:cs="Times New Roman"/>
                <w:bCs/>
                <w:color w:val="000000" w:themeColor="text1"/>
                <w:kern w:val="0"/>
                <w:sz w:val="24"/>
                <w:szCs w:val="21"/>
                <w:highlight w:val="none"/>
                <w:lang w:val="en-US" w:eastAsia="zh-CN"/>
                <w14:textFill>
                  <w14:solidFill>
                    <w14:schemeClr w14:val="tx1"/>
                  </w14:solidFill>
                </w14:textFill>
              </w:rPr>
              <w:t>北侧</w:t>
            </w:r>
            <w:r>
              <w:rPr>
                <w:rFonts w:hint="eastAsia" w:ascii="Times New Roman" w:hAnsi="Times New Roman" w:cs="Times New Roman"/>
                <w:bCs/>
                <w:color w:val="000000" w:themeColor="text1"/>
                <w:kern w:val="0"/>
                <w:sz w:val="24"/>
                <w:szCs w:val="21"/>
                <w:highlight w:val="none"/>
                <w:lang w:val="en-US" w:eastAsia="zh-CN"/>
                <w14:textFill>
                  <w14:solidFill>
                    <w14:schemeClr w14:val="tx1"/>
                  </w14:solidFill>
                </w14:textFill>
              </w:rPr>
              <w:t>为伊春市林源家具有限公司厂区空地</w:t>
            </w:r>
          </w:p>
        </w:tc>
      </w:tr>
    </w:tbl>
    <w:p w14:paraId="125F0992">
      <w:pPr>
        <w:pStyle w:val="2"/>
        <w:rPr>
          <w:rFonts w:hint="default"/>
          <w:color w:val="000000" w:themeColor="text1"/>
          <w:highlight w:val="none"/>
          <w:lang w:val="en-US" w:eastAsia="zh-CN"/>
          <w14:textFill>
            <w14:solidFill>
              <w14:schemeClr w14:val="tx1"/>
            </w14:solidFill>
          </w14:textFill>
        </w:rPr>
      </w:pPr>
    </w:p>
    <w:sectPr>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Black">
    <w:panose1 w:val="020B0A04020102020204"/>
    <w:charset w:val="00"/>
    <w:family w:val="swiss"/>
    <w:pitch w:val="default"/>
    <w:sig w:usb0="A00002AF" w:usb1="400078FB" w:usb2="00000000" w:usb3="00000000" w:csb0="6000009F" w:csb1="DFD7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Cambria Math">
    <w:panose1 w:val="02040503050406030204"/>
    <w:charset w:val="00"/>
    <w:family w:val="roman"/>
    <w:pitch w:val="default"/>
    <w:sig w:usb0="E00006FF" w:usb1="420024FF" w:usb2="02000000" w:usb3="00000000" w:csb0="2000019F" w:csb1="0000000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汉仪力量黑简">
    <w:panose1 w:val="00020600040101010101"/>
    <w:charset w:val="86"/>
    <w:family w:val="auto"/>
    <w:pitch w:val="default"/>
    <w:sig w:usb0="A00002BF" w:usb1="18EF7CFA" w:usb2="00000016" w:usb3="00000000" w:csb0="00040000" w:csb1="00000000"/>
  </w:font>
  <w:font w:name="WPSEMBED1">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C9FAC">
    <w:pPr>
      <w:pStyle w:val="19"/>
      <w:ind w:right="360" w:firstLine="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C846C">
    <w:pPr>
      <w:pStyle w:val="19"/>
      <w:framePr w:wrap="around" w:vAnchor="text" w:hAnchor="margin" w:xAlign="center" w:y="1"/>
      <w:rPr>
        <w:rStyle w:val="32"/>
      </w:rPr>
    </w:pPr>
    <w:r>
      <w:fldChar w:fldCharType="begin"/>
    </w:r>
    <w:r>
      <w:rPr>
        <w:rStyle w:val="32"/>
      </w:rPr>
      <w:instrText xml:space="preserve">PAGE  </w:instrText>
    </w:r>
    <w:r>
      <w:fldChar w:fldCharType="end"/>
    </w:r>
  </w:p>
  <w:p w14:paraId="4CEBCDA0">
    <w:pPr>
      <w:pStyle w:val="1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EED07">
    <w:pPr>
      <w:pStyle w:val="19"/>
      <w:ind w:right="360" w:firstLine="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07016">
    <w:pPr>
      <w:pStyle w:val="19"/>
      <w:ind w:right="360" w:firstLine="360"/>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20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0205F1">
                          <w:pPr>
                            <w:pStyle w:val="19"/>
                          </w:pPr>
                          <w:r>
                            <w:fldChar w:fldCharType="begin"/>
                          </w:r>
                          <w:r>
                            <w:instrText xml:space="preserve"> PAGE  \* MERGEFORMAT </w:instrText>
                          </w:r>
                          <w:r>
                            <w:fldChar w:fldCharType="separate"/>
                          </w:r>
                          <w:r>
                            <w:t>4</w:t>
                          </w:r>
                          <w:r>
                            <w:fldChar w:fldCharType="end"/>
                          </w:r>
                        </w:p>
                      </w:txbxContent>
                    </wps:txbx>
                    <wps:bodyPr wrap="none" lIns="0" tIns="0" rIns="0" bIns="0" upright="0">
                      <a:spAutoFit/>
                    </wps:bodyPr>
                  </wps:wsp>
                </a:graphicData>
              </a:graphic>
            </wp:anchor>
          </w:drawing>
        </mc:Choice>
        <mc:Fallback>
          <w:pict>
            <v:shape id="文本框 2050"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k4FrHcoBAACdAwAADgAAAAAAAAABACAAAAAeAQAAZHJzL2Uyb0Rv&#10;Yy54bWxQSwUGAAAAAAYABgBZAQAAWgUAAAAA&#10;">
              <v:fill on="f" focussize="0,0"/>
              <v:stroke on="f"/>
              <v:imagedata o:title=""/>
              <o:lock v:ext="edit" aspectratio="f"/>
              <v:textbox inset="0mm,0mm,0mm,0mm" style="mso-fit-shape-to-text:t;">
                <w:txbxContent>
                  <w:p w14:paraId="130205F1">
                    <w:pPr>
                      <w:pStyle w:val="19"/>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A9A71">
    <w:pPr>
      <w:pStyle w:val="19"/>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20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5A24DAF">
                          <w:pPr>
                            <w:pStyle w:val="19"/>
                          </w:pPr>
                          <w:r>
                            <w:fldChar w:fldCharType="begin"/>
                          </w:r>
                          <w:r>
                            <w:instrText xml:space="preserve"> PAGE  \* MERGEFORMAT </w:instrText>
                          </w:r>
                          <w:r>
                            <w:fldChar w:fldCharType="separate"/>
                          </w:r>
                          <w:r>
                            <w:t>4</w:t>
                          </w:r>
                          <w:r>
                            <w:fldChar w:fldCharType="end"/>
                          </w:r>
                        </w:p>
                      </w:txbxContent>
                    </wps:txbx>
                    <wps:bodyPr wrap="none" lIns="0" tIns="0" rIns="0" bIns="0" upright="0">
                      <a:spAutoFit/>
                    </wps:bodyPr>
                  </wps:wsp>
                </a:graphicData>
              </a:graphic>
            </wp:anchor>
          </w:drawing>
        </mc:Choice>
        <mc:Fallback>
          <w:pict>
            <v:shape id="文本框 205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Ci1BATLAQAAnQMAAA4AAAAAAAAAAQAgAAAAHgEAAGRycy9lMm9E&#10;b2MueG1sUEsFBgAAAAAGAAYAWQEAAFsFAAAAAA==&#10;">
              <v:fill on="f" focussize="0,0"/>
              <v:stroke on="f"/>
              <v:imagedata o:title=""/>
              <o:lock v:ext="edit" aspectratio="f"/>
              <v:textbox inset="0mm,0mm,0mm,0mm" style="mso-fit-shape-to-text:t;">
                <w:txbxContent>
                  <w:p w14:paraId="65A24DAF">
                    <w:pPr>
                      <w:pStyle w:val="19"/>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01779">
    <w:pPr>
      <w:pStyle w:val="19"/>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D8753B8">
                          <w:pPr>
                            <w:pStyle w:val="19"/>
                          </w:pPr>
                          <w:r>
                            <w:fldChar w:fldCharType="begin"/>
                          </w:r>
                          <w:r>
                            <w:instrText xml:space="preserve"> PAGE  \* MERGEFORMAT </w:instrText>
                          </w:r>
                          <w:r>
                            <w:fldChar w:fldCharType="separate"/>
                          </w:r>
                          <w:r>
                            <w:t>55</w:t>
                          </w:r>
                          <w:r>
                            <w:fldChar w:fldCharType="end"/>
                          </w:r>
                        </w:p>
                      </w:txbxContent>
                    </wps:txbx>
                    <wps:bodyPr vert="horz" wrap="none" lIns="0" tIns="0" rIns="0" bIns="0" anchor="t" anchorCtr="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2qWGUt8BAAC/AwAADgAAAAAA&#10;AAABACAAAAAeAQAAZHJzL2Uyb0RvYy54bWxQSwUGAAAAAAYABgBZAQAAbwUAAAAA&#10;">
              <v:fill on="f" focussize="0,0"/>
              <v:stroke on="f"/>
              <v:imagedata o:title=""/>
              <o:lock v:ext="edit" aspectratio="f"/>
              <v:textbox inset="0mm,0mm,0mm,0mm" style="mso-fit-shape-to-text:t;">
                <w:txbxContent>
                  <w:p w14:paraId="5D8753B8">
                    <w:pPr>
                      <w:pStyle w:val="19"/>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BD0FE">
    <w:pPr>
      <w:pStyle w:val="19"/>
      <w:ind w:right="360" w:firstLine="36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794760C">
                          <w:pPr>
                            <w:pStyle w:val="19"/>
                          </w:pPr>
                          <w:r>
                            <w:fldChar w:fldCharType="begin"/>
                          </w:r>
                          <w:r>
                            <w:instrText xml:space="preserve"> PAGE  \* MERGEFORMAT </w:instrText>
                          </w:r>
                          <w:r>
                            <w:fldChar w:fldCharType="separate"/>
                          </w:r>
                          <w:r>
                            <w:t>56</w:t>
                          </w:r>
                          <w:r>
                            <w:fldChar w:fldCharType="end"/>
                          </w:r>
                        </w:p>
                      </w:txbxContent>
                    </wps:txbx>
                    <wps:bodyPr vert="horz" wrap="none" lIns="0" tIns="0" rIns="0" bIns="0" anchor="t" anchorCtr="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r3nFs98BAAC/AwAADgAAAAAA&#10;AAABACAAAAAeAQAAZHJzL2Uyb0RvYy54bWxQSwUGAAAAAAYABgBZAQAAbwUAAAAA&#10;">
              <v:fill on="f" focussize="0,0"/>
              <v:stroke on="f"/>
              <v:imagedata o:title=""/>
              <o:lock v:ext="edit" aspectratio="f"/>
              <v:textbox inset="0mm,0mm,0mm,0mm" style="mso-fit-shape-to-text:t;">
                <w:txbxContent>
                  <w:p w14:paraId="5794760C">
                    <w:pPr>
                      <w:pStyle w:val="19"/>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6FDD1">
    <w:pPr>
      <w:spacing w:line="226" w:lineRule="exact"/>
      <w:ind w:left="4725"/>
      <w:rPr>
        <w:rFonts w:ascii="Times New Roman" w:hAnsi="Times New Roman" w:eastAsia="Times New Roman" w:cs="Times New Roman"/>
        <w:sz w:val="18"/>
        <w:szCs w:val="18"/>
      </w:rPr>
    </w:pPr>
    <w:r>
      <w:rPr>
        <w:rFonts w:ascii="Times New Roman" w:hAnsi="Times New Roman" w:eastAsia="Times New Roman" w:cs="Times New Roman"/>
        <w:spacing w:val="-7"/>
        <w:position w:val="1"/>
        <w:sz w:val="18"/>
        <w:szCs w:val="18"/>
      </w:rPr>
      <w:t>197</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9D091">
    <w:pPr>
      <w:pStyle w:val="2"/>
      <w:spacing w:line="14" w:lineRule="auto"/>
      <w:rPr>
        <w:sz w:val="2"/>
      </w:rPr>
    </w:pPr>
    <w:bookmarkStart w:id="98" w:name="bookmark13"/>
    <w:bookmarkEnd w:id="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AE58B4"/>
    <w:multiLevelType w:val="singleLevel"/>
    <w:tmpl w:val="98AE58B4"/>
    <w:lvl w:ilvl="0" w:tentative="0">
      <w:start w:val="2"/>
      <w:numFmt w:val="decimal"/>
      <w:suff w:val="nothing"/>
      <w:lvlText w:val="（%1）"/>
      <w:lvlJc w:val="left"/>
    </w:lvl>
  </w:abstractNum>
  <w:abstractNum w:abstractNumId="1">
    <w:nsid w:val="A7493AE6"/>
    <w:multiLevelType w:val="singleLevel"/>
    <w:tmpl w:val="A7493AE6"/>
    <w:lvl w:ilvl="0" w:tentative="0">
      <w:start w:val="1"/>
      <w:numFmt w:val="decimal"/>
      <w:suff w:val="nothing"/>
      <w:lvlText w:val="（%1）"/>
      <w:lvlJc w:val="left"/>
    </w:lvl>
  </w:abstractNum>
  <w:abstractNum w:abstractNumId="2">
    <w:nsid w:val="BB98D76D"/>
    <w:multiLevelType w:val="singleLevel"/>
    <w:tmpl w:val="BB98D76D"/>
    <w:lvl w:ilvl="0" w:tentative="0">
      <w:start w:val="1"/>
      <w:numFmt w:val="decimal"/>
      <w:suff w:val="nothing"/>
      <w:lvlText w:val="（%1）"/>
      <w:lvlJc w:val="left"/>
    </w:lvl>
  </w:abstractNum>
  <w:abstractNum w:abstractNumId="3">
    <w:nsid w:val="BD41DAEE"/>
    <w:multiLevelType w:val="singleLevel"/>
    <w:tmpl w:val="BD41DAEE"/>
    <w:lvl w:ilvl="0" w:tentative="0">
      <w:start w:val="1"/>
      <w:numFmt w:val="decimal"/>
      <w:suff w:val="nothing"/>
      <w:lvlText w:val="（%1）"/>
      <w:lvlJc w:val="left"/>
      <w:rPr>
        <w:rFonts w:hint="default" w:ascii="Times New Roman" w:hAnsi="Times New Roman" w:cs="Times New Roman"/>
        <w:sz w:val="21"/>
        <w:szCs w:val="21"/>
      </w:rPr>
    </w:lvl>
  </w:abstractNum>
  <w:abstractNum w:abstractNumId="4">
    <w:nsid w:val="BF6FC460"/>
    <w:multiLevelType w:val="singleLevel"/>
    <w:tmpl w:val="BF6FC460"/>
    <w:lvl w:ilvl="0" w:tentative="0">
      <w:start w:val="15"/>
      <w:numFmt w:val="chineseCounting"/>
      <w:suff w:val="nothing"/>
      <w:lvlText w:val="（%1）"/>
      <w:lvlJc w:val="left"/>
      <w:rPr>
        <w:rFonts w:hint="eastAsia"/>
      </w:rPr>
    </w:lvl>
  </w:abstractNum>
  <w:abstractNum w:abstractNumId="5">
    <w:nsid w:val="1DB2D329"/>
    <w:multiLevelType w:val="singleLevel"/>
    <w:tmpl w:val="1DB2D329"/>
    <w:lvl w:ilvl="0" w:tentative="0">
      <w:start w:val="1"/>
      <w:numFmt w:val="decimal"/>
      <w:pStyle w:val="90"/>
      <w:suff w:val="nothing"/>
      <w:lvlText w:val="表1-%1 "/>
      <w:lvlJc w:val="left"/>
      <w:pPr>
        <w:tabs>
          <w:tab w:val="left" w:pos="0"/>
        </w:tabs>
        <w:ind w:left="0" w:firstLine="0"/>
      </w:pPr>
      <w:rPr>
        <w:rFonts w:hint="default" w:ascii="宋体" w:hAnsi="宋体" w:eastAsia="宋体" w:cs="宋体"/>
      </w:rPr>
    </w:lvl>
  </w:abstractNum>
  <w:abstractNum w:abstractNumId="6">
    <w:nsid w:val="349F7588"/>
    <w:multiLevelType w:val="singleLevel"/>
    <w:tmpl w:val="349F7588"/>
    <w:lvl w:ilvl="0" w:tentative="0">
      <w:start w:val="1"/>
      <w:numFmt w:val="decimal"/>
      <w:suff w:val="nothing"/>
      <w:lvlText w:val="（%1）"/>
      <w:lvlJc w:val="left"/>
    </w:lvl>
  </w:abstractNum>
  <w:abstractNum w:abstractNumId="7">
    <w:nsid w:val="4BE30DAA"/>
    <w:multiLevelType w:val="multilevel"/>
    <w:tmpl w:val="4BE30DAA"/>
    <w:lvl w:ilvl="0" w:tentative="0">
      <w:start w:val="1"/>
      <w:numFmt w:val="decimal"/>
      <w:suff w:val="nothing"/>
      <w:lvlText w:val="%1."/>
      <w:lvlJc w:val="left"/>
      <w:pPr>
        <w:ind w:left="284" w:firstLine="0"/>
      </w:pPr>
      <w:rPr>
        <w:rFonts w:hint="eastAsia" w:ascii="黑体" w:eastAsia="黑体"/>
        <w:b w:val="0"/>
        <w:i w:val="0"/>
        <w:color w:val="000000"/>
        <w:sz w:val="32"/>
        <w:szCs w:val="32"/>
      </w:rPr>
    </w:lvl>
    <w:lvl w:ilvl="1" w:tentative="0">
      <w:start w:val="1"/>
      <w:numFmt w:val="decimal"/>
      <w:suff w:val="nothing"/>
      <w:lvlText w:val="%1.%2."/>
      <w:lvlJc w:val="left"/>
      <w:pPr>
        <w:ind w:left="5813" w:firstLine="0"/>
      </w:pPr>
      <w:rPr>
        <w:rFonts w:hint="default" w:ascii="Times New Roman" w:hAnsi="Times New Roman" w:eastAsia="黑体" w:cs="Times New Roman"/>
        <w:b w:val="0"/>
        <w:bCs/>
        <w:i w:val="0"/>
        <w:iCs w:val="0"/>
        <w:caps w:val="0"/>
        <w:smallCaps w:val="0"/>
        <w:strike w:val="0"/>
        <w:dstrike w:val="0"/>
        <w:color w:val="auto"/>
        <w:spacing w:val="0"/>
        <w:w w:val="100"/>
        <w:kern w:val="0"/>
        <w:position w:val="0"/>
        <w:sz w:val="30"/>
        <w:szCs w:val="30"/>
        <w:u w:val="none"/>
      </w:rPr>
    </w:lvl>
    <w:lvl w:ilvl="2" w:tentative="0">
      <w:start w:val="1"/>
      <w:numFmt w:val="decimal"/>
      <w:pStyle w:val="7"/>
      <w:suff w:val="nothing"/>
      <w:lvlText w:val="%1.%2.%3."/>
      <w:lvlJc w:val="left"/>
      <w:pPr>
        <w:ind w:left="284" w:firstLine="0"/>
      </w:pPr>
      <w:rPr>
        <w:rFonts w:hint="default" w:ascii="Times New Roman" w:hAnsi="Times New Roman" w:eastAsia="黑体" w:cs="Times New Roman"/>
        <w:b w:val="0"/>
        <w:bCs/>
        <w:i w:val="0"/>
        <w:iCs w:val="0"/>
        <w:caps w:val="0"/>
        <w:smallCaps w:val="0"/>
        <w:dstrike w:val="0"/>
        <w:color w:val="000000"/>
        <w:spacing w:val="0"/>
        <w:w w:val="100"/>
        <w:kern w:val="24"/>
        <w:position w:val="0"/>
        <w:sz w:val="28"/>
        <w:szCs w:val="28"/>
        <w:u w:val="none"/>
      </w:rPr>
    </w:lvl>
    <w:lvl w:ilvl="3" w:tentative="0">
      <w:start w:val="1"/>
      <w:numFmt w:val="decimal"/>
      <w:suff w:val="nothing"/>
      <w:lvlText w:val="%1.%2.%3.%4."/>
      <w:lvlJc w:val="left"/>
      <w:pPr>
        <w:ind w:left="-3270" w:firstLine="0"/>
      </w:pPr>
      <w:rPr>
        <w:rFonts w:hint="eastAsia" w:ascii="黑体" w:hAnsi="Times New Roman" w:eastAsia="黑体" w:cs="Times New Roman"/>
        <w:b/>
        <w:i w:val="0"/>
        <w:sz w:val="28"/>
      </w:rPr>
    </w:lvl>
    <w:lvl w:ilvl="4" w:tentative="0">
      <w:start w:val="1"/>
      <w:numFmt w:val="decimal"/>
      <w:lvlText w:val="%1.%2.%3.%4.%5."/>
      <w:lvlJc w:val="left"/>
      <w:pPr>
        <w:tabs>
          <w:tab w:val="left" w:pos="-3073"/>
        </w:tabs>
        <w:ind w:left="-3073" w:hanging="992"/>
      </w:pPr>
      <w:rPr>
        <w:rFonts w:hint="eastAsia"/>
      </w:rPr>
    </w:lvl>
    <w:lvl w:ilvl="5" w:tentative="0">
      <w:start w:val="1"/>
      <w:numFmt w:val="decimal"/>
      <w:lvlText w:val="%1.%2.%3.%4.%5.%6."/>
      <w:lvlJc w:val="left"/>
      <w:pPr>
        <w:tabs>
          <w:tab w:val="left" w:pos="-2931"/>
        </w:tabs>
        <w:ind w:left="-2931" w:hanging="1134"/>
      </w:pPr>
      <w:rPr>
        <w:rFonts w:hint="eastAsia"/>
      </w:rPr>
    </w:lvl>
    <w:lvl w:ilvl="6" w:tentative="0">
      <w:start w:val="1"/>
      <w:numFmt w:val="decimal"/>
      <w:lvlText w:val="%1.%2.%3.%4.%5.%6.%7."/>
      <w:lvlJc w:val="left"/>
      <w:pPr>
        <w:tabs>
          <w:tab w:val="left" w:pos="-2789"/>
        </w:tabs>
        <w:ind w:left="-2789" w:hanging="1276"/>
      </w:pPr>
      <w:rPr>
        <w:rFonts w:hint="eastAsia"/>
      </w:rPr>
    </w:lvl>
    <w:lvl w:ilvl="7" w:tentative="0">
      <w:start w:val="1"/>
      <w:numFmt w:val="decimal"/>
      <w:lvlText w:val="%1.%2.%3.%4.%5.%6.%7.%8."/>
      <w:lvlJc w:val="left"/>
      <w:pPr>
        <w:tabs>
          <w:tab w:val="left" w:pos="-2647"/>
        </w:tabs>
        <w:ind w:left="-2647" w:hanging="1418"/>
      </w:pPr>
      <w:rPr>
        <w:rFonts w:hint="eastAsia"/>
      </w:rPr>
    </w:lvl>
    <w:lvl w:ilvl="8" w:tentative="0">
      <w:start w:val="1"/>
      <w:numFmt w:val="decimal"/>
      <w:lvlText w:val="%1.%2.%3.%4.%5.%6.%7.%8.%9."/>
      <w:lvlJc w:val="left"/>
      <w:pPr>
        <w:tabs>
          <w:tab w:val="left" w:pos="-2506"/>
        </w:tabs>
        <w:ind w:left="-2506" w:hanging="1559"/>
      </w:pPr>
      <w:rPr>
        <w:rFonts w:hint="eastAsia"/>
      </w:rPr>
    </w:lvl>
  </w:abstractNum>
  <w:num w:numId="1">
    <w:abstractNumId w:val="7"/>
  </w:num>
  <w:num w:numId="2">
    <w:abstractNumId w:val="5"/>
  </w:num>
  <w:num w:numId="3">
    <w:abstractNumId w:val="0"/>
  </w:num>
  <w:num w:numId="4">
    <w:abstractNumId w:val="4"/>
  </w:num>
  <w:num w:numId="5">
    <w:abstractNumId w:val="1"/>
  </w:num>
  <w:num w:numId="6">
    <w:abstractNumId w:val="3"/>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hNTQ0YWQ4N2U4MzJjZjc0YjAwNmFjNmMxOWZkZWIifQ=="/>
  </w:docVars>
  <w:rsids>
    <w:rsidRoot w:val="00A14947"/>
    <w:rsid w:val="000060B3"/>
    <w:rsid w:val="0004364B"/>
    <w:rsid w:val="00052CD3"/>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0485C"/>
    <w:rsid w:val="00131F42"/>
    <w:rsid w:val="001357F1"/>
    <w:rsid w:val="00140FA8"/>
    <w:rsid w:val="00142FEB"/>
    <w:rsid w:val="00143A2D"/>
    <w:rsid w:val="00145A41"/>
    <w:rsid w:val="00151675"/>
    <w:rsid w:val="00157435"/>
    <w:rsid w:val="0017504D"/>
    <w:rsid w:val="0017671A"/>
    <w:rsid w:val="00177422"/>
    <w:rsid w:val="00184590"/>
    <w:rsid w:val="001870D1"/>
    <w:rsid w:val="0018781E"/>
    <w:rsid w:val="0019262D"/>
    <w:rsid w:val="001A1B35"/>
    <w:rsid w:val="001A48A2"/>
    <w:rsid w:val="001A64C4"/>
    <w:rsid w:val="001A6F61"/>
    <w:rsid w:val="001B72B8"/>
    <w:rsid w:val="001C69B3"/>
    <w:rsid w:val="001D5595"/>
    <w:rsid w:val="001D7874"/>
    <w:rsid w:val="001D7F22"/>
    <w:rsid w:val="001F0F17"/>
    <w:rsid w:val="001F3347"/>
    <w:rsid w:val="001F3ADA"/>
    <w:rsid w:val="001F69E4"/>
    <w:rsid w:val="002125B4"/>
    <w:rsid w:val="002155B8"/>
    <w:rsid w:val="00224839"/>
    <w:rsid w:val="002249B2"/>
    <w:rsid w:val="00226574"/>
    <w:rsid w:val="002278EC"/>
    <w:rsid w:val="0023280E"/>
    <w:rsid w:val="002377D1"/>
    <w:rsid w:val="002506BC"/>
    <w:rsid w:val="00252C94"/>
    <w:rsid w:val="00254345"/>
    <w:rsid w:val="00264557"/>
    <w:rsid w:val="002805AB"/>
    <w:rsid w:val="00284204"/>
    <w:rsid w:val="00291773"/>
    <w:rsid w:val="00294959"/>
    <w:rsid w:val="002A168C"/>
    <w:rsid w:val="002A3DC7"/>
    <w:rsid w:val="002B49E2"/>
    <w:rsid w:val="002B7B00"/>
    <w:rsid w:val="002B7C44"/>
    <w:rsid w:val="002C2B17"/>
    <w:rsid w:val="002D3DD0"/>
    <w:rsid w:val="002E1F3A"/>
    <w:rsid w:val="002E298A"/>
    <w:rsid w:val="002F3E16"/>
    <w:rsid w:val="00301978"/>
    <w:rsid w:val="0030332C"/>
    <w:rsid w:val="003051C2"/>
    <w:rsid w:val="00312296"/>
    <w:rsid w:val="00314F0E"/>
    <w:rsid w:val="00321D8E"/>
    <w:rsid w:val="00325928"/>
    <w:rsid w:val="00332863"/>
    <w:rsid w:val="0033684D"/>
    <w:rsid w:val="00337B42"/>
    <w:rsid w:val="00341B42"/>
    <w:rsid w:val="0034348F"/>
    <w:rsid w:val="00356653"/>
    <w:rsid w:val="0035743F"/>
    <w:rsid w:val="00357BE2"/>
    <w:rsid w:val="0036170C"/>
    <w:rsid w:val="00366E0F"/>
    <w:rsid w:val="00381A72"/>
    <w:rsid w:val="00384676"/>
    <w:rsid w:val="00390857"/>
    <w:rsid w:val="00393FB8"/>
    <w:rsid w:val="003A4BF3"/>
    <w:rsid w:val="003B420D"/>
    <w:rsid w:val="003C6C16"/>
    <w:rsid w:val="003D794D"/>
    <w:rsid w:val="003E3058"/>
    <w:rsid w:val="003E76A9"/>
    <w:rsid w:val="003F0809"/>
    <w:rsid w:val="003F6A8C"/>
    <w:rsid w:val="003F755C"/>
    <w:rsid w:val="00406F01"/>
    <w:rsid w:val="00416146"/>
    <w:rsid w:val="00416D50"/>
    <w:rsid w:val="00416FD5"/>
    <w:rsid w:val="00417772"/>
    <w:rsid w:val="00420E6A"/>
    <w:rsid w:val="00425A9E"/>
    <w:rsid w:val="00426D6B"/>
    <w:rsid w:val="00431E6C"/>
    <w:rsid w:val="00433CE7"/>
    <w:rsid w:val="00452738"/>
    <w:rsid w:val="00456091"/>
    <w:rsid w:val="00464B7D"/>
    <w:rsid w:val="00466321"/>
    <w:rsid w:val="00484B9B"/>
    <w:rsid w:val="004855F6"/>
    <w:rsid w:val="0048661E"/>
    <w:rsid w:val="00494670"/>
    <w:rsid w:val="004A3823"/>
    <w:rsid w:val="004B48CF"/>
    <w:rsid w:val="004D284C"/>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5574E"/>
    <w:rsid w:val="005574FC"/>
    <w:rsid w:val="0056106A"/>
    <w:rsid w:val="005641A0"/>
    <w:rsid w:val="005720AE"/>
    <w:rsid w:val="00594D77"/>
    <w:rsid w:val="005969E4"/>
    <w:rsid w:val="005A06B7"/>
    <w:rsid w:val="005A1759"/>
    <w:rsid w:val="005A68A7"/>
    <w:rsid w:val="005D36AB"/>
    <w:rsid w:val="0061037C"/>
    <w:rsid w:val="00610597"/>
    <w:rsid w:val="00612345"/>
    <w:rsid w:val="00617CC3"/>
    <w:rsid w:val="006377A6"/>
    <w:rsid w:val="00637A3D"/>
    <w:rsid w:val="006411EF"/>
    <w:rsid w:val="00665B56"/>
    <w:rsid w:val="00667330"/>
    <w:rsid w:val="006748B8"/>
    <w:rsid w:val="006775C3"/>
    <w:rsid w:val="0069290A"/>
    <w:rsid w:val="00692FA7"/>
    <w:rsid w:val="0069775A"/>
    <w:rsid w:val="00697813"/>
    <w:rsid w:val="006A3EE8"/>
    <w:rsid w:val="006A72BF"/>
    <w:rsid w:val="006B03F2"/>
    <w:rsid w:val="006B37DC"/>
    <w:rsid w:val="006B4F68"/>
    <w:rsid w:val="006C0592"/>
    <w:rsid w:val="006C272E"/>
    <w:rsid w:val="006C5479"/>
    <w:rsid w:val="006D13B5"/>
    <w:rsid w:val="006E12FF"/>
    <w:rsid w:val="006E607E"/>
    <w:rsid w:val="00706C5D"/>
    <w:rsid w:val="00724552"/>
    <w:rsid w:val="00732922"/>
    <w:rsid w:val="0075162E"/>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A6DA5"/>
    <w:rsid w:val="007B72B8"/>
    <w:rsid w:val="007B7A58"/>
    <w:rsid w:val="007C21B5"/>
    <w:rsid w:val="007E4BD2"/>
    <w:rsid w:val="007F0A1D"/>
    <w:rsid w:val="00801393"/>
    <w:rsid w:val="00802F88"/>
    <w:rsid w:val="0081293E"/>
    <w:rsid w:val="00815465"/>
    <w:rsid w:val="00817E9A"/>
    <w:rsid w:val="008306BD"/>
    <w:rsid w:val="00831A80"/>
    <w:rsid w:val="00833743"/>
    <w:rsid w:val="008340A4"/>
    <w:rsid w:val="00844285"/>
    <w:rsid w:val="0087135F"/>
    <w:rsid w:val="00872D94"/>
    <w:rsid w:val="00880364"/>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269A2"/>
    <w:rsid w:val="0093037A"/>
    <w:rsid w:val="009349A5"/>
    <w:rsid w:val="0094154D"/>
    <w:rsid w:val="0095155F"/>
    <w:rsid w:val="00951FEE"/>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15CF"/>
    <w:rsid w:val="009C7DD5"/>
    <w:rsid w:val="009E227D"/>
    <w:rsid w:val="009E5019"/>
    <w:rsid w:val="009E7630"/>
    <w:rsid w:val="00A04F1B"/>
    <w:rsid w:val="00A0501B"/>
    <w:rsid w:val="00A10642"/>
    <w:rsid w:val="00A14947"/>
    <w:rsid w:val="00A24549"/>
    <w:rsid w:val="00A25D5D"/>
    <w:rsid w:val="00A32A83"/>
    <w:rsid w:val="00A368DB"/>
    <w:rsid w:val="00A423AA"/>
    <w:rsid w:val="00A53EC6"/>
    <w:rsid w:val="00A55C0F"/>
    <w:rsid w:val="00A8713F"/>
    <w:rsid w:val="00A90BA1"/>
    <w:rsid w:val="00A97A9A"/>
    <w:rsid w:val="00AA0671"/>
    <w:rsid w:val="00AA2531"/>
    <w:rsid w:val="00AB1E09"/>
    <w:rsid w:val="00AB5330"/>
    <w:rsid w:val="00AB7747"/>
    <w:rsid w:val="00AC14CE"/>
    <w:rsid w:val="00AC2A56"/>
    <w:rsid w:val="00AD055E"/>
    <w:rsid w:val="00AD47A7"/>
    <w:rsid w:val="00AF0CBF"/>
    <w:rsid w:val="00AF257F"/>
    <w:rsid w:val="00AF33CF"/>
    <w:rsid w:val="00AF4D50"/>
    <w:rsid w:val="00AF6179"/>
    <w:rsid w:val="00B0265C"/>
    <w:rsid w:val="00B1295A"/>
    <w:rsid w:val="00B20A45"/>
    <w:rsid w:val="00B22C5C"/>
    <w:rsid w:val="00B24F30"/>
    <w:rsid w:val="00B31ABF"/>
    <w:rsid w:val="00B33BE3"/>
    <w:rsid w:val="00B53B5D"/>
    <w:rsid w:val="00B6055E"/>
    <w:rsid w:val="00B6317D"/>
    <w:rsid w:val="00B7723F"/>
    <w:rsid w:val="00B80534"/>
    <w:rsid w:val="00B8433C"/>
    <w:rsid w:val="00B87491"/>
    <w:rsid w:val="00BA29E9"/>
    <w:rsid w:val="00BA7142"/>
    <w:rsid w:val="00BB237C"/>
    <w:rsid w:val="00BB41A3"/>
    <w:rsid w:val="00BC32DC"/>
    <w:rsid w:val="00BC35B6"/>
    <w:rsid w:val="00BD1B51"/>
    <w:rsid w:val="00BD4596"/>
    <w:rsid w:val="00BE1405"/>
    <w:rsid w:val="00BE312D"/>
    <w:rsid w:val="00BF1C20"/>
    <w:rsid w:val="00C10578"/>
    <w:rsid w:val="00C135BC"/>
    <w:rsid w:val="00C15C95"/>
    <w:rsid w:val="00C2596A"/>
    <w:rsid w:val="00C27537"/>
    <w:rsid w:val="00C328FE"/>
    <w:rsid w:val="00C33507"/>
    <w:rsid w:val="00C4409D"/>
    <w:rsid w:val="00C44E72"/>
    <w:rsid w:val="00C45112"/>
    <w:rsid w:val="00C45A06"/>
    <w:rsid w:val="00C47E5B"/>
    <w:rsid w:val="00C55A9D"/>
    <w:rsid w:val="00C61E4B"/>
    <w:rsid w:val="00C64BFF"/>
    <w:rsid w:val="00C704E9"/>
    <w:rsid w:val="00C75B6D"/>
    <w:rsid w:val="00C763C9"/>
    <w:rsid w:val="00C80057"/>
    <w:rsid w:val="00C82232"/>
    <w:rsid w:val="00C82913"/>
    <w:rsid w:val="00C972B1"/>
    <w:rsid w:val="00CA1E91"/>
    <w:rsid w:val="00CA2CCE"/>
    <w:rsid w:val="00CA43FD"/>
    <w:rsid w:val="00CA7EF8"/>
    <w:rsid w:val="00CC489B"/>
    <w:rsid w:val="00CD2BCD"/>
    <w:rsid w:val="00CD3A4C"/>
    <w:rsid w:val="00CE10E9"/>
    <w:rsid w:val="00CE2910"/>
    <w:rsid w:val="00CE5393"/>
    <w:rsid w:val="00CF36BE"/>
    <w:rsid w:val="00CF6000"/>
    <w:rsid w:val="00D003F3"/>
    <w:rsid w:val="00D01278"/>
    <w:rsid w:val="00D0364F"/>
    <w:rsid w:val="00D06834"/>
    <w:rsid w:val="00D308ED"/>
    <w:rsid w:val="00D348C5"/>
    <w:rsid w:val="00D36D86"/>
    <w:rsid w:val="00D428AA"/>
    <w:rsid w:val="00D50A34"/>
    <w:rsid w:val="00D53EFA"/>
    <w:rsid w:val="00D94A7C"/>
    <w:rsid w:val="00D95896"/>
    <w:rsid w:val="00DB2983"/>
    <w:rsid w:val="00DC1257"/>
    <w:rsid w:val="00DC3DC0"/>
    <w:rsid w:val="00DC5B2B"/>
    <w:rsid w:val="00DD318D"/>
    <w:rsid w:val="00DF2E12"/>
    <w:rsid w:val="00DF514A"/>
    <w:rsid w:val="00DF6690"/>
    <w:rsid w:val="00DF6804"/>
    <w:rsid w:val="00E0358D"/>
    <w:rsid w:val="00E04323"/>
    <w:rsid w:val="00E070A2"/>
    <w:rsid w:val="00E2656A"/>
    <w:rsid w:val="00E32D5A"/>
    <w:rsid w:val="00E412D0"/>
    <w:rsid w:val="00E56322"/>
    <w:rsid w:val="00E60982"/>
    <w:rsid w:val="00E62C62"/>
    <w:rsid w:val="00E654C1"/>
    <w:rsid w:val="00E65D97"/>
    <w:rsid w:val="00E72A5A"/>
    <w:rsid w:val="00E73354"/>
    <w:rsid w:val="00E9242D"/>
    <w:rsid w:val="00EB5255"/>
    <w:rsid w:val="00EB5C47"/>
    <w:rsid w:val="00ED0639"/>
    <w:rsid w:val="00EF4755"/>
    <w:rsid w:val="00EF54D9"/>
    <w:rsid w:val="00EF7135"/>
    <w:rsid w:val="00F027DB"/>
    <w:rsid w:val="00F14A7A"/>
    <w:rsid w:val="00F22985"/>
    <w:rsid w:val="00F3383E"/>
    <w:rsid w:val="00F34357"/>
    <w:rsid w:val="00F465A7"/>
    <w:rsid w:val="00F50B7C"/>
    <w:rsid w:val="00F550E6"/>
    <w:rsid w:val="00F7393B"/>
    <w:rsid w:val="00F74345"/>
    <w:rsid w:val="00F80A0A"/>
    <w:rsid w:val="00F82B19"/>
    <w:rsid w:val="00F9038F"/>
    <w:rsid w:val="00F9212D"/>
    <w:rsid w:val="00F965DA"/>
    <w:rsid w:val="00FA406A"/>
    <w:rsid w:val="00FB503A"/>
    <w:rsid w:val="00FB516C"/>
    <w:rsid w:val="00FD0236"/>
    <w:rsid w:val="00FD18F4"/>
    <w:rsid w:val="00FD54DB"/>
    <w:rsid w:val="00FD619F"/>
    <w:rsid w:val="01044493"/>
    <w:rsid w:val="01136E98"/>
    <w:rsid w:val="01243A71"/>
    <w:rsid w:val="01290F7E"/>
    <w:rsid w:val="012A2737"/>
    <w:rsid w:val="012F41F1"/>
    <w:rsid w:val="013C710B"/>
    <w:rsid w:val="01401F5A"/>
    <w:rsid w:val="014270DC"/>
    <w:rsid w:val="01475D04"/>
    <w:rsid w:val="014B27A4"/>
    <w:rsid w:val="01545A05"/>
    <w:rsid w:val="015D1E09"/>
    <w:rsid w:val="016261D3"/>
    <w:rsid w:val="0168531B"/>
    <w:rsid w:val="016A347B"/>
    <w:rsid w:val="016C7B80"/>
    <w:rsid w:val="01722330"/>
    <w:rsid w:val="017357C6"/>
    <w:rsid w:val="018856AF"/>
    <w:rsid w:val="01891FF0"/>
    <w:rsid w:val="018A7679"/>
    <w:rsid w:val="018D025D"/>
    <w:rsid w:val="01913989"/>
    <w:rsid w:val="0191654D"/>
    <w:rsid w:val="01922E9D"/>
    <w:rsid w:val="0196601E"/>
    <w:rsid w:val="01987FE8"/>
    <w:rsid w:val="019F1146"/>
    <w:rsid w:val="01A75AA3"/>
    <w:rsid w:val="01A87AFF"/>
    <w:rsid w:val="01C05056"/>
    <w:rsid w:val="01CD53A3"/>
    <w:rsid w:val="01E67010"/>
    <w:rsid w:val="01F1594A"/>
    <w:rsid w:val="01F45CDA"/>
    <w:rsid w:val="01F64D0F"/>
    <w:rsid w:val="01FB7E34"/>
    <w:rsid w:val="02062685"/>
    <w:rsid w:val="020A2568"/>
    <w:rsid w:val="020A28CD"/>
    <w:rsid w:val="0213141D"/>
    <w:rsid w:val="021B1821"/>
    <w:rsid w:val="021C1620"/>
    <w:rsid w:val="021F7FD4"/>
    <w:rsid w:val="022A7263"/>
    <w:rsid w:val="022D1A18"/>
    <w:rsid w:val="02364181"/>
    <w:rsid w:val="02441007"/>
    <w:rsid w:val="0247612F"/>
    <w:rsid w:val="02504149"/>
    <w:rsid w:val="025076E2"/>
    <w:rsid w:val="025A1036"/>
    <w:rsid w:val="025A704C"/>
    <w:rsid w:val="025D6B3C"/>
    <w:rsid w:val="025F1977"/>
    <w:rsid w:val="02620E6E"/>
    <w:rsid w:val="0262785A"/>
    <w:rsid w:val="02662800"/>
    <w:rsid w:val="02697903"/>
    <w:rsid w:val="026D3223"/>
    <w:rsid w:val="027177A3"/>
    <w:rsid w:val="02753C88"/>
    <w:rsid w:val="02787481"/>
    <w:rsid w:val="027C16B8"/>
    <w:rsid w:val="02820350"/>
    <w:rsid w:val="02864EC1"/>
    <w:rsid w:val="029139AF"/>
    <w:rsid w:val="029A38EC"/>
    <w:rsid w:val="02C1531D"/>
    <w:rsid w:val="02CB1CF7"/>
    <w:rsid w:val="02CF4E51"/>
    <w:rsid w:val="02E37041"/>
    <w:rsid w:val="02E64F2D"/>
    <w:rsid w:val="02EA11B8"/>
    <w:rsid w:val="02ED3C1B"/>
    <w:rsid w:val="02EF1E8A"/>
    <w:rsid w:val="02F56D74"/>
    <w:rsid w:val="02F96569"/>
    <w:rsid w:val="0305150C"/>
    <w:rsid w:val="03065425"/>
    <w:rsid w:val="030908AE"/>
    <w:rsid w:val="03157416"/>
    <w:rsid w:val="03157422"/>
    <w:rsid w:val="031713E0"/>
    <w:rsid w:val="03182AFC"/>
    <w:rsid w:val="031E03CF"/>
    <w:rsid w:val="032558AB"/>
    <w:rsid w:val="032F04D8"/>
    <w:rsid w:val="032F6329"/>
    <w:rsid w:val="03304250"/>
    <w:rsid w:val="03351ECF"/>
    <w:rsid w:val="03561F09"/>
    <w:rsid w:val="0361265C"/>
    <w:rsid w:val="03615834"/>
    <w:rsid w:val="036B5288"/>
    <w:rsid w:val="036F6B1C"/>
    <w:rsid w:val="037405E1"/>
    <w:rsid w:val="037800D1"/>
    <w:rsid w:val="038500F8"/>
    <w:rsid w:val="03854524"/>
    <w:rsid w:val="0386776B"/>
    <w:rsid w:val="038720C2"/>
    <w:rsid w:val="0397607D"/>
    <w:rsid w:val="03B60BF9"/>
    <w:rsid w:val="03CE3A82"/>
    <w:rsid w:val="03D031B4"/>
    <w:rsid w:val="03D57024"/>
    <w:rsid w:val="03D66BA6"/>
    <w:rsid w:val="03DB240E"/>
    <w:rsid w:val="03EA7B21"/>
    <w:rsid w:val="03EF78CC"/>
    <w:rsid w:val="03F46082"/>
    <w:rsid w:val="03F86B1C"/>
    <w:rsid w:val="03FC35CA"/>
    <w:rsid w:val="040450BA"/>
    <w:rsid w:val="0404728D"/>
    <w:rsid w:val="040A1839"/>
    <w:rsid w:val="040E4592"/>
    <w:rsid w:val="04212517"/>
    <w:rsid w:val="043F347F"/>
    <w:rsid w:val="04446205"/>
    <w:rsid w:val="0450307B"/>
    <w:rsid w:val="04584026"/>
    <w:rsid w:val="045C354F"/>
    <w:rsid w:val="04640655"/>
    <w:rsid w:val="04671EF4"/>
    <w:rsid w:val="04702B56"/>
    <w:rsid w:val="04704245"/>
    <w:rsid w:val="04722833"/>
    <w:rsid w:val="047C774D"/>
    <w:rsid w:val="04846602"/>
    <w:rsid w:val="049971B3"/>
    <w:rsid w:val="049C6D3A"/>
    <w:rsid w:val="049D6ACC"/>
    <w:rsid w:val="049E4C5B"/>
    <w:rsid w:val="049E65AB"/>
    <w:rsid w:val="049F51EA"/>
    <w:rsid w:val="04A503F1"/>
    <w:rsid w:val="04A942BA"/>
    <w:rsid w:val="04A95FD3"/>
    <w:rsid w:val="04B3574D"/>
    <w:rsid w:val="04B52C5F"/>
    <w:rsid w:val="04D00D3F"/>
    <w:rsid w:val="04E21DA8"/>
    <w:rsid w:val="04E35A1E"/>
    <w:rsid w:val="04EE4785"/>
    <w:rsid w:val="04EF20CA"/>
    <w:rsid w:val="04F03C97"/>
    <w:rsid w:val="04F419D9"/>
    <w:rsid w:val="04F73278"/>
    <w:rsid w:val="04F82B4C"/>
    <w:rsid w:val="04FC43EA"/>
    <w:rsid w:val="05031C1C"/>
    <w:rsid w:val="050B2FCD"/>
    <w:rsid w:val="050F05C1"/>
    <w:rsid w:val="05126ADD"/>
    <w:rsid w:val="0518617B"/>
    <w:rsid w:val="05190F5E"/>
    <w:rsid w:val="051A51B8"/>
    <w:rsid w:val="05241B93"/>
    <w:rsid w:val="052D27D9"/>
    <w:rsid w:val="052D6A55"/>
    <w:rsid w:val="05304E3B"/>
    <w:rsid w:val="053A13B6"/>
    <w:rsid w:val="053E2C54"/>
    <w:rsid w:val="05432A44"/>
    <w:rsid w:val="0548580A"/>
    <w:rsid w:val="055851C8"/>
    <w:rsid w:val="05614B95"/>
    <w:rsid w:val="056401E1"/>
    <w:rsid w:val="05752495"/>
    <w:rsid w:val="057911C4"/>
    <w:rsid w:val="057C5803"/>
    <w:rsid w:val="057F531E"/>
    <w:rsid w:val="058019BC"/>
    <w:rsid w:val="0582591B"/>
    <w:rsid w:val="058901E9"/>
    <w:rsid w:val="059B1E55"/>
    <w:rsid w:val="05AB3CFF"/>
    <w:rsid w:val="05AD332F"/>
    <w:rsid w:val="05B40CB7"/>
    <w:rsid w:val="05B74604"/>
    <w:rsid w:val="05B75C7E"/>
    <w:rsid w:val="05B80DDB"/>
    <w:rsid w:val="05BE093D"/>
    <w:rsid w:val="05BE1FE7"/>
    <w:rsid w:val="05C253CD"/>
    <w:rsid w:val="05CC0C76"/>
    <w:rsid w:val="05D32273"/>
    <w:rsid w:val="05D67331"/>
    <w:rsid w:val="05E04350"/>
    <w:rsid w:val="05EA6938"/>
    <w:rsid w:val="05F83EAE"/>
    <w:rsid w:val="05FA2885"/>
    <w:rsid w:val="060C356F"/>
    <w:rsid w:val="060E0A48"/>
    <w:rsid w:val="06110369"/>
    <w:rsid w:val="061D0ABC"/>
    <w:rsid w:val="061F2A86"/>
    <w:rsid w:val="0627193B"/>
    <w:rsid w:val="06304C93"/>
    <w:rsid w:val="06336531"/>
    <w:rsid w:val="063B17F3"/>
    <w:rsid w:val="063B7194"/>
    <w:rsid w:val="063E7D85"/>
    <w:rsid w:val="06436049"/>
    <w:rsid w:val="065169B7"/>
    <w:rsid w:val="06586360"/>
    <w:rsid w:val="06602037"/>
    <w:rsid w:val="06691F53"/>
    <w:rsid w:val="06716FC0"/>
    <w:rsid w:val="069E34B0"/>
    <w:rsid w:val="06A0349B"/>
    <w:rsid w:val="06A0572A"/>
    <w:rsid w:val="06A27213"/>
    <w:rsid w:val="06BD5DFB"/>
    <w:rsid w:val="06C278B5"/>
    <w:rsid w:val="06C673A5"/>
    <w:rsid w:val="06CB24CD"/>
    <w:rsid w:val="06FF6413"/>
    <w:rsid w:val="0708176C"/>
    <w:rsid w:val="070D6D82"/>
    <w:rsid w:val="071719AF"/>
    <w:rsid w:val="071874D5"/>
    <w:rsid w:val="071D689A"/>
    <w:rsid w:val="07293586"/>
    <w:rsid w:val="07295285"/>
    <w:rsid w:val="073956FB"/>
    <w:rsid w:val="073C31C4"/>
    <w:rsid w:val="074B3407"/>
    <w:rsid w:val="074C0E53"/>
    <w:rsid w:val="07501F13"/>
    <w:rsid w:val="075E096D"/>
    <w:rsid w:val="076069FE"/>
    <w:rsid w:val="07636392"/>
    <w:rsid w:val="07666CB3"/>
    <w:rsid w:val="07677AD1"/>
    <w:rsid w:val="0768708F"/>
    <w:rsid w:val="076A5F83"/>
    <w:rsid w:val="07716611"/>
    <w:rsid w:val="07770C56"/>
    <w:rsid w:val="07780B21"/>
    <w:rsid w:val="077E2F76"/>
    <w:rsid w:val="078F59E9"/>
    <w:rsid w:val="079052BE"/>
    <w:rsid w:val="07921036"/>
    <w:rsid w:val="079B5DEA"/>
    <w:rsid w:val="079E2BBB"/>
    <w:rsid w:val="07A051ED"/>
    <w:rsid w:val="07AA2B91"/>
    <w:rsid w:val="07B04F69"/>
    <w:rsid w:val="07B70BC0"/>
    <w:rsid w:val="07B75D19"/>
    <w:rsid w:val="07B85DFB"/>
    <w:rsid w:val="07CA3FF1"/>
    <w:rsid w:val="07D72EEC"/>
    <w:rsid w:val="07D82552"/>
    <w:rsid w:val="07DC6755"/>
    <w:rsid w:val="07E21FBD"/>
    <w:rsid w:val="07E31891"/>
    <w:rsid w:val="07E71FC3"/>
    <w:rsid w:val="07F10613"/>
    <w:rsid w:val="07F4584C"/>
    <w:rsid w:val="07F71AD4"/>
    <w:rsid w:val="07F933E3"/>
    <w:rsid w:val="07FB4E2D"/>
    <w:rsid w:val="07FC0BA5"/>
    <w:rsid w:val="07FD6DF7"/>
    <w:rsid w:val="08033CE1"/>
    <w:rsid w:val="08065580"/>
    <w:rsid w:val="08071A24"/>
    <w:rsid w:val="080D4B60"/>
    <w:rsid w:val="08111F0E"/>
    <w:rsid w:val="08122176"/>
    <w:rsid w:val="08123F24"/>
    <w:rsid w:val="08144141"/>
    <w:rsid w:val="081859DF"/>
    <w:rsid w:val="081B102B"/>
    <w:rsid w:val="081B5A56"/>
    <w:rsid w:val="081C630C"/>
    <w:rsid w:val="08207FD1"/>
    <w:rsid w:val="0822685D"/>
    <w:rsid w:val="082E036F"/>
    <w:rsid w:val="082F0F7A"/>
    <w:rsid w:val="083B347B"/>
    <w:rsid w:val="083E2F6B"/>
    <w:rsid w:val="08460B3A"/>
    <w:rsid w:val="08566507"/>
    <w:rsid w:val="0858227F"/>
    <w:rsid w:val="08701AC6"/>
    <w:rsid w:val="087B5F6E"/>
    <w:rsid w:val="087D1715"/>
    <w:rsid w:val="088210AA"/>
    <w:rsid w:val="0885464A"/>
    <w:rsid w:val="08896684"/>
    <w:rsid w:val="088C017B"/>
    <w:rsid w:val="08904E0B"/>
    <w:rsid w:val="089D4136"/>
    <w:rsid w:val="08A10CC2"/>
    <w:rsid w:val="08A36D06"/>
    <w:rsid w:val="08AC113B"/>
    <w:rsid w:val="08B374B6"/>
    <w:rsid w:val="08BF6A21"/>
    <w:rsid w:val="08C07E24"/>
    <w:rsid w:val="08CA4C07"/>
    <w:rsid w:val="08D12032"/>
    <w:rsid w:val="08DA7138"/>
    <w:rsid w:val="08DF02AB"/>
    <w:rsid w:val="08DF4360"/>
    <w:rsid w:val="08E056F9"/>
    <w:rsid w:val="08E81855"/>
    <w:rsid w:val="08F151B6"/>
    <w:rsid w:val="08FA1588"/>
    <w:rsid w:val="08FD1DEA"/>
    <w:rsid w:val="08FE1A27"/>
    <w:rsid w:val="09016473"/>
    <w:rsid w:val="0902043D"/>
    <w:rsid w:val="090221EB"/>
    <w:rsid w:val="090C0797"/>
    <w:rsid w:val="09105EDD"/>
    <w:rsid w:val="09171238"/>
    <w:rsid w:val="092217DD"/>
    <w:rsid w:val="09261514"/>
    <w:rsid w:val="092C7268"/>
    <w:rsid w:val="092D370C"/>
    <w:rsid w:val="09344FF2"/>
    <w:rsid w:val="09355521"/>
    <w:rsid w:val="09383E5F"/>
    <w:rsid w:val="093920B1"/>
    <w:rsid w:val="093A7294"/>
    <w:rsid w:val="093C6C4C"/>
    <w:rsid w:val="093F51ED"/>
    <w:rsid w:val="094324C9"/>
    <w:rsid w:val="094445B2"/>
    <w:rsid w:val="09497E1A"/>
    <w:rsid w:val="094B3B92"/>
    <w:rsid w:val="095073FA"/>
    <w:rsid w:val="095742E5"/>
    <w:rsid w:val="09574586"/>
    <w:rsid w:val="095866A2"/>
    <w:rsid w:val="09605A2F"/>
    <w:rsid w:val="09630D22"/>
    <w:rsid w:val="09643171"/>
    <w:rsid w:val="0966277A"/>
    <w:rsid w:val="096E0EE2"/>
    <w:rsid w:val="097C01EF"/>
    <w:rsid w:val="09842C00"/>
    <w:rsid w:val="0986490F"/>
    <w:rsid w:val="09874290"/>
    <w:rsid w:val="09975029"/>
    <w:rsid w:val="099C43EE"/>
    <w:rsid w:val="09A432A2"/>
    <w:rsid w:val="09A6526C"/>
    <w:rsid w:val="09B41737"/>
    <w:rsid w:val="09D72812"/>
    <w:rsid w:val="09E65669"/>
    <w:rsid w:val="09E94346"/>
    <w:rsid w:val="09F204B1"/>
    <w:rsid w:val="09F62D40"/>
    <w:rsid w:val="0A03310D"/>
    <w:rsid w:val="0A1B7A08"/>
    <w:rsid w:val="0A263993"/>
    <w:rsid w:val="0A2A1AD7"/>
    <w:rsid w:val="0A2C47A6"/>
    <w:rsid w:val="0A2D3AC2"/>
    <w:rsid w:val="0A352F18"/>
    <w:rsid w:val="0A382368"/>
    <w:rsid w:val="0A3D75F9"/>
    <w:rsid w:val="0A456833"/>
    <w:rsid w:val="0A4725AB"/>
    <w:rsid w:val="0A4A41FF"/>
    <w:rsid w:val="0A5440F6"/>
    <w:rsid w:val="0A5B7E05"/>
    <w:rsid w:val="0A5F5B47"/>
    <w:rsid w:val="0A69080B"/>
    <w:rsid w:val="0A742C74"/>
    <w:rsid w:val="0A786C09"/>
    <w:rsid w:val="0A7A684A"/>
    <w:rsid w:val="0A7D3302"/>
    <w:rsid w:val="0A7E1D45"/>
    <w:rsid w:val="0A892BC4"/>
    <w:rsid w:val="0A911A78"/>
    <w:rsid w:val="0A93759F"/>
    <w:rsid w:val="0A960D5F"/>
    <w:rsid w:val="0AA05E70"/>
    <w:rsid w:val="0AA755DF"/>
    <w:rsid w:val="0AA95014"/>
    <w:rsid w:val="0AAD010A"/>
    <w:rsid w:val="0AB15C77"/>
    <w:rsid w:val="0AB539B9"/>
    <w:rsid w:val="0AB8131F"/>
    <w:rsid w:val="0AB94B2B"/>
    <w:rsid w:val="0ABB4D47"/>
    <w:rsid w:val="0AC462DF"/>
    <w:rsid w:val="0AD8582A"/>
    <w:rsid w:val="0AEB288C"/>
    <w:rsid w:val="0AED6F70"/>
    <w:rsid w:val="0AF15F44"/>
    <w:rsid w:val="0B057D70"/>
    <w:rsid w:val="0B120D44"/>
    <w:rsid w:val="0B134727"/>
    <w:rsid w:val="0B1B239B"/>
    <w:rsid w:val="0B1F3531"/>
    <w:rsid w:val="0B255F7C"/>
    <w:rsid w:val="0B3A5C6C"/>
    <w:rsid w:val="0B3C088D"/>
    <w:rsid w:val="0B3C6D6E"/>
    <w:rsid w:val="0B5036E2"/>
    <w:rsid w:val="0B5A7049"/>
    <w:rsid w:val="0B6C55AF"/>
    <w:rsid w:val="0B723658"/>
    <w:rsid w:val="0B756CA4"/>
    <w:rsid w:val="0B7849E6"/>
    <w:rsid w:val="0B795E6B"/>
    <w:rsid w:val="0B81260D"/>
    <w:rsid w:val="0B8D0A07"/>
    <w:rsid w:val="0B907F82"/>
    <w:rsid w:val="0B954F6E"/>
    <w:rsid w:val="0B9B1CBE"/>
    <w:rsid w:val="0B9B5B4F"/>
    <w:rsid w:val="0BA436F8"/>
    <w:rsid w:val="0BB60802"/>
    <w:rsid w:val="0BB8476F"/>
    <w:rsid w:val="0BBD2F62"/>
    <w:rsid w:val="0BBE124B"/>
    <w:rsid w:val="0BCA3F87"/>
    <w:rsid w:val="0BD17F19"/>
    <w:rsid w:val="0BD27BF6"/>
    <w:rsid w:val="0BD460C1"/>
    <w:rsid w:val="0BE45BD8"/>
    <w:rsid w:val="0BF503CF"/>
    <w:rsid w:val="0BF7590B"/>
    <w:rsid w:val="0BFE66B1"/>
    <w:rsid w:val="0BFF54E7"/>
    <w:rsid w:val="0C0020DB"/>
    <w:rsid w:val="0C0149DC"/>
    <w:rsid w:val="0C0369A6"/>
    <w:rsid w:val="0C091635"/>
    <w:rsid w:val="0C0B13B7"/>
    <w:rsid w:val="0C1058DE"/>
    <w:rsid w:val="0C14470F"/>
    <w:rsid w:val="0C160487"/>
    <w:rsid w:val="0C1B382B"/>
    <w:rsid w:val="0C2A21B2"/>
    <w:rsid w:val="0C2D057C"/>
    <w:rsid w:val="0C2E4522"/>
    <w:rsid w:val="0C2F56B5"/>
    <w:rsid w:val="0C346B5F"/>
    <w:rsid w:val="0C3669B0"/>
    <w:rsid w:val="0C382FA7"/>
    <w:rsid w:val="0C3A6B03"/>
    <w:rsid w:val="0C3B3C7D"/>
    <w:rsid w:val="0C3B6140"/>
    <w:rsid w:val="0C3C77C2"/>
    <w:rsid w:val="0C4369DB"/>
    <w:rsid w:val="0C4A74E7"/>
    <w:rsid w:val="0C540FAF"/>
    <w:rsid w:val="0C57540E"/>
    <w:rsid w:val="0C5A7ADF"/>
    <w:rsid w:val="0C5D5073"/>
    <w:rsid w:val="0C635D0F"/>
    <w:rsid w:val="0C721436"/>
    <w:rsid w:val="0C730A49"/>
    <w:rsid w:val="0C764F17"/>
    <w:rsid w:val="0C7C197C"/>
    <w:rsid w:val="0C7C4062"/>
    <w:rsid w:val="0C833643"/>
    <w:rsid w:val="0C872E04"/>
    <w:rsid w:val="0C886EAB"/>
    <w:rsid w:val="0C8D16BA"/>
    <w:rsid w:val="0C967524"/>
    <w:rsid w:val="0CAB2EAE"/>
    <w:rsid w:val="0CAD189C"/>
    <w:rsid w:val="0CB12A23"/>
    <w:rsid w:val="0CB8153E"/>
    <w:rsid w:val="0CB970A2"/>
    <w:rsid w:val="0CBA7255"/>
    <w:rsid w:val="0CC530D4"/>
    <w:rsid w:val="0CC9324A"/>
    <w:rsid w:val="0CE340E1"/>
    <w:rsid w:val="0CEE1354"/>
    <w:rsid w:val="0D074274"/>
    <w:rsid w:val="0D1457A6"/>
    <w:rsid w:val="0D167DE9"/>
    <w:rsid w:val="0D251AD1"/>
    <w:rsid w:val="0D262B85"/>
    <w:rsid w:val="0D3A7B34"/>
    <w:rsid w:val="0D4C612B"/>
    <w:rsid w:val="0D5648B3"/>
    <w:rsid w:val="0D5A43A4"/>
    <w:rsid w:val="0D5E4C04"/>
    <w:rsid w:val="0D605732"/>
    <w:rsid w:val="0D621C7D"/>
    <w:rsid w:val="0D6320E8"/>
    <w:rsid w:val="0D690A8B"/>
    <w:rsid w:val="0D74226E"/>
    <w:rsid w:val="0D7731A8"/>
    <w:rsid w:val="0D8B7B4A"/>
    <w:rsid w:val="0D9000C1"/>
    <w:rsid w:val="0DA11FD2"/>
    <w:rsid w:val="0DA13714"/>
    <w:rsid w:val="0DA26D99"/>
    <w:rsid w:val="0DA53C19"/>
    <w:rsid w:val="0DAB10A3"/>
    <w:rsid w:val="0DAF73D7"/>
    <w:rsid w:val="0DAF7F43"/>
    <w:rsid w:val="0DB37F58"/>
    <w:rsid w:val="0DB742A8"/>
    <w:rsid w:val="0DB76E93"/>
    <w:rsid w:val="0DBD4932"/>
    <w:rsid w:val="0DC026C7"/>
    <w:rsid w:val="0DC148E7"/>
    <w:rsid w:val="0DC44D48"/>
    <w:rsid w:val="0DC932D7"/>
    <w:rsid w:val="0DD35C4D"/>
    <w:rsid w:val="0DD5327C"/>
    <w:rsid w:val="0DDB14BA"/>
    <w:rsid w:val="0DE85E53"/>
    <w:rsid w:val="0DF02529"/>
    <w:rsid w:val="0DF77E44"/>
    <w:rsid w:val="0DFE7425"/>
    <w:rsid w:val="0E0100FA"/>
    <w:rsid w:val="0E1A6C88"/>
    <w:rsid w:val="0E1B2B15"/>
    <w:rsid w:val="0E2A22E5"/>
    <w:rsid w:val="0E2E3EEC"/>
    <w:rsid w:val="0E2E4FC6"/>
    <w:rsid w:val="0E3161C8"/>
    <w:rsid w:val="0E460DCC"/>
    <w:rsid w:val="0E611762"/>
    <w:rsid w:val="0E73034D"/>
    <w:rsid w:val="0E96765D"/>
    <w:rsid w:val="0E9F169F"/>
    <w:rsid w:val="0EA134C2"/>
    <w:rsid w:val="0EA53C56"/>
    <w:rsid w:val="0EA619F3"/>
    <w:rsid w:val="0EAB23AE"/>
    <w:rsid w:val="0EBB5316"/>
    <w:rsid w:val="0EC10DD8"/>
    <w:rsid w:val="0EC57F06"/>
    <w:rsid w:val="0EC95AAB"/>
    <w:rsid w:val="0ECB1C7E"/>
    <w:rsid w:val="0EEC1973"/>
    <w:rsid w:val="0F00541F"/>
    <w:rsid w:val="0F033275"/>
    <w:rsid w:val="0F051445"/>
    <w:rsid w:val="0F0A3BA7"/>
    <w:rsid w:val="0F0E7B3C"/>
    <w:rsid w:val="0F13775A"/>
    <w:rsid w:val="0F1D44D7"/>
    <w:rsid w:val="0F307991"/>
    <w:rsid w:val="0F310394"/>
    <w:rsid w:val="0F350FA4"/>
    <w:rsid w:val="0F423341"/>
    <w:rsid w:val="0F4F5A5E"/>
    <w:rsid w:val="0F502835"/>
    <w:rsid w:val="0F5175EC"/>
    <w:rsid w:val="0F534C76"/>
    <w:rsid w:val="0F5372FC"/>
    <w:rsid w:val="0F543075"/>
    <w:rsid w:val="0F571EAD"/>
    <w:rsid w:val="0F5A1B1C"/>
    <w:rsid w:val="0F5B3A1F"/>
    <w:rsid w:val="0F5D0A2F"/>
    <w:rsid w:val="0F5F45FE"/>
    <w:rsid w:val="0F667A60"/>
    <w:rsid w:val="0F670FFA"/>
    <w:rsid w:val="0F692FC4"/>
    <w:rsid w:val="0F6B6896"/>
    <w:rsid w:val="0F884569"/>
    <w:rsid w:val="0F890F70"/>
    <w:rsid w:val="0F8B65D1"/>
    <w:rsid w:val="0F92345A"/>
    <w:rsid w:val="0F985657"/>
    <w:rsid w:val="0F9A112B"/>
    <w:rsid w:val="0F9F5CC4"/>
    <w:rsid w:val="0FAB1B74"/>
    <w:rsid w:val="0FB10A42"/>
    <w:rsid w:val="0FB42B59"/>
    <w:rsid w:val="0FB66128"/>
    <w:rsid w:val="0FBF6D7F"/>
    <w:rsid w:val="0FC40D88"/>
    <w:rsid w:val="0FD144B5"/>
    <w:rsid w:val="0FDF6DE2"/>
    <w:rsid w:val="0FE60171"/>
    <w:rsid w:val="0FED59A3"/>
    <w:rsid w:val="0FEE34C9"/>
    <w:rsid w:val="0FEF171B"/>
    <w:rsid w:val="0FFC7994"/>
    <w:rsid w:val="0FFE0A7C"/>
    <w:rsid w:val="10053D5A"/>
    <w:rsid w:val="100B5E29"/>
    <w:rsid w:val="10172130"/>
    <w:rsid w:val="101A42BE"/>
    <w:rsid w:val="101C3B92"/>
    <w:rsid w:val="102665D2"/>
    <w:rsid w:val="102F3D73"/>
    <w:rsid w:val="103C4234"/>
    <w:rsid w:val="104D01F0"/>
    <w:rsid w:val="105570A4"/>
    <w:rsid w:val="105875AD"/>
    <w:rsid w:val="10592E33"/>
    <w:rsid w:val="105B0B5E"/>
    <w:rsid w:val="105D4C73"/>
    <w:rsid w:val="1060495D"/>
    <w:rsid w:val="1068711B"/>
    <w:rsid w:val="106A0DA2"/>
    <w:rsid w:val="106D2F64"/>
    <w:rsid w:val="107409F0"/>
    <w:rsid w:val="107B45B1"/>
    <w:rsid w:val="108417E5"/>
    <w:rsid w:val="10886BB5"/>
    <w:rsid w:val="108C75FD"/>
    <w:rsid w:val="109D6F15"/>
    <w:rsid w:val="10B1077E"/>
    <w:rsid w:val="10B464C1"/>
    <w:rsid w:val="10B61653"/>
    <w:rsid w:val="10B63710"/>
    <w:rsid w:val="10C04E65"/>
    <w:rsid w:val="10CC55B8"/>
    <w:rsid w:val="10D601E5"/>
    <w:rsid w:val="10D66437"/>
    <w:rsid w:val="10DC394E"/>
    <w:rsid w:val="10DE52EC"/>
    <w:rsid w:val="10E15761"/>
    <w:rsid w:val="10EA481F"/>
    <w:rsid w:val="10F10820"/>
    <w:rsid w:val="10F17004"/>
    <w:rsid w:val="10F468BD"/>
    <w:rsid w:val="10F91295"/>
    <w:rsid w:val="10FA7705"/>
    <w:rsid w:val="10FB5E85"/>
    <w:rsid w:val="10FC680D"/>
    <w:rsid w:val="110D17AE"/>
    <w:rsid w:val="1111746F"/>
    <w:rsid w:val="1119260B"/>
    <w:rsid w:val="111B209C"/>
    <w:rsid w:val="111C2F7A"/>
    <w:rsid w:val="11237444"/>
    <w:rsid w:val="112624DD"/>
    <w:rsid w:val="112A06CA"/>
    <w:rsid w:val="11360C84"/>
    <w:rsid w:val="113F59F6"/>
    <w:rsid w:val="11405FA6"/>
    <w:rsid w:val="114333A1"/>
    <w:rsid w:val="1145536B"/>
    <w:rsid w:val="11472E91"/>
    <w:rsid w:val="114A3997"/>
    <w:rsid w:val="11527A1F"/>
    <w:rsid w:val="11585E09"/>
    <w:rsid w:val="115878B5"/>
    <w:rsid w:val="115A5332"/>
    <w:rsid w:val="1161718F"/>
    <w:rsid w:val="11621A79"/>
    <w:rsid w:val="11665A0D"/>
    <w:rsid w:val="11665CA1"/>
    <w:rsid w:val="116D5220"/>
    <w:rsid w:val="117F0837"/>
    <w:rsid w:val="118253BD"/>
    <w:rsid w:val="11827F42"/>
    <w:rsid w:val="118E286E"/>
    <w:rsid w:val="119360D6"/>
    <w:rsid w:val="119B4158"/>
    <w:rsid w:val="11A2245A"/>
    <w:rsid w:val="11A2307F"/>
    <w:rsid w:val="11A36E95"/>
    <w:rsid w:val="11A622AD"/>
    <w:rsid w:val="11A83289"/>
    <w:rsid w:val="11AE50A3"/>
    <w:rsid w:val="11AE5258"/>
    <w:rsid w:val="11B60016"/>
    <w:rsid w:val="11BA3663"/>
    <w:rsid w:val="11BB4048"/>
    <w:rsid w:val="11BC2355"/>
    <w:rsid w:val="11BF451F"/>
    <w:rsid w:val="11BF6ECB"/>
    <w:rsid w:val="11CF5B63"/>
    <w:rsid w:val="11E06E41"/>
    <w:rsid w:val="11F52039"/>
    <w:rsid w:val="11F630BE"/>
    <w:rsid w:val="11FC3C7B"/>
    <w:rsid w:val="1201554F"/>
    <w:rsid w:val="12020AE6"/>
    <w:rsid w:val="120D5E88"/>
    <w:rsid w:val="120E7949"/>
    <w:rsid w:val="12211934"/>
    <w:rsid w:val="12267AD6"/>
    <w:rsid w:val="122B037F"/>
    <w:rsid w:val="12324474"/>
    <w:rsid w:val="12453701"/>
    <w:rsid w:val="1249109F"/>
    <w:rsid w:val="125148A3"/>
    <w:rsid w:val="12541464"/>
    <w:rsid w:val="12570177"/>
    <w:rsid w:val="125E36AA"/>
    <w:rsid w:val="126267B6"/>
    <w:rsid w:val="12635AA8"/>
    <w:rsid w:val="12645AB3"/>
    <w:rsid w:val="126923A6"/>
    <w:rsid w:val="12762513"/>
    <w:rsid w:val="127B5C27"/>
    <w:rsid w:val="129F0E81"/>
    <w:rsid w:val="12AA7B7B"/>
    <w:rsid w:val="12B24C82"/>
    <w:rsid w:val="12BE53D5"/>
    <w:rsid w:val="12C55766"/>
    <w:rsid w:val="12C64289"/>
    <w:rsid w:val="12DA4763"/>
    <w:rsid w:val="12E23F25"/>
    <w:rsid w:val="12E5474F"/>
    <w:rsid w:val="12F11306"/>
    <w:rsid w:val="12F47048"/>
    <w:rsid w:val="12F6691D"/>
    <w:rsid w:val="1300053C"/>
    <w:rsid w:val="13062DE0"/>
    <w:rsid w:val="1306440E"/>
    <w:rsid w:val="130C6140"/>
    <w:rsid w:val="130D1EB8"/>
    <w:rsid w:val="130E6225"/>
    <w:rsid w:val="131119A8"/>
    <w:rsid w:val="131170E5"/>
    <w:rsid w:val="131E2317"/>
    <w:rsid w:val="131E7C21"/>
    <w:rsid w:val="13217712"/>
    <w:rsid w:val="132207AA"/>
    <w:rsid w:val="13234DFF"/>
    <w:rsid w:val="1325085B"/>
    <w:rsid w:val="13275F2A"/>
    <w:rsid w:val="133A3EB2"/>
    <w:rsid w:val="134358DA"/>
    <w:rsid w:val="135875D7"/>
    <w:rsid w:val="135D4BEE"/>
    <w:rsid w:val="13643E86"/>
    <w:rsid w:val="136733E3"/>
    <w:rsid w:val="1367781A"/>
    <w:rsid w:val="137B32C6"/>
    <w:rsid w:val="137D0DEC"/>
    <w:rsid w:val="137D51E5"/>
    <w:rsid w:val="138008DC"/>
    <w:rsid w:val="138A52B7"/>
    <w:rsid w:val="138E124B"/>
    <w:rsid w:val="138F0018"/>
    <w:rsid w:val="13951726"/>
    <w:rsid w:val="13986BD6"/>
    <w:rsid w:val="139B5D49"/>
    <w:rsid w:val="13A13474"/>
    <w:rsid w:val="13A43F2F"/>
    <w:rsid w:val="13A440F8"/>
    <w:rsid w:val="13B433CC"/>
    <w:rsid w:val="13B660AC"/>
    <w:rsid w:val="13B67163"/>
    <w:rsid w:val="13B67CE9"/>
    <w:rsid w:val="13B72A6F"/>
    <w:rsid w:val="13BD0F1B"/>
    <w:rsid w:val="13C2681D"/>
    <w:rsid w:val="13CB5FFB"/>
    <w:rsid w:val="13CC5D99"/>
    <w:rsid w:val="13D05A71"/>
    <w:rsid w:val="13D724A1"/>
    <w:rsid w:val="13DF5603"/>
    <w:rsid w:val="13E250F3"/>
    <w:rsid w:val="13EC5383"/>
    <w:rsid w:val="13F33B15"/>
    <w:rsid w:val="13FD017F"/>
    <w:rsid w:val="140137CB"/>
    <w:rsid w:val="140E57CC"/>
    <w:rsid w:val="140F5287"/>
    <w:rsid w:val="14190A04"/>
    <w:rsid w:val="141F00F5"/>
    <w:rsid w:val="14217144"/>
    <w:rsid w:val="14220022"/>
    <w:rsid w:val="143265FD"/>
    <w:rsid w:val="14357918"/>
    <w:rsid w:val="14396509"/>
    <w:rsid w:val="145230C5"/>
    <w:rsid w:val="145E6E6F"/>
    <w:rsid w:val="146401FE"/>
    <w:rsid w:val="14652F1B"/>
    <w:rsid w:val="146D70B2"/>
    <w:rsid w:val="146E59EF"/>
    <w:rsid w:val="147A5401"/>
    <w:rsid w:val="148D0744"/>
    <w:rsid w:val="14950047"/>
    <w:rsid w:val="149503B7"/>
    <w:rsid w:val="14984CA7"/>
    <w:rsid w:val="14987CE5"/>
    <w:rsid w:val="149A15E5"/>
    <w:rsid w:val="14A9454F"/>
    <w:rsid w:val="14A95A10"/>
    <w:rsid w:val="14A96492"/>
    <w:rsid w:val="14AD1144"/>
    <w:rsid w:val="14AD17B9"/>
    <w:rsid w:val="14AD2946"/>
    <w:rsid w:val="14AF1479"/>
    <w:rsid w:val="14B4083D"/>
    <w:rsid w:val="14BA1BCC"/>
    <w:rsid w:val="14C30EE2"/>
    <w:rsid w:val="14C44D32"/>
    <w:rsid w:val="14C80215"/>
    <w:rsid w:val="14CB4F02"/>
    <w:rsid w:val="14CD5DA3"/>
    <w:rsid w:val="14CF201C"/>
    <w:rsid w:val="14D7452C"/>
    <w:rsid w:val="14D817D6"/>
    <w:rsid w:val="14D94748"/>
    <w:rsid w:val="14DD2C3C"/>
    <w:rsid w:val="14E31626"/>
    <w:rsid w:val="14F25809"/>
    <w:rsid w:val="14FE7D0A"/>
    <w:rsid w:val="15076708"/>
    <w:rsid w:val="15080B89"/>
    <w:rsid w:val="15091A66"/>
    <w:rsid w:val="150E1A39"/>
    <w:rsid w:val="151C63E2"/>
    <w:rsid w:val="151E215B"/>
    <w:rsid w:val="152D05F0"/>
    <w:rsid w:val="15347BD0"/>
    <w:rsid w:val="15355DAF"/>
    <w:rsid w:val="1536580C"/>
    <w:rsid w:val="153674A4"/>
    <w:rsid w:val="153E0A4F"/>
    <w:rsid w:val="1542409B"/>
    <w:rsid w:val="155A5D24"/>
    <w:rsid w:val="155C419F"/>
    <w:rsid w:val="155E4C4D"/>
    <w:rsid w:val="156009C5"/>
    <w:rsid w:val="156979FF"/>
    <w:rsid w:val="15781EB2"/>
    <w:rsid w:val="157B75AD"/>
    <w:rsid w:val="158C1D3F"/>
    <w:rsid w:val="159254CD"/>
    <w:rsid w:val="159A1767"/>
    <w:rsid w:val="159B473B"/>
    <w:rsid w:val="159F4B4C"/>
    <w:rsid w:val="15A052B8"/>
    <w:rsid w:val="15A765F4"/>
    <w:rsid w:val="15AA4DAF"/>
    <w:rsid w:val="15AB6F48"/>
    <w:rsid w:val="15B11E11"/>
    <w:rsid w:val="15B30B68"/>
    <w:rsid w:val="15BA3113"/>
    <w:rsid w:val="15C40F54"/>
    <w:rsid w:val="15C56A7A"/>
    <w:rsid w:val="15D031C8"/>
    <w:rsid w:val="15D373E9"/>
    <w:rsid w:val="15E74C42"/>
    <w:rsid w:val="15E769F0"/>
    <w:rsid w:val="15EF1193"/>
    <w:rsid w:val="15F77101"/>
    <w:rsid w:val="15F773D6"/>
    <w:rsid w:val="15FA7F11"/>
    <w:rsid w:val="15FD6738"/>
    <w:rsid w:val="16021A3F"/>
    <w:rsid w:val="160550C9"/>
    <w:rsid w:val="16087E1D"/>
    <w:rsid w:val="16092E0B"/>
    <w:rsid w:val="16094BB9"/>
    <w:rsid w:val="160B2E31"/>
    <w:rsid w:val="160C28FB"/>
    <w:rsid w:val="160D0DC6"/>
    <w:rsid w:val="160F30D3"/>
    <w:rsid w:val="162B0FD3"/>
    <w:rsid w:val="163634D4"/>
    <w:rsid w:val="16371A2B"/>
    <w:rsid w:val="16491459"/>
    <w:rsid w:val="164D719B"/>
    <w:rsid w:val="165247B2"/>
    <w:rsid w:val="165271ED"/>
    <w:rsid w:val="16543D00"/>
    <w:rsid w:val="16625582"/>
    <w:rsid w:val="1665785E"/>
    <w:rsid w:val="166D18B3"/>
    <w:rsid w:val="16734728"/>
    <w:rsid w:val="167504A0"/>
    <w:rsid w:val="16842491"/>
    <w:rsid w:val="168460D8"/>
    <w:rsid w:val="16A9014A"/>
    <w:rsid w:val="16AB3EC2"/>
    <w:rsid w:val="16B46462"/>
    <w:rsid w:val="16B944BB"/>
    <w:rsid w:val="16BD7345"/>
    <w:rsid w:val="16C07B00"/>
    <w:rsid w:val="16D056D6"/>
    <w:rsid w:val="16D51CFA"/>
    <w:rsid w:val="16DA7BD2"/>
    <w:rsid w:val="16E42F30"/>
    <w:rsid w:val="16F05D79"/>
    <w:rsid w:val="16F13FCB"/>
    <w:rsid w:val="16F70EB5"/>
    <w:rsid w:val="16FD383E"/>
    <w:rsid w:val="16FD4EFA"/>
    <w:rsid w:val="170644D0"/>
    <w:rsid w:val="170700D5"/>
    <w:rsid w:val="170D278A"/>
    <w:rsid w:val="171750B3"/>
    <w:rsid w:val="171916B3"/>
    <w:rsid w:val="171D58A4"/>
    <w:rsid w:val="17240813"/>
    <w:rsid w:val="1730610D"/>
    <w:rsid w:val="17386D7C"/>
    <w:rsid w:val="17400AAE"/>
    <w:rsid w:val="174065F1"/>
    <w:rsid w:val="17417C90"/>
    <w:rsid w:val="17464B70"/>
    <w:rsid w:val="174F6F43"/>
    <w:rsid w:val="175005C5"/>
    <w:rsid w:val="176A77DE"/>
    <w:rsid w:val="17701D14"/>
    <w:rsid w:val="17732E3B"/>
    <w:rsid w:val="17735226"/>
    <w:rsid w:val="1776627E"/>
    <w:rsid w:val="177713E0"/>
    <w:rsid w:val="17837BFF"/>
    <w:rsid w:val="17845DB4"/>
    <w:rsid w:val="17887D5F"/>
    <w:rsid w:val="178E6D13"/>
    <w:rsid w:val="179118EE"/>
    <w:rsid w:val="17942BA8"/>
    <w:rsid w:val="17946704"/>
    <w:rsid w:val="17957920"/>
    <w:rsid w:val="179B3E23"/>
    <w:rsid w:val="17A074B3"/>
    <w:rsid w:val="17A3792C"/>
    <w:rsid w:val="17AA23CB"/>
    <w:rsid w:val="17AB104C"/>
    <w:rsid w:val="17B976DA"/>
    <w:rsid w:val="17B97F3E"/>
    <w:rsid w:val="17BD6021"/>
    <w:rsid w:val="17CF598E"/>
    <w:rsid w:val="17D42FA4"/>
    <w:rsid w:val="17DB2585"/>
    <w:rsid w:val="17DB741B"/>
    <w:rsid w:val="17DE07C9"/>
    <w:rsid w:val="17E56F60"/>
    <w:rsid w:val="17F92A0B"/>
    <w:rsid w:val="17FA6EAF"/>
    <w:rsid w:val="17FD699F"/>
    <w:rsid w:val="18001FEB"/>
    <w:rsid w:val="18055854"/>
    <w:rsid w:val="18063A44"/>
    <w:rsid w:val="181D3D79"/>
    <w:rsid w:val="1824296D"/>
    <w:rsid w:val="18242FA4"/>
    <w:rsid w:val="182A720B"/>
    <w:rsid w:val="182F7FAF"/>
    <w:rsid w:val="1836565B"/>
    <w:rsid w:val="183A374F"/>
    <w:rsid w:val="183A69C3"/>
    <w:rsid w:val="183B3024"/>
    <w:rsid w:val="183D0F49"/>
    <w:rsid w:val="18441ED8"/>
    <w:rsid w:val="18480905"/>
    <w:rsid w:val="184D6DCC"/>
    <w:rsid w:val="185F6CD5"/>
    <w:rsid w:val="18620CBF"/>
    <w:rsid w:val="18720B73"/>
    <w:rsid w:val="18730A0F"/>
    <w:rsid w:val="18736C61"/>
    <w:rsid w:val="18772805"/>
    <w:rsid w:val="18793362"/>
    <w:rsid w:val="187971E2"/>
    <w:rsid w:val="18893D8F"/>
    <w:rsid w:val="188B7B07"/>
    <w:rsid w:val="188E5849"/>
    <w:rsid w:val="188F4340"/>
    <w:rsid w:val="1890511D"/>
    <w:rsid w:val="18946A18"/>
    <w:rsid w:val="18964B81"/>
    <w:rsid w:val="18972950"/>
    <w:rsid w:val="189778AA"/>
    <w:rsid w:val="189F624C"/>
    <w:rsid w:val="18AD2ACB"/>
    <w:rsid w:val="18B37BB4"/>
    <w:rsid w:val="18BF1EA7"/>
    <w:rsid w:val="18C33745"/>
    <w:rsid w:val="18C41B5A"/>
    <w:rsid w:val="18CD45C3"/>
    <w:rsid w:val="18CE3E98"/>
    <w:rsid w:val="18D25736"/>
    <w:rsid w:val="18DA2D35"/>
    <w:rsid w:val="18EA6F23"/>
    <w:rsid w:val="18F03E0E"/>
    <w:rsid w:val="18F45EB7"/>
    <w:rsid w:val="18FE652B"/>
    <w:rsid w:val="1901601B"/>
    <w:rsid w:val="190417EA"/>
    <w:rsid w:val="19066B43"/>
    <w:rsid w:val="191C48A1"/>
    <w:rsid w:val="191E6BCD"/>
    <w:rsid w:val="19241D0A"/>
    <w:rsid w:val="192C71C4"/>
    <w:rsid w:val="1934564C"/>
    <w:rsid w:val="193856B0"/>
    <w:rsid w:val="19397563"/>
    <w:rsid w:val="194D1260"/>
    <w:rsid w:val="194E3A44"/>
    <w:rsid w:val="195D38E8"/>
    <w:rsid w:val="197607B7"/>
    <w:rsid w:val="19792055"/>
    <w:rsid w:val="197E141A"/>
    <w:rsid w:val="1985694A"/>
    <w:rsid w:val="198F041B"/>
    <w:rsid w:val="19906A96"/>
    <w:rsid w:val="1995558F"/>
    <w:rsid w:val="19A9507C"/>
    <w:rsid w:val="19AC5F87"/>
    <w:rsid w:val="19AD7CB8"/>
    <w:rsid w:val="19B021CC"/>
    <w:rsid w:val="19B25EBD"/>
    <w:rsid w:val="19B337B9"/>
    <w:rsid w:val="19B349B7"/>
    <w:rsid w:val="19B47531"/>
    <w:rsid w:val="19BB266E"/>
    <w:rsid w:val="19C0083C"/>
    <w:rsid w:val="19C31034"/>
    <w:rsid w:val="19C8076D"/>
    <w:rsid w:val="19C855DB"/>
    <w:rsid w:val="19CA3474"/>
    <w:rsid w:val="19CD7BF9"/>
    <w:rsid w:val="19D002F5"/>
    <w:rsid w:val="19D164BA"/>
    <w:rsid w:val="19D2734D"/>
    <w:rsid w:val="19D61256"/>
    <w:rsid w:val="19E1554E"/>
    <w:rsid w:val="19E5593D"/>
    <w:rsid w:val="19E65503"/>
    <w:rsid w:val="19E716B5"/>
    <w:rsid w:val="19E71C07"/>
    <w:rsid w:val="19E82A65"/>
    <w:rsid w:val="19EB76AA"/>
    <w:rsid w:val="19F60A19"/>
    <w:rsid w:val="19F636A6"/>
    <w:rsid w:val="19F87CC7"/>
    <w:rsid w:val="19FB2C6F"/>
    <w:rsid w:val="19FC57BA"/>
    <w:rsid w:val="19FE255B"/>
    <w:rsid w:val="1A0062D3"/>
    <w:rsid w:val="1A136204"/>
    <w:rsid w:val="1A1C66C0"/>
    <w:rsid w:val="1A233C66"/>
    <w:rsid w:val="1A257C5C"/>
    <w:rsid w:val="1A26288A"/>
    <w:rsid w:val="1A275D50"/>
    <w:rsid w:val="1A367F46"/>
    <w:rsid w:val="1A4008B5"/>
    <w:rsid w:val="1A42393B"/>
    <w:rsid w:val="1A4F0D0E"/>
    <w:rsid w:val="1A512F53"/>
    <w:rsid w:val="1A597C57"/>
    <w:rsid w:val="1A6109D4"/>
    <w:rsid w:val="1A697961"/>
    <w:rsid w:val="1A705206"/>
    <w:rsid w:val="1A70799A"/>
    <w:rsid w:val="1A7E63DB"/>
    <w:rsid w:val="1A811087"/>
    <w:rsid w:val="1A814BB1"/>
    <w:rsid w:val="1A8E38DF"/>
    <w:rsid w:val="1A937147"/>
    <w:rsid w:val="1AA416CE"/>
    <w:rsid w:val="1AA43D24"/>
    <w:rsid w:val="1AAD45DE"/>
    <w:rsid w:val="1AB23A71"/>
    <w:rsid w:val="1AC7366A"/>
    <w:rsid w:val="1AC90DBB"/>
    <w:rsid w:val="1ACA33B6"/>
    <w:rsid w:val="1AD03EF7"/>
    <w:rsid w:val="1AD42ECA"/>
    <w:rsid w:val="1AD85B7E"/>
    <w:rsid w:val="1ADA4D76"/>
    <w:rsid w:val="1AE6371B"/>
    <w:rsid w:val="1AED3E85"/>
    <w:rsid w:val="1AEF3296"/>
    <w:rsid w:val="1AF435EA"/>
    <w:rsid w:val="1B0074D3"/>
    <w:rsid w:val="1B02387A"/>
    <w:rsid w:val="1B046F80"/>
    <w:rsid w:val="1B0E2C78"/>
    <w:rsid w:val="1B1E2EB4"/>
    <w:rsid w:val="1B25632E"/>
    <w:rsid w:val="1B296D6A"/>
    <w:rsid w:val="1B30408E"/>
    <w:rsid w:val="1B3267B5"/>
    <w:rsid w:val="1B3A3153"/>
    <w:rsid w:val="1B3F5C45"/>
    <w:rsid w:val="1B40161D"/>
    <w:rsid w:val="1B423402"/>
    <w:rsid w:val="1B441859"/>
    <w:rsid w:val="1B4950A4"/>
    <w:rsid w:val="1B495A57"/>
    <w:rsid w:val="1B5D41CC"/>
    <w:rsid w:val="1B632BFA"/>
    <w:rsid w:val="1B6528EA"/>
    <w:rsid w:val="1B6606B1"/>
    <w:rsid w:val="1B666609"/>
    <w:rsid w:val="1B6B1E72"/>
    <w:rsid w:val="1B7A14C4"/>
    <w:rsid w:val="1B7D6A88"/>
    <w:rsid w:val="1B872A31"/>
    <w:rsid w:val="1B882A24"/>
    <w:rsid w:val="1B8E6BD3"/>
    <w:rsid w:val="1B8F3DB2"/>
    <w:rsid w:val="1BAA552C"/>
    <w:rsid w:val="1BAC19FF"/>
    <w:rsid w:val="1BAE00B0"/>
    <w:rsid w:val="1BB9256E"/>
    <w:rsid w:val="1BBC34D6"/>
    <w:rsid w:val="1BCC2910"/>
    <w:rsid w:val="1BCD128E"/>
    <w:rsid w:val="1BD55A43"/>
    <w:rsid w:val="1BE31496"/>
    <w:rsid w:val="1BE645CE"/>
    <w:rsid w:val="1BEC2FB3"/>
    <w:rsid w:val="1BF11741"/>
    <w:rsid w:val="1BF70E86"/>
    <w:rsid w:val="1BF956CF"/>
    <w:rsid w:val="1C0D6A33"/>
    <w:rsid w:val="1C200EAE"/>
    <w:rsid w:val="1C202D43"/>
    <w:rsid w:val="1C225007"/>
    <w:rsid w:val="1C276EDF"/>
    <w:rsid w:val="1C2C1601"/>
    <w:rsid w:val="1C3500C7"/>
    <w:rsid w:val="1C5D7A0C"/>
    <w:rsid w:val="1C5E1BEA"/>
    <w:rsid w:val="1C5E7925"/>
    <w:rsid w:val="1C6574B8"/>
    <w:rsid w:val="1C6C7C4F"/>
    <w:rsid w:val="1C6D02DA"/>
    <w:rsid w:val="1C6D13E9"/>
    <w:rsid w:val="1C7029FA"/>
    <w:rsid w:val="1C7245AB"/>
    <w:rsid w:val="1C731E9C"/>
    <w:rsid w:val="1C766E7A"/>
    <w:rsid w:val="1C7C4D98"/>
    <w:rsid w:val="1C8545E2"/>
    <w:rsid w:val="1C854A74"/>
    <w:rsid w:val="1C896A53"/>
    <w:rsid w:val="1C8B4574"/>
    <w:rsid w:val="1C901A3E"/>
    <w:rsid w:val="1CA0058B"/>
    <w:rsid w:val="1CA12F6D"/>
    <w:rsid w:val="1CA14483"/>
    <w:rsid w:val="1CB57960"/>
    <w:rsid w:val="1CBA5755"/>
    <w:rsid w:val="1CBE55B6"/>
    <w:rsid w:val="1CC14A64"/>
    <w:rsid w:val="1CCB4F2A"/>
    <w:rsid w:val="1CCD24DA"/>
    <w:rsid w:val="1CD154DC"/>
    <w:rsid w:val="1CD344FB"/>
    <w:rsid w:val="1CD714F3"/>
    <w:rsid w:val="1CD777BF"/>
    <w:rsid w:val="1CDD2459"/>
    <w:rsid w:val="1CE75528"/>
    <w:rsid w:val="1CEB663A"/>
    <w:rsid w:val="1CF1567C"/>
    <w:rsid w:val="1CFD070F"/>
    <w:rsid w:val="1CFD2F9D"/>
    <w:rsid w:val="1D070F1D"/>
    <w:rsid w:val="1D0E0C40"/>
    <w:rsid w:val="1D2247B2"/>
    <w:rsid w:val="1D317161"/>
    <w:rsid w:val="1D343F12"/>
    <w:rsid w:val="1D3D03FF"/>
    <w:rsid w:val="1D412E8A"/>
    <w:rsid w:val="1D4413A0"/>
    <w:rsid w:val="1D4C3D7C"/>
    <w:rsid w:val="1D506148"/>
    <w:rsid w:val="1D596C85"/>
    <w:rsid w:val="1D5C4ED6"/>
    <w:rsid w:val="1D5F6196"/>
    <w:rsid w:val="1D6132A5"/>
    <w:rsid w:val="1D622E56"/>
    <w:rsid w:val="1D772646"/>
    <w:rsid w:val="1D864D41"/>
    <w:rsid w:val="1D8E56D5"/>
    <w:rsid w:val="1D990F18"/>
    <w:rsid w:val="1D9A3957"/>
    <w:rsid w:val="1DAE3A99"/>
    <w:rsid w:val="1DB2206D"/>
    <w:rsid w:val="1DB51824"/>
    <w:rsid w:val="1DBC69B5"/>
    <w:rsid w:val="1DC00253"/>
    <w:rsid w:val="1DC74FF4"/>
    <w:rsid w:val="1DD9724F"/>
    <w:rsid w:val="1DE66E3C"/>
    <w:rsid w:val="1DEE5F2A"/>
    <w:rsid w:val="1DF502FC"/>
    <w:rsid w:val="1DF74711"/>
    <w:rsid w:val="1DF779ED"/>
    <w:rsid w:val="1DFB6FED"/>
    <w:rsid w:val="1E1C0800"/>
    <w:rsid w:val="1E234C86"/>
    <w:rsid w:val="1E2A7DC2"/>
    <w:rsid w:val="1E37603B"/>
    <w:rsid w:val="1E3B3D7D"/>
    <w:rsid w:val="1E42460B"/>
    <w:rsid w:val="1E450758"/>
    <w:rsid w:val="1E51534F"/>
    <w:rsid w:val="1E522444"/>
    <w:rsid w:val="1E560BB7"/>
    <w:rsid w:val="1E5F1E29"/>
    <w:rsid w:val="1E672BF1"/>
    <w:rsid w:val="1E677EBF"/>
    <w:rsid w:val="1E7554CA"/>
    <w:rsid w:val="1E763F47"/>
    <w:rsid w:val="1E7942EF"/>
    <w:rsid w:val="1E7A43DA"/>
    <w:rsid w:val="1E84695F"/>
    <w:rsid w:val="1E854F78"/>
    <w:rsid w:val="1E894AE9"/>
    <w:rsid w:val="1E911BEF"/>
    <w:rsid w:val="1E935967"/>
    <w:rsid w:val="1E9D311E"/>
    <w:rsid w:val="1EA35FEA"/>
    <w:rsid w:val="1EAE2FC7"/>
    <w:rsid w:val="1EB107C7"/>
    <w:rsid w:val="1EB37DB8"/>
    <w:rsid w:val="1EB64872"/>
    <w:rsid w:val="1ECA4A8B"/>
    <w:rsid w:val="1ED3043E"/>
    <w:rsid w:val="1ED63AA6"/>
    <w:rsid w:val="1ED65854"/>
    <w:rsid w:val="1EDA2D7F"/>
    <w:rsid w:val="1EE73F05"/>
    <w:rsid w:val="1EEF4F08"/>
    <w:rsid w:val="1EF01BFF"/>
    <w:rsid w:val="1EF503D0"/>
    <w:rsid w:val="1EF50E04"/>
    <w:rsid w:val="1EF83A1C"/>
    <w:rsid w:val="1EFD1033"/>
    <w:rsid w:val="1EFE03C6"/>
    <w:rsid w:val="1F0307E6"/>
    <w:rsid w:val="1F036DAC"/>
    <w:rsid w:val="1F066139"/>
    <w:rsid w:val="1F0979D8"/>
    <w:rsid w:val="1F100D66"/>
    <w:rsid w:val="1F1840BF"/>
    <w:rsid w:val="1F2C5C3D"/>
    <w:rsid w:val="1F500D40"/>
    <w:rsid w:val="1F58270D"/>
    <w:rsid w:val="1F591B4F"/>
    <w:rsid w:val="1F5C21FD"/>
    <w:rsid w:val="1F5F005E"/>
    <w:rsid w:val="1F5F4766"/>
    <w:rsid w:val="1F7660C6"/>
    <w:rsid w:val="1F811C64"/>
    <w:rsid w:val="1F8359DC"/>
    <w:rsid w:val="1F861028"/>
    <w:rsid w:val="1F86727A"/>
    <w:rsid w:val="1F8D0609"/>
    <w:rsid w:val="1F9D61DA"/>
    <w:rsid w:val="1FA01538"/>
    <w:rsid w:val="1FAD4149"/>
    <w:rsid w:val="1FAD7B2C"/>
    <w:rsid w:val="1FB02549"/>
    <w:rsid w:val="1FB042F7"/>
    <w:rsid w:val="1FB52ACC"/>
    <w:rsid w:val="1FBB2005"/>
    <w:rsid w:val="1FCF5928"/>
    <w:rsid w:val="1FDC50EC"/>
    <w:rsid w:val="1FDE2C12"/>
    <w:rsid w:val="1FE50103"/>
    <w:rsid w:val="1FE7539E"/>
    <w:rsid w:val="1FED10A7"/>
    <w:rsid w:val="1FF710FB"/>
    <w:rsid w:val="1FFE5062"/>
    <w:rsid w:val="200308CB"/>
    <w:rsid w:val="20073358"/>
    <w:rsid w:val="200C3C23"/>
    <w:rsid w:val="200E5A46"/>
    <w:rsid w:val="20101FC5"/>
    <w:rsid w:val="20256A93"/>
    <w:rsid w:val="202977D2"/>
    <w:rsid w:val="202E2AB2"/>
    <w:rsid w:val="20376986"/>
    <w:rsid w:val="203D63DC"/>
    <w:rsid w:val="20453FBD"/>
    <w:rsid w:val="204607B7"/>
    <w:rsid w:val="204A5E07"/>
    <w:rsid w:val="20565982"/>
    <w:rsid w:val="20671BE0"/>
    <w:rsid w:val="20675279"/>
    <w:rsid w:val="206C2914"/>
    <w:rsid w:val="20756A8B"/>
    <w:rsid w:val="207672EF"/>
    <w:rsid w:val="20783067"/>
    <w:rsid w:val="20790B8D"/>
    <w:rsid w:val="207B66B3"/>
    <w:rsid w:val="207D242B"/>
    <w:rsid w:val="207D763A"/>
    <w:rsid w:val="208A0FEC"/>
    <w:rsid w:val="208F16C3"/>
    <w:rsid w:val="20905032"/>
    <w:rsid w:val="2090637B"/>
    <w:rsid w:val="20963CB8"/>
    <w:rsid w:val="209825E3"/>
    <w:rsid w:val="209904D5"/>
    <w:rsid w:val="20A81A1B"/>
    <w:rsid w:val="20AD354C"/>
    <w:rsid w:val="20B07FB6"/>
    <w:rsid w:val="20B41A5D"/>
    <w:rsid w:val="20B646FB"/>
    <w:rsid w:val="20B767FD"/>
    <w:rsid w:val="20B816B5"/>
    <w:rsid w:val="20B9542D"/>
    <w:rsid w:val="20C230B4"/>
    <w:rsid w:val="20C26BE6"/>
    <w:rsid w:val="20C31E08"/>
    <w:rsid w:val="20D816D0"/>
    <w:rsid w:val="20D95F52"/>
    <w:rsid w:val="20DB1848"/>
    <w:rsid w:val="20DD736E"/>
    <w:rsid w:val="20DF4D7D"/>
    <w:rsid w:val="20E12D3A"/>
    <w:rsid w:val="20E24984"/>
    <w:rsid w:val="20E73D48"/>
    <w:rsid w:val="20F070A1"/>
    <w:rsid w:val="20F3093F"/>
    <w:rsid w:val="20F326ED"/>
    <w:rsid w:val="20F33852"/>
    <w:rsid w:val="20F515C0"/>
    <w:rsid w:val="20FA1CCE"/>
    <w:rsid w:val="20FD408E"/>
    <w:rsid w:val="210963B5"/>
    <w:rsid w:val="21156B08"/>
    <w:rsid w:val="21157AC9"/>
    <w:rsid w:val="21183D16"/>
    <w:rsid w:val="21193D14"/>
    <w:rsid w:val="211B6D43"/>
    <w:rsid w:val="21211FB4"/>
    <w:rsid w:val="21244F9D"/>
    <w:rsid w:val="21260D15"/>
    <w:rsid w:val="212C3E51"/>
    <w:rsid w:val="2132215C"/>
    <w:rsid w:val="2136236C"/>
    <w:rsid w:val="213A56A7"/>
    <w:rsid w:val="213B74B1"/>
    <w:rsid w:val="213E2781"/>
    <w:rsid w:val="214473ED"/>
    <w:rsid w:val="21472A39"/>
    <w:rsid w:val="21476F87"/>
    <w:rsid w:val="214967B1"/>
    <w:rsid w:val="215412A7"/>
    <w:rsid w:val="215A2310"/>
    <w:rsid w:val="21613AFB"/>
    <w:rsid w:val="21674E89"/>
    <w:rsid w:val="216B497A"/>
    <w:rsid w:val="216D6944"/>
    <w:rsid w:val="21780E44"/>
    <w:rsid w:val="21830185"/>
    <w:rsid w:val="21840136"/>
    <w:rsid w:val="2186420E"/>
    <w:rsid w:val="21903CEF"/>
    <w:rsid w:val="219C4B33"/>
    <w:rsid w:val="219E4D4F"/>
    <w:rsid w:val="21A165ED"/>
    <w:rsid w:val="21A86860"/>
    <w:rsid w:val="21AE4866"/>
    <w:rsid w:val="21B207FA"/>
    <w:rsid w:val="21C91E25"/>
    <w:rsid w:val="21CA01E5"/>
    <w:rsid w:val="21CA4416"/>
    <w:rsid w:val="21DB46C8"/>
    <w:rsid w:val="21DE318A"/>
    <w:rsid w:val="21E309B4"/>
    <w:rsid w:val="21E5054A"/>
    <w:rsid w:val="21EF5B80"/>
    <w:rsid w:val="21F91EB5"/>
    <w:rsid w:val="22026C30"/>
    <w:rsid w:val="22027778"/>
    <w:rsid w:val="2205092A"/>
    <w:rsid w:val="221808E0"/>
    <w:rsid w:val="221B573B"/>
    <w:rsid w:val="222866C7"/>
    <w:rsid w:val="22295B8D"/>
    <w:rsid w:val="222F3BF9"/>
    <w:rsid w:val="22325497"/>
    <w:rsid w:val="223C6C85"/>
    <w:rsid w:val="22420B98"/>
    <w:rsid w:val="22482F0D"/>
    <w:rsid w:val="224F6FAC"/>
    <w:rsid w:val="22506A18"/>
    <w:rsid w:val="22576990"/>
    <w:rsid w:val="22636E4D"/>
    <w:rsid w:val="22646776"/>
    <w:rsid w:val="22745AB0"/>
    <w:rsid w:val="22833F45"/>
    <w:rsid w:val="22910410"/>
    <w:rsid w:val="229E2B2D"/>
    <w:rsid w:val="22A04AF7"/>
    <w:rsid w:val="22AC349C"/>
    <w:rsid w:val="22B40D90"/>
    <w:rsid w:val="22B61C24"/>
    <w:rsid w:val="22B67E76"/>
    <w:rsid w:val="22CB51C4"/>
    <w:rsid w:val="22CC31F6"/>
    <w:rsid w:val="22D30A28"/>
    <w:rsid w:val="22DF561F"/>
    <w:rsid w:val="22F14F90"/>
    <w:rsid w:val="22F47480"/>
    <w:rsid w:val="22F8048F"/>
    <w:rsid w:val="23040BE2"/>
    <w:rsid w:val="231177A3"/>
    <w:rsid w:val="231278B6"/>
    <w:rsid w:val="23157D10"/>
    <w:rsid w:val="23205257"/>
    <w:rsid w:val="232079E6"/>
    <w:rsid w:val="232C0A75"/>
    <w:rsid w:val="232C54A8"/>
    <w:rsid w:val="232E7BA6"/>
    <w:rsid w:val="233606D9"/>
    <w:rsid w:val="23362D65"/>
    <w:rsid w:val="235B5CDC"/>
    <w:rsid w:val="23671171"/>
    <w:rsid w:val="23690370"/>
    <w:rsid w:val="237D267E"/>
    <w:rsid w:val="238E494F"/>
    <w:rsid w:val="239E28B5"/>
    <w:rsid w:val="239F2A6A"/>
    <w:rsid w:val="23A91789"/>
    <w:rsid w:val="23B46F82"/>
    <w:rsid w:val="23B7272D"/>
    <w:rsid w:val="23B819CC"/>
    <w:rsid w:val="23BD6C40"/>
    <w:rsid w:val="23D20CE0"/>
    <w:rsid w:val="23D2486F"/>
    <w:rsid w:val="23D4441B"/>
    <w:rsid w:val="23D70871"/>
    <w:rsid w:val="23D762F6"/>
    <w:rsid w:val="23DD34D7"/>
    <w:rsid w:val="23DE1C48"/>
    <w:rsid w:val="23DF51AB"/>
    <w:rsid w:val="23E2428D"/>
    <w:rsid w:val="23E704BC"/>
    <w:rsid w:val="23EC77DC"/>
    <w:rsid w:val="23EF0DF2"/>
    <w:rsid w:val="23F24EDE"/>
    <w:rsid w:val="23F550E2"/>
    <w:rsid w:val="23F918E9"/>
    <w:rsid w:val="23FE4B91"/>
    <w:rsid w:val="23FF13A9"/>
    <w:rsid w:val="240210CD"/>
    <w:rsid w:val="24056631"/>
    <w:rsid w:val="2409047A"/>
    <w:rsid w:val="240D3C5C"/>
    <w:rsid w:val="240E049C"/>
    <w:rsid w:val="24172B97"/>
    <w:rsid w:val="2419690F"/>
    <w:rsid w:val="241A7BAC"/>
    <w:rsid w:val="241E42DD"/>
    <w:rsid w:val="242E1C8E"/>
    <w:rsid w:val="24364F21"/>
    <w:rsid w:val="243D776E"/>
    <w:rsid w:val="24467A11"/>
    <w:rsid w:val="24482D50"/>
    <w:rsid w:val="244C11C8"/>
    <w:rsid w:val="244F2331"/>
    <w:rsid w:val="24576C91"/>
    <w:rsid w:val="245C5FE8"/>
    <w:rsid w:val="24672C96"/>
    <w:rsid w:val="246F29AA"/>
    <w:rsid w:val="24A02316"/>
    <w:rsid w:val="24A85EE5"/>
    <w:rsid w:val="24AA57B9"/>
    <w:rsid w:val="24AA6F6D"/>
    <w:rsid w:val="24AC1206"/>
    <w:rsid w:val="24AD3B2C"/>
    <w:rsid w:val="24B2466D"/>
    <w:rsid w:val="24B8003A"/>
    <w:rsid w:val="24BF09F7"/>
    <w:rsid w:val="24C00B0C"/>
    <w:rsid w:val="24C04268"/>
    <w:rsid w:val="24C4004A"/>
    <w:rsid w:val="24C602A0"/>
    <w:rsid w:val="24C745BD"/>
    <w:rsid w:val="24CA5E5B"/>
    <w:rsid w:val="24CA5ED0"/>
    <w:rsid w:val="24CF3AD2"/>
    <w:rsid w:val="24D67DFB"/>
    <w:rsid w:val="24E05525"/>
    <w:rsid w:val="24E6028B"/>
    <w:rsid w:val="24EF3B8A"/>
    <w:rsid w:val="24FC618E"/>
    <w:rsid w:val="250B3E45"/>
    <w:rsid w:val="25113A8A"/>
    <w:rsid w:val="25155FDC"/>
    <w:rsid w:val="25171F2C"/>
    <w:rsid w:val="252D53FE"/>
    <w:rsid w:val="252E0198"/>
    <w:rsid w:val="25317C88"/>
    <w:rsid w:val="253B4663"/>
    <w:rsid w:val="255A51B3"/>
    <w:rsid w:val="255D5330"/>
    <w:rsid w:val="25657932"/>
    <w:rsid w:val="25683F47"/>
    <w:rsid w:val="25717107"/>
    <w:rsid w:val="257302A1"/>
    <w:rsid w:val="257375E1"/>
    <w:rsid w:val="257C38B0"/>
    <w:rsid w:val="258A41F5"/>
    <w:rsid w:val="258B383C"/>
    <w:rsid w:val="258E6E89"/>
    <w:rsid w:val="259E2F57"/>
    <w:rsid w:val="25A22934"/>
    <w:rsid w:val="25A7604D"/>
    <w:rsid w:val="25AB52FC"/>
    <w:rsid w:val="25AE3087"/>
    <w:rsid w:val="25B12B77"/>
    <w:rsid w:val="25B763DF"/>
    <w:rsid w:val="25BD26EC"/>
    <w:rsid w:val="25BD2780"/>
    <w:rsid w:val="25C133CA"/>
    <w:rsid w:val="25C137F2"/>
    <w:rsid w:val="25CB51FF"/>
    <w:rsid w:val="25D35D3D"/>
    <w:rsid w:val="25D53C59"/>
    <w:rsid w:val="25D87C24"/>
    <w:rsid w:val="25D9546E"/>
    <w:rsid w:val="25DF60F1"/>
    <w:rsid w:val="25EC2D81"/>
    <w:rsid w:val="25EE49A2"/>
    <w:rsid w:val="260158AC"/>
    <w:rsid w:val="26062EC3"/>
    <w:rsid w:val="2609650F"/>
    <w:rsid w:val="260C13F9"/>
    <w:rsid w:val="260E1D77"/>
    <w:rsid w:val="26103D41"/>
    <w:rsid w:val="26150F90"/>
    <w:rsid w:val="2618349B"/>
    <w:rsid w:val="261916EC"/>
    <w:rsid w:val="261E645E"/>
    <w:rsid w:val="261F22B1"/>
    <w:rsid w:val="26211093"/>
    <w:rsid w:val="262357FF"/>
    <w:rsid w:val="263712CE"/>
    <w:rsid w:val="2637155F"/>
    <w:rsid w:val="26492DAF"/>
    <w:rsid w:val="26644EA7"/>
    <w:rsid w:val="26653790"/>
    <w:rsid w:val="26666435"/>
    <w:rsid w:val="26753BA5"/>
    <w:rsid w:val="26773DC1"/>
    <w:rsid w:val="267947AD"/>
    <w:rsid w:val="267F0A80"/>
    <w:rsid w:val="26854CAF"/>
    <w:rsid w:val="26876DC7"/>
    <w:rsid w:val="268A0EDE"/>
    <w:rsid w:val="268C786C"/>
    <w:rsid w:val="26940BB8"/>
    <w:rsid w:val="26980901"/>
    <w:rsid w:val="26AA15BF"/>
    <w:rsid w:val="26AA5F44"/>
    <w:rsid w:val="26B40B71"/>
    <w:rsid w:val="26BD1A51"/>
    <w:rsid w:val="26BD5C77"/>
    <w:rsid w:val="26C1158E"/>
    <w:rsid w:val="26C65E11"/>
    <w:rsid w:val="26C8415B"/>
    <w:rsid w:val="26DB4B00"/>
    <w:rsid w:val="26DF68ED"/>
    <w:rsid w:val="26FE730B"/>
    <w:rsid w:val="26FF6A5A"/>
    <w:rsid w:val="270513CC"/>
    <w:rsid w:val="2705317A"/>
    <w:rsid w:val="27075144"/>
    <w:rsid w:val="270B6448"/>
    <w:rsid w:val="2712451D"/>
    <w:rsid w:val="27150329"/>
    <w:rsid w:val="271747C4"/>
    <w:rsid w:val="27195275"/>
    <w:rsid w:val="27224909"/>
    <w:rsid w:val="272A0E33"/>
    <w:rsid w:val="27441EF5"/>
    <w:rsid w:val="27451368"/>
    <w:rsid w:val="274A3283"/>
    <w:rsid w:val="274D6992"/>
    <w:rsid w:val="275151F0"/>
    <w:rsid w:val="27594256"/>
    <w:rsid w:val="27633B89"/>
    <w:rsid w:val="2766610A"/>
    <w:rsid w:val="276B56D3"/>
    <w:rsid w:val="276C31F9"/>
    <w:rsid w:val="277057A2"/>
    <w:rsid w:val="27750300"/>
    <w:rsid w:val="277937E8"/>
    <w:rsid w:val="277F071D"/>
    <w:rsid w:val="27856069"/>
    <w:rsid w:val="27980146"/>
    <w:rsid w:val="27A02EA3"/>
    <w:rsid w:val="27A44741"/>
    <w:rsid w:val="27AE55C0"/>
    <w:rsid w:val="27B14428"/>
    <w:rsid w:val="27B23302"/>
    <w:rsid w:val="27BA147E"/>
    <w:rsid w:val="27BF02A5"/>
    <w:rsid w:val="27C70430"/>
    <w:rsid w:val="27C9523F"/>
    <w:rsid w:val="27CE7A10"/>
    <w:rsid w:val="27DA63B5"/>
    <w:rsid w:val="27DC212D"/>
    <w:rsid w:val="27E917FD"/>
    <w:rsid w:val="27EA5A9C"/>
    <w:rsid w:val="27EA5BB5"/>
    <w:rsid w:val="27F17A2C"/>
    <w:rsid w:val="27FB7195"/>
    <w:rsid w:val="28041D48"/>
    <w:rsid w:val="28090A48"/>
    <w:rsid w:val="280E2503"/>
    <w:rsid w:val="28186EDD"/>
    <w:rsid w:val="281C4C20"/>
    <w:rsid w:val="2820363B"/>
    <w:rsid w:val="282E04AF"/>
    <w:rsid w:val="282F4CE3"/>
    <w:rsid w:val="283755B5"/>
    <w:rsid w:val="283A50A6"/>
    <w:rsid w:val="28412CE5"/>
    <w:rsid w:val="28422863"/>
    <w:rsid w:val="284A4FEF"/>
    <w:rsid w:val="284D4DD9"/>
    <w:rsid w:val="28504DDB"/>
    <w:rsid w:val="285713C3"/>
    <w:rsid w:val="2862727C"/>
    <w:rsid w:val="286E6AFD"/>
    <w:rsid w:val="28756B5F"/>
    <w:rsid w:val="287C2D10"/>
    <w:rsid w:val="287F7254"/>
    <w:rsid w:val="287F7488"/>
    <w:rsid w:val="28825BCC"/>
    <w:rsid w:val="28833AFD"/>
    <w:rsid w:val="288F3617"/>
    <w:rsid w:val="289B3D96"/>
    <w:rsid w:val="28BB61E6"/>
    <w:rsid w:val="28C238C8"/>
    <w:rsid w:val="28C248D1"/>
    <w:rsid w:val="28C54C0D"/>
    <w:rsid w:val="28C57065"/>
    <w:rsid w:val="28CF3A40"/>
    <w:rsid w:val="28D42E04"/>
    <w:rsid w:val="28E765AF"/>
    <w:rsid w:val="28ED379C"/>
    <w:rsid w:val="290D357E"/>
    <w:rsid w:val="291E6775"/>
    <w:rsid w:val="29206EB8"/>
    <w:rsid w:val="29275F6C"/>
    <w:rsid w:val="292F44DF"/>
    <w:rsid w:val="29310257"/>
    <w:rsid w:val="293366CF"/>
    <w:rsid w:val="29341449"/>
    <w:rsid w:val="293914E7"/>
    <w:rsid w:val="29393487"/>
    <w:rsid w:val="29424212"/>
    <w:rsid w:val="294A30C6"/>
    <w:rsid w:val="29513542"/>
    <w:rsid w:val="29535FA2"/>
    <w:rsid w:val="295757E3"/>
    <w:rsid w:val="29595666"/>
    <w:rsid w:val="295E6B72"/>
    <w:rsid w:val="29600B3C"/>
    <w:rsid w:val="29603D99"/>
    <w:rsid w:val="29637098"/>
    <w:rsid w:val="29874881"/>
    <w:rsid w:val="29890894"/>
    <w:rsid w:val="2997508A"/>
    <w:rsid w:val="299F78B6"/>
    <w:rsid w:val="29A02003"/>
    <w:rsid w:val="29A03CBE"/>
    <w:rsid w:val="29A0718A"/>
    <w:rsid w:val="29B23B9F"/>
    <w:rsid w:val="29B570DA"/>
    <w:rsid w:val="29BE74B4"/>
    <w:rsid w:val="29C4731D"/>
    <w:rsid w:val="29C64FDC"/>
    <w:rsid w:val="29CC6E69"/>
    <w:rsid w:val="29CF48E5"/>
    <w:rsid w:val="29D67050"/>
    <w:rsid w:val="29D84B76"/>
    <w:rsid w:val="29DC1E45"/>
    <w:rsid w:val="29DF0687"/>
    <w:rsid w:val="29E26DED"/>
    <w:rsid w:val="29E325E0"/>
    <w:rsid w:val="29E34B65"/>
    <w:rsid w:val="29E74A83"/>
    <w:rsid w:val="29ED4077"/>
    <w:rsid w:val="29F37C02"/>
    <w:rsid w:val="29F431E6"/>
    <w:rsid w:val="29FC6A20"/>
    <w:rsid w:val="2A093583"/>
    <w:rsid w:val="2A0F27CF"/>
    <w:rsid w:val="2A133E00"/>
    <w:rsid w:val="2A141C7C"/>
    <w:rsid w:val="2A1519F6"/>
    <w:rsid w:val="2A163DD3"/>
    <w:rsid w:val="2A257D75"/>
    <w:rsid w:val="2A2B5E5C"/>
    <w:rsid w:val="2A2D3E95"/>
    <w:rsid w:val="2A310B01"/>
    <w:rsid w:val="2A385AB0"/>
    <w:rsid w:val="2A3971ED"/>
    <w:rsid w:val="2A452503"/>
    <w:rsid w:val="2A471763"/>
    <w:rsid w:val="2A585CB7"/>
    <w:rsid w:val="2A5A15F4"/>
    <w:rsid w:val="2A6C519D"/>
    <w:rsid w:val="2A7169DF"/>
    <w:rsid w:val="2A73489F"/>
    <w:rsid w:val="2A75037D"/>
    <w:rsid w:val="2A7512F4"/>
    <w:rsid w:val="2A7A5C2D"/>
    <w:rsid w:val="2A8965F1"/>
    <w:rsid w:val="2A9071FF"/>
    <w:rsid w:val="2A944F41"/>
    <w:rsid w:val="2A994305"/>
    <w:rsid w:val="2AA84549"/>
    <w:rsid w:val="2AAD7DB1"/>
    <w:rsid w:val="2AB1029A"/>
    <w:rsid w:val="2AB51AE7"/>
    <w:rsid w:val="2ACD3FAF"/>
    <w:rsid w:val="2AD45722"/>
    <w:rsid w:val="2AD60583"/>
    <w:rsid w:val="2AE228F7"/>
    <w:rsid w:val="2AE567C9"/>
    <w:rsid w:val="2AEA0701"/>
    <w:rsid w:val="2AEC2154"/>
    <w:rsid w:val="2AEE4BCD"/>
    <w:rsid w:val="2AF07C9E"/>
    <w:rsid w:val="2AF11DAE"/>
    <w:rsid w:val="2AF41D2D"/>
    <w:rsid w:val="2AF43C32"/>
    <w:rsid w:val="2AF4778E"/>
    <w:rsid w:val="2AFB4FC0"/>
    <w:rsid w:val="2B0701A9"/>
    <w:rsid w:val="2B083239"/>
    <w:rsid w:val="2B12230A"/>
    <w:rsid w:val="2B1240B8"/>
    <w:rsid w:val="2B2160A9"/>
    <w:rsid w:val="2B28102B"/>
    <w:rsid w:val="2B2F367F"/>
    <w:rsid w:val="2B2F6AC2"/>
    <w:rsid w:val="2B3478AE"/>
    <w:rsid w:val="2B361421"/>
    <w:rsid w:val="2B3B53BD"/>
    <w:rsid w:val="2B3C6B9B"/>
    <w:rsid w:val="2B3E7CF0"/>
    <w:rsid w:val="2B406852"/>
    <w:rsid w:val="2B4A14AF"/>
    <w:rsid w:val="2B4A1AA4"/>
    <w:rsid w:val="2B4B59DF"/>
    <w:rsid w:val="2B514F38"/>
    <w:rsid w:val="2B5F515B"/>
    <w:rsid w:val="2B667F60"/>
    <w:rsid w:val="2B6A5630"/>
    <w:rsid w:val="2B6E5792"/>
    <w:rsid w:val="2B7803BF"/>
    <w:rsid w:val="2B7C6971"/>
    <w:rsid w:val="2B855E1A"/>
    <w:rsid w:val="2B894FD3"/>
    <w:rsid w:val="2B946D50"/>
    <w:rsid w:val="2BA936A8"/>
    <w:rsid w:val="2BAC24E6"/>
    <w:rsid w:val="2BAD5B8F"/>
    <w:rsid w:val="2BB138D1"/>
    <w:rsid w:val="2BB62C95"/>
    <w:rsid w:val="2BB70CB3"/>
    <w:rsid w:val="2BBA1A67"/>
    <w:rsid w:val="2BC71DE8"/>
    <w:rsid w:val="2BD1598E"/>
    <w:rsid w:val="2BD82C0B"/>
    <w:rsid w:val="2BDF043E"/>
    <w:rsid w:val="2BDF1274"/>
    <w:rsid w:val="2BE2764E"/>
    <w:rsid w:val="2BE27F2E"/>
    <w:rsid w:val="2BE40517"/>
    <w:rsid w:val="2BE44B16"/>
    <w:rsid w:val="2BE64D82"/>
    <w:rsid w:val="2BEB2DA2"/>
    <w:rsid w:val="2BFA1114"/>
    <w:rsid w:val="2BFC6556"/>
    <w:rsid w:val="2BFF73D8"/>
    <w:rsid w:val="2C041C52"/>
    <w:rsid w:val="2C146D07"/>
    <w:rsid w:val="2C1D0F66"/>
    <w:rsid w:val="2C251BC9"/>
    <w:rsid w:val="2C2D426E"/>
    <w:rsid w:val="2C315A5A"/>
    <w:rsid w:val="2C35005E"/>
    <w:rsid w:val="2C3A1B18"/>
    <w:rsid w:val="2C482A05"/>
    <w:rsid w:val="2C4B1C25"/>
    <w:rsid w:val="2C5B55EB"/>
    <w:rsid w:val="2C5D75B5"/>
    <w:rsid w:val="2C63216A"/>
    <w:rsid w:val="2C642C42"/>
    <w:rsid w:val="2C6B6725"/>
    <w:rsid w:val="2C732934"/>
    <w:rsid w:val="2C792640"/>
    <w:rsid w:val="2C7C3EDF"/>
    <w:rsid w:val="2C812864"/>
    <w:rsid w:val="2C8155FB"/>
    <w:rsid w:val="2C8903AA"/>
    <w:rsid w:val="2C9D01F7"/>
    <w:rsid w:val="2CA174A1"/>
    <w:rsid w:val="2CAB0320"/>
    <w:rsid w:val="2CAE7E10"/>
    <w:rsid w:val="2CB113E6"/>
    <w:rsid w:val="2CB25B52"/>
    <w:rsid w:val="2CBF3DCB"/>
    <w:rsid w:val="2CD72F25"/>
    <w:rsid w:val="2CDD73A4"/>
    <w:rsid w:val="2CDF621C"/>
    <w:rsid w:val="2CE44418"/>
    <w:rsid w:val="2CE50776"/>
    <w:rsid w:val="2CE64319"/>
    <w:rsid w:val="2CEF2903"/>
    <w:rsid w:val="2CF476ED"/>
    <w:rsid w:val="2CF94F11"/>
    <w:rsid w:val="2CFC6DCE"/>
    <w:rsid w:val="2D02472B"/>
    <w:rsid w:val="2D04359F"/>
    <w:rsid w:val="2D045C82"/>
    <w:rsid w:val="2D0933FF"/>
    <w:rsid w:val="2D0A773C"/>
    <w:rsid w:val="2D0B4123"/>
    <w:rsid w:val="2D0E5F5A"/>
    <w:rsid w:val="2D1341BC"/>
    <w:rsid w:val="2D142369"/>
    <w:rsid w:val="2D161A93"/>
    <w:rsid w:val="2D1749DC"/>
    <w:rsid w:val="2D1759B5"/>
    <w:rsid w:val="2D176FC8"/>
    <w:rsid w:val="2D1934DC"/>
    <w:rsid w:val="2D2105E2"/>
    <w:rsid w:val="2D2452BC"/>
    <w:rsid w:val="2D271FC4"/>
    <w:rsid w:val="2D2D6F87"/>
    <w:rsid w:val="2D412A32"/>
    <w:rsid w:val="2D482013"/>
    <w:rsid w:val="2D4D3C25"/>
    <w:rsid w:val="2D5717A7"/>
    <w:rsid w:val="2D5945A2"/>
    <w:rsid w:val="2D5E35E4"/>
    <w:rsid w:val="2D6055AE"/>
    <w:rsid w:val="2D614EDD"/>
    <w:rsid w:val="2D643899"/>
    <w:rsid w:val="2D691931"/>
    <w:rsid w:val="2D744BB6"/>
    <w:rsid w:val="2D747207"/>
    <w:rsid w:val="2D76092E"/>
    <w:rsid w:val="2D7C1CBC"/>
    <w:rsid w:val="2D8017AD"/>
    <w:rsid w:val="2D8420EC"/>
    <w:rsid w:val="2D9252DA"/>
    <w:rsid w:val="2D9559A0"/>
    <w:rsid w:val="2D9B4A5A"/>
    <w:rsid w:val="2D9E56F5"/>
    <w:rsid w:val="2DA25D80"/>
    <w:rsid w:val="2DA5091B"/>
    <w:rsid w:val="2DA52D97"/>
    <w:rsid w:val="2DA87772"/>
    <w:rsid w:val="2DAC07F4"/>
    <w:rsid w:val="2DAF5BEE"/>
    <w:rsid w:val="2DB86CA8"/>
    <w:rsid w:val="2DC7395B"/>
    <w:rsid w:val="2DDE2CF3"/>
    <w:rsid w:val="2DE21E2B"/>
    <w:rsid w:val="2DE96BB2"/>
    <w:rsid w:val="2E0B0A15"/>
    <w:rsid w:val="2E0B3023"/>
    <w:rsid w:val="2E111A61"/>
    <w:rsid w:val="2E1168A9"/>
    <w:rsid w:val="2E141EF5"/>
    <w:rsid w:val="2E1E1990"/>
    <w:rsid w:val="2E261ADB"/>
    <w:rsid w:val="2E2A1DE5"/>
    <w:rsid w:val="2E313FCE"/>
    <w:rsid w:val="2E34556F"/>
    <w:rsid w:val="2E3466CA"/>
    <w:rsid w:val="2E3834EC"/>
    <w:rsid w:val="2E384A97"/>
    <w:rsid w:val="2E3E6D3A"/>
    <w:rsid w:val="2E401B13"/>
    <w:rsid w:val="2E44149D"/>
    <w:rsid w:val="2E4A402C"/>
    <w:rsid w:val="2E58652D"/>
    <w:rsid w:val="2E620F1A"/>
    <w:rsid w:val="2E66332E"/>
    <w:rsid w:val="2E667F96"/>
    <w:rsid w:val="2E6D1C5E"/>
    <w:rsid w:val="2E705456"/>
    <w:rsid w:val="2E755089"/>
    <w:rsid w:val="2E76670C"/>
    <w:rsid w:val="2E7A18AC"/>
    <w:rsid w:val="2E7A61FC"/>
    <w:rsid w:val="2E8039A4"/>
    <w:rsid w:val="2E8226AB"/>
    <w:rsid w:val="2E891778"/>
    <w:rsid w:val="2E892165"/>
    <w:rsid w:val="2E8C6FF7"/>
    <w:rsid w:val="2E8F4741"/>
    <w:rsid w:val="2E9077CD"/>
    <w:rsid w:val="2E9379E9"/>
    <w:rsid w:val="2E9D1EEA"/>
    <w:rsid w:val="2EA15E7F"/>
    <w:rsid w:val="2EA761E1"/>
    <w:rsid w:val="2EAC243A"/>
    <w:rsid w:val="2EB82D2D"/>
    <w:rsid w:val="2EBE07DF"/>
    <w:rsid w:val="2EC01828"/>
    <w:rsid w:val="2EC4391B"/>
    <w:rsid w:val="2ED61873"/>
    <w:rsid w:val="2ED973C6"/>
    <w:rsid w:val="2EDC6EB7"/>
    <w:rsid w:val="2EE144CD"/>
    <w:rsid w:val="2EF02962"/>
    <w:rsid w:val="2EF064BE"/>
    <w:rsid w:val="2EF21087"/>
    <w:rsid w:val="2F045B74"/>
    <w:rsid w:val="2F0C123B"/>
    <w:rsid w:val="2F0E0E3A"/>
    <w:rsid w:val="2F0E2B89"/>
    <w:rsid w:val="2F12562D"/>
    <w:rsid w:val="2F1B3EB5"/>
    <w:rsid w:val="2F1C72B3"/>
    <w:rsid w:val="2F1E10E7"/>
    <w:rsid w:val="2F300FB0"/>
    <w:rsid w:val="2F346056"/>
    <w:rsid w:val="2F4C0A41"/>
    <w:rsid w:val="2F4C298F"/>
    <w:rsid w:val="2F4D1B62"/>
    <w:rsid w:val="2F6C0F4E"/>
    <w:rsid w:val="2F797936"/>
    <w:rsid w:val="2F7E3ACA"/>
    <w:rsid w:val="2F875074"/>
    <w:rsid w:val="2F882B9B"/>
    <w:rsid w:val="2F8D13D4"/>
    <w:rsid w:val="2F8D6403"/>
    <w:rsid w:val="2F9257C7"/>
    <w:rsid w:val="2F9B0B20"/>
    <w:rsid w:val="2F9B4D95"/>
    <w:rsid w:val="2F9F7B69"/>
    <w:rsid w:val="2FA3351C"/>
    <w:rsid w:val="2FAA39AF"/>
    <w:rsid w:val="2FAD0853"/>
    <w:rsid w:val="2FB11523"/>
    <w:rsid w:val="2FBB033D"/>
    <w:rsid w:val="2FBB2F70"/>
    <w:rsid w:val="2FC11C09"/>
    <w:rsid w:val="2FC47F7C"/>
    <w:rsid w:val="2FC81588"/>
    <w:rsid w:val="2FC82F97"/>
    <w:rsid w:val="2FD065E6"/>
    <w:rsid w:val="2FD96870"/>
    <w:rsid w:val="2FDD7554"/>
    <w:rsid w:val="2FE91EB2"/>
    <w:rsid w:val="2FEC26D3"/>
    <w:rsid w:val="2FEE2EA1"/>
    <w:rsid w:val="2FF344B8"/>
    <w:rsid w:val="2FFB58E6"/>
    <w:rsid w:val="2FFD5337"/>
    <w:rsid w:val="3007236A"/>
    <w:rsid w:val="300732EA"/>
    <w:rsid w:val="30134B5A"/>
    <w:rsid w:val="3014442E"/>
    <w:rsid w:val="302B0081"/>
    <w:rsid w:val="302E2CEA"/>
    <w:rsid w:val="302E4D5B"/>
    <w:rsid w:val="302F191D"/>
    <w:rsid w:val="303152E5"/>
    <w:rsid w:val="303D4414"/>
    <w:rsid w:val="3040577F"/>
    <w:rsid w:val="30420F9B"/>
    <w:rsid w:val="30473ADA"/>
    <w:rsid w:val="305111DE"/>
    <w:rsid w:val="30520B54"/>
    <w:rsid w:val="305701CE"/>
    <w:rsid w:val="30580BC9"/>
    <w:rsid w:val="305A63B5"/>
    <w:rsid w:val="3062163D"/>
    <w:rsid w:val="306955CD"/>
    <w:rsid w:val="306A6644"/>
    <w:rsid w:val="306B0961"/>
    <w:rsid w:val="3073392F"/>
    <w:rsid w:val="307A0508"/>
    <w:rsid w:val="30894E1C"/>
    <w:rsid w:val="30976DA2"/>
    <w:rsid w:val="30A47560"/>
    <w:rsid w:val="30B32AE0"/>
    <w:rsid w:val="30BA1E8B"/>
    <w:rsid w:val="30BD63EB"/>
    <w:rsid w:val="30BD6874"/>
    <w:rsid w:val="30C23E8A"/>
    <w:rsid w:val="30C42E37"/>
    <w:rsid w:val="30C82A9D"/>
    <w:rsid w:val="30CC6AB7"/>
    <w:rsid w:val="30E42C69"/>
    <w:rsid w:val="30EB1633"/>
    <w:rsid w:val="30FF6E8C"/>
    <w:rsid w:val="31061FC9"/>
    <w:rsid w:val="31120756"/>
    <w:rsid w:val="311E2ED7"/>
    <w:rsid w:val="31333307"/>
    <w:rsid w:val="313F50D7"/>
    <w:rsid w:val="31445C96"/>
    <w:rsid w:val="31491327"/>
    <w:rsid w:val="314E571E"/>
    <w:rsid w:val="315619EE"/>
    <w:rsid w:val="315C449C"/>
    <w:rsid w:val="316046F9"/>
    <w:rsid w:val="31623B36"/>
    <w:rsid w:val="316A287C"/>
    <w:rsid w:val="31710BF3"/>
    <w:rsid w:val="31737606"/>
    <w:rsid w:val="31741628"/>
    <w:rsid w:val="3186310A"/>
    <w:rsid w:val="318B22A8"/>
    <w:rsid w:val="318E3ACA"/>
    <w:rsid w:val="31927D00"/>
    <w:rsid w:val="319C0B7F"/>
    <w:rsid w:val="31A0241D"/>
    <w:rsid w:val="31A64643"/>
    <w:rsid w:val="31A87524"/>
    <w:rsid w:val="31AC3491"/>
    <w:rsid w:val="31B10A2C"/>
    <w:rsid w:val="31B82709"/>
    <w:rsid w:val="31C700CD"/>
    <w:rsid w:val="31C8654E"/>
    <w:rsid w:val="31CD7D2A"/>
    <w:rsid w:val="31CF4AB1"/>
    <w:rsid w:val="31D05482"/>
    <w:rsid w:val="31DA4154"/>
    <w:rsid w:val="31E3055C"/>
    <w:rsid w:val="31E77B7A"/>
    <w:rsid w:val="31F824D1"/>
    <w:rsid w:val="31FF0BD3"/>
    <w:rsid w:val="3200110E"/>
    <w:rsid w:val="32081D71"/>
    <w:rsid w:val="320C14B5"/>
    <w:rsid w:val="320C1E2D"/>
    <w:rsid w:val="321921D0"/>
    <w:rsid w:val="321E1665"/>
    <w:rsid w:val="322A3726"/>
    <w:rsid w:val="32400B34"/>
    <w:rsid w:val="32454D73"/>
    <w:rsid w:val="3246579F"/>
    <w:rsid w:val="325112E4"/>
    <w:rsid w:val="3255145A"/>
    <w:rsid w:val="32594A1C"/>
    <w:rsid w:val="3260395B"/>
    <w:rsid w:val="32636577"/>
    <w:rsid w:val="32670931"/>
    <w:rsid w:val="326A2A2B"/>
    <w:rsid w:val="32821B23"/>
    <w:rsid w:val="32841414"/>
    <w:rsid w:val="32843928"/>
    <w:rsid w:val="32911D66"/>
    <w:rsid w:val="32957AA8"/>
    <w:rsid w:val="329B406C"/>
    <w:rsid w:val="329D070B"/>
    <w:rsid w:val="329E6876"/>
    <w:rsid w:val="329F26D5"/>
    <w:rsid w:val="32B819E9"/>
    <w:rsid w:val="32BB5035"/>
    <w:rsid w:val="32C03D43"/>
    <w:rsid w:val="32C17B95"/>
    <w:rsid w:val="32C32CFB"/>
    <w:rsid w:val="32D012F4"/>
    <w:rsid w:val="32D25DDE"/>
    <w:rsid w:val="32D83B1B"/>
    <w:rsid w:val="32EC1CEB"/>
    <w:rsid w:val="32F72AB1"/>
    <w:rsid w:val="32F742BF"/>
    <w:rsid w:val="32FC5B42"/>
    <w:rsid w:val="33027F46"/>
    <w:rsid w:val="330D1F1E"/>
    <w:rsid w:val="331212B7"/>
    <w:rsid w:val="331F55C4"/>
    <w:rsid w:val="33244988"/>
    <w:rsid w:val="33274478"/>
    <w:rsid w:val="33281F09"/>
    <w:rsid w:val="3328320A"/>
    <w:rsid w:val="333015F2"/>
    <w:rsid w:val="3333106F"/>
    <w:rsid w:val="334464BE"/>
    <w:rsid w:val="33481151"/>
    <w:rsid w:val="334B6320"/>
    <w:rsid w:val="335C76C1"/>
    <w:rsid w:val="33661C03"/>
    <w:rsid w:val="33753940"/>
    <w:rsid w:val="33843679"/>
    <w:rsid w:val="3390201E"/>
    <w:rsid w:val="339A68C0"/>
    <w:rsid w:val="339E473B"/>
    <w:rsid w:val="339E6436"/>
    <w:rsid w:val="33A06705"/>
    <w:rsid w:val="33A4038C"/>
    <w:rsid w:val="33B748E9"/>
    <w:rsid w:val="33BF1BF7"/>
    <w:rsid w:val="33C65786"/>
    <w:rsid w:val="33C94C19"/>
    <w:rsid w:val="33CD3272"/>
    <w:rsid w:val="33D8299F"/>
    <w:rsid w:val="33D934D4"/>
    <w:rsid w:val="33DB2662"/>
    <w:rsid w:val="33F407FF"/>
    <w:rsid w:val="33F57FBD"/>
    <w:rsid w:val="33FE2F6A"/>
    <w:rsid w:val="340E07E5"/>
    <w:rsid w:val="34126ED7"/>
    <w:rsid w:val="341E1D1F"/>
    <w:rsid w:val="34235BF7"/>
    <w:rsid w:val="342D5ABF"/>
    <w:rsid w:val="343221C8"/>
    <w:rsid w:val="344835C0"/>
    <w:rsid w:val="344A2961"/>
    <w:rsid w:val="344A638D"/>
    <w:rsid w:val="34565A32"/>
    <w:rsid w:val="34585BC8"/>
    <w:rsid w:val="346C2A8B"/>
    <w:rsid w:val="347248DD"/>
    <w:rsid w:val="34754D20"/>
    <w:rsid w:val="347C419D"/>
    <w:rsid w:val="347D7155"/>
    <w:rsid w:val="3482405C"/>
    <w:rsid w:val="34951FE2"/>
    <w:rsid w:val="349E316E"/>
    <w:rsid w:val="34A73AC3"/>
    <w:rsid w:val="34A76DA9"/>
    <w:rsid w:val="34AF3692"/>
    <w:rsid w:val="34B30267"/>
    <w:rsid w:val="34B34A8B"/>
    <w:rsid w:val="34BB21B8"/>
    <w:rsid w:val="34BC4C86"/>
    <w:rsid w:val="34C07559"/>
    <w:rsid w:val="34CB3A3E"/>
    <w:rsid w:val="34D644B1"/>
    <w:rsid w:val="34D83C7C"/>
    <w:rsid w:val="34DB19BE"/>
    <w:rsid w:val="34DC6A1B"/>
    <w:rsid w:val="34F22686"/>
    <w:rsid w:val="3504046E"/>
    <w:rsid w:val="350874C9"/>
    <w:rsid w:val="35101668"/>
    <w:rsid w:val="351078BA"/>
    <w:rsid w:val="35123632"/>
    <w:rsid w:val="35156C7E"/>
    <w:rsid w:val="352B46F4"/>
    <w:rsid w:val="352B4A5F"/>
    <w:rsid w:val="35447564"/>
    <w:rsid w:val="354578A0"/>
    <w:rsid w:val="354C69B9"/>
    <w:rsid w:val="355359F9"/>
    <w:rsid w:val="355C119F"/>
    <w:rsid w:val="355F7EFA"/>
    <w:rsid w:val="3575596F"/>
    <w:rsid w:val="357A1F6E"/>
    <w:rsid w:val="357D12F1"/>
    <w:rsid w:val="3581411C"/>
    <w:rsid w:val="358C5FA8"/>
    <w:rsid w:val="358E6A31"/>
    <w:rsid w:val="359534E4"/>
    <w:rsid w:val="35960C6B"/>
    <w:rsid w:val="35977693"/>
    <w:rsid w:val="3599165E"/>
    <w:rsid w:val="35A85D44"/>
    <w:rsid w:val="35AD4532"/>
    <w:rsid w:val="35AE1004"/>
    <w:rsid w:val="35B00FB4"/>
    <w:rsid w:val="35B812B6"/>
    <w:rsid w:val="35BC17F0"/>
    <w:rsid w:val="35BC55F9"/>
    <w:rsid w:val="35BC7503"/>
    <w:rsid w:val="35C15DF1"/>
    <w:rsid w:val="35CF49B3"/>
    <w:rsid w:val="35D40DD9"/>
    <w:rsid w:val="35D5640E"/>
    <w:rsid w:val="35DB7EC8"/>
    <w:rsid w:val="35E41985"/>
    <w:rsid w:val="35EB3E83"/>
    <w:rsid w:val="35EF0607"/>
    <w:rsid w:val="35F727E8"/>
    <w:rsid w:val="35FC7202"/>
    <w:rsid w:val="35FE3BB6"/>
    <w:rsid w:val="3604050F"/>
    <w:rsid w:val="36074A7F"/>
    <w:rsid w:val="36080591"/>
    <w:rsid w:val="36096AA7"/>
    <w:rsid w:val="360B149C"/>
    <w:rsid w:val="360D204B"/>
    <w:rsid w:val="360F1018"/>
    <w:rsid w:val="36145188"/>
    <w:rsid w:val="361857ED"/>
    <w:rsid w:val="36272711"/>
    <w:rsid w:val="36274EBB"/>
    <w:rsid w:val="362E06B2"/>
    <w:rsid w:val="36301983"/>
    <w:rsid w:val="364142BF"/>
    <w:rsid w:val="364D4644"/>
    <w:rsid w:val="365365B6"/>
    <w:rsid w:val="365A4C96"/>
    <w:rsid w:val="366B39CC"/>
    <w:rsid w:val="367E173F"/>
    <w:rsid w:val="36806079"/>
    <w:rsid w:val="36824639"/>
    <w:rsid w:val="36852CE8"/>
    <w:rsid w:val="368F42DE"/>
    <w:rsid w:val="36923549"/>
    <w:rsid w:val="369A7FBE"/>
    <w:rsid w:val="369E0EF6"/>
    <w:rsid w:val="369E4A52"/>
    <w:rsid w:val="36A37A95"/>
    <w:rsid w:val="36A90322"/>
    <w:rsid w:val="36AC22C4"/>
    <w:rsid w:val="36B75FBF"/>
    <w:rsid w:val="36B83A91"/>
    <w:rsid w:val="36BB5604"/>
    <w:rsid w:val="36BD0C45"/>
    <w:rsid w:val="36C36248"/>
    <w:rsid w:val="36C752EB"/>
    <w:rsid w:val="36C95F72"/>
    <w:rsid w:val="36CC7A24"/>
    <w:rsid w:val="36CE5337"/>
    <w:rsid w:val="36CF7301"/>
    <w:rsid w:val="36DD606C"/>
    <w:rsid w:val="36E8434B"/>
    <w:rsid w:val="36E85986"/>
    <w:rsid w:val="36EC7EB3"/>
    <w:rsid w:val="36F43C85"/>
    <w:rsid w:val="36FB71FF"/>
    <w:rsid w:val="37152977"/>
    <w:rsid w:val="3719363B"/>
    <w:rsid w:val="373A2BBC"/>
    <w:rsid w:val="373B6744"/>
    <w:rsid w:val="37405B09"/>
    <w:rsid w:val="37416CF6"/>
    <w:rsid w:val="374176C3"/>
    <w:rsid w:val="374469E8"/>
    <w:rsid w:val="37467479"/>
    <w:rsid w:val="37590ECC"/>
    <w:rsid w:val="3759593C"/>
    <w:rsid w:val="375C7D8D"/>
    <w:rsid w:val="376161AB"/>
    <w:rsid w:val="376734F4"/>
    <w:rsid w:val="378508D2"/>
    <w:rsid w:val="378557A7"/>
    <w:rsid w:val="37865C12"/>
    <w:rsid w:val="378E2D18"/>
    <w:rsid w:val="37945DE5"/>
    <w:rsid w:val="379876F3"/>
    <w:rsid w:val="379C69DB"/>
    <w:rsid w:val="37A150FD"/>
    <w:rsid w:val="37A3018C"/>
    <w:rsid w:val="37A3563C"/>
    <w:rsid w:val="37B56863"/>
    <w:rsid w:val="37CC7CFE"/>
    <w:rsid w:val="37D00F65"/>
    <w:rsid w:val="37DD424A"/>
    <w:rsid w:val="37E00298"/>
    <w:rsid w:val="37E16A48"/>
    <w:rsid w:val="37E56DDC"/>
    <w:rsid w:val="37E8010D"/>
    <w:rsid w:val="37F03A9D"/>
    <w:rsid w:val="37F42A77"/>
    <w:rsid w:val="38154BB7"/>
    <w:rsid w:val="38156E97"/>
    <w:rsid w:val="381C206A"/>
    <w:rsid w:val="382C64CC"/>
    <w:rsid w:val="38314F56"/>
    <w:rsid w:val="38341B11"/>
    <w:rsid w:val="383438BF"/>
    <w:rsid w:val="384E1A07"/>
    <w:rsid w:val="3863435C"/>
    <w:rsid w:val="387568C9"/>
    <w:rsid w:val="387623B3"/>
    <w:rsid w:val="38797524"/>
    <w:rsid w:val="387B562F"/>
    <w:rsid w:val="38864055"/>
    <w:rsid w:val="388930D4"/>
    <w:rsid w:val="38926838"/>
    <w:rsid w:val="389600D6"/>
    <w:rsid w:val="38993C8D"/>
    <w:rsid w:val="38995E18"/>
    <w:rsid w:val="389D3822"/>
    <w:rsid w:val="38A264D4"/>
    <w:rsid w:val="38A65E3F"/>
    <w:rsid w:val="38A81BB8"/>
    <w:rsid w:val="38AF5D77"/>
    <w:rsid w:val="38AF744B"/>
    <w:rsid w:val="38B00D57"/>
    <w:rsid w:val="38B302F9"/>
    <w:rsid w:val="38B30C88"/>
    <w:rsid w:val="38B670E3"/>
    <w:rsid w:val="38B84141"/>
    <w:rsid w:val="38C20ECB"/>
    <w:rsid w:val="38C2711D"/>
    <w:rsid w:val="38CF08DA"/>
    <w:rsid w:val="38CF183A"/>
    <w:rsid w:val="38E1756D"/>
    <w:rsid w:val="38EA6674"/>
    <w:rsid w:val="38F12CD3"/>
    <w:rsid w:val="38F65019"/>
    <w:rsid w:val="38F94775"/>
    <w:rsid w:val="391D33EC"/>
    <w:rsid w:val="39205006"/>
    <w:rsid w:val="39224AE5"/>
    <w:rsid w:val="39256E6C"/>
    <w:rsid w:val="39281E67"/>
    <w:rsid w:val="392971ED"/>
    <w:rsid w:val="392E04D8"/>
    <w:rsid w:val="39325651"/>
    <w:rsid w:val="3935445D"/>
    <w:rsid w:val="393C7F49"/>
    <w:rsid w:val="393F1164"/>
    <w:rsid w:val="393F2C5B"/>
    <w:rsid w:val="394113EE"/>
    <w:rsid w:val="394418E0"/>
    <w:rsid w:val="394664B6"/>
    <w:rsid w:val="394A2C6F"/>
    <w:rsid w:val="394B4C60"/>
    <w:rsid w:val="394B4EFE"/>
    <w:rsid w:val="395128B3"/>
    <w:rsid w:val="39572762"/>
    <w:rsid w:val="395B6624"/>
    <w:rsid w:val="397523E2"/>
    <w:rsid w:val="39776A32"/>
    <w:rsid w:val="39790CF2"/>
    <w:rsid w:val="397B107A"/>
    <w:rsid w:val="39822409"/>
    <w:rsid w:val="39846181"/>
    <w:rsid w:val="398716C2"/>
    <w:rsid w:val="399723A6"/>
    <w:rsid w:val="39991068"/>
    <w:rsid w:val="3999304F"/>
    <w:rsid w:val="39A03105"/>
    <w:rsid w:val="39A20CFD"/>
    <w:rsid w:val="39C407B2"/>
    <w:rsid w:val="39C4792F"/>
    <w:rsid w:val="39C54FC1"/>
    <w:rsid w:val="39CE564E"/>
    <w:rsid w:val="39D12C05"/>
    <w:rsid w:val="39DF323C"/>
    <w:rsid w:val="39F4043E"/>
    <w:rsid w:val="39F468CB"/>
    <w:rsid w:val="39F8091D"/>
    <w:rsid w:val="3A015A23"/>
    <w:rsid w:val="3A06303A"/>
    <w:rsid w:val="3A0B68A2"/>
    <w:rsid w:val="3A137F81"/>
    <w:rsid w:val="3A1C3A68"/>
    <w:rsid w:val="3A2B2AA0"/>
    <w:rsid w:val="3A2B3608"/>
    <w:rsid w:val="3A2D6818"/>
    <w:rsid w:val="3A3A2CE3"/>
    <w:rsid w:val="3A4B3C93"/>
    <w:rsid w:val="3A512D5B"/>
    <w:rsid w:val="3A5268E2"/>
    <w:rsid w:val="3A54030F"/>
    <w:rsid w:val="3A562527"/>
    <w:rsid w:val="3A576E53"/>
    <w:rsid w:val="3A5808CC"/>
    <w:rsid w:val="3A655FB2"/>
    <w:rsid w:val="3A6E54C1"/>
    <w:rsid w:val="3A751F6D"/>
    <w:rsid w:val="3A797CAF"/>
    <w:rsid w:val="3A7A2666"/>
    <w:rsid w:val="3A7A7584"/>
    <w:rsid w:val="3A7D4C62"/>
    <w:rsid w:val="3A7F7C86"/>
    <w:rsid w:val="3A80103E"/>
    <w:rsid w:val="3A872856"/>
    <w:rsid w:val="3A8B353F"/>
    <w:rsid w:val="3A8C467B"/>
    <w:rsid w:val="3A8D654A"/>
    <w:rsid w:val="3A9B7C26"/>
    <w:rsid w:val="3A9E527E"/>
    <w:rsid w:val="3AA36ADA"/>
    <w:rsid w:val="3AA62697"/>
    <w:rsid w:val="3AAB3D89"/>
    <w:rsid w:val="3AAC6F96"/>
    <w:rsid w:val="3ABF721B"/>
    <w:rsid w:val="3AC0143A"/>
    <w:rsid w:val="3AC27B4D"/>
    <w:rsid w:val="3AC76C6D"/>
    <w:rsid w:val="3ACC6031"/>
    <w:rsid w:val="3ADB0022"/>
    <w:rsid w:val="3ADF7F71"/>
    <w:rsid w:val="3AE021B6"/>
    <w:rsid w:val="3AEA295B"/>
    <w:rsid w:val="3AF15A98"/>
    <w:rsid w:val="3AF475F1"/>
    <w:rsid w:val="3AF630B5"/>
    <w:rsid w:val="3B051543"/>
    <w:rsid w:val="3B1874C8"/>
    <w:rsid w:val="3B201ED9"/>
    <w:rsid w:val="3B242528"/>
    <w:rsid w:val="3B29018D"/>
    <w:rsid w:val="3B29390D"/>
    <w:rsid w:val="3B2C22D1"/>
    <w:rsid w:val="3B3360B0"/>
    <w:rsid w:val="3B3438C2"/>
    <w:rsid w:val="3B3763D1"/>
    <w:rsid w:val="3B3C6DA2"/>
    <w:rsid w:val="3B483EC7"/>
    <w:rsid w:val="3B4E024A"/>
    <w:rsid w:val="3B5A188F"/>
    <w:rsid w:val="3B5A5C33"/>
    <w:rsid w:val="3B5C2042"/>
    <w:rsid w:val="3B602C1D"/>
    <w:rsid w:val="3B61689A"/>
    <w:rsid w:val="3B6224F2"/>
    <w:rsid w:val="3B64626A"/>
    <w:rsid w:val="3B650F39"/>
    <w:rsid w:val="3B714A0F"/>
    <w:rsid w:val="3B743304"/>
    <w:rsid w:val="3B853F41"/>
    <w:rsid w:val="3B854432"/>
    <w:rsid w:val="3B8A7658"/>
    <w:rsid w:val="3B936B4F"/>
    <w:rsid w:val="3B9479A3"/>
    <w:rsid w:val="3B9B02D0"/>
    <w:rsid w:val="3B9B5A04"/>
    <w:rsid w:val="3B9F3746"/>
    <w:rsid w:val="3BAB3E99"/>
    <w:rsid w:val="3BAC5E63"/>
    <w:rsid w:val="3BB05953"/>
    <w:rsid w:val="3BB70925"/>
    <w:rsid w:val="3BC46D08"/>
    <w:rsid w:val="3BCB453B"/>
    <w:rsid w:val="3BCD3D28"/>
    <w:rsid w:val="3BE2277D"/>
    <w:rsid w:val="3BF2494F"/>
    <w:rsid w:val="3BF610B0"/>
    <w:rsid w:val="3BFD5C1E"/>
    <w:rsid w:val="3BFE4A74"/>
    <w:rsid w:val="3C077AA7"/>
    <w:rsid w:val="3C0E4BD9"/>
    <w:rsid w:val="3C1C3F11"/>
    <w:rsid w:val="3C2679C3"/>
    <w:rsid w:val="3C291261"/>
    <w:rsid w:val="3C2B322B"/>
    <w:rsid w:val="3C2C456D"/>
    <w:rsid w:val="3C2F6E1E"/>
    <w:rsid w:val="3C36503E"/>
    <w:rsid w:val="3C4542ED"/>
    <w:rsid w:val="3C4656E3"/>
    <w:rsid w:val="3C4B61DB"/>
    <w:rsid w:val="3C4F64BA"/>
    <w:rsid w:val="3C720E5A"/>
    <w:rsid w:val="3C775B16"/>
    <w:rsid w:val="3C86272E"/>
    <w:rsid w:val="3C9012E0"/>
    <w:rsid w:val="3C90308E"/>
    <w:rsid w:val="3C94202E"/>
    <w:rsid w:val="3C984E87"/>
    <w:rsid w:val="3C9868B3"/>
    <w:rsid w:val="3C9A5CBB"/>
    <w:rsid w:val="3C9D7495"/>
    <w:rsid w:val="3C9E39FD"/>
    <w:rsid w:val="3CB07C97"/>
    <w:rsid w:val="3CB609AC"/>
    <w:rsid w:val="3CBC448A"/>
    <w:rsid w:val="3CBD0327"/>
    <w:rsid w:val="3CBD0683"/>
    <w:rsid w:val="3CCF1E09"/>
    <w:rsid w:val="3CD4741F"/>
    <w:rsid w:val="3CD70CBD"/>
    <w:rsid w:val="3CDA245A"/>
    <w:rsid w:val="3CDE029E"/>
    <w:rsid w:val="3CDF518D"/>
    <w:rsid w:val="3CE47B3B"/>
    <w:rsid w:val="3CE72584"/>
    <w:rsid w:val="3CEA435A"/>
    <w:rsid w:val="3CED7C22"/>
    <w:rsid w:val="3CEF6007"/>
    <w:rsid w:val="3CF254DB"/>
    <w:rsid w:val="3CFA450F"/>
    <w:rsid w:val="3D0575D8"/>
    <w:rsid w:val="3D0E0B83"/>
    <w:rsid w:val="3D0E674F"/>
    <w:rsid w:val="3D0F270F"/>
    <w:rsid w:val="3D0F2E1A"/>
    <w:rsid w:val="3D0F66A9"/>
    <w:rsid w:val="3D103344"/>
    <w:rsid w:val="3D141F11"/>
    <w:rsid w:val="3D1551D6"/>
    <w:rsid w:val="3D157A35"/>
    <w:rsid w:val="3D1E06B7"/>
    <w:rsid w:val="3D2E43A3"/>
    <w:rsid w:val="3D3305EA"/>
    <w:rsid w:val="3D37623F"/>
    <w:rsid w:val="3D395906"/>
    <w:rsid w:val="3D4A148F"/>
    <w:rsid w:val="3D4F7A58"/>
    <w:rsid w:val="3D505D2C"/>
    <w:rsid w:val="3D554ACA"/>
    <w:rsid w:val="3D6407A3"/>
    <w:rsid w:val="3D695DB9"/>
    <w:rsid w:val="3D7824A0"/>
    <w:rsid w:val="3D817197"/>
    <w:rsid w:val="3D9848F1"/>
    <w:rsid w:val="3D9902ED"/>
    <w:rsid w:val="3D9A44AC"/>
    <w:rsid w:val="3D9B1CEB"/>
    <w:rsid w:val="3D9D25AA"/>
    <w:rsid w:val="3DA51B35"/>
    <w:rsid w:val="3DA768E2"/>
    <w:rsid w:val="3DAB4624"/>
    <w:rsid w:val="3DB1150E"/>
    <w:rsid w:val="3DB133F4"/>
    <w:rsid w:val="3DB34C1C"/>
    <w:rsid w:val="3DBD7EB3"/>
    <w:rsid w:val="3DC079A3"/>
    <w:rsid w:val="3DDC2A2F"/>
    <w:rsid w:val="3DDF36BA"/>
    <w:rsid w:val="3DF119E0"/>
    <w:rsid w:val="3DF14633"/>
    <w:rsid w:val="3DFC62B2"/>
    <w:rsid w:val="3E021D6A"/>
    <w:rsid w:val="3E0D0E3B"/>
    <w:rsid w:val="3E0E070F"/>
    <w:rsid w:val="3E104487"/>
    <w:rsid w:val="3E172E6A"/>
    <w:rsid w:val="3E173E8A"/>
    <w:rsid w:val="3E184B1F"/>
    <w:rsid w:val="3E1B3487"/>
    <w:rsid w:val="3E213515"/>
    <w:rsid w:val="3E216694"/>
    <w:rsid w:val="3E255ED5"/>
    <w:rsid w:val="3E285C74"/>
    <w:rsid w:val="3E292AC9"/>
    <w:rsid w:val="3E2B2877"/>
    <w:rsid w:val="3E2D04A9"/>
    <w:rsid w:val="3E357FEB"/>
    <w:rsid w:val="3E37026C"/>
    <w:rsid w:val="3E376300"/>
    <w:rsid w:val="3E3D0FF4"/>
    <w:rsid w:val="3E457611"/>
    <w:rsid w:val="3E4D7BF8"/>
    <w:rsid w:val="3E4E3201"/>
    <w:rsid w:val="3E514FDC"/>
    <w:rsid w:val="3E5B0806"/>
    <w:rsid w:val="3E5E3809"/>
    <w:rsid w:val="3E6134D9"/>
    <w:rsid w:val="3E6E6E75"/>
    <w:rsid w:val="3E773E89"/>
    <w:rsid w:val="3E777D66"/>
    <w:rsid w:val="3E86299B"/>
    <w:rsid w:val="3E8C7B2A"/>
    <w:rsid w:val="3E8F476A"/>
    <w:rsid w:val="3E9230EE"/>
    <w:rsid w:val="3EA17EC7"/>
    <w:rsid w:val="3EAE3F20"/>
    <w:rsid w:val="3EB459EE"/>
    <w:rsid w:val="3EBF31E2"/>
    <w:rsid w:val="3EC24265"/>
    <w:rsid w:val="3ECB6600"/>
    <w:rsid w:val="3ECD2378"/>
    <w:rsid w:val="3ED01E68"/>
    <w:rsid w:val="3ED404E5"/>
    <w:rsid w:val="3ED62A81"/>
    <w:rsid w:val="3EDA0523"/>
    <w:rsid w:val="3EDC25BB"/>
    <w:rsid w:val="3EE53B65"/>
    <w:rsid w:val="3EEE50DC"/>
    <w:rsid w:val="3EEE5831"/>
    <w:rsid w:val="3EEF0540"/>
    <w:rsid w:val="3EF06B92"/>
    <w:rsid w:val="3EF07DD1"/>
    <w:rsid w:val="3EF17CFB"/>
    <w:rsid w:val="3F014982"/>
    <w:rsid w:val="3F04614A"/>
    <w:rsid w:val="3F067638"/>
    <w:rsid w:val="3F0A7DDC"/>
    <w:rsid w:val="3F156AFC"/>
    <w:rsid w:val="3F260E0C"/>
    <w:rsid w:val="3F3E72CF"/>
    <w:rsid w:val="3F462BE8"/>
    <w:rsid w:val="3F47212A"/>
    <w:rsid w:val="3F4A3089"/>
    <w:rsid w:val="3F577E93"/>
    <w:rsid w:val="3F5E56C6"/>
    <w:rsid w:val="3F634A8A"/>
    <w:rsid w:val="3F6C7DE3"/>
    <w:rsid w:val="3F785466"/>
    <w:rsid w:val="3F8045F0"/>
    <w:rsid w:val="3F8073EA"/>
    <w:rsid w:val="3F817F3A"/>
    <w:rsid w:val="3F891561"/>
    <w:rsid w:val="3F89502B"/>
    <w:rsid w:val="3F964E60"/>
    <w:rsid w:val="3F982986"/>
    <w:rsid w:val="3F9B06C8"/>
    <w:rsid w:val="3FA57190"/>
    <w:rsid w:val="3FAB36E1"/>
    <w:rsid w:val="3FB62A0C"/>
    <w:rsid w:val="3FCE6C8F"/>
    <w:rsid w:val="3FD2380B"/>
    <w:rsid w:val="3FD6525C"/>
    <w:rsid w:val="3FD87226"/>
    <w:rsid w:val="3FD872F1"/>
    <w:rsid w:val="3FE27130"/>
    <w:rsid w:val="3FF51B86"/>
    <w:rsid w:val="3FFD1E9E"/>
    <w:rsid w:val="4001677D"/>
    <w:rsid w:val="40022CB7"/>
    <w:rsid w:val="40061D9E"/>
    <w:rsid w:val="400B13AA"/>
    <w:rsid w:val="400B75FC"/>
    <w:rsid w:val="4010012C"/>
    <w:rsid w:val="401A3774"/>
    <w:rsid w:val="4021297B"/>
    <w:rsid w:val="40271F5C"/>
    <w:rsid w:val="40275AB8"/>
    <w:rsid w:val="402E5098"/>
    <w:rsid w:val="40300C01"/>
    <w:rsid w:val="403128F3"/>
    <w:rsid w:val="40316936"/>
    <w:rsid w:val="40330901"/>
    <w:rsid w:val="403C1BF0"/>
    <w:rsid w:val="40405810"/>
    <w:rsid w:val="404929E7"/>
    <w:rsid w:val="404B3E24"/>
    <w:rsid w:val="404B3E9C"/>
    <w:rsid w:val="40526FD9"/>
    <w:rsid w:val="405326C2"/>
    <w:rsid w:val="40552625"/>
    <w:rsid w:val="4057639D"/>
    <w:rsid w:val="405A40DF"/>
    <w:rsid w:val="405F38B9"/>
    <w:rsid w:val="405F6BB7"/>
    <w:rsid w:val="40635A95"/>
    <w:rsid w:val="406D3E12"/>
    <w:rsid w:val="406D5519"/>
    <w:rsid w:val="40741969"/>
    <w:rsid w:val="407A6407"/>
    <w:rsid w:val="407C5E04"/>
    <w:rsid w:val="407F509E"/>
    <w:rsid w:val="408227D6"/>
    <w:rsid w:val="40881BDD"/>
    <w:rsid w:val="40A27259"/>
    <w:rsid w:val="40A8309D"/>
    <w:rsid w:val="40AD7EC7"/>
    <w:rsid w:val="40B22735"/>
    <w:rsid w:val="40B34D98"/>
    <w:rsid w:val="40B3559D"/>
    <w:rsid w:val="40BE7759"/>
    <w:rsid w:val="40C15F0C"/>
    <w:rsid w:val="40C477AB"/>
    <w:rsid w:val="40C652D1"/>
    <w:rsid w:val="40C92886"/>
    <w:rsid w:val="40CA2DA7"/>
    <w:rsid w:val="40D47F63"/>
    <w:rsid w:val="40E552D6"/>
    <w:rsid w:val="40E97C90"/>
    <w:rsid w:val="40F10EA7"/>
    <w:rsid w:val="40F570AA"/>
    <w:rsid w:val="40F63E08"/>
    <w:rsid w:val="40F94DDB"/>
    <w:rsid w:val="40FB141E"/>
    <w:rsid w:val="4102480C"/>
    <w:rsid w:val="4105404B"/>
    <w:rsid w:val="410D1152"/>
    <w:rsid w:val="411705F5"/>
    <w:rsid w:val="411C4CB3"/>
    <w:rsid w:val="411D6134"/>
    <w:rsid w:val="411E0665"/>
    <w:rsid w:val="41201E94"/>
    <w:rsid w:val="41263DF8"/>
    <w:rsid w:val="412C1E99"/>
    <w:rsid w:val="41334D9C"/>
    <w:rsid w:val="413761CE"/>
    <w:rsid w:val="41387F17"/>
    <w:rsid w:val="413E57AF"/>
    <w:rsid w:val="414F3518"/>
    <w:rsid w:val="41536A5A"/>
    <w:rsid w:val="41546D80"/>
    <w:rsid w:val="415B1EBD"/>
    <w:rsid w:val="41677B4A"/>
    <w:rsid w:val="417C4991"/>
    <w:rsid w:val="417E204F"/>
    <w:rsid w:val="41936B67"/>
    <w:rsid w:val="419378A9"/>
    <w:rsid w:val="419E1DAA"/>
    <w:rsid w:val="419F76A4"/>
    <w:rsid w:val="41A5138A"/>
    <w:rsid w:val="41A51A2F"/>
    <w:rsid w:val="41A96D84"/>
    <w:rsid w:val="41AE0810"/>
    <w:rsid w:val="41B00470"/>
    <w:rsid w:val="41B8730F"/>
    <w:rsid w:val="41C007E7"/>
    <w:rsid w:val="41C07DA5"/>
    <w:rsid w:val="41C631D2"/>
    <w:rsid w:val="41C704E7"/>
    <w:rsid w:val="41C9151C"/>
    <w:rsid w:val="41CE6119"/>
    <w:rsid w:val="41CF4659"/>
    <w:rsid w:val="41DD5FAF"/>
    <w:rsid w:val="41FA16D6"/>
    <w:rsid w:val="41FE2C02"/>
    <w:rsid w:val="4200449D"/>
    <w:rsid w:val="420C31B7"/>
    <w:rsid w:val="420F4194"/>
    <w:rsid w:val="42100EF9"/>
    <w:rsid w:val="42123244"/>
    <w:rsid w:val="42165DE4"/>
    <w:rsid w:val="421F113C"/>
    <w:rsid w:val="42213106"/>
    <w:rsid w:val="422619BB"/>
    <w:rsid w:val="422B7AE1"/>
    <w:rsid w:val="422C3859"/>
    <w:rsid w:val="422C7DB0"/>
    <w:rsid w:val="42310E70"/>
    <w:rsid w:val="42312C1E"/>
    <w:rsid w:val="42332E3A"/>
    <w:rsid w:val="42336996"/>
    <w:rsid w:val="42343833"/>
    <w:rsid w:val="423461EB"/>
    <w:rsid w:val="42353396"/>
    <w:rsid w:val="423A3BCC"/>
    <w:rsid w:val="423E37F0"/>
    <w:rsid w:val="42417046"/>
    <w:rsid w:val="424E57D2"/>
    <w:rsid w:val="42525E42"/>
    <w:rsid w:val="425857B1"/>
    <w:rsid w:val="425F72D8"/>
    <w:rsid w:val="42674891"/>
    <w:rsid w:val="4288200E"/>
    <w:rsid w:val="428A1FC5"/>
    <w:rsid w:val="42A87384"/>
    <w:rsid w:val="42AA26BF"/>
    <w:rsid w:val="42AB3D39"/>
    <w:rsid w:val="42AB6E74"/>
    <w:rsid w:val="42B15B0D"/>
    <w:rsid w:val="42B26C49"/>
    <w:rsid w:val="42B557A1"/>
    <w:rsid w:val="42B6123C"/>
    <w:rsid w:val="42B71375"/>
    <w:rsid w:val="42BA2C13"/>
    <w:rsid w:val="42BC698B"/>
    <w:rsid w:val="42C647B6"/>
    <w:rsid w:val="42D54547"/>
    <w:rsid w:val="42D71A17"/>
    <w:rsid w:val="42E023B9"/>
    <w:rsid w:val="42E12896"/>
    <w:rsid w:val="42E3300D"/>
    <w:rsid w:val="42EF6D61"/>
    <w:rsid w:val="42F470EE"/>
    <w:rsid w:val="42F61958"/>
    <w:rsid w:val="42F8373B"/>
    <w:rsid w:val="43012E33"/>
    <w:rsid w:val="43014CE6"/>
    <w:rsid w:val="431247FD"/>
    <w:rsid w:val="43171E14"/>
    <w:rsid w:val="431C0A83"/>
    <w:rsid w:val="431F27F0"/>
    <w:rsid w:val="43212C92"/>
    <w:rsid w:val="432602A9"/>
    <w:rsid w:val="432804C5"/>
    <w:rsid w:val="432F53AF"/>
    <w:rsid w:val="43301B3B"/>
    <w:rsid w:val="43340C18"/>
    <w:rsid w:val="433A6FE6"/>
    <w:rsid w:val="43460321"/>
    <w:rsid w:val="434765EB"/>
    <w:rsid w:val="43476B9D"/>
    <w:rsid w:val="43480868"/>
    <w:rsid w:val="434F6DBC"/>
    <w:rsid w:val="43505D81"/>
    <w:rsid w:val="4350713C"/>
    <w:rsid w:val="435117C9"/>
    <w:rsid w:val="435B3426"/>
    <w:rsid w:val="435D451C"/>
    <w:rsid w:val="436653E0"/>
    <w:rsid w:val="43672D9B"/>
    <w:rsid w:val="43772091"/>
    <w:rsid w:val="437B66C3"/>
    <w:rsid w:val="43800552"/>
    <w:rsid w:val="43885E71"/>
    <w:rsid w:val="43943464"/>
    <w:rsid w:val="439A5F4F"/>
    <w:rsid w:val="439F6110"/>
    <w:rsid w:val="43A5134D"/>
    <w:rsid w:val="43A86F10"/>
    <w:rsid w:val="43AA3264"/>
    <w:rsid w:val="43BD56FE"/>
    <w:rsid w:val="43C04259"/>
    <w:rsid w:val="43C2456B"/>
    <w:rsid w:val="43C31825"/>
    <w:rsid w:val="43C4431A"/>
    <w:rsid w:val="43D746D9"/>
    <w:rsid w:val="43D8595D"/>
    <w:rsid w:val="43DD5663"/>
    <w:rsid w:val="43E452A2"/>
    <w:rsid w:val="43EE526A"/>
    <w:rsid w:val="43F36707"/>
    <w:rsid w:val="43FB1735"/>
    <w:rsid w:val="44095C00"/>
    <w:rsid w:val="44134942"/>
    <w:rsid w:val="44191BBB"/>
    <w:rsid w:val="442229E7"/>
    <w:rsid w:val="4427077C"/>
    <w:rsid w:val="44282EAE"/>
    <w:rsid w:val="44407D6F"/>
    <w:rsid w:val="44424CF8"/>
    <w:rsid w:val="44492168"/>
    <w:rsid w:val="44543691"/>
    <w:rsid w:val="44623562"/>
    <w:rsid w:val="446B0CB4"/>
    <w:rsid w:val="446C0921"/>
    <w:rsid w:val="446D452D"/>
    <w:rsid w:val="447473EA"/>
    <w:rsid w:val="4476136F"/>
    <w:rsid w:val="447B4624"/>
    <w:rsid w:val="448048C9"/>
    <w:rsid w:val="448155B6"/>
    <w:rsid w:val="4488746D"/>
    <w:rsid w:val="448B0D0B"/>
    <w:rsid w:val="449A7EB1"/>
    <w:rsid w:val="449B49D2"/>
    <w:rsid w:val="449C6A74"/>
    <w:rsid w:val="449C6C77"/>
    <w:rsid w:val="449F47B6"/>
    <w:rsid w:val="44AD0556"/>
    <w:rsid w:val="44AF363F"/>
    <w:rsid w:val="44B47E82"/>
    <w:rsid w:val="44B951CC"/>
    <w:rsid w:val="44BC0A07"/>
    <w:rsid w:val="44C47E83"/>
    <w:rsid w:val="44C63AF1"/>
    <w:rsid w:val="44CB1108"/>
    <w:rsid w:val="44CD14E0"/>
    <w:rsid w:val="44D95ECC"/>
    <w:rsid w:val="44E87F0C"/>
    <w:rsid w:val="44F20B0B"/>
    <w:rsid w:val="4500229C"/>
    <w:rsid w:val="450268DC"/>
    <w:rsid w:val="450B461B"/>
    <w:rsid w:val="450B73AF"/>
    <w:rsid w:val="450D2493"/>
    <w:rsid w:val="451900C5"/>
    <w:rsid w:val="451A208F"/>
    <w:rsid w:val="451C1963"/>
    <w:rsid w:val="451D4806"/>
    <w:rsid w:val="451E1B7F"/>
    <w:rsid w:val="45280308"/>
    <w:rsid w:val="452E5F4C"/>
    <w:rsid w:val="45352A25"/>
    <w:rsid w:val="453E4A6E"/>
    <w:rsid w:val="4546631C"/>
    <w:rsid w:val="454B2248"/>
    <w:rsid w:val="45612018"/>
    <w:rsid w:val="456168C0"/>
    <w:rsid w:val="456E2838"/>
    <w:rsid w:val="45742F73"/>
    <w:rsid w:val="457976F9"/>
    <w:rsid w:val="4582210E"/>
    <w:rsid w:val="45837C34"/>
    <w:rsid w:val="458946E9"/>
    <w:rsid w:val="45914AD1"/>
    <w:rsid w:val="45941E41"/>
    <w:rsid w:val="45961716"/>
    <w:rsid w:val="45965BB9"/>
    <w:rsid w:val="45A1630C"/>
    <w:rsid w:val="45A37968"/>
    <w:rsid w:val="45A47C0E"/>
    <w:rsid w:val="45A94917"/>
    <w:rsid w:val="45AA3413"/>
    <w:rsid w:val="45AF27D7"/>
    <w:rsid w:val="45B55914"/>
    <w:rsid w:val="45BA3A6E"/>
    <w:rsid w:val="45BC6C3C"/>
    <w:rsid w:val="45C22194"/>
    <w:rsid w:val="45C73FC5"/>
    <w:rsid w:val="45CA7A30"/>
    <w:rsid w:val="45CB6CE4"/>
    <w:rsid w:val="45D77616"/>
    <w:rsid w:val="45D95AA6"/>
    <w:rsid w:val="45DE25C6"/>
    <w:rsid w:val="45DE30BD"/>
    <w:rsid w:val="45DF4332"/>
    <w:rsid w:val="45E16709"/>
    <w:rsid w:val="45F4468E"/>
    <w:rsid w:val="45F66B8B"/>
    <w:rsid w:val="46020C7E"/>
    <w:rsid w:val="4603149E"/>
    <w:rsid w:val="46040D75"/>
    <w:rsid w:val="461940F5"/>
    <w:rsid w:val="461E170B"/>
    <w:rsid w:val="461F5BAF"/>
    <w:rsid w:val="462361D0"/>
    <w:rsid w:val="46256F3D"/>
    <w:rsid w:val="462B28CB"/>
    <w:rsid w:val="462E3448"/>
    <w:rsid w:val="46386C71"/>
    <w:rsid w:val="46405B25"/>
    <w:rsid w:val="464C3895"/>
    <w:rsid w:val="464E1FF0"/>
    <w:rsid w:val="465313B5"/>
    <w:rsid w:val="46577EA0"/>
    <w:rsid w:val="46577FD6"/>
    <w:rsid w:val="465E5624"/>
    <w:rsid w:val="466460AE"/>
    <w:rsid w:val="46673C87"/>
    <w:rsid w:val="4669507C"/>
    <w:rsid w:val="46760280"/>
    <w:rsid w:val="46767799"/>
    <w:rsid w:val="467C6146"/>
    <w:rsid w:val="467D4C29"/>
    <w:rsid w:val="468A13C4"/>
    <w:rsid w:val="46911EDD"/>
    <w:rsid w:val="469320F9"/>
    <w:rsid w:val="46970FD2"/>
    <w:rsid w:val="46993E67"/>
    <w:rsid w:val="469E06AA"/>
    <w:rsid w:val="46A75154"/>
    <w:rsid w:val="46B0341C"/>
    <w:rsid w:val="46B75DE7"/>
    <w:rsid w:val="46BC73DE"/>
    <w:rsid w:val="46C12616"/>
    <w:rsid w:val="46C2478C"/>
    <w:rsid w:val="46C95B1B"/>
    <w:rsid w:val="46CE7995"/>
    <w:rsid w:val="46D30747"/>
    <w:rsid w:val="46D85D5E"/>
    <w:rsid w:val="46D955A7"/>
    <w:rsid w:val="46DE6A58"/>
    <w:rsid w:val="46E44703"/>
    <w:rsid w:val="46E720C9"/>
    <w:rsid w:val="46E75196"/>
    <w:rsid w:val="46E81C00"/>
    <w:rsid w:val="46EC39E6"/>
    <w:rsid w:val="46EE4631"/>
    <w:rsid w:val="46EE6B27"/>
    <w:rsid w:val="46F56910"/>
    <w:rsid w:val="46F81F5C"/>
    <w:rsid w:val="47046B53"/>
    <w:rsid w:val="47060B1D"/>
    <w:rsid w:val="470628CB"/>
    <w:rsid w:val="470B6133"/>
    <w:rsid w:val="470D1EAB"/>
    <w:rsid w:val="4710374A"/>
    <w:rsid w:val="47133957"/>
    <w:rsid w:val="47134E1F"/>
    <w:rsid w:val="47197F94"/>
    <w:rsid w:val="472634DF"/>
    <w:rsid w:val="4727144B"/>
    <w:rsid w:val="472B40E0"/>
    <w:rsid w:val="472E52EA"/>
    <w:rsid w:val="473210A0"/>
    <w:rsid w:val="473415AA"/>
    <w:rsid w:val="4734181B"/>
    <w:rsid w:val="473867FC"/>
    <w:rsid w:val="473F2961"/>
    <w:rsid w:val="47462CC7"/>
    <w:rsid w:val="474653BD"/>
    <w:rsid w:val="4746716B"/>
    <w:rsid w:val="47531FBE"/>
    <w:rsid w:val="47532CF6"/>
    <w:rsid w:val="476725FC"/>
    <w:rsid w:val="47742643"/>
    <w:rsid w:val="47745A86"/>
    <w:rsid w:val="477B7346"/>
    <w:rsid w:val="479003E6"/>
    <w:rsid w:val="479559FD"/>
    <w:rsid w:val="4799373F"/>
    <w:rsid w:val="47A07E0C"/>
    <w:rsid w:val="47B02837"/>
    <w:rsid w:val="47B368E6"/>
    <w:rsid w:val="47BC742D"/>
    <w:rsid w:val="47BD2426"/>
    <w:rsid w:val="47BE4F54"/>
    <w:rsid w:val="47C66525"/>
    <w:rsid w:val="47C81719"/>
    <w:rsid w:val="47CB1024"/>
    <w:rsid w:val="47D0674B"/>
    <w:rsid w:val="47D06A35"/>
    <w:rsid w:val="47D12ED9"/>
    <w:rsid w:val="47D53FC2"/>
    <w:rsid w:val="47E30E5E"/>
    <w:rsid w:val="47F32A8D"/>
    <w:rsid w:val="47F53F63"/>
    <w:rsid w:val="47F83A6D"/>
    <w:rsid w:val="47FE7A46"/>
    <w:rsid w:val="4818730C"/>
    <w:rsid w:val="481D5DFA"/>
    <w:rsid w:val="481E3C44"/>
    <w:rsid w:val="482000ED"/>
    <w:rsid w:val="48256D81"/>
    <w:rsid w:val="482E032B"/>
    <w:rsid w:val="48331B30"/>
    <w:rsid w:val="48345CE6"/>
    <w:rsid w:val="48381158"/>
    <w:rsid w:val="483B47F6"/>
    <w:rsid w:val="48443DFC"/>
    <w:rsid w:val="48455675"/>
    <w:rsid w:val="484F4FB4"/>
    <w:rsid w:val="484F781F"/>
    <w:rsid w:val="485C3CC1"/>
    <w:rsid w:val="48653D59"/>
    <w:rsid w:val="486C49B0"/>
    <w:rsid w:val="4870272E"/>
    <w:rsid w:val="48732265"/>
    <w:rsid w:val="48742B93"/>
    <w:rsid w:val="487C0389"/>
    <w:rsid w:val="488024B5"/>
    <w:rsid w:val="48811124"/>
    <w:rsid w:val="488B4099"/>
    <w:rsid w:val="489278C3"/>
    <w:rsid w:val="48955296"/>
    <w:rsid w:val="48A14702"/>
    <w:rsid w:val="48A664CB"/>
    <w:rsid w:val="48B85E47"/>
    <w:rsid w:val="48C04EEC"/>
    <w:rsid w:val="48C231F5"/>
    <w:rsid w:val="48C26CC5"/>
    <w:rsid w:val="48C447EC"/>
    <w:rsid w:val="48DB1B35"/>
    <w:rsid w:val="48E13C1F"/>
    <w:rsid w:val="48E7672C"/>
    <w:rsid w:val="49080B7C"/>
    <w:rsid w:val="490D0C3E"/>
    <w:rsid w:val="4910358D"/>
    <w:rsid w:val="49154385"/>
    <w:rsid w:val="49170DBF"/>
    <w:rsid w:val="4922756D"/>
    <w:rsid w:val="49275361"/>
    <w:rsid w:val="492E6109"/>
    <w:rsid w:val="49300BFE"/>
    <w:rsid w:val="493043A8"/>
    <w:rsid w:val="493F4BFE"/>
    <w:rsid w:val="49402818"/>
    <w:rsid w:val="494254CB"/>
    <w:rsid w:val="494553E6"/>
    <w:rsid w:val="4948541D"/>
    <w:rsid w:val="494871CB"/>
    <w:rsid w:val="494D658F"/>
    <w:rsid w:val="49540C44"/>
    <w:rsid w:val="49553A98"/>
    <w:rsid w:val="495D5358"/>
    <w:rsid w:val="495F62C2"/>
    <w:rsid w:val="496A0E10"/>
    <w:rsid w:val="49746212"/>
    <w:rsid w:val="49783D89"/>
    <w:rsid w:val="498E6BA8"/>
    <w:rsid w:val="498F54C2"/>
    <w:rsid w:val="499F7E6D"/>
    <w:rsid w:val="49A0781D"/>
    <w:rsid w:val="49A95790"/>
    <w:rsid w:val="49AE2DA6"/>
    <w:rsid w:val="49B77EAC"/>
    <w:rsid w:val="49CA38F3"/>
    <w:rsid w:val="49CA5E32"/>
    <w:rsid w:val="49CB3A18"/>
    <w:rsid w:val="49CE727D"/>
    <w:rsid w:val="49CF3448"/>
    <w:rsid w:val="49CF51F6"/>
    <w:rsid w:val="49D50BFA"/>
    <w:rsid w:val="49D64F8A"/>
    <w:rsid w:val="49DC3654"/>
    <w:rsid w:val="49DC7715"/>
    <w:rsid w:val="49DE5CE3"/>
    <w:rsid w:val="49E01782"/>
    <w:rsid w:val="49E2404F"/>
    <w:rsid w:val="49EA3A51"/>
    <w:rsid w:val="49F17862"/>
    <w:rsid w:val="49F6542D"/>
    <w:rsid w:val="49F8145A"/>
    <w:rsid w:val="49FE3D2D"/>
    <w:rsid w:val="4A003601"/>
    <w:rsid w:val="4A023139"/>
    <w:rsid w:val="4A02381D"/>
    <w:rsid w:val="4A171B6A"/>
    <w:rsid w:val="4A240477"/>
    <w:rsid w:val="4A280DAA"/>
    <w:rsid w:val="4A2D0DC9"/>
    <w:rsid w:val="4A2D1B91"/>
    <w:rsid w:val="4A3634C7"/>
    <w:rsid w:val="4A371547"/>
    <w:rsid w:val="4A3A69FA"/>
    <w:rsid w:val="4A3B0ADD"/>
    <w:rsid w:val="4A471362"/>
    <w:rsid w:val="4A4A7727"/>
    <w:rsid w:val="4A54394D"/>
    <w:rsid w:val="4A6718D3"/>
    <w:rsid w:val="4A730277"/>
    <w:rsid w:val="4A7B576F"/>
    <w:rsid w:val="4A7D10F6"/>
    <w:rsid w:val="4A82495E"/>
    <w:rsid w:val="4A897A9B"/>
    <w:rsid w:val="4A8F0E29"/>
    <w:rsid w:val="4A946440"/>
    <w:rsid w:val="4A981A8C"/>
    <w:rsid w:val="4AA162C3"/>
    <w:rsid w:val="4AAC5537"/>
    <w:rsid w:val="4AB775AE"/>
    <w:rsid w:val="4ACF0F07"/>
    <w:rsid w:val="4AD472AA"/>
    <w:rsid w:val="4AD7736C"/>
    <w:rsid w:val="4AD90273"/>
    <w:rsid w:val="4AD93E52"/>
    <w:rsid w:val="4AE57050"/>
    <w:rsid w:val="4AF10CAC"/>
    <w:rsid w:val="4AF12337"/>
    <w:rsid w:val="4AF438B4"/>
    <w:rsid w:val="4AF561A9"/>
    <w:rsid w:val="4AFF1B0B"/>
    <w:rsid w:val="4B0C4228"/>
    <w:rsid w:val="4B223A4B"/>
    <w:rsid w:val="4B241572"/>
    <w:rsid w:val="4B294DDA"/>
    <w:rsid w:val="4B2C6678"/>
    <w:rsid w:val="4B306168"/>
    <w:rsid w:val="4B320132"/>
    <w:rsid w:val="4B406C85"/>
    <w:rsid w:val="4B4A4972"/>
    <w:rsid w:val="4B4B66E1"/>
    <w:rsid w:val="4B4C0615"/>
    <w:rsid w:val="4B4E4840"/>
    <w:rsid w:val="4B523F75"/>
    <w:rsid w:val="4B553E21"/>
    <w:rsid w:val="4B555BCF"/>
    <w:rsid w:val="4B5863BC"/>
    <w:rsid w:val="4B5A4C4C"/>
    <w:rsid w:val="4B5F4F3F"/>
    <w:rsid w:val="4B631EB3"/>
    <w:rsid w:val="4B691A46"/>
    <w:rsid w:val="4B69742E"/>
    <w:rsid w:val="4B771FE9"/>
    <w:rsid w:val="4B8169C4"/>
    <w:rsid w:val="4B83273C"/>
    <w:rsid w:val="4B87722C"/>
    <w:rsid w:val="4B881FD4"/>
    <w:rsid w:val="4B8B15F1"/>
    <w:rsid w:val="4B8C6E04"/>
    <w:rsid w:val="4B8D4EBB"/>
    <w:rsid w:val="4B92472D"/>
    <w:rsid w:val="4B9541B3"/>
    <w:rsid w:val="4B9764AE"/>
    <w:rsid w:val="4B9F2CE2"/>
    <w:rsid w:val="4BA92F57"/>
    <w:rsid w:val="4BB23021"/>
    <w:rsid w:val="4BC4390F"/>
    <w:rsid w:val="4BC863A1"/>
    <w:rsid w:val="4BD0168D"/>
    <w:rsid w:val="4BD016F9"/>
    <w:rsid w:val="4BD17AC0"/>
    <w:rsid w:val="4BD22F3F"/>
    <w:rsid w:val="4BD37FBB"/>
    <w:rsid w:val="4BD65FC9"/>
    <w:rsid w:val="4BE11211"/>
    <w:rsid w:val="4BE4698A"/>
    <w:rsid w:val="4BEE2289"/>
    <w:rsid w:val="4BF03B4A"/>
    <w:rsid w:val="4BF278C2"/>
    <w:rsid w:val="4BF54CBC"/>
    <w:rsid w:val="4C080E93"/>
    <w:rsid w:val="4C0A69B9"/>
    <w:rsid w:val="4C0C0A58"/>
    <w:rsid w:val="4C10080C"/>
    <w:rsid w:val="4C113007"/>
    <w:rsid w:val="4C1B4ECE"/>
    <w:rsid w:val="4C1D2A3A"/>
    <w:rsid w:val="4C2630C7"/>
    <w:rsid w:val="4C2F41A4"/>
    <w:rsid w:val="4C2F6420"/>
    <w:rsid w:val="4C34634E"/>
    <w:rsid w:val="4C39729F"/>
    <w:rsid w:val="4C3E6663"/>
    <w:rsid w:val="4C426390"/>
    <w:rsid w:val="4C4A0649"/>
    <w:rsid w:val="4C501087"/>
    <w:rsid w:val="4C5E5665"/>
    <w:rsid w:val="4C5E6D05"/>
    <w:rsid w:val="4C5F29D1"/>
    <w:rsid w:val="4C6269A2"/>
    <w:rsid w:val="4C6C31D0"/>
    <w:rsid w:val="4C784AFE"/>
    <w:rsid w:val="4C7E5ECA"/>
    <w:rsid w:val="4C871DB8"/>
    <w:rsid w:val="4C876AA5"/>
    <w:rsid w:val="4C876F3F"/>
    <w:rsid w:val="4C8B1C4D"/>
    <w:rsid w:val="4C8C3872"/>
    <w:rsid w:val="4C96024D"/>
    <w:rsid w:val="4C99016F"/>
    <w:rsid w:val="4CA26BF2"/>
    <w:rsid w:val="4CAF2DDC"/>
    <w:rsid w:val="4CB87CD7"/>
    <w:rsid w:val="4CD60F91"/>
    <w:rsid w:val="4CD71DF0"/>
    <w:rsid w:val="4CDA450E"/>
    <w:rsid w:val="4CE54D31"/>
    <w:rsid w:val="4CEE0CE9"/>
    <w:rsid w:val="4CF95DE0"/>
    <w:rsid w:val="4CFB27A6"/>
    <w:rsid w:val="4D07262D"/>
    <w:rsid w:val="4D0835E9"/>
    <w:rsid w:val="4D0A02EC"/>
    <w:rsid w:val="4D0C39D4"/>
    <w:rsid w:val="4D0E00FB"/>
    <w:rsid w:val="4D0E072B"/>
    <w:rsid w:val="4D134330"/>
    <w:rsid w:val="4D176606"/>
    <w:rsid w:val="4D227D33"/>
    <w:rsid w:val="4D2E086B"/>
    <w:rsid w:val="4D3315D8"/>
    <w:rsid w:val="4D3857A8"/>
    <w:rsid w:val="4D404761"/>
    <w:rsid w:val="4D493511"/>
    <w:rsid w:val="4D4969C7"/>
    <w:rsid w:val="4D637D6F"/>
    <w:rsid w:val="4D640F8B"/>
    <w:rsid w:val="4D64241B"/>
    <w:rsid w:val="4D713A33"/>
    <w:rsid w:val="4D7620FA"/>
    <w:rsid w:val="4D765610"/>
    <w:rsid w:val="4D77007F"/>
    <w:rsid w:val="4D790AE0"/>
    <w:rsid w:val="4D7E2919"/>
    <w:rsid w:val="4D850DAF"/>
    <w:rsid w:val="4D8515C9"/>
    <w:rsid w:val="4D89457E"/>
    <w:rsid w:val="4D8B08AA"/>
    <w:rsid w:val="4D8B3B2A"/>
    <w:rsid w:val="4D987FF5"/>
    <w:rsid w:val="4DA74AD3"/>
    <w:rsid w:val="4DA90454"/>
    <w:rsid w:val="4DAD0C10"/>
    <w:rsid w:val="4DB8637A"/>
    <w:rsid w:val="4DBC35DF"/>
    <w:rsid w:val="4DC94652"/>
    <w:rsid w:val="4DCA4976"/>
    <w:rsid w:val="4DCE1C69"/>
    <w:rsid w:val="4DDA70CD"/>
    <w:rsid w:val="4DDE1EAC"/>
    <w:rsid w:val="4DDF1CAE"/>
    <w:rsid w:val="4DE454A8"/>
    <w:rsid w:val="4DEA4CF4"/>
    <w:rsid w:val="4DEC4FB0"/>
    <w:rsid w:val="4DEE070C"/>
    <w:rsid w:val="4DF73D58"/>
    <w:rsid w:val="4DF80A94"/>
    <w:rsid w:val="4E0336C0"/>
    <w:rsid w:val="4E066C4A"/>
    <w:rsid w:val="4E075D8A"/>
    <w:rsid w:val="4E086F29"/>
    <w:rsid w:val="4E0F475B"/>
    <w:rsid w:val="4E154254"/>
    <w:rsid w:val="4E1E04FA"/>
    <w:rsid w:val="4E227B40"/>
    <w:rsid w:val="4E232D12"/>
    <w:rsid w:val="4E2E201C"/>
    <w:rsid w:val="4E2F4B6D"/>
    <w:rsid w:val="4E351813"/>
    <w:rsid w:val="4E4D2928"/>
    <w:rsid w:val="4E5054FE"/>
    <w:rsid w:val="4E564138"/>
    <w:rsid w:val="4E5E0DF1"/>
    <w:rsid w:val="4E7740AE"/>
    <w:rsid w:val="4E7879F1"/>
    <w:rsid w:val="4E7E368F"/>
    <w:rsid w:val="4E807E34"/>
    <w:rsid w:val="4E871F73"/>
    <w:rsid w:val="4E8B1908"/>
    <w:rsid w:val="4E8B24BD"/>
    <w:rsid w:val="4E93713A"/>
    <w:rsid w:val="4E973EAD"/>
    <w:rsid w:val="4E9B78A7"/>
    <w:rsid w:val="4E9E3D4D"/>
    <w:rsid w:val="4EA07161"/>
    <w:rsid w:val="4EA314E7"/>
    <w:rsid w:val="4EA3226E"/>
    <w:rsid w:val="4EA5086C"/>
    <w:rsid w:val="4EA5495C"/>
    <w:rsid w:val="4EAF6E52"/>
    <w:rsid w:val="4EB34984"/>
    <w:rsid w:val="4EB91190"/>
    <w:rsid w:val="4EC00FAD"/>
    <w:rsid w:val="4ECB517D"/>
    <w:rsid w:val="4ED65279"/>
    <w:rsid w:val="4ED70257"/>
    <w:rsid w:val="4EDB463D"/>
    <w:rsid w:val="4EDD03B5"/>
    <w:rsid w:val="4EE47996"/>
    <w:rsid w:val="4EEF258A"/>
    <w:rsid w:val="4EF23FF5"/>
    <w:rsid w:val="4EF27210"/>
    <w:rsid w:val="4EF34B7E"/>
    <w:rsid w:val="4EF7784F"/>
    <w:rsid w:val="4EFD1232"/>
    <w:rsid w:val="4EFE032C"/>
    <w:rsid w:val="4F044AFF"/>
    <w:rsid w:val="4F092309"/>
    <w:rsid w:val="4F0A0B7D"/>
    <w:rsid w:val="4F1048BD"/>
    <w:rsid w:val="4F142952"/>
    <w:rsid w:val="4F1813ED"/>
    <w:rsid w:val="4F2558B8"/>
    <w:rsid w:val="4F296965"/>
    <w:rsid w:val="4F29722F"/>
    <w:rsid w:val="4F3501F1"/>
    <w:rsid w:val="4F3A5808"/>
    <w:rsid w:val="4F432F6D"/>
    <w:rsid w:val="4F512B51"/>
    <w:rsid w:val="4F575F9B"/>
    <w:rsid w:val="4F606D99"/>
    <w:rsid w:val="4F624D5E"/>
    <w:rsid w:val="4F692F81"/>
    <w:rsid w:val="4F755897"/>
    <w:rsid w:val="4F794ADF"/>
    <w:rsid w:val="4F7A5C04"/>
    <w:rsid w:val="4F7C1C24"/>
    <w:rsid w:val="4F815A58"/>
    <w:rsid w:val="4F852187"/>
    <w:rsid w:val="4F87507A"/>
    <w:rsid w:val="4F88650A"/>
    <w:rsid w:val="4F8C2135"/>
    <w:rsid w:val="4F9555DB"/>
    <w:rsid w:val="4F9843DC"/>
    <w:rsid w:val="4FA353ED"/>
    <w:rsid w:val="4FB235F0"/>
    <w:rsid w:val="4FB85036"/>
    <w:rsid w:val="4FC11A85"/>
    <w:rsid w:val="4FC62A8C"/>
    <w:rsid w:val="4FD572DE"/>
    <w:rsid w:val="4FDD4733"/>
    <w:rsid w:val="4FE20F0D"/>
    <w:rsid w:val="4FE37C4D"/>
    <w:rsid w:val="4FE51552"/>
    <w:rsid w:val="4FE93D51"/>
    <w:rsid w:val="4FF97471"/>
    <w:rsid w:val="4FFF0F69"/>
    <w:rsid w:val="50047BC4"/>
    <w:rsid w:val="500876B4"/>
    <w:rsid w:val="500D2DE7"/>
    <w:rsid w:val="500E459E"/>
    <w:rsid w:val="500F151A"/>
    <w:rsid w:val="501047BA"/>
    <w:rsid w:val="50131BB5"/>
    <w:rsid w:val="50210A13"/>
    <w:rsid w:val="5023629C"/>
    <w:rsid w:val="502510B3"/>
    <w:rsid w:val="50256E01"/>
    <w:rsid w:val="502939BC"/>
    <w:rsid w:val="502C341E"/>
    <w:rsid w:val="503404A9"/>
    <w:rsid w:val="503C55AF"/>
    <w:rsid w:val="50483F54"/>
    <w:rsid w:val="504C2670"/>
    <w:rsid w:val="50504C4B"/>
    <w:rsid w:val="505226DD"/>
    <w:rsid w:val="50535A1B"/>
    <w:rsid w:val="50541484"/>
    <w:rsid w:val="50632B3C"/>
    <w:rsid w:val="5066262C"/>
    <w:rsid w:val="506C4F7A"/>
    <w:rsid w:val="50743459"/>
    <w:rsid w:val="50772144"/>
    <w:rsid w:val="50797CC1"/>
    <w:rsid w:val="507E7976"/>
    <w:rsid w:val="50852AB2"/>
    <w:rsid w:val="50994FD2"/>
    <w:rsid w:val="509C6E7C"/>
    <w:rsid w:val="50A849F3"/>
    <w:rsid w:val="50B415EA"/>
    <w:rsid w:val="50BB2978"/>
    <w:rsid w:val="50BB6D1E"/>
    <w:rsid w:val="50C234A3"/>
    <w:rsid w:val="50CC06E1"/>
    <w:rsid w:val="50D94BAC"/>
    <w:rsid w:val="50DB6B76"/>
    <w:rsid w:val="50E377D9"/>
    <w:rsid w:val="50E562DF"/>
    <w:rsid w:val="50E7376D"/>
    <w:rsid w:val="50E772C9"/>
    <w:rsid w:val="50FC2CFB"/>
    <w:rsid w:val="50FD4D3F"/>
    <w:rsid w:val="50FE0AB7"/>
    <w:rsid w:val="5102123B"/>
    <w:rsid w:val="510734C7"/>
    <w:rsid w:val="511A58F1"/>
    <w:rsid w:val="511B295C"/>
    <w:rsid w:val="512341ED"/>
    <w:rsid w:val="512469A0"/>
    <w:rsid w:val="513253AC"/>
    <w:rsid w:val="51383FC9"/>
    <w:rsid w:val="51395B47"/>
    <w:rsid w:val="51397520"/>
    <w:rsid w:val="513E75CC"/>
    <w:rsid w:val="514101B0"/>
    <w:rsid w:val="514364CA"/>
    <w:rsid w:val="51491D32"/>
    <w:rsid w:val="51510BE7"/>
    <w:rsid w:val="515B1A65"/>
    <w:rsid w:val="51613DE9"/>
    <w:rsid w:val="5162104E"/>
    <w:rsid w:val="51742A04"/>
    <w:rsid w:val="51777717"/>
    <w:rsid w:val="517E4D1E"/>
    <w:rsid w:val="51843781"/>
    <w:rsid w:val="518530B4"/>
    <w:rsid w:val="518F1924"/>
    <w:rsid w:val="51935D07"/>
    <w:rsid w:val="51954A31"/>
    <w:rsid w:val="51A82FD0"/>
    <w:rsid w:val="51B30D8C"/>
    <w:rsid w:val="51BB2504"/>
    <w:rsid w:val="51BD0971"/>
    <w:rsid w:val="51C35461"/>
    <w:rsid w:val="51CB2747"/>
    <w:rsid w:val="51CC64BF"/>
    <w:rsid w:val="51CD4E53"/>
    <w:rsid w:val="51CE7E3E"/>
    <w:rsid w:val="51D22779"/>
    <w:rsid w:val="51D84E64"/>
    <w:rsid w:val="51DB6702"/>
    <w:rsid w:val="51E41A5B"/>
    <w:rsid w:val="51E97071"/>
    <w:rsid w:val="51F37EF0"/>
    <w:rsid w:val="51FC3D11"/>
    <w:rsid w:val="52056C58"/>
    <w:rsid w:val="520C617A"/>
    <w:rsid w:val="52220B4C"/>
    <w:rsid w:val="52261865"/>
    <w:rsid w:val="522B58DB"/>
    <w:rsid w:val="522E4BC6"/>
    <w:rsid w:val="523310DC"/>
    <w:rsid w:val="52391DA6"/>
    <w:rsid w:val="523A2A70"/>
    <w:rsid w:val="524B0A8D"/>
    <w:rsid w:val="52507986"/>
    <w:rsid w:val="52524077"/>
    <w:rsid w:val="525705FC"/>
    <w:rsid w:val="52593C9F"/>
    <w:rsid w:val="525941F7"/>
    <w:rsid w:val="525C3722"/>
    <w:rsid w:val="525E7A5F"/>
    <w:rsid w:val="52707792"/>
    <w:rsid w:val="52735C5D"/>
    <w:rsid w:val="52762A77"/>
    <w:rsid w:val="528A0854"/>
    <w:rsid w:val="528C6F5F"/>
    <w:rsid w:val="528E4DF8"/>
    <w:rsid w:val="52911BE2"/>
    <w:rsid w:val="5294522F"/>
    <w:rsid w:val="529D7E1A"/>
    <w:rsid w:val="52AA4A52"/>
    <w:rsid w:val="52AD62F0"/>
    <w:rsid w:val="52C64755"/>
    <w:rsid w:val="52C8137C"/>
    <w:rsid w:val="52C97159"/>
    <w:rsid w:val="52D970E6"/>
    <w:rsid w:val="52DB4C0C"/>
    <w:rsid w:val="52DC2732"/>
    <w:rsid w:val="52EE0A88"/>
    <w:rsid w:val="52F17D1F"/>
    <w:rsid w:val="52F43F1F"/>
    <w:rsid w:val="52F70261"/>
    <w:rsid w:val="53035F10"/>
    <w:rsid w:val="530C67AC"/>
    <w:rsid w:val="53157440"/>
    <w:rsid w:val="531C614C"/>
    <w:rsid w:val="5322283B"/>
    <w:rsid w:val="532D7E1C"/>
    <w:rsid w:val="533037C9"/>
    <w:rsid w:val="533342C9"/>
    <w:rsid w:val="53346A12"/>
    <w:rsid w:val="533841C9"/>
    <w:rsid w:val="534327B1"/>
    <w:rsid w:val="534557D9"/>
    <w:rsid w:val="534F73A8"/>
    <w:rsid w:val="535D589F"/>
    <w:rsid w:val="53602E5D"/>
    <w:rsid w:val="536524C3"/>
    <w:rsid w:val="53682C63"/>
    <w:rsid w:val="53697175"/>
    <w:rsid w:val="536A41E2"/>
    <w:rsid w:val="536F016D"/>
    <w:rsid w:val="537A1ACC"/>
    <w:rsid w:val="5383592C"/>
    <w:rsid w:val="53873BF4"/>
    <w:rsid w:val="53894668"/>
    <w:rsid w:val="538F59F6"/>
    <w:rsid w:val="53933738"/>
    <w:rsid w:val="539A6875"/>
    <w:rsid w:val="53A039CC"/>
    <w:rsid w:val="53A1505A"/>
    <w:rsid w:val="53B73033"/>
    <w:rsid w:val="53B844C3"/>
    <w:rsid w:val="53BF0089"/>
    <w:rsid w:val="53C71634"/>
    <w:rsid w:val="53CA3D1D"/>
    <w:rsid w:val="53CA4C80"/>
    <w:rsid w:val="53CE4770"/>
    <w:rsid w:val="53CE7050"/>
    <w:rsid w:val="53E24C4B"/>
    <w:rsid w:val="53FA37B7"/>
    <w:rsid w:val="53FD1C59"/>
    <w:rsid w:val="53FD5056"/>
    <w:rsid w:val="54063E08"/>
    <w:rsid w:val="541163CA"/>
    <w:rsid w:val="541303D5"/>
    <w:rsid w:val="5415239F"/>
    <w:rsid w:val="5418024C"/>
    <w:rsid w:val="54290784"/>
    <w:rsid w:val="542A0C77"/>
    <w:rsid w:val="542B3971"/>
    <w:rsid w:val="542F495B"/>
    <w:rsid w:val="54316AAD"/>
    <w:rsid w:val="543437E8"/>
    <w:rsid w:val="5446125B"/>
    <w:rsid w:val="544E765F"/>
    <w:rsid w:val="5455279C"/>
    <w:rsid w:val="54574766"/>
    <w:rsid w:val="54576514"/>
    <w:rsid w:val="54676AF6"/>
    <w:rsid w:val="54774E08"/>
    <w:rsid w:val="54854277"/>
    <w:rsid w:val="54877FD9"/>
    <w:rsid w:val="548968E9"/>
    <w:rsid w:val="548B3A8B"/>
    <w:rsid w:val="549534E0"/>
    <w:rsid w:val="549B090F"/>
    <w:rsid w:val="54A35BFD"/>
    <w:rsid w:val="54A62783"/>
    <w:rsid w:val="54AA4AC1"/>
    <w:rsid w:val="54AB2D04"/>
    <w:rsid w:val="54AD6A7C"/>
    <w:rsid w:val="54B25E40"/>
    <w:rsid w:val="54B62648"/>
    <w:rsid w:val="54D32BAA"/>
    <w:rsid w:val="54D8288E"/>
    <w:rsid w:val="54DE5CF0"/>
    <w:rsid w:val="54E17A77"/>
    <w:rsid w:val="54E35FFA"/>
    <w:rsid w:val="54F621D1"/>
    <w:rsid w:val="54F73313"/>
    <w:rsid w:val="54F80955"/>
    <w:rsid w:val="54FC2FC7"/>
    <w:rsid w:val="54FF2AC3"/>
    <w:rsid w:val="55084ED5"/>
    <w:rsid w:val="55115A69"/>
    <w:rsid w:val="55141E74"/>
    <w:rsid w:val="55197C6D"/>
    <w:rsid w:val="551C4A83"/>
    <w:rsid w:val="551E1C8F"/>
    <w:rsid w:val="551E34D6"/>
    <w:rsid w:val="55256612"/>
    <w:rsid w:val="552B161F"/>
    <w:rsid w:val="5536081F"/>
    <w:rsid w:val="553A2223"/>
    <w:rsid w:val="55450A62"/>
    <w:rsid w:val="55453A67"/>
    <w:rsid w:val="554963A1"/>
    <w:rsid w:val="554E3DBB"/>
    <w:rsid w:val="554F18E1"/>
    <w:rsid w:val="555170A7"/>
    <w:rsid w:val="55590C84"/>
    <w:rsid w:val="555E7D76"/>
    <w:rsid w:val="55633D1A"/>
    <w:rsid w:val="5564758F"/>
    <w:rsid w:val="55665DD6"/>
    <w:rsid w:val="556A04C9"/>
    <w:rsid w:val="55760C1C"/>
    <w:rsid w:val="55805F3E"/>
    <w:rsid w:val="55807CEC"/>
    <w:rsid w:val="55816DF8"/>
    <w:rsid w:val="55821CB6"/>
    <w:rsid w:val="558603BE"/>
    <w:rsid w:val="55865470"/>
    <w:rsid w:val="5587536D"/>
    <w:rsid w:val="558D41B7"/>
    <w:rsid w:val="55983288"/>
    <w:rsid w:val="559B174B"/>
    <w:rsid w:val="559D089E"/>
    <w:rsid w:val="55A0213D"/>
    <w:rsid w:val="55A35789"/>
    <w:rsid w:val="55A37EFA"/>
    <w:rsid w:val="55A74996"/>
    <w:rsid w:val="55B866A4"/>
    <w:rsid w:val="55C776C9"/>
    <w:rsid w:val="55CE0CF4"/>
    <w:rsid w:val="55CE6CAA"/>
    <w:rsid w:val="55D0691B"/>
    <w:rsid w:val="55D65B5E"/>
    <w:rsid w:val="55E27896"/>
    <w:rsid w:val="55E66E07"/>
    <w:rsid w:val="55E712D5"/>
    <w:rsid w:val="55E738C7"/>
    <w:rsid w:val="55EB160A"/>
    <w:rsid w:val="55EC35D4"/>
    <w:rsid w:val="5613290E"/>
    <w:rsid w:val="56187F25"/>
    <w:rsid w:val="561F5757"/>
    <w:rsid w:val="5624351D"/>
    <w:rsid w:val="5630526E"/>
    <w:rsid w:val="564128CF"/>
    <w:rsid w:val="56471F62"/>
    <w:rsid w:val="564C7470"/>
    <w:rsid w:val="565E46E5"/>
    <w:rsid w:val="565F5B54"/>
    <w:rsid w:val="56634E48"/>
    <w:rsid w:val="566847A1"/>
    <w:rsid w:val="566D5AFC"/>
    <w:rsid w:val="567F5A02"/>
    <w:rsid w:val="568A2E25"/>
    <w:rsid w:val="568B06F7"/>
    <w:rsid w:val="569432F2"/>
    <w:rsid w:val="56A0582A"/>
    <w:rsid w:val="56A301B5"/>
    <w:rsid w:val="56A33C62"/>
    <w:rsid w:val="56A46172"/>
    <w:rsid w:val="56A63783"/>
    <w:rsid w:val="56A7044E"/>
    <w:rsid w:val="56AB6FEB"/>
    <w:rsid w:val="56AF797A"/>
    <w:rsid w:val="56B22A9C"/>
    <w:rsid w:val="56BC7DFE"/>
    <w:rsid w:val="56BE2459"/>
    <w:rsid w:val="56C2088B"/>
    <w:rsid w:val="56C67981"/>
    <w:rsid w:val="56C72D34"/>
    <w:rsid w:val="56C73A5E"/>
    <w:rsid w:val="56E57FF1"/>
    <w:rsid w:val="56E85B49"/>
    <w:rsid w:val="56EF47DB"/>
    <w:rsid w:val="56F17CF0"/>
    <w:rsid w:val="56FC7846"/>
    <w:rsid w:val="570234DB"/>
    <w:rsid w:val="57062473"/>
    <w:rsid w:val="57154464"/>
    <w:rsid w:val="5719354F"/>
    <w:rsid w:val="57193F55"/>
    <w:rsid w:val="571C1C97"/>
    <w:rsid w:val="571C2263"/>
    <w:rsid w:val="571F1612"/>
    <w:rsid w:val="57334EEE"/>
    <w:rsid w:val="57362783"/>
    <w:rsid w:val="573C5E95"/>
    <w:rsid w:val="573D4516"/>
    <w:rsid w:val="57451BE1"/>
    <w:rsid w:val="57541EED"/>
    <w:rsid w:val="57566F57"/>
    <w:rsid w:val="575F2643"/>
    <w:rsid w:val="57624C23"/>
    <w:rsid w:val="57643223"/>
    <w:rsid w:val="57643691"/>
    <w:rsid w:val="57696078"/>
    <w:rsid w:val="577356BA"/>
    <w:rsid w:val="577473DD"/>
    <w:rsid w:val="5776407F"/>
    <w:rsid w:val="577675F9"/>
    <w:rsid w:val="578209C2"/>
    <w:rsid w:val="578515EA"/>
    <w:rsid w:val="578D4FDF"/>
    <w:rsid w:val="578F2DD2"/>
    <w:rsid w:val="5790698E"/>
    <w:rsid w:val="5794182D"/>
    <w:rsid w:val="579E5E58"/>
    <w:rsid w:val="57A33439"/>
    <w:rsid w:val="57A852D8"/>
    <w:rsid w:val="57B02EBF"/>
    <w:rsid w:val="57B167FC"/>
    <w:rsid w:val="57B46B45"/>
    <w:rsid w:val="57B72A76"/>
    <w:rsid w:val="57B91294"/>
    <w:rsid w:val="57B95737"/>
    <w:rsid w:val="57C3426C"/>
    <w:rsid w:val="57CA524F"/>
    <w:rsid w:val="57CE1F93"/>
    <w:rsid w:val="57E02CC4"/>
    <w:rsid w:val="57F77651"/>
    <w:rsid w:val="580200C5"/>
    <w:rsid w:val="580469B3"/>
    <w:rsid w:val="580C3AB9"/>
    <w:rsid w:val="58226CBA"/>
    <w:rsid w:val="58240E03"/>
    <w:rsid w:val="582F7751"/>
    <w:rsid w:val="58302FB0"/>
    <w:rsid w:val="58327519"/>
    <w:rsid w:val="58332729"/>
    <w:rsid w:val="58437BCE"/>
    <w:rsid w:val="58492617"/>
    <w:rsid w:val="585C67EF"/>
    <w:rsid w:val="585D60C3"/>
    <w:rsid w:val="585F2C97"/>
    <w:rsid w:val="58627B7D"/>
    <w:rsid w:val="586D0228"/>
    <w:rsid w:val="58711B6E"/>
    <w:rsid w:val="587D3207"/>
    <w:rsid w:val="588238D0"/>
    <w:rsid w:val="588743D1"/>
    <w:rsid w:val="5887701A"/>
    <w:rsid w:val="588C0756"/>
    <w:rsid w:val="588D344C"/>
    <w:rsid w:val="5892386D"/>
    <w:rsid w:val="589F0489"/>
    <w:rsid w:val="58B008E9"/>
    <w:rsid w:val="58B77EC9"/>
    <w:rsid w:val="58BB4F31"/>
    <w:rsid w:val="58BC54DF"/>
    <w:rsid w:val="58CD149A"/>
    <w:rsid w:val="58D04AE7"/>
    <w:rsid w:val="58D53019"/>
    <w:rsid w:val="58D740C7"/>
    <w:rsid w:val="58DE7204"/>
    <w:rsid w:val="58ED488E"/>
    <w:rsid w:val="58EE392B"/>
    <w:rsid w:val="58EF1DF9"/>
    <w:rsid w:val="58F022C7"/>
    <w:rsid w:val="58F44CBE"/>
    <w:rsid w:val="58FF5246"/>
    <w:rsid w:val="59036C6A"/>
    <w:rsid w:val="5909450C"/>
    <w:rsid w:val="591533CB"/>
    <w:rsid w:val="591B6943"/>
    <w:rsid w:val="591E3AA4"/>
    <w:rsid w:val="5927108D"/>
    <w:rsid w:val="592B61C1"/>
    <w:rsid w:val="592F2D3A"/>
    <w:rsid w:val="59301A29"/>
    <w:rsid w:val="593212FE"/>
    <w:rsid w:val="593B28A8"/>
    <w:rsid w:val="594270C5"/>
    <w:rsid w:val="594F0101"/>
    <w:rsid w:val="59551673"/>
    <w:rsid w:val="595558AB"/>
    <w:rsid w:val="59590F80"/>
    <w:rsid w:val="59594917"/>
    <w:rsid w:val="5964405A"/>
    <w:rsid w:val="59684DF8"/>
    <w:rsid w:val="596A0A97"/>
    <w:rsid w:val="597436C4"/>
    <w:rsid w:val="59897F04"/>
    <w:rsid w:val="598A31BA"/>
    <w:rsid w:val="599E6821"/>
    <w:rsid w:val="59A33FA9"/>
    <w:rsid w:val="59A41962"/>
    <w:rsid w:val="59B13616"/>
    <w:rsid w:val="59B47F65"/>
    <w:rsid w:val="59BB1B19"/>
    <w:rsid w:val="59BC648E"/>
    <w:rsid w:val="59BE6BD4"/>
    <w:rsid w:val="59C0439F"/>
    <w:rsid w:val="59C727DE"/>
    <w:rsid w:val="59D143DE"/>
    <w:rsid w:val="59D24F4B"/>
    <w:rsid w:val="59DC144A"/>
    <w:rsid w:val="59DC1790"/>
    <w:rsid w:val="59E03FA8"/>
    <w:rsid w:val="59E45EFC"/>
    <w:rsid w:val="59E56370"/>
    <w:rsid w:val="59F502E5"/>
    <w:rsid w:val="5A0D113D"/>
    <w:rsid w:val="5A0F4038"/>
    <w:rsid w:val="5A1D3D5C"/>
    <w:rsid w:val="5A2D3159"/>
    <w:rsid w:val="5A2F6381"/>
    <w:rsid w:val="5A4A642B"/>
    <w:rsid w:val="5A4C2893"/>
    <w:rsid w:val="5A4F42B7"/>
    <w:rsid w:val="5A627595"/>
    <w:rsid w:val="5A64198B"/>
    <w:rsid w:val="5A6A20F8"/>
    <w:rsid w:val="5A7B5493"/>
    <w:rsid w:val="5A7F1DCC"/>
    <w:rsid w:val="5A850901"/>
    <w:rsid w:val="5A8B4B30"/>
    <w:rsid w:val="5A8E07B6"/>
    <w:rsid w:val="5A932270"/>
    <w:rsid w:val="5A9F29C3"/>
    <w:rsid w:val="5AA75D1B"/>
    <w:rsid w:val="5AA910E3"/>
    <w:rsid w:val="5AAC02E4"/>
    <w:rsid w:val="5AB0697E"/>
    <w:rsid w:val="5AB32912"/>
    <w:rsid w:val="5AB35984"/>
    <w:rsid w:val="5AB830AE"/>
    <w:rsid w:val="5ABE2233"/>
    <w:rsid w:val="5ABF6B4D"/>
    <w:rsid w:val="5AC20035"/>
    <w:rsid w:val="5ACB1814"/>
    <w:rsid w:val="5AD90960"/>
    <w:rsid w:val="5AE26D53"/>
    <w:rsid w:val="5AE33D40"/>
    <w:rsid w:val="5AF95C18"/>
    <w:rsid w:val="5AFE1DDF"/>
    <w:rsid w:val="5AFE47C5"/>
    <w:rsid w:val="5AFF16B3"/>
    <w:rsid w:val="5B0373F5"/>
    <w:rsid w:val="5B0D3DD0"/>
    <w:rsid w:val="5B0E7B48"/>
    <w:rsid w:val="5B0F219F"/>
    <w:rsid w:val="5B101B12"/>
    <w:rsid w:val="5B19722F"/>
    <w:rsid w:val="5B1A1904"/>
    <w:rsid w:val="5B2335F4"/>
    <w:rsid w:val="5B24111A"/>
    <w:rsid w:val="5B247E3A"/>
    <w:rsid w:val="5B2654A6"/>
    <w:rsid w:val="5B2C5D13"/>
    <w:rsid w:val="5B2D1DF0"/>
    <w:rsid w:val="5B330685"/>
    <w:rsid w:val="5B374B43"/>
    <w:rsid w:val="5B3C6463"/>
    <w:rsid w:val="5B465534"/>
    <w:rsid w:val="5B527A35"/>
    <w:rsid w:val="5B597015"/>
    <w:rsid w:val="5B5B083A"/>
    <w:rsid w:val="5B5E10B5"/>
    <w:rsid w:val="5B5F38E3"/>
    <w:rsid w:val="5B61236E"/>
    <w:rsid w:val="5B7913D3"/>
    <w:rsid w:val="5B7B08C3"/>
    <w:rsid w:val="5B8816A9"/>
    <w:rsid w:val="5B8F47E5"/>
    <w:rsid w:val="5B943F00"/>
    <w:rsid w:val="5BAD7361"/>
    <w:rsid w:val="5BC2045F"/>
    <w:rsid w:val="5BC4220D"/>
    <w:rsid w:val="5BC62A86"/>
    <w:rsid w:val="5BC67B1F"/>
    <w:rsid w:val="5BCC1717"/>
    <w:rsid w:val="5BCC59A2"/>
    <w:rsid w:val="5BD75ADA"/>
    <w:rsid w:val="5BDA13A8"/>
    <w:rsid w:val="5BDD3511"/>
    <w:rsid w:val="5BDF5D95"/>
    <w:rsid w:val="5BE07458"/>
    <w:rsid w:val="5BE74621"/>
    <w:rsid w:val="5BEF3B8E"/>
    <w:rsid w:val="5BF47E5E"/>
    <w:rsid w:val="5BFB00CD"/>
    <w:rsid w:val="5BFE7528"/>
    <w:rsid w:val="5BFF5760"/>
    <w:rsid w:val="5C0A0310"/>
    <w:rsid w:val="5C1178F0"/>
    <w:rsid w:val="5C1215B9"/>
    <w:rsid w:val="5C14118E"/>
    <w:rsid w:val="5C150625"/>
    <w:rsid w:val="5C1E3DBB"/>
    <w:rsid w:val="5C25339C"/>
    <w:rsid w:val="5C253AA9"/>
    <w:rsid w:val="5C29540E"/>
    <w:rsid w:val="5C363DAE"/>
    <w:rsid w:val="5C3847F9"/>
    <w:rsid w:val="5C4001D5"/>
    <w:rsid w:val="5C441A74"/>
    <w:rsid w:val="5C460EE4"/>
    <w:rsid w:val="5C567A90"/>
    <w:rsid w:val="5C5D6599"/>
    <w:rsid w:val="5C5F68AD"/>
    <w:rsid w:val="5C6739B4"/>
    <w:rsid w:val="5C6A0DAE"/>
    <w:rsid w:val="5C713C82"/>
    <w:rsid w:val="5C7165E1"/>
    <w:rsid w:val="5C826434"/>
    <w:rsid w:val="5C8C51C9"/>
    <w:rsid w:val="5C910C47"/>
    <w:rsid w:val="5CA40764"/>
    <w:rsid w:val="5CA50038"/>
    <w:rsid w:val="5CA52E49"/>
    <w:rsid w:val="5CA63AF8"/>
    <w:rsid w:val="5CB169DD"/>
    <w:rsid w:val="5CB85FBE"/>
    <w:rsid w:val="5CC51959"/>
    <w:rsid w:val="5CC901CB"/>
    <w:rsid w:val="5CCB38A5"/>
    <w:rsid w:val="5CD03307"/>
    <w:rsid w:val="5CD91ECC"/>
    <w:rsid w:val="5CEA6051"/>
    <w:rsid w:val="5CF321ED"/>
    <w:rsid w:val="5CF52D6E"/>
    <w:rsid w:val="5D030B06"/>
    <w:rsid w:val="5D110DF0"/>
    <w:rsid w:val="5D1406E8"/>
    <w:rsid w:val="5D147AD1"/>
    <w:rsid w:val="5D177188"/>
    <w:rsid w:val="5D1D2DB2"/>
    <w:rsid w:val="5D1F7DEB"/>
    <w:rsid w:val="5D200BF3"/>
    <w:rsid w:val="5D2E266F"/>
    <w:rsid w:val="5D37757D"/>
    <w:rsid w:val="5D40768D"/>
    <w:rsid w:val="5D464081"/>
    <w:rsid w:val="5D4B4500"/>
    <w:rsid w:val="5D5850AB"/>
    <w:rsid w:val="5D5C103F"/>
    <w:rsid w:val="5D643C53"/>
    <w:rsid w:val="5D7225AE"/>
    <w:rsid w:val="5D7874FB"/>
    <w:rsid w:val="5D7C6FEB"/>
    <w:rsid w:val="5D816492"/>
    <w:rsid w:val="5D8D1697"/>
    <w:rsid w:val="5D9500B8"/>
    <w:rsid w:val="5DA45AC6"/>
    <w:rsid w:val="5DAA635A"/>
    <w:rsid w:val="5DAB167E"/>
    <w:rsid w:val="5DAE05F6"/>
    <w:rsid w:val="5DAE68CA"/>
    <w:rsid w:val="5DB628AD"/>
    <w:rsid w:val="5DBF4B1A"/>
    <w:rsid w:val="5DCA41FA"/>
    <w:rsid w:val="5DD16AA8"/>
    <w:rsid w:val="5DDE7CA6"/>
    <w:rsid w:val="5DE41AE7"/>
    <w:rsid w:val="5DED0D3E"/>
    <w:rsid w:val="5DED7EE9"/>
    <w:rsid w:val="5DFB2606"/>
    <w:rsid w:val="5E021BE6"/>
    <w:rsid w:val="5E075865"/>
    <w:rsid w:val="5E082F75"/>
    <w:rsid w:val="5E096F7B"/>
    <w:rsid w:val="5E0F5439"/>
    <w:rsid w:val="5E1120D8"/>
    <w:rsid w:val="5E127950"/>
    <w:rsid w:val="5E1C257C"/>
    <w:rsid w:val="5E1C432A"/>
    <w:rsid w:val="5E2467F1"/>
    <w:rsid w:val="5E282CCF"/>
    <w:rsid w:val="5E287173"/>
    <w:rsid w:val="5E2C27BF"/>
    <w:rsid w:val="5E3411FD"/>
    <w:rsid w:val="5E3E0745"/>
    <w:rsid w:val="5E40270F"/>
    <w:rsid w:val="5E4044BD"/>
    <w:rsid w:val="5E4423B4"/>
    <w:rsid w:val="5E460269"/>
    <w:rsid w:val="5E4757E9"/>
    <w:rsid w:val="5E484F3F"/>
    <w:rsid w:val="5E5A6AD1"/>
    <w:rsid w:val="5E645C47"/>
    <w:rsid w:val="5E6C52B2"/>
    <w:rsid w:val="5E781EA8"/>
    <w:rsid w:val="5E7932CE"/>
    <w:rsid w:val="5E7A79CF"/>
    <w:rsid w:val="5E8C0099"/>
    <w:rsid w:val="5E977D01"/>
    <w:rsid w:val="5E9F5687"/>
    <w:rsid w:val="5EA205B0"/>
    <w:rsid w:val="5EB10F16"/>
    <w:rsid w:val="5EB17168"/>
    <w:rsid w:val="5EC0115A"/>
    <w:rsid w:val="5EC4414D"/>
    <w:rsid w:val="5EEC1F4F"/>
    <w:rsid w:val="5EED0984"/>
    <w:rsid w:val="5EEF79E9"/>
    <w:rsid w:val="5EF213E8"/>
    <w:rsid w:val="5F0021D2"/>
    <w:rsid w:val="5F047298"/>
    <w:rsid w:val="5F061262"/>
    <w:rsid w:val="5F096FA4"/>
    <w:rsid w:val="5F1A2B43"/>
    <w:rsid w:val="5F1D035A"/>
    <w:rsid w:val="5F21362E"/>
    <w:rsid w:val="5F2C5C9A"/>
    <w:rsid w:val="5F3457CD"/>
    <w:rsid w:val="5F374E01"/>
    <w:rsid w:val="5F3D0B4F"/>
    <w:rsid w:val="5F443B39"/>
    <w:rsid w:val="5F466B41"/>
    <w:rsid w:val="5F490962"/>
    <w:rsid w:val="5F562AE5"/>
    <w:rsid w:val="5F5E6562"/>
    <w:rsid w:val="5F615F3B"/>
    <w:rsid w:val="5F661D01"/>
    <w:rsid w:val="5F6661A5"/>
    <w:rsid w:val="5F6F6691"/>
    <w:rsid w:val="5F744410"/>
    <w:rsid w:val="5F754EA9"/>
    <w:rsid w:val="5F796C3D"/>
    <w:rsid w:val="5F8A6128"/>
    <w:rsid w:val="5F8E2342"/>
    <w:rsid w:val="5F97010C"/>
    <w:rsid w:val="5F9E593F"/>
    <w:rsid w:val="5FA26B31"/>
    <w:rsid w:val="5FAE5456"/>
    <w:rsid w:val="5FB27B27"/>
    <w:rsid w:val="5FB76A00"/>
    <w:rsid w:val="5FB837BB"/>
    <w:rsid w:val="5FB85E71"/>
    <w:rsid w:val="5FBA3DFB"/>
    <w:rsid w:val="5FBB1776"/>
    <w:rsid w:val="5FBF2FFD"/>
    <w:rsid w:val="5FBF31B3"/>
    <w:rsid w:val="5FC122EA"/>
    <w:rsid w:val="5FC16531"/>
    <w:rsid w:val="5FC53D4B"/>
    <w:rsid w:val="5FC67DF6"/>
    <w:rsid w:val="5FC77BFC"/>
    <w:rsid w:val="5FCF3D4A"/>
    <w:rsid w:val="5FD27396"/>
    <w:rsid w:val="5FDF513B"/>
    <w:rsid w:val="5FE175D9"/>
    <w:rsid w:val="5FF94923"/>
    <w:rsid w:val="60033AAE"/>
    <w:rsid w:val="600A4D82"/>
    <w:rsid w:val="600D2854"/>
    <w:rsid w:val="6014175D"/>
    <w:rsid w:val="6017749F"/>
    <w:rsid w:val="601E2FB0"/>
    <w:rsid w:val="60255718"/>
    <w:rsid w:val="603303C5"/>
    <w:rsid w:val="604A7B30"/>
    <w:rsid w:val="604D2EC1"/>
    <w:rsid w:val="604E1113"/>
    <w:rsid w:val="60520A44"/>
    <w:rsid w:val="60600147"/>
    <w:rsid w:val="6063477D"/>
    <w:rsid w:val="606426A5"/>
    <w:rsid w:val="60687CFB"/>
    <w:rsid w:val="606C3773"/>
    <w:rsid w:val="6070010A"/>
    <w:rsid w:val="60730B79"/>
    <w:rsid w:val="607B3830"/>
    <w:rsid w:val="608368E3"/>
    <w:rsid w:val="6085265B"/>
    <w:rsid w:val="608F1906"/>
    <w:rsid w:val="609917DB"/>
    <w:rsid w:val="609B59DA"/>
    <w:rsid w:val="609B623A"/>
    <w:rsid w:val="60B7303E"/>
    <w:rsid w:val="60BE3BD6"/>
    <w:rsid w:val="60C104C7"/>
    <w:rsid w:val="60C50CA9"/>
    <w:rsid w:val="60CC405A"/>
    <w:rsid w:val="60CE0B25"/>
    <w:rsid w:val="60D777F7"/>
    <w:rsid w:val="60E20A8F"/>
    <w:rsid w:val="60E56154"/>
    <w:rsid w:val="60E62747"/>
    <w:rsid w:val="60E9485E"/>
    <w:rsid w:val="60F24820"/>
    <w:rsid w:val="60F2511B"/>
    <w:rsid w:val="60F375C4"/>
    <w:rsid w:val="610E2650"/>
    <w:rsid w:val="610F67C5"/>
    <w:rsid w:val="611341E6"/>
    <w:rsid w:val="6118190D"/>
    <w:rsid w:val="611834CF"/>
    <w:rsid w:val="6118702B"/>
    <w:rsid w:val="612260FC"/>
    <w:rsid w:val="6123695D"/>
    <w:rsid w:val="612964B8"/>
    <w:rsid w:val="612E582C"/>
    <w:rsid w:val="61380ADF"/>
    <w:rsid w:val="613876CD"/>
    <w:rsid w:val="613F409C"/>
    <w:rsid w:val="614222FA"/>
    <w:rsid w:val="614B4735"/>
    <w:rsid w:val="61535E2D"/>
    <w:rsid w:val="615362B5"/>
    <w:rsid w:val="61581B1D"/>
    <w:rsid w:val="61594495"/>
    <w:rsid w:val="615A1342"/>
    <w:rsid w:val="615F1229"/>
    <w:rsid w:val="616153D3"/>
    <w:rsid w:val="618172C6"/>
    <w:rsid w:val="61880654"/>
    <w:rsid w:val="61A60ADB"/>
    <w:rsid w:val="61A954E6"/>
    <w:rsid w:val="61AD381C"/>
    <w:rsid w:val="61B52ACC"/>
    <w:rsid w:val="61B65F3F"/>
    <w:rsid w:val="61C976CF"/>
    <w:rsid w:val="61CB22EF"/>
    <w:rsid w:val="61CC4FFC"/>
    <w:rsid w:val="61CD250B"/>
    <w:rsid w:val="61D2232E"/>
    <w:rsid w:val="61DB4C28"/>
    <w:rsid w:val="61E10772"/>
    <w:rsid w:val="61E13BBC"/>
    <w:rsid w:val="61E215D8"/>
    <w:rsid w:val="61E71FE4"/>
    <w:rsid w:val="61EF6997"/>
    <w:rsid w:val="61F01D56"/>
    <w:rsid w:val="61F30033"/>
    <w:rsid w:val="61FA247B"/>
    <w:rsid w:val="61FC06FB"/>
    <w:rsid w:val="62086704"/>
    <w:rsid w:val="620B02A0"/>
    <w:rsid w:val="621B3775"/>
    <w:rsid w:val="622A170C"/>
    <w:rsid w:val="622E6C32"/>
    <w:rsid w:val="62326812"/>
    <w:rsid w:val="62337403"/>
    <w:rsid w:val="623572A8"/>
    <w:rsid w:val="62364782"/>
    <w:rsid w:val="62463D74"/>
    <w:rsid w:val="62481B92"/>
    <w:rsid w:val="624B7034"/>
    <w:rsid w:val="625822EC"/>
    <w:rsid w:val="625902ED"/>
    <w:rsid w:val="6267666C"/>
    <w:rsid w:val="62786D09"/>
    <w:rsid w:val="627E7362"/>
    <w:rsid w:val="62841EA6"/>
    <w:rsid w:val="62894684"/>
    <w:rsid w:val="62960B4F"/>
    <w:rsid w:val="629628FD"/>
    <w:rsid w:val="629D4088"/>
    <w:rsid w:val="62A74B0A"/>
    <w:rsid w:val="62B5766A"/>
    <w:rsid w:val="62BA2CFA"/>
    <w:rsid w:val="62BB26FF"/>
    <w:rsid w:val="62BE1E54"/>
    <w:rsid w:val="62C41857"/>
    <w:rsid w:val="62D40C52"/>
    <w:rsid w:val="62D73870"/>
    <w:rsid w:val="62E1412F"/>
    <w:rsid w:val="62E23D94"/>
    <w:rsid w:val="62E3708F"/>
    <w:rsid w:val="62E47280"/>
    <w:rsid w:val="62E96BA9"/>
    <w:rsid w:val="62F97003"/>
    <w:rsid w:val="63035AB9"/>
    <w:rsid w:val="63082B4C"/>
    <w:rsid w:val="630C7063"/>
    <w:rsid w:val="630F26B0"/>
    <w:rsid w:val="631101D6"/>
    <w:rsid w:val="631633D4"/>
    <w:rsid w:val="63193F43"/>
    <w:rsid w:val="631F6D97"/>
    <w:rsid w:val="633607CE"/>
    <w:rsid w:val="63391D8D"/>
    <w:rsid w:val="634075B1"/>
    <w:rsid w:val="63473BF7"/>
    <w:rsid w:val="63532130"/>
    <w:rsid w:val="635461E6"/>
    <w:rsid w:val="63583C77"/>
    <w:rsid w:val="63597924"/>
    <w:rsid w:val="635B1617"/>
    <w:rsid w:val="63626220"/>
    <w:rsid w:val="63697C0F"/>
    <w:rsid w:val="636A38E9"/>
    <w:rsid w:val="636D5D54"/>
    <w:rsid w:val="637846F9"/>
    <w:rsid w:val="637864A7"/>
    <w:rsid w:val="63790517"/>
    <w:rsid w:val="6382702F"/>
    <w:rsid w:val="63886B40"/>
    <w:rsid w:val="638F07FC"/>
    <w:rsid w:val="63937C3C"/>
    <w:rsid w:val="63940E3E"/>
    <w:rsid w:val="6394356A"/>
    <w:rsid w:val="63950630"/>
    <w:rsid w:val="63953AD0"/>
    <w:rsid w:val="639B14F1"/>
    <w:rsid w:val="63A30CE4"/>
    <w:rsid w:val="63AB062A"/>
    <w:rsid w:val="63BA6C0F"/>
    <w:rsid w:val="63C61B2C"/>
    <w:rsid w:val="63CE60C7"/>
    <w:rsid w:val="63D40BE9"/>
    <w:rsid w:val="63D4270A"/>
    <w:rsid w:val="63D538F9"/>
    <w:rsid w:val="63D77671"/>
    <w:rsid w:val="63D80CF3"/>
    <w:rsid w:val="63DD7B91"/>
    <w:rsid w:val="63DE267F"/>
    <w:rsid w:val="63E0611A"/>
    <w:rsid w:val="63E5756A"/>
    <w:rsid w:val="63F5056B"/>
    <w:rsid w:val="63F66692"/>
    <w:rsid w:val="63F773CC"/>
    <w:rsid w:val="64005B00"/>
    <w:rsid w:val="64030B61"/>
    <w:rsid w:val="64102431"/>
    <w:rsid w:val="641C32D6"/>
    <w:rsid w:val="642301C1"/>
    <w:rsid w:val="64283A29"/>
    <w:rsid w:val="642B7E1B"/>
    <w:rsid w:val="643013C7"/>
    <w:rsid w:val="64357EF4"/>
    <w:rsid w:val="6452519C"/>
    <w:rsid w:val="64547621"/>
    <w:rsid w:val="645B3DFE"/>
    <w:rsid w:val="6467184C"/>
    <w:rsid w:val="646C261C"/>
    <w:rsid w:val="6472739A"/>
    <w:rsid w:val="647C54E3"/>
    <w:rsid w:val="64803865"/>
    <w:rsid w:val="648230CC"/>
    <w:rsid w:val="648669A1"/>
    <w:rsid w:val="64990483"/>
    <w:rsid w:val="64A24AF0"/>
    <w:rsid w:val="64A5243A"/>
    <w:rsid w:val="64AA284A"/>
    <w:rsid w:val="64AD2180"/>
    <w:rsid w:val="64B86C1E"/>
    <w:rsid w:val="64BB7F87"/>
    <w:rsid w:val="64C9520C"/>
    <w:rsid w:val="64CC6AAA"/>
    <w:rsid w:val="64CF7794"/>
    <w:rsid w:val="64D76E99"/>
    <w:rsid w:val="64D911C7"/>
    <w:rsid w:val="64EF2799"/>
    <w:rsid w:val="64F2596B"/>
    <w:rsid w:val="64F531DE"/>
    <w:rsid w:val="64F948F3"/>
    <w:rsid w:val="64FE29DC"/>
    <w:rsid w:val="65007401"/>
    <w:rsid w:val="650735E7"/>
    <w:rsid w:val="65075D34"/>
    <w:rsid w:val="650C334B"/>
    <w:rsid w:val="650F2AB8"/>
    <w:rsid w:val="65143FAD"/>
    <w:rsid w:val="65180933"/>
    <w:rsid w:val="65230A03"/>
    <w:rsid w:val="65237264"/>
    <w:rsid w:val="652E281C"/>
    <w:rsid w:val="65321ED3"/>
    <w:rsid w:val="653271A3"/>
    <w:rsid w:val="65337378"/>
    <w:rsid w:val="65373578"/>
    <w:rsid w:val="65406E3B"/>
    <w:rsid w:val="654523B9"/>
    <w:rsid w:val="65517DBE"/>
    <w:rsid w:val="655A3316"/>
    <w:rsid w:val="65611855"/>
    <w:rsid w:val="65615D58"/>
    <w:rsid w:val="65652A5B"/>
    <w:rsid w:val="656E190F"/>
    <w:rsid w:val="657700A1"/>
    <w:rsid w:val="657F58CB"/>
    <w:rsid w:val="65875D83"/>
    <w:rsid w:val="65876E75"/>
    <w:rsid w:val="658D5919"/>
    <w:rsid w:val="6597617A"/>
    <w:rsid w:val="65991FE6"/>
    <w:rsid w:val="659A0956"/>
    <w:rsid w:val="65A2780B"/>
    <w:rsid w:val="65A67EC7"/>
    <w:rsid w:val="65BA2DA7"/>
    <w:rsid w:val="65CA4360"/>
    <w:rsid w:val="65CC6636"/>
    <w:rsid w:val="65DC38D7"/>
    <w:rsid w:val="65DE3064"/>
    <w:rsid w:val="65E25E59"/>
    <w:rsid w:val="65E971E8"/>
    <w:rsid w:val="65EB7404"/>
    <w:rsid w:val="65EC0A86"/>
    <w:rsid w:val="65ED6CD8"/>
    <w:rsid w:val="65EF3D7B"/>
    <w:rsid w:val="65F55B8D"/>
    <w:rsid w:val="65F75DA9"/>
    <w:rsid w:val="6603474E"/>
    <w:rsid w:val="660409F0"/>
    <w:rsid w:val="66045C9D"/>
    <w:rsid w:val="66081D64"/>
    <w:rsid w:val="66083B12"/>
    <w:rsid w:val="660A0257"/>
    <w:rsid w:val="660F3F3B"/>
    <w:rsid w:val="661029C7"/>
    <w:rsid w:val="661B562E"/>
    <w:rsid w:val="661D7E98"/>
    <w:rsid w:val="6620503A"/>
    <w:rsid w:val="66287668"/>
    <w:rsid w:val="662A6CE6"/>
    <w:rsid w:val="662E78E3"/>
    <w:rsid w:val="66403CA5"/>
    <w:rsid w:val="6647649F"/>
    <w:rsid w:val="66493890"/>
    <w:rsid w:val="664D3B44"/>
    <w:rsid w:val="66523CF4"/>
    <w:rsid w:val="665C746E"/>
    <w:rsid w:val="66623861"/>
    <w:rsid w:val="666612EC"/>
    <w:rsid w:val="666F3BD1"/>
    <w:rsid w:val="667B7E74"/>
    <w:rsid w:val="667E3F95"/>
    <w:rsid w:val="66815672"/>
    <w:rsid w:val="66821B99"/>
    <w:rsid w:val="66853303"/>
    <w:rsid w:val="66880EC4"/>
    <w:rsid w:val="668A4527"/>
    <w:rsid w:val="668E5E93"/>
    <w:rsid w:val="669F5D64"/>
    <w:rsid w:val="66A65723"/>
    <w:rsid w:val="66AD290B"/>
    <w:rsid w:val="66B10793"/>
    <w:rsid w:val="66B11E84"/>
    <w:rsid w:val="66BD7A81"/>
    <w:rsid w:val="66BE2423"/>
    <w:rsid w:val="66D15279"/>
    <w:rsid w:val="66D439F4"/>
    <w:rsid w:val="66D9365B"/>
    <w:rsid w:val="66E005EB"/>
    <w:rsid w:val="66E300DB"/>
    <w:rsid w:val="66E43D75"/>
    <w:rsid w:val="66E520A5"/>
    <w:rsid w:val="66EA1469"/>
    <w:rsid w:val="66F347C2"/>
    <w:rsid w:val="66F83C73"/>
    <w:rsid w:val="67010C05"/>
    <w:rsid w:val="6703252B"/>
    <w:rsid w:val="67044F7F"/>
    <w:rsid w:val="671B5A7F"/>
    <w:rsid w:val="671F124A"/>
    <w:rsid w:val="67252EE9"/>
    <w:rsid w:val="672A7AB8"/>
    <w:rsid w:val="672B03C7"/>
    <w:rsid w:val="672F3320"/>
    <w:rsid w:val="672F4191"/>
    <w:rsid w:val="673241EF"/>
    <w:rsid w:val="67380427"/>
    <w:rsid w:val="674072DB"/>
    <w:rsid w:val="67462CE2"/>
    <w:rsid w:val="674A64E0"/>
    <w:rsid w:val="675039C2"/>
    <w:rsid w:val="67580891"/>
    <w:rsid w:val="675A11EE"/>
    <w:rsid w:val="676B166B"/>
    <w:rsid w:val="676D289D"/>
    <w:rsid w:val="67742FF5"/>
    <w:rsid w:val="677A33C6"/>
    <w:rsid w:val="677D0530"/>
    <w:rsid w:val="677D0574"/>
    <w:rsid w:val="677F7BA7"/>
    <w:rsid w:val="67801D38"/>
    <w:rsid w:val="67804D2B"/>
    <w:rsid w:val="67825B46"/>
    <w:rsid w:val="67840CA7"/>
    <w:rsid w:val="67896ED4"/>
    <w:rsid w:val="678B628A"/>
    <w:rsid w:val="678D1082"/>
    <w:rsid w:val="679046AD"/>
    <w:rsid w:val="679B09B6"/>
    <w:rsid w:val="67A52029"/>
    <w:rsid w:val="67BD26DA"/>
    <w:rsid w:val="67C109E0"/>
    <w:rsid w:val="67C972D1"/>
    <w:rsid w:val="67CE7379"/>
    <w:rsid w:val="67D30A5C"/>
    <w:rsid w:val="67E55C85"/>
    <w:rsid w:val="67EB7247"/>
    <w:rsid w:val="67EC2FBF"/>
    <w:rsid w:val="67ED1853"/>
    <w:rsid w:val="67F105D6"/>
    <w:rsid w:val="67F60BC6"/>
    <w:rsid w:val="67FC3B68"/>
    <w:rsid w:val="680447AD"/>
    <w:rsid w:val="680A4984"/>
    <w:rsid w:val="680C5410"/>
    <w:rsid w:val="680C774A"/>
    <w:rsid w:val="68106CAE"/>
    <w:rsid w:val="68106FA6"/>
    <w:rsid w:val="68185ACF"/>
    <w:rsid w:val="681E586F"/>
    <w:rsid w:val="681F6961"/>
    <w:rsid w:val="68264641"/>
    <w:rsid w:val="6827325F"/>
    <w:rsid w:val="6828049B"/>
    <w:rsid w:val="68303BE3"/>
    <w:rsid w:val="68337139"/>
    <w:rsid w:val="68354966"/>
    <w:rsid w:val="683A01CF"/>
    <w:rsid w:val="683F57E5"/>
    <w:rsid w:val="684677C8"/>
    <w:rsid w:val="6848469A"/>
    <w:rsid w:val="684B23D0"/>
    <w:rsid w:val="684B5696"/>
    <w:rsid w:val="684D7F02"/>
    <w:rsid w:val="68521156"/>
    <w:rsid w:val="6852376A"/>
    <w:rsid w:val="685748DD"/>
    <w:rsid w:val="68610A2F"/>
    <w:rsid w:val="686F6FB6"/>
    <w:rsid w:val="686F74D7"/>
    <w:rsid w:val="68752FB5"/>
    <w:rsid w:val="68774F7F"/>
    <w:rsid w:val="687911A6"/>
    <w:rsid w:val="68792AA5"/>
    <w:rsid w:val="6879342F"/>
    <w:rsid w:val="68805514"/>
    <w:rsid w:val="68815DFE"/>
    <w:rsid w:val="68903940"/>
    <w:rsid w:val="689A2236"/>
    <w:rsid w:val="689A52B4"/>
    <w:rsid w:val="689C6793"/>
    <w:rsid w:val="68A663FA"/>
    <w:rsid w:val="68A96317"/>
    <w:rsid w:val="68C1444C"/>
    <w:rsid w:val="68D148D7"/>
    <w:rsid w:val="68D16BB0"/>
    <w:rsid w:val="68DB72BC"/>
    <w:rsid w:val="68EB4386"/>
    <w:rsid w:val="68ED612C"/>
    <w:rsid w:val="68F323CD"/>
    <w:rsid w:val="6900542D"/>
    <w:rsid w:val="69034A64"/>
    <w:rsid w:val="69074F62"/>
    <w:rsid w:val="690A75D1"/>
    <w:rsid w:val="691B1DAE"/>
    <w:rsid w:val="691E189E"/>
    <w:rsid w:val="692E5D45"/>
    <w:rsid w:val="69316E2F"/>
    <w:rsid w:val="693410C2"/>
    <w:rsid w:val="693A7F09"/>
    <w:rsid w:val="693F340F"/>
    <w:rsid w:val="694766FF"/>
    <w:rsid w:val="694E2071"/>
    <w:rsid w:val="69535424"/>
    <w:rsid w:val="69621A37"/>
    <w:rsid w:val="696A69E1"/>
    <w:rsid w:val="6972270E"/>
    <w:rsid w:val="69766163"/>
    <w:rsid w:val="697A3B33"/>
    <w:rsid w:val="69807E63"/>
    <w:rsid w:val="699266B6"/>
    <w:rsid w:val="69977CA6"/>
    <w:rsid w:val="699D23D7"/>
    <w:rsid w:val="69A064B6"/>
    <w:rsid w:val="69A11015"/>
    <w:rsid w:val="69AB1384"/>
    <w:rsid w:val="69C2060B"/>
    <w:rsid w:val="69C37C79"/>
    <w:rsid w:val="69CB76D6"/>
    <w:rsid w:val="69CE02FF"/>
    <w:rsid w:val="69CE0C02"/>
    <w:rsid w:val="69CE4CB7"/>
    <w:rsid w:val="69D02B99"/>
    <w:rsid w:val="69D066BC"/>
    <w:rsid w:val="69D16F33"/>
    <w:rsid w:val="69D24EC4"/>
    <w:rsid w:val="69D44760"/>
    <w:rsid w:val="69D7387C"/>
    <w:rsid w:val="69D81A4D"/>
    <w:rsid w:val="69F648B3"/>
    <w:rsid w:val="69F95045"/>
    <w:rsid w:val="69FF6FDA"/>
    <w:rsid w:val="6A0B1E23"/>
    <w:rsid w:val="6A0D5B9B"/>
    <w:rsid w:val="6A0E635C"/>
    <w:rsid w:val="6A111448"/>
    <w:rsid w:val="6A164324"/>
    <w:rsid w:val="6A195CD4"/>
    <w:rsid w:val="6A2D1056"/>
    <w:rsid w:val="6A2D1AC8"/>
    <w:rsid w:val="6A2F25C9"/>
    <w:rsid w:val="6A325601"/>
    <w:rsid w:val="6A340C59"/>
    <w:rsid w:val="6A3A44B6"/>
    <w:rsid w:val="6A4470E3"/>
    <w:rsid w:val="6A520EC7"/>
    <w:rsid w:val="6A526028"/>
    <w:rsid w:val="6A576AD1"/>
    <w:rsid w:val="6A601BC5"/>
    <w:rsid w:val="6A755A9C"/>
    <w:rsid w:val="6A771266"/>
    <w:rsid w:val="6A7C4ACE"/>
    <w:rsid w:val="6A7C687C"/>
    <w:rsid w:val="6A80129D"/>
    <w:rsid w:val="6A8632BB"/>
    <w:rsid w:val="6A8959C7"/>
    <w:rsid w:val="6A8A41D9"/>
    <w:rsid w:val="6A8C6E5A"/>
    <w:rsid w:val="6A94006A"/>
    <w:rsid w:val="6A9E4A45"/>
    <w:rsid w:val="6AA45378"/>
    <w:rsid w:val="6AA85C03"/>
    <w:rsid w:val="6ABF4925"/>
    <w:rsid w:val="6AC645F4"/>
    <w:rsid w:val="6AD541DF"/>
    <w:rsid w:val="6ADD5BA1"/>
    <w:rsid w:val="6AE542A2"/>
    <w:rsid w:val="6AF22EE8"/>
    <w:rsid w:val="6AF24D91"/>
    <w:rsid w:val="6AF87E20"/>
    <w:rsid w:val="6AFA4647"/>
    <w:rsid w:val="6AFC06CD"/>
    <w:rsid w:val="6AFE723E"/>
    <w:rsid w:val="6B08745E"/>
    <w:rsid w:val="6B0C626B"/>
    <w:rsid w:val="6B15282D"/>
    <w:rsid w:val="6B2108C9"/>
    <w:rsid w:val="6B243303"/>
    <w:rsid w:val="6B256F14"/>
    <w:rsid w:val="6B316368"/>
    <w:rsid w:val="6B322639"/>
    <w:rsid w:val="6B340F05"/>
    <w:rsid w:val="6B356255"/>
    <w:rsid w:val="6B361121"/>
    <w:rsid w:val="6B451364"/>
    <w:rsid w:val="6B454EC0"/>
    <w:rsid w:val="6B511AB7"/>
    <w:rsid w:val="6B537481"/>
    <w:rsid w:val="6B537D99"/>
    <w:rsid w:val="6B56531F"/>
    <w:rsid w:val="6B623CC4"/>
    <w:rsid w:val="6B673089"/>
    <w:rsid w:val="6B685053"/>
    <w:rsid w:val="6B6D5A22"/>
    <w:rsid w:val="6B752F6C"/>
    <w:rsid w:val="6B8062E7"/>
    <w:rsid w:val="6B812C00"/>
    <w:rsid w:val="6B892739"/>
    <w:rsid w:val="6B9F656F"/>
    <w:rsid w:val="6BA86881"/>
    <w:rsid w:val="6BB5655D"/>
    <w:rsid w:val="6BBB2F4D"/>
    <w:rsid w:val="6BBC0E32"/>
    <w:rsid w:val="6BBC41E4"/>
    <w:rsid w:val="6BC9166A"/>
    <w:rsid w:val="6BCE0FE3"/>
    <w:rsid w:val="6BD10E4A"/>
    <w:rsid w:val="6BD16BCB"/>
    <w:rsid w:val="6BDB3A77"/>
    <w:rsid w:val="6BDD3A4C"/>
    <w:rsid w:val="6BDD77EF"/>
    <w:rsid w:val="6BE43FD1"/>
    <w:rsid w:val="6BEC6D2D"/>
    <w:rsid w:val="6BF842F7"/>
    <w:rsid w:val="6BF968D3"/>
    <w:rsid w:val="6BFD32FC"/>
    <w:rsid w:val="6BFF7765"/>
    <w:rsid w:val="6C031B05"/>
    <w:rsid w:val="6C040E58"/>
    <w:rsid w:val="6C0414FD"/>
    <w:rsid w:val="6C1256EA"/>
    <w:rsid w:val="6C20148A"/>
    <w:rsid w:val="6C290238"/>
    <w:rsid w:val="6C2C7D5B"/>
    <w:rsid w:val="6C2D2B4F"/>
    <w:rsid w:val="6C347827"/>
    <w:rsid w:val="6C4D6279"/>
    <w:rsid w:val="6C5245B1"/>
    <w:rsid w:val="6C5A2BED"/>
    <w:rsid w:val="6C636C38"/>
    <w:rsid w:val="6C6E29DA"/>
    <w:rsid w:val="6C702411"/>
    <w:rsid w:val="6C735A5D"/>
    <w:rsid w:val="6C754D50"/>
    <w:rsid w:val="6C862155"/>
    <w:rsid w:val="6C8B2DA7"/>
    <w:rsid w:val="6C8F393B"/>
    <w:rsid w:val="6C904861"/>
    <w:rsid w:val="6C9205D9"/>
    <w:rsid w:val="6CA83959"/>
    <w:rsid w:val="6CAB14F1"/>
    <w:rsid w:val="6CB06CB1"/>
    <w:rsid w:val="6CC62031"/>
    <w:rsid w:val="6CCD4BDE"/>
    <w:rsid w:val="6CD026E8"/>
    <w:rsid w:val="6CD27268"/>
    <w:rsid w:val="6CD94240"/>
    <w:rsid w:val="6CE6684F"/>
    <w:rsid w:val="6CE77EC5"/>
    <w:rsid w:val="6CE86AFB"/>
    <w:rsid w:val="6CEB5F3B"/>
    <w:rsid w:val="6CF12215"/>
    <w:rsid w:val="6CF52916"/>
    <w:rsid w:val="6D087337"/>
    <w:rsid w:val="6D1504D6"/>
    <w:rsid w:val="6D162FB8"/>
    <w:rsid w:val="6D170ADE"/>
    <w:rsid w:val="6D1D05A6"/>
    <w:rsid w:val="6D244DFC"/>
    <w:rsid w:val="6D254F06"/>
    <w:rsid w:val="6D2C27DC"/>
    <w:rsid w:val="6D3131C9"/>
    <w:rsid w:val="6D381BC6"/>
    <w:rsid w:val="6D3B47CD"/>
    <w:rsid w:val="6D406219"/>
    <w:rsid w:val="6D413DAD"/>
    <w:rsid w:val="6D4B0788"/>
    <w:rsid w:val="6D4D2752"/>
    <w:rsid w:val="6D5E495F"/>
    <w:rsid w:val="6D617FAC"/>
    <w:rsid w:val="6D620092"/>
    <w:rsid w:val="6D6F2D87"/>
    <w:rsid w:val="6D77332B"/>
    <w:rsid w:val="6D776046"/>
    <w:rsid w:val="6D7C6B93"/>
    <w:rsid w:val="6D7D6F3E"/>
    <w:rsid w:val="6D7E290C"/>
    <w:rsid w:val="6D7F5C81"/>
    <w:rsid w:val="6D930623"/>
    <w:rsid w:val="6D9B170F"/>
    <w:rsid w:val="6D9C0D39"/>
    <w:rsid w:val="6DA06D26"/>
    <w:rsid w:val="6DA265FA"/>
    <w:rsid w:val="6DAC1227"/>
    <w:rsid w:val="6DB23EDA"/>
    <w:rsid w:val="6DB34098"/>
    <w:rsid w:val="6DB545B6"/>
    <w:rsid w:val="6DC76061"/>
    <w:rsid w:val="6DC9627D"/>
    <w:rsid w:val="6DCD6F00"/>
    <w:rsid w:val="6DD01EF5"/>
    <w:rsid w:val="6DD32C57"/>
    <w:rsid w:val="6DDB5FB0"/>
    <w:rsid w:val="6DE02FB4"/>
    <w:rsid w:val="6DF55E10"/>
    <w:rsid w:val="6DFD5F26"/>
    <w:rsid w:val="6E0C74E9"/>
    <w:rsid w:val="6E1830D1"/>
    <w:rsid w:val="6E1E0D5A"/>
    <w:rsid w:val="6E1E3E44"/>
    <w:rsid w:val="6E201177"/>
    <w:rsid w:val="6E233E7E"/>
    <w:rsid w:val="6E245261"/>
    <w:rsid w:val="6E2E60E0"/>
    <w:rsid w:val="6E2E7E8E"/>
    <w:rsid w:val="6E337B9A"/>
    <w:rsid w:val="6E3404B5"/>
    <w:rsid w:val="6E453429"/>
    <w:rsid w:val="6E4A6F99"/>
    <w:rsid w:val="6E511DCE"/>
    <w:rsid w:val="6E514CED"/>
    <w:rsid w:val="6E5F273D"/>
    <w:rsid w:val="6E645FA5"/>
    <w:rsid w:val="6E706D0C"/>
    <w:rsid w:val="6E725A3F"/>
    <w:rsid w:val="6E7A1325"/>
    <w:rsid w:val="6E8415F5"/>
    <w:rsid w:val="6E895A0C"/>
    <w:rsid w:val="6E90674D"/>
    <w:rsid w:val="6E972D2A"/>
    <w:rsid w:val="6EA3663D"/>
    <w:rsid w:val="6EA463A2"/>
    <w:rsid w:val="6EA62039"/>
    <w:rsid w:val="6EA87715"/>
    <w:rsid w:val="6EB11DFE"/>
    <w:rsid w:val="6EB563D5"/>
    <w:rsid w:val="6EC10D02"/>
    <w:rsid w:val="6EC6456A"/>
    <w:rsid w:val="6ECD793C"/>
    <w:rsid w:val="6ECE4C62"/>
    <w:rsid w:val="6ED44ED9"/>
    <w:rsid w:val="6ED70525"/>
    <w:rsid w:val="6ED92677"/>
    <w:rsid w:val="6EDC3D8E"/>
    <w:rsid w:val="6EDD0049"/>
    <w:rsid w:val="6EDD18B4"/>
    <w:rsid w:val="6EE92007"/>
    <w:rsid w:val="6EE97E30"/>
    <w:rsid w:val="6EF957BC"/>
    <w:rsid w:val="6F013B3F"/>
    <w:rsid w:val="6F03756C"/>
    <w:rsid w:val="6F046E40"/>
    <w:rsid w:val="6F0B01CF"/>
    <w:rsid w:val="6F0C6A0E"/>
    <w:rsid w:val="6F0D3F47"/>
    <w:rsid w:val="6F0D7E9E"/>
    <w:rsid w:val="6F182733"/>
    <w:rsid w:val="6F194DD5"/>
    <w:rsid w:val="6F225983"/>
    <w:rsid w:val="6F257BC9"/>
    <w:rsid w:val="6F280D81"/>
    <w:rsid w:val="6F3239AE"/>
    <w:rsid w:val="6F377216"/>
    <w:rsid w:val="6F3B4F58"/>
    <w:rsid w:val="6F3B6306"/>
    <w:rsid w:val="6F3C7DBE"/>
    <w:rsid w:val="6F3D2CB9"/>
    <w:rsid w:val="6F3F704A"/>
    <w:rsid w:val="6F4764FD"/>
    <w:rsid w:val="6F5079E2"/>
    <w:rsid w:val="6F56138C"/>
    <w:rsid w:val="6F5D1DA4"/>
    <w:rsid w:val="6F687A81"/>
    <w:rsid w:val="6F6A52F6"/>
    <w:rsid w:val="6F6F075E"/>
    <w:rsid w:val="6F771834"/>
    <w:rsid w:val="6F7B613C"/>
    <w:rsid w:val="6F9957DB"/>
    <w:rsid w:val="6F9A1B99"/>
    <w:rsid w:val="6F9E0394"/>
    <w:rsid w:val="6FA24036"/>
    <w:rsid w:val="6FA84A4C"/>
    <w:rsid w:val="6FB95E7D"/>
    <w:rsid w:val="6FBB1BF5"/>
    <w:rsid w:val="6FC7585D"/>
    <w:rsid w:val="6FCE04ED"/>
    <w:rsid w:val="6FDA2CCF"/>
    <w:rsid w:val="6FDC62BB"/>
    <w:rsid w:val="6FDD3F29"/>
    <w:rsid w:val="6FE40BD1"/>
    <w:rsid w:val="6FEE2012"/>
    <w:rsid w:val="6FEE56C3"/>
    <w:rsid w:val="6FF27057"/>
    <w:rsid w:val="6FF3297C"/>
    <w:rsid w:val="6FF62C2D"/>
    <w:rsid w:val="6FFC5590"/>
    <w:rsid w:val="70033CD6"/>
    <w:rsid w:val="700370F8"/>
    <w:rsid w:val="7007308C"/>
    <w:rsid w:val="70086D5E"/>
    <w:rsid w:val="70110CA4"/>
    <w:rsid w:val="701D465E"/>
    <w:rsid w:val="70227EC6"/>
    <w:rsid w:val="702676F8"/>
    <w:rsid w:val="702F5838"/>
    <w:rsid w:val="7036638C"/>
    <w:rsid w:val="70381498"/>
    <w:rsid w:val="703D085C"/>
    <w:rsid w:val="703E167C"/>
    <w:rsid w:val="70470483"/>
    <w:rsid w:val="7047792D"/>
    <w:rsid w:val="704E0E10"/>
    <w:rsid w:val="70590B1F"/>
    <w:rsid w:val="706D1DD0"/>
    <w:rsid w:val="7078504C"/>
    <w:rsid w:val="708127FA"/>
    <w:rsid w:val="708446DD"/>
    <w:rsid w:val="70856B87"/>
    <w:rsid w:val="70922A46"/>
    <w:rsid w:val="70943E96"/>
    <w:rsid w:val="70980188"/>
    <w:rsid w:val="709D12FB"/>
    <w:rsid w:val="70AA0678"/>
    <w:rsid w:val="70AE175A"/>
    <w:rsid w:val="70B54896"/>
    <w:rsid w:val="70BD374B"/>
    <w:rsid w:val="70C1323B"/>
    <w:rsid w:val="70C26FB3"/>
    <w:rsid w:val="70CC398E"/>
    <w:rsid w:val="70D016D0"/>
    <w:rsid w:val="70D01B0F"/>
    <w:rsid w:val="70D06918"/>
    <w:rsid w:val="70D527EE"/>
    <w:rsid w:val="70DC0075"/>
    <w:rsid w:val="70DF1456"/>
    <w:rsid w:val="70F27898"/>
    <w:rsid w:val="70FB22C0"/>
    <w:rsid w:val="70FB7B2D"/>
    <w:rsid w:val="71086007"/>
    <w:rsid w:val="71096990"/>
    <w:rsid w:val="71104A47"/>
    <w:rsid w:val="711869A0"/>
    <w:rsid w:val="711C2B67"/>
    <w:rsid w:val="71233EF6"/>
    <w:rsid w:val="71302165"/>
    <w:rsid w:val="71306613"/>
    <w:rsid w:val="713A123F"/>
    <w:rsid w:val="713A7766"/>
    <w:rsid w:val="713C0B14"/>
    <w:rsid w:val="7141612A"/>
    <w:rsid w:val="71476562"/>
    <w:rsid w:val="714A338F"/>
    <w:rsid w:val="714C6EDF"/>
    <w:rsid w:val="7150636D"/>
    <w:rsid w:val="7153316C"/>
    <w:rsid w:val="715A159E"/>
    <w:rsid w:val="715B5300"/>
    <w:rsid w:val="71612B50"/>
    <w:rsid w:val="7163295F"/>
    <w:rsid w:val="71654E14"/>
    <w:rsid w:val="716562BC"/>
    <w:rsid w:val="717023CF"/>
    <w:rsid w:val="717509D0"/>
    <w:rsid w:val="717F7044"/>
    <w:rsid w:val="71812B77"/>
    <w:rsid w:val="71834994"/>
    <w:rsid w:val="71866233"/>
    <w:rsid w:val="718A5D23"/>
    <w:rsid w:val="718B2B19"/>
    <w:rsid w:val="71912A26"/>
    <w:rsid w:val="719721EE"/>
    <w:rsid w:val="719E17CE"/>
    <w:rsid w:val="719F53DF"/>
    <w:rsid w:val="71AB5C99"/>
    <w:rsid w:val="71B05423"/>
    <w:rsid w:val="71B54F5E"/>
    <w:rsid w:val="71B61BC9"/>
    <w:rsid w:val="71BA7C8A"/>
    <w:rsid w:val="71BB412E"/>
    <w:rsid w:val="71BB5EDC"/>
    <w:rsid w:val="71C65C18"/>
    <w:rsid w:val="71CA4371"/>
    <w:rsid w:val="71CA611F"/>
    <w:rsid w:val="71CB202B"/>
    <w:rsid w:val="71CC00E9"/>
    <w:rsid w:val="71D13952"/>
    <w:rsid w:val="71D14B22"/>
    <w:rsid w:val="71D23226"/>
    <w:rsid w:val="71D27F8A"/>
    <w:rsid w:val="71E05943"/>
    <w:rsid w:val="71E0741A"/>
    <w:rsid w:val="71E574E8"/>
    <w:rsid w:val="71E94D82"/>
    <w:rsid w:val="71ED01C1"/>
    <w:rsid w:val="71F62DC4"/>
    <w:rsid w:val="71FF7E88"/>
    <w:rsid w:val="72021D5D"/>
    <w:rsid w:val="72042C01"/>
    <w:rsid w:val="7209768E"/>
    <w:rsid w:val="720C487A"/>
    <w:rsid w:val="720E2C46"/>
    <w:rsid w:val="72192C03"/>
    <w:rsid w:val="723375B1"/>
    <w:rsid w:val="723659A2"/>
    <w:rsid w:val="72545C2B"/>
    <w:rsid w:val="72553024"/>
    <w:rsid w:val="725B321B"/>
    <w:rsid w:val="725D3850"/>
    <w:rsid w:val="726C2119"/>
    <w:rsid w:val="72734A09"/>
    <w:rsid w:val="728C48D0"/>
    <w:rsid w:val="728F5B47"/>
    <w:rsid w:val="729057B8"/>
    <w:rsid w:val="729A3D44"/>
    <w:rsid w:val="729F135A"/>
    <w:rsid w:val="72A05649"/>
    <w:rsid w:val="72B13D23"/>
    <w:rsid w:val="72B654DE"/>
    <w:rsid w:val="72CE2FE3"/>
    <w:rsid w:val="72D2142D"/>
    <w:rsid w:val="72D52748"/>
    <w:rsid w:val="72E01742"/>
    <w:rsid w:val="72E2304B"/>
    <w:rsid w:val="72F07E08"/>
    <w:rsid w:val="72F60DE5"/>
    <w:rsid w:val="72F65234"/>
    <w:rsid w:val="72F71440"/>
    <w:rsid w:val="72FD384C"/>
    <w:rsid w:val="73016AAA"/>
    <w:rsid w:val="730B7BC4"/>
    <w:rsid w:val="73122968"/>
    <w:rsid w:val="731312DD"/>
    <w:rsid w:val="7315786E"/>
    <w:rsid w:val="731755C9"/>
    <w:rsid w:val="731B06B5"/>
    <w:rsid w:val="731F5D5E"/>
    <w:rsid w:val="73210E1C"/>
    <w:rsid w:val="732119A7"/>
    <w:rsid w:val="73281F60"/>
    <w:rsid w:val="733817AF"/>
    <w:rsid w:val="733A1083"/>
    <w:rsid w:val="733A7233"/>
    <w:rsid w:val="734D7008"/>
    <w:rsid w:val="735C052F"/>
    <w:rsid w:val="735C6B15"/>
    <w:rsid w:val="735F432A"/>
    <w:rsid w:val="73691BC5"/>
    <w:rsid w:val="736A1FD6"/>
    <w:rsid w:val="736B0DE8"/>
    <w:rsid w:val="736F5A94"/>
    <w:rsid w:val="737C1C64"/>
    <w:rsid w:val="73816CB2"/>
    <w:rsid w:val="73834578"/>
    <w:rsid w:val="73886292"/>
    <w:rsid w:val="738F5872"/>
    <w:rsid w:val="73912EA1"/>
    <w:rsid w:val="73A05348"/>
    <w:rsid w:val="73A411F6"/>
    <w:rsid w:val="73A62BBC"/>
    <w:rsid w:val="73A650D4"/>
    <w:rsid w:val="73AF381F"/>
    <w:rsid w:val="73B44AF9"/>
    <w:rsid w:val="73BB6668"/>
    <w:rsid w:val="73C51AD5"/>
    <w:rsid w:val="73C729E0"/>
    <w:rsid w:val="73C77E2D"/>
    <w:rsid w:val="73D2750D"/>
    <w:rsid w:val="73D63A3E"/>
    <w:rsid w:val="73E334C8"/>
    <w:rsid w:val="73E65152"/>
    <w:rsid w:val="73EA4857"/>
    <w:rsid w:val="73F6588F"/>
    <w:rsid w:val="73F676A0"/>
    <w:rsid w:val="73F92F18"/>
    <w:rsid w:val="740718AD"/>
    <w:rsid w:val="740B2A1F"/>
    <w:rsid w:val="740D49E9"/>
    <w:rsid w:val="740D6797"/>
    <w:rsid w:val="740E5704"/>
    <w:rsid w:val="740F42BD"/>
    <w:rsid w:val="741B0EB4"/>
    <w:rsid w:val="741E793C"/>
    <w:rsid w:val="741F7825"/>
    <w:rsid w:val="742D211D"/>
    <w:rsid w:val="74343D24"/>
    <w:rsid w:val="743A35AD"/>
    <w:rsid w:val="743E2DF5"/>
    <w:rsid w:val="744321B9"/>
    <w:rsid w:val="744A1799"/>
    <w:rsid w:val="744F2136"/>
    <w:rsid w:val="745443C6"/>
    <w:rsid w:val="745919DD"/>
    <w:rsid w:val="745D327B"/>
    <w:rsid w:val="745E3944"/>
    <w:rsid w:val="74665F7A"/>
    <w:rsid w:val="746916FF"/>
    <w:rsid w:val="7469500F"/>
    <w:rsid w:val="746D7236"/>
    <w:rsid w:val="746E35FC"/>
    <w:rsid w:val="74793E2D"/>
    <w:rsid w:val="747B5DF7"/>
    <w:rsid w:val="747F2F59"/>
    <w:rsid w:val="74864AE5"/>
    <w:rsid w:val="748A5CD3"/>
    <w:rsid w:val="748D73BD"/>
    <w:rsid w:val="74927DDD"/>
    <w:rsid w:val="74934EEE"/>
    <w:rsid w:val="74942A15"/>
    <w:rsid w:val="749810F1"/>
    <w:rsid w:val="74A00451"/>
    <w:rsid w:val="74AC09E2"/>
    <w:rsid w:val="74AC4202"/>
    <w:rsid w:val="74AC5562"/>
    <w:rsid w:val="74BA1203"/>
    <w:rsid w:val="74BB4445"/>
    <w:rsid w:val="74BC04D7"/>
    <w:rsid w:val="74C727E8"/>
    <w:rsid w:val="74CF1C9F"/>
    <w:rsid w:val="74D15A17"/>
    <w:rsid w:val="74E25E76"/>
    <w:rsid w:val="74E41BEE"/>
    <w:rsid w:val="74E474F8"/>
    <w:rsid w:val="74EC05D6"/>
    <w:rsid w:val="74FA6D1C"/>
    <w:rsid w:val="74FD680C"/>
    <w:rsid w:val="7501186D"/>
    <w:rsid w:val="750D2EF3"/>
    <w:rsid w:val="75102462"/>
    <w:rsid w:val="751A5610"/>
    <w:rsid w:val="751E2E51"/>
    <w:rsid w:val="751F2C26"/>
    <w:rsid w:val="75230A81"/>
    <w:rsid w:val="75243513"/>
    <w:rsid w:val="752A4F50"/>
    <w:rsid w:val="75352FE4"/>
    <w:rsid w:val="75387844"/>
    <w:rsid w:val="7541494A"/>
    <w:rsid w:val="75432CCF"/>
    <w:rsid w:val="75442A1E"/>
    <w:rsid w:val="75475CD9"/>
    <w:rsid w:val="754C32EF"/>
    <w:rsid w:val="75520181"/>
    <w:rsid w:val="75573AAA"/>
    <w:rsid w:val="755B4233"/>
    <w:rsid w:val="755F74C6"/>
    <w:rsid w:val="75680129"/>
    <w:rsid w:val="756C71C4"/>
    <w:rsid w:val="756F2909"/>
    <w:rsid w:val="75737C58"/>
    <w:rsid w:val="75754D5C"/>
    <w:rsid w:val="75917CED"/>
    <w:rsid w:val="75A07FE9"/>
    <w:rsid w:val="75A7324B"/>
    <w:rsid w:val="75AA3501"/>
    <w:rsid w:val="75B8438F"/>
    <w:rsid w:val="75BC57F3"/>
    <w:rsid w:val="75C75779"/>
    <w:rsid w:val="75CF26A1"/>
    <w:rsid w:val="75E65845"/>
    <w:rsid w:val="75E74DD5"/>
    <w:rsid w:val="760616F0"/>
    <w:rsid w:val="760836BA"/>
    <w:rsid w:val="76085468"/>
    <w:rsid w:val="76086518"/>
    <w:rsid w:val="76135B3E"/>
    <w:rsid w:val="76147094"/>
    <w:rsid w:val="7619678A"/>
    <w:rsid w:val="761E49D5"/>
    <w:rsid w:val="76285B0A"/>
    <w:rsid w:val="762A1882"/>
    <w:rsid w:val="762D1373"/>
    <w:rsid w:val="762D38CD"/>
    <w:rsid w:val="7635099D"/>
    <w:rsid w:val="76386C47"/>
    <w:rsid w:val="76462193"/>
    <w:rsid w:val="764E1885"/>
    <w:rsid w:val="765F6662"/>
    <w:rsid w:val="7662726E"/>
    <w:rsid w:val="76656456"/>
    <w:rsid w:val="76684159"/>
    <w:rsid w:val="766E250E"/>
    <w:rsid w:val="7671176B"/>
    <w:rsid w:val="767B32AE"/>
    <w:rsid w:val="7681696A"/>
    <w:rsid w:val="768972C9"/>
    <w:rsid w:val="768F5B89"/>
    <w:rsid w:val="769B3360"/>
    <w:rsid w:val="769F401E"/>
    <w:rsid w:val="769F422C"/>
    <w:rsid w:val="76A50F09"/>
    <w:rsid w:val="76AC673B"/>
    <w:rsid w:val="76B16769"/>
    <w:rsid w:val="76BD44A5"/>
    <w:rsid w:val="76C07AF1"/>
    <w:rsid w:val="76C6413F"/>
    <w:rsid w:val="76C77A80"/>
    <w:rsid w:val="76C92E49"/>
    <w:rsid w:val="76D637B8"/>
    <w:rsid w:val="76DB5F63"/>
    <w:rsid w:val="76EC2FDC"/>
    <w:rsid w:val="76EE4427"/>
    <w:rsid w:val="76EF03D6"/>
    <w:rsid w:val="76F03B28"/>
    <w:rsid w:val="76F07C89"/>
    <w:rsid w:val="76F418A7"/>
    <w:rsid w:val="77063EE9"/>
    <w:rsid w:val="770C2D36"/>
    <w:rsid w:val="771816DB"/>
    <w:rsid w:val="77183DD1"/>
    <w:rsid w:val="7718792D"/>
    <w:rsid w:val="77190E8F"/>
    <w:rsid w:val="7725204A"/>
    <w:rsid w:val="773109EF"/>
    <w:rsid w:val="77316C41"/>
    <w:rsid w:val="77361421"/>
    <w:rsid w:val="77372BFA"/>
    <w:rsid w:val="773B3E3F"/>
    <w:rsid w:val="773C186D"/>
    <w:rsid w:val="77487972"/>
    <w:rsid w:val="7749010B"/>
    <w:rsid w:val="774C75D7"/>
    <w:rsid w:val="775007F6"/>
    <w:rsid w:val="77541F7E"/>
    <w:rsid w:val="776112D4"/>
    <w:rsid w:val="77701517"/>
    <w:rsid w:val="77732DB5"/>
    <w:rsid w:val="77762421"/>
    <w:rsid w:val="77786603"/>
    <w:rsid w:val="77792E24"/>
    <w:rsid w:val="7782793F"/>
    <w:rsid w:val="778C592B"/>
    <w:rsid w:val="778F3491"/>
    <w:rsid w:val="779D14EF"/>
    <w:rsid w:val="77A05654"/>
    <w:rsid w:val="77AD276B"/>
    <w:rsid w:val="77B56B1F"/>
    <w:rsid w:val="77C707CE"/>
    <w:rsid w:val="77C96E79"/>
    <w:rsid w:val="77CA16B4"/>
    <w:rsid w:val="77CB70BC"/>
    <w:rsid w:val="77E375D8"/>
    <w:rsid w:val="77E908BE"/>
    <w:rsid w:val="77EE20E3"/>
    <w:rsid w:val="77F71FE9"/>
    <w:rsid w:val="77F91B4A"/>
    <w:rsid w:val="77FA5F49"/>
    <w:rsid w:val="77FC3846"/>
    <w:rsid w:val="78030FAE"/>
    <w:rsid w:val="78061D16"/>
    <w:rsid w:val="78095994"/>
    <w:rsid w:val="780A196C"/>
    <w:rsid w:val="780F09F4"/>
    <w:rsid w:val="78104CF5"/>
    <w:rsid w:val="78212811"/>
    <w:rsid w:val="78243A55"/>
    <w:rsid w:val="782A7918"/>
    <w:rsid w:val="782D7408"/>
    <w:rsid w:val="782F13D2"/>
    <w:rsid w:val="78322C70"/>
    <w:rsid w:val="783C0BB0"/>
    <w:rsid w:val="783E2751"/>
    <w:rsid w:val="783E7867"/>
    <w:rsid w:val="78415F60"/>
    <w:rsid w:val="78487861"/>
    <w:rsid w:val="784C1F84"/>
    <w:rsid w:val="784F737E"/>
    <w:rsid w:val="78594D8B"/>
    <w:rsid w:val="786015B8"/>
    <w:rsid w:val="786B1CDE"/>
    <w:rsid w:val="786C1451"/>
    <w:rsid w:val="7874534E"/>
    <w:rsid w:val="78760DAF"/>
    <w:rsid w:val="7879264D"/>
    <w:rsid w:val="787A277F"/>
    <w:rsid w:val="788A095D"/>
    <w:rsid w:val="78947487"/>
    <w:rsid w:val="78981D74"/>
    <w:rsid w:val="78A439D5"/>
    <w:rsid w:val="78A90480"/>
    <w:rsid w:val="78B30ED0"/>
    <w:rsid w:val="78B3699B"/>
    <w:rsid w:val="78B96EEE"/>
    <w:rsid w:val="78D055ED"/>
    <w:rsid w:val="78D372A9"/>
    <w:rsid w:val="78DB689B"/>
    <w:rsid w:val="78E54322"/>
    <w:rsid w:val="78E76930"/>
    <w:rsid w:val="78EE3FF8"/>
    <w:rsid w:val="78F023DA"/>
    <w:rsid w:val="78F02F79"/>
    <w:rsid w:val="78F617BA"/>
    <w:rsid w:val="791A5BDE"/>
    <w:rsid w:val="79206804"/>
    <w:rsid w:val="79230202"/>
    <w:rsid w:val="792C3B7D"/>
    <w:rsid w:val="7930196F"/>
    <w:rsid w:val="79312F28"/>
    <w:rsid w:val="793B3EC6"/>
    <w:rsid w:val="793B7903"/>
    <w:rsid w:val="793D367B"/>
    <w:rsid w:val="79404651"/>
    <w:rsid w:val="7946222B"/>
    <w:rsid w:val="79492200"/>
    <w:rsid w:val="79523622"/>
    <w:rsid w:val="795409C4"/>
    <w:rsid w:val="795C2A02"/>
    <w:rsid w:val="795F6720"/>
    <w:rsid w:val="796926C2"/>
    <w:rsid w:val="79727EEB"/>
    <w:rsid w:val="7975267F"/>
    <w:rsid w:val="798A6347"/>
    <w:rsid w:val="798B05A7"/>
    <w:rsid w:val="798F1701"/>
    <w:rsid w:val="79A71DC3"/>
    <w:rsid w:val="79AB4269"/>
    <w:rsid w:val="79B00CEB"/>
    <w:rsid w:val="79B22E7D"/>
    <w:rsid w:val="79B24069"/>
    <w:rsid w:val="79BD47BC"/>
    <w:rsid w:val="79C25500"/>
    <w:rsid w:val="79C43D9C"/>
    <w:rsid w:val="79C74BBD"/>
    <w:rsid w:val="79C91D21"/>
    <w:rsid w:val="79D0629D"/>
    <w:rsid w:val="79D364C2"/>
    <w:rsid w:val="79D51F75"/>
    <w:rsid w:val="79D833A4"/>
    <w:rsid w:val="79E76FD3"/>
    <w:rsid w:val="79E93803"/>
    <w:rsid w:val="79FD4D1C"/>
    <w:rsid w:val="7A0348C4"/>
    <w:rsid w:val="7A0506DE"/>
    <w:rsid w:val="7A0A0AE1"/>
    <w:rsid w:val="7A0F2610"/>
    <w:rsid w:val="7A11126F"/>
    <w:rsid w:val="7A226B24"/>
    <w:rsid w:val="7A230AC3"/>
    <w:rsid w:val="7A2B1F18"/>
    <w:rsid w:val="7A364017"/>
    <w:rsid w:val="7A4E5CF9"/>
    <w:rsid w:val="7A514FE2"/>
    <w:rsid w:val="7A565B02"/>
    <w:rsid w:val="7A57526B"/>
    <w:rsid w:val="7A680BCB"/>
    <w:rsid w:val="7A6C6001"/>
    <w:rsid w:val="7A6F5AB6"/>
    <w:rsid w:val="7A725303"/>
    <w:rsid w:val="7A8105BA"/>
    <w:rsid w:val="7A8265E1"/>
    <w:rsid w:val="7A831561"/>
    <w:rsid w:val="7A8860BF"/>
    <w:rsid w:val="7A996FD7"/>
    <w:rsid w:val="7A9A524E"/>
    <w:rsid w:val="7AAA483E"/>
    <w:rsid w:val="7AAC6D0A"/>
    <w:rsid w:val="7AB4796D"/>
    <w:rsid w:val="7AB61937"/>
    <w:rsid w:val="7AB931D5"/>
    <w:rsid w:val="7ABA32DC"/>
    <w:rsid w:val="7ABC0A56"/>
    <w:rsid w:val="7AC2207F"/>
    <w:rsid w:val="7AC413A9"/>
    <w:rsid w:val="7AC51B7A"/>
    <w:rsid w:val="7AC57DCC"/>
    <w:rsid w:val="7ACB0FBF"/>
    <w:rsid w:val="7ADC6D11"/>
    <w:rsid w:val="7AE77D42"/>
    <w:rsid w:val="7AED10D1"/>
    <w:rsid w:val="7AF738BD"/>
    <w:rsid w:val="7AF77E82"/>
    <w:rsid w:val="7AFE6E3A"/>
    <w:rsid w:val="7AFF3A48"/>
    <w:rsid w:val="7B0D52CF"/>
    <w:rsid w:val="7B0F7299"/>
    <w:rsid w:val="7B157693"/>
    <w:rsid w:val="7B18614D"/>
    <w:rsid w:val="7B191EC6"/>
    <w:rsid w:val="7B1D6C85"/>
    <w:rsid w:val="7B256ABC"/>
    <w:rsid w:val="7B276F49"/>
    <w:rsid w:val="7B2D4C45"/>
    <w:rsid w:val="7B2D70A0"/>
    <w:rsid w:val="7B3069CC"/>
    <w:rsid w:val="7B38234C"/>
    <w:rsid w:val="7B3C1667"/>
    <w:rsid w:val="7B3D087F"/>
    <w:rsid w:val="7B407452"/>
    <w:rsid w:val="7B485C34"/>
    <w:rsid w:val="7B4F478B"/>
    <w:rsid w:val="7B577445"/>
    <w:rsid w:val="7B615D46"/>
    <w:rsid w:val="7B6812CF"/>
    <w:rsid w:val="7B686D42"/>
    <w:rsid w:val="7B6A7B89"/>
    <w:rsid w:val="7B6D1B0B"/>
    <w:rsid w:val="7B6E5B6C"/>
    <w:rsid w:val="7B707C72"/>
    <w:rsid w:val="7B726250"/>
    <w:rsid w:val="7B7315D6"/>
    <w:rsid w:val="7B7443BE"/>
    <w:rsid w:val="7B77578E"/>
    <w:rsid w:val="7B7A2964"/>
    <w:rsid w:val="7B841746"/>
    <w:rsid w:val="7B846009"/>
    <w:rsid w:val="7B8B2DC3"/>
    <w:rsid w:val="7B901BEF"/>
    <w:rsid w:val="7B955BC2"/>
    <w:rsid w:val="7BA4655B"/>
    <w:rsid w:val="7BAB0D70"/>
    <w:rsid w:val="7BB039B9"/>
    <w:rsid w:val="7BCA1C90"/>
    <w:rsid w:val="7BCE4A5E"/>
    <w:rsid w:val="7BD52290"/>
    <w:rsid w:val="7BFB7AF1"/>
    <w:rsid w:val="7C03289D"/>
    <w:rsid w:val="7C051AA0"/>
    <w:rsid w:val="7C0573B0"/>
    <w:rsid w:val="7C10151B"/>
    <w:rsid w:val="7C2E719F"/>
    <w:rsid w:val="7C330D65"/>
    <w:rsid w:val="7C36755C"/>
    <w:rsid w:val="7C39281F"/>
    <w:rsid w:val="7C3C56E6"/>
    <w:rsid w:val="7C3F0C10"/>
    <w:rsid w:val="7C480CB4"/>
    <w:rsid w:val="7C490D3A"/>
    <w:rsid w:val="7C4A39BD"/>
    <w:rsid w:val="7C541407"/>
    <w:rsid w:val="7C572CA5"/>
    <w:rsid w:val="7C6B1F8D"/>
    <w:rsid w:val="7C6C5AC7"/>
    <w:rsid w:val="7C6E7F27"/>
    <w:rsid w:val="7C76687C"/>
    <w:rsid w:val="7C7C095E"/>
    <w:rsid w:val="7C7C39DD"/>
    <w:rsid w:val="7C8D0FA4"/>
    <w:rsid w:val="7C8D66C7"/>
    <w:rsid w:val="7C945CA8"/>
    <w:rsid w:val="7C9C1C95"/>
    <w:rsid w:val="7C9D41AA"/>
    <w:rsid w:val="7CA73C2D"/>
    <w:rsid w:val="7CB016B0"/>
    <w:rsid w:val="7CB05DA9"/>
    <w:rsid w:val="7CC2775B"/>
    <w:rsid w:val="7CC6544B"/>
    <w:rsid w:val="7CC669DD"/>
    <w:rsid w:val="7CC92281"/>
    <w:rsid w:val="7CCF03AF"/>
    <w:rsid w:val="7CD442F6"/>
    <w:rsid w:val="7CD71AFC"/>
    <w:rsid w:val="7CDA37C1"/>
    <w:rsid w:val="7CE9335C"/>
    <w:rsid w:val="7CEA3B1A"/>
    <w:rsid w:val="7CEF1130"/>
    <w:rsid w:val="7CF24C2C"/>
    <w:rsid w:val="7CF90201"/>
    <w:rsid w:val="7D0239FF"/>
    <w:rsid w:val="7D07647A"/>
    <w:rsid w:val="7D106120"/>
    <w:rsid w:val="7D11228E"/>
    <w:rsid w:val="7D2253E6"/>
    <w:rsid w:val="7D250FF6"/>
    <w:rsid w:val="7D2A730B"/>
    <w:rsid w:val="7D3354C1"/>
    <w:rsid w:val="7D3E6C4C"/>
    <w:rsid w:val="7D422877"/>
    <w:rsid w:val="7D451A09"/>
    <w:rsid w:val="7D4D080D"/>
    <w:rsid w:val="7D5176F5"/>
    <w:rsid w:val="7D5E40CD"/>
    <w:rsid w:val="7D627B54"/>
    <w:rsid w:val="7D7471E6"/>
    <w:rsid w:val="7D7653AD"/>
    <w:rsid w:val="7D8E5417"/>
    <w:rsid w:val="7D8F28D6"/>
    <w:rsid w:val="7D9262A5"/>
    <w:rsid w:val="7D982822"/>
    <w:rsid w:val="7DA243F4"/>
    <w:rsid w:val="7DA95783"/>
    <w:rsid w:val="7DAA1A63"/>
    <w:rsid w:val="7DAE131A"/>
    <w:rsid w:val="7DAE3DE3"/>
    <w:rsid w:val="7DBE4D80"/>
    <w:rsid w:val="7DC15DA3"/>
    <w:rsid w:val="7DC223A1"/>
    <w:rsid w:val="7DC43A2C"/>
    <w:rsid w:val="7DC55F7B"/>
    <w:rsid w:val="7DCD56F2"/>
    <w:rsid w:val="7DCF4ABD"/>
    <w:rsid w:val="7DD56578"/>
    <w:rsid w:val="7DDE5EA3"/>
    <w:rsid w:val="7DDF73F6"/>
    <w:rsid w:val="7DEC4B93"/>
    <w:rsid w:val="7DEE3153"/>
    <w:rsid w:val="7DF6029C"/>
    <w:rsid w:val="7DF77AF3"/>
    <w:rsid w:val="7DF9614F"/>
    <w:rsid w:val="7DFA7D8C"/>
    <w:rsid w:val="7DFD6E08"/>
    <w:rsid w:val="7DFE310C"/>
    <w:rsid w:val="7DFF403F"/>
    <w:rsid w:val="7E046E5D"/>
    <w:rsid w:val="7E1322EF"/>
    <w:rsid w:val="7E1803F3"/>
    <w:rsid w:val="7E1D6FB2"/>
    <w:rsid w:val="7E1E6F12"/>
    <w:rsid w:val="7E2766A8"/>
    <w:rsid w:val="7E2E2F91"/>
    <w:rsid w:val="7E3A6EB0"/>
    <w:rsid w:val="7E3C65F7"/>
    <w:rsid w:val="7E6B34F5"/>
    <w:rsid w:val="7E6F077A"/>
    <w:rsid w:val="7E963773"/>
    <w:rsid w:val="7E991353"/>
    <w:rsid w:val="7EA05186"/>
    <w:rsid w:val="7EAF0B77"/>
    <w:rsid w:val="7EAF6DC9"/>
    <w:rsid w:val="7EB32805"/>
    <w:rsid w:val="7EB443DF"/>
    <w:rsid w:val="7EB77A2B"/>
    <w:rsid w:val="7EB77C32"/>
    <w:rsid w:val="7EBC3294"/>
    <w:rsid w:val="7EC00FD6"/>
    <w:rsid w:val="7EC14D4E"/>
    <w:rsid w:val="7EC21524"/>
    <w:rsid w:val="7EC81D76"/>
    <w:rsid w:val="7ED06D3F"/>
    <w:rsid w:val="7EE61B0F"/>
    <w:rsid w:val="7EE66563"/>
    <w:rsid w:val="7EE747B5"/>
    <w:rsid w:val="7EEF5FAD"/>
    <w:rsid w:val="7EF550D7"/>
    <w:rsid w:val="7EF70770"/>
    <w:rsid w:val="7EFC0AEB"/>
    <w:rsid w:val="7F001CE7"/>
    <w:rsid w:val="7F005876"/>
    <w:rsid w:val="7F030EC3"/>
    <w:rsid w:val="7F076C05"/>
    <w:rsid w:val="7F256797"/>
    <w:rsid w:val="7F26567E"/>
    <w:rsid w:val="7F2C3804"/>
    <w:rsid w:val="7F2C666B"/>
    <w:rsid w:val="7F3217A8"/>
    <w:rsid w:val="7F410A95"/>
    <w:rsid w:val="7F4B7D2C"/>
    <w:rsid w:val="7F4C5E4E"/>
    <w:rsid w:val="7F710D54"/>
    <w:rsid w:val="7F7A329A"/>
    <w:rsid w:val="7F7F2673"/>
    <w:rsid w:val="7F8636E0"/>
    <w:rsid w:val="7F8F2756"/>
    <w:rsid w:val="7F963AE5"/>
    <w:rsid w:val="7FA0458A"/>
    <w:rsid w:val="7FAF1490"/>
    <w:rsid w:val="7FAF1ED9"/>
    <w:rsid w:val="7FB53591"/>
    <w:rsid w:val="7FB90128"/>
    <w:rsid w:val="7FB977D3"/>
    <w:rsid w:val="7FD162CD"/>
    <w:rsid w:val="7FD4460D"/>
    <w:rsid w:val="7FE24F7C"/>
    <w:rsid w:val="7FE47E50"/>
    <w:rsid w:val="7FE54616"/>
    <w:rsid w:val="7FE73939"/>
    <w:rsid w:val="7FE9630A"/>
    <w:rsid w:val="7FEC1957"/>
    <w:rsid w:val="7FF60BCB"/>
    <w:rsid w:val="7FFA4074"/>
    <w:rsid w:val="7FFC4290"/>
    <w:rsid w:val="7FFF4E3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99" w:semiHidden="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0" w:semiHidden="0" w:name="toc 1" w:locked="1"/>
    <w:lsdException w:qFormat="1" w:unhideWhenUsed="0" w:uiPriority="39"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qFormat="1" w:uiPriority="39"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iPriority="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qFormat="1" w:unhideWhenUsed="0" w:uiPriority="0" w:semiHidden="0" w:name="table of authorities" w:locked="1"/>
    <w:lsdException w:unhideWhenUsed="0" w:uiPriority="0" w:semiHidden="0" w:name="macro" w:locked="1"/>
    <w:lsdException w:unhideWhenUsed="0" w:uiPriority="0" w:semiHidden="0" w:name="toa heading" w:locked="1"/>
    <w:lsdException w:qFormat="1"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qFormat="1" w:unhideWhenUsed="0" w:uiPriority="0" w:semiHidden="0" w:name="Message Header" w:locked="1"/>
    <w:lsdException w:qFormat="1" w:unhideWhenUsed="0" w:uiPriority="0" w:semiHidden="0" w:name="Subtitle" w:locked="1"/>
    <w:lsdException w:qFormat="1" w:unhideWhenUsed="0" w:uiPriority="0" w:semiHidden="0" w:name="Salutation" w:locked="1"/>
    <w:lsdException w:qFormat="1" w:unhideWhenUsed="0" w:uiPriority="0" w:semiHidden="0" w:name="Date"/>
    <w:lsdException w:qFormat="1" w:unhideWhenUsed="0" w:uiPriority="99" w:semiHidden="0" w:name="Body Text First Indent" w:locked="1"/>
    <w:lsdException w:qFormat="1"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qFormat="1" w:unhideWhenUsed="0" w:uiPriority="99" w:semiHidden="0" w:name="Body Text Indent 2" w:locked="1"/>
    <w:lsdException w:unhideWhenUsed="0" w:uiPriority="0" w:semiHidden="0" w:name="Body Text Indent 3" w:locked="1"/>
    <w:lsdException w:unhideWhenUsed="0" w:uiPriority="0" w:semiHidden="0" w:name="Block Text" w:locked="1"/>
    <w:lsdException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6">
    <w:name w:val="heading 2"/>
    <w:basedOn w:val="1"/>
    <w:next w:val="1"/>
    <w:qFormat/>
    <w:locked/>
    <w:uiPriority w:val="99"/>
    <w:pPr>
      <w:keepNext/>
      <w:adjustRightInd w:val="0"/>
      <w:snapToGrid w:val="0"/>
      <w:spacing w:before="50" w:beforeLines="50" w:after="50" w:afterLines="50" w:line="500" w:lineRule="exact"/>
      <w:jc w:val="left"/>
      <w:outlineLvl w:val="1"/>
    </w:pPr>
    <w:rPr>
      <w:rFonts w:ascii="Cambria" w:hAnsi="Cambria" w:eastAsia="宋体" w:cs="Times New Roman"/>
      <w:b/>
      <w:bCs/>
      <w:kern w:val="0"/>
      <w:sz w:val="24"/>
      <w:szCs w:val="32"/>
    </w:rPr>
  </w:style>
  <w:style w:type="paragraph" w:styleId="7">
    <w:name w:val="heading 3"/>
    <w:basedOn w:val="1"/>
    <w:next w:val="1"/>
    <w:qFormat/>
    <w:locked/>
    <w:uiPriority w:val="0"/>
    <w:pPr>
      <w:keepNext/>
      <w:keepLines/>
      <w:numPr>
        <w:ilvl w:val="2"/>
        <w:numId w:val="1"/>
      </w:numPr>
      <w:spacing w:line="360" w:lineRule="auto"/>
      <w:outlineLvl w:val="2"/>
    </w:pPr>
    <w:rPr>
      <w:rFonts w:hAnsi="Arial Black"/>
      <w:sz w:val="24"/>
    </w:rPr>
  </w:style>
  <w:style w:type="character" w:default="1" w:styleId="30">
    <w:name w:val="Default Paragraph Font"/>
    <w:semiHidden/>
    <w:qFormat/>
    <w:uiPriority w:val="0"/>
  </w:style>
  <w:style w:type="table" w:default="1" w:styleId="28">
    <w:name w:val="Normal Table"/>
    <w:semiHidden/>
    <w:qFormat/>
    <w:uiPriority w:val="0"/>
    <w:tblPr>
      <w:tblCellMar>
        <w:top w:w="0" w:type="dxa"/>
        <w:left w:w="108" w:type="dxa"/>
        <w:bottom w:w="0" w:type="dxa"/>
        <w:right w:w="108" w:type="dxa"/>
      </w:tblCellMar>
    </w:tblPr>
  </w:style>
  <w:style w:type="paragraph" w:styleId="2">
    <w:name w:val="Body Text"/>
    <w:basedOn w:val="1"/>
    <w:next w:val="3"/>
    <w:link w:val="38"/>
    <w:qFormat/>
    <w:uiPriority w:val="0"/>
    <w:pPr>
      <w:widowControl/>
      <w:snapToGrid w:val="0"/>
      <w:spacing w:before="60" w:after="160" w:line="259" w:lineRule="auto"/>
      <w:ind w:right="113"/>
    </w:pPr>
    <w:rPr>
      <w:kern w:val="0"/>
      <w:sz w:val="18"/>
      <w:szCs w:val="20"/>
    </w:rPr>
  </w:style>
  <w:style w:type="paragraph" w:customStyle="1" w:styleId="3">
    <w:name w:val="Normal (Web)1"/>
    <w:basedOn w:val="1"/>
    <w:next w:val="4"/>
    <w:qFormat/>
    <w:uiPriority w:val="0"/>
    <w:pPr>
      <w:widowControl/>
      <w:jc w:val="left"/>
    </w:pPr>
    <w:rPr>
      <w:rFonts w:ascii="宋体" w:eastAsia="宋体" w:cs="Times New Roman"/>
      <w:kern w:val="0"/>
      <w:sz w:val="24"/>
      <w:szCs w:val="21"/>
    </w:rPr>
  </w:style>
  <w:style w:type="paragraph" w:customStyle="1" w:styleId="4">
    <w:name w:val="Date1"/>
    <w:basedOn w:val="1"/>
    <w:next w:val="1"/>
    <w:qFormat/>
    <w:uiPriority w:val="0"/>
    <w:pPr>
      <w:ind w:left="2500" w:leftChars="2500"/>
    </w:pPr>
  </w:style>
  <w:style w:type="paragraph" w:styleId="8">
    <w:name w:val="table of authorities"/>
    <w:basedOn w:val="1"/>
    <w:next w:val="1"/>
    <w:qFormat/>
    <w:locked/>
    <w:uiPriority w:val="0"/>
    <w:pPr>
      <w:ind w:left="420" w:leftChars="200" w:firstLine="640" w:firstLineChars="200"/>
    </w:pPr>
  </w:style>
  <w:style w:type="paragraph" w:styleId="9">
    <w:name w:val="Normal Indent"/>
    <w:basedOn w:val="1"/>
    <w:link w:val="77"/>
    <w:qFormat/>
    <w:locked/>
    <w:uiPriority w:val="0"/>
    <w:pPr>
      <w:ind w:firstLine="420"/>
    </w:pPr>
    <w:rPr>
      <w:rFonts w:ascii="Calibri" w:hAnsi="Calibri" w:cs="宋体"/>
      <w:szCs w:val="21"/>
    </w:rPr>
  </w:style>
  <w:style w:type="paragraph" w:styleId="10">
    <w:name w:val="annotation text"/>
    <w:basedOn w:val="1"/>
    <w:link w:val="39"/>
    <w:semiHidden/>
    <w:qFormat/>
    <w:uiPriority w:val="0"/>
    <w:pPr>
      <w:jc w:val="left"/>
    </w:pPr>
    <w:rPr>
      <w:kern w:val="0"/>
      <w:sz w:val="24"/>
      <w:szCs w:val="20"/>
    </w:rPr>
  </w:style>
  <w:style w:type="paragraph" w:styleId="11">
    <w:name w:val="Salutation"/>
    <w:basedOn w:val="1"/>
    <w:next w:val="1"/>
    <w:qFormat/>
    <w:locked/>
    <w:uiPriority w:val="0"/>
    <w:rPr>
      <w:sz w:val="21"/>
    </w:rPr>
  </w:style>
  <w:style w:type="paragraph" w:styleId="12">
    <w:name w:val="Body Text Indent"/>
    <w:basedOn w:val="1"/>
    <w:next w:val="13"/>
    <w:link w:val="40"/>
    <w:qFormat/>
    <w:uiPriority w:val="0"/>
    <w:pPr>
      <w:spacing w:after="120"/>
      <w:ind w:left="420" w:leftChars="200"/>
    </w:pPr>
    <w:rPr>
      <w:kern w:val="0"/>
      <w:sz w:val="24"/>
      <w:szCs w:val="20"/>
    </w:rPr>
  </w:style>
  <w:style w:type="paragraph" w:styleId="13">
    <w:name w:val="header"/>
    <w:basedOn w:val="1"/>
    <w:next w:val="2"/>
    <w:link w:val="44"/>
    <w:qFormat/>
    <w:uiPriority w:val="0"/>
    <w:pPr>
      <w:pBdr>
        <w:bottom w:val="single" w:color="auto" w:sz="6" w:space="1"/>
      </w:pBdr>
      <w:tabs>
        <w:tab w:val="center" w:pos="4153"/>
        <w:tab w:val="right" w:pos="8306"/>
      </w:tabs>
      <w:snapToGrid w:val="0"/>
      <w:jc w:val="center"/>
    </w:pPr>
    <w:rPr>
      <w:kern w:val="0"/>
      <w:sz w:val="18"/>
      <w:szCs w:val="20"/>
    </w:rPr>
  </w:style>
  <w:style w:type="paragraph" w:styleId="14">
    <w:name w:val="Plain Text"/>
    <w:basedOn w:val="1"/>
    <w:next w:val="15"/>
    <w:qFormat/>
    <w:locked/>
    <w:uiPriority w:val="0"/>
    <w:pPr>
      <w:widowControl/>
      <w:spacing w:before="100" w:beforeAutospacing="1" w:after="100" w:afterAutospacing="1"/>
      <w:jc w:val="left"/>
    </w:pPr>
    <w:rPr>
      <w:rFonts w:ascii="宋体" w:hAnsi="Calibri" w:cs="Times New Roman"/>
      <w:sz w:val="24"/>
      <w:szCs w:val="24"/>
    </w:rPr>
  </w:style>
  <w:style w:type="paragraph" w:styleId="15">
    <w:name w:val="toc 1"/>
    <w:basedOn w:val="1"/>
    <w:next w:val="1"/>
    <w:qFormat/>
    <w:locked/>
    <w:uiPriority w:val="0"/>
  </w:style>
  <w:style w:type="paragraph" w:styleId="16">
    <w:name w:val="Date"/>
    <w:basedOn w:val="1"/>
    <w:next w:val="1"/>
    <w:link w:val="41"/>
    <w:qFormat/>
    <w:uiPriority w:val="0"/>
    <w:pPr>
      <w:ind w:left="100" w:leftChars="2500"/>
    </w:pPr>
    <w:rPr>
      <w:kern w:val="0"/>
      <w:sz w:val="24"/>
      <w:szCs w:val="20"/>
    </w:rPr>
  </w:style>
  <w:style w:type="paragraph" w:styleId="17">
    <w:name w:val="Body Text Indent 2"/>
    <w:basedOn w:val="1"/>
    <w:qFormat/>
    <w:locked/>
    <w:uiPriority w:val="99"/>
    <w:pPr>
      <w:tabs>
        <w:tab w:val="left" w:pos="0"/>
      </w:tabs>
      <w:ind w:firstLine="480"/>
    </w:pPr>
    <w:rPr>
      <w:sz w:val="24"/>
    </w:rPr>
  </w:style>
  <w:style w:type="paragraph" w:styleId="18">
    <w:name w:val="Balloon Text"/>
    <w:basedOn w:val="1"/>
    <w:link w:val="42"/>
    <w:semiHidden/>
    <w:qFormat/>
    <w:uiPriority w:val="0"/>
    <w:rPr>
      <w:kern w:val="0"/>
      <w:sz w:val="18"/>
      <w:szCs w:val="20"/>
    </w:rPr>
  </w:style>
  <w:style w:type="paragraph" w:styleId="19">
    <w:name w:val="footer"/>
    <w:basedOn w:val="1"/>
    <w:link w:val="43"/>
    <w:qFormat/>
    <w:uiPriority w:val="99"/>
    <w:pPr>
      <w:tabs>
        <w:tab w:val="center" w:pos="4153"/>
        <w:tab w:val="right" w:pos="8306"/>
      </w:tabs>
      <w:snapToGrid w:val="0"/>
      <w:jc w:val="left"/>
    </w:pPr>
    <w:rPr>
      <w:kern w:val="0"/>
      <w:sz w:val="18"/>
      <w:szCs w:val="20"/>
    </w:rPr>
  </w:style>
  <w:style w:type="paragraph" w:styleId="20">
    <w:name w:val="List"/>
    <w:basedOn w:val="1"/>
    <w:qFormat/>
    <w:locked/>
    <w:uiPriority w:val="0"/>
    <w:pPr>
      <w:ind w:left="200" w:hanging="200" w:hangingChars="200"/>
    </w:pPr>
  </w:style>
  <w:style w:type="paragraph" w:styleId="21">
    <w:name w:val="toc 6"/>
    <w:basedOn w:val="1"/>
    <w:next w:val="1"/>
    <w:unhideWhenUsed/>
    <w:qFormat/>
    <w:locked/>
    <w:uiPriority w:val="39"/>
    <w:pPr>
      <w:spacing w:line="240" w:lineRule="auto"/>
      <w:ind w:left="2100" w:leftChars="1000"/>
    </w:pPr>
    <w:rPr>
      <w:rFonts w:ascii="等线" w:hAnsi="等线" w:eastAsia="等线" w:cs="Times New Roman"/>
      <w:sz w:val="21"/>
      <w:szCs w:val="22"/>
    </w:rPr>
  </w:style>
  <w:style w:type="paragraph" w:styleId="22">
    <w:name w:val="toc 2"/>
    <w:basedOn w:val="1"/>
    <w:next w:val="1"/>
    <w:qFormat/>
    <w:locked/>
    <w:uiPriority w:val="39"/>
    <w:pPr>
      <w:ind w:left="420" w:leftChars="200"/>
    </w:pPr>
    <w:rPr>
      <w:rFonts w:ascii="Times New Roman" w:hAnsi="Times New Roman" w:eastAsia="宋体"/>
      <w:sz w:val="24"/>
    </w:rPr>
  </w:style>
  <w:style w:type="paragraph" w:styleId="23">
    <w:name w:val="Message Header"/>
    <w:basedOn w:val="1"/>
    <w:qFormat/>
    <w:locked/>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rPr>
  </w:style>
  <w:style w:type="paragraph" w:styleId="24">
    <w:name w:val="Normal (Web)"/>
    <w:basedOn w:val="1"/>
    <w:link w:val="45"/>
    <w:qFormat/>
    <w:uiPriority w:val="0"/>
    <w:pPr>
      <w:widowControl/>
      <w:spacing w:before="100" w:beforeAutospacing="1" w:after="100" w:afterAutospacing="1"/>
      <w:jc w:val="left"/>
    </w:pPr>
    <w:rPr>
      <w:rFonts w:ascii="宋体" w:hAnsi="宋体"/>
      <w:kern w:val="0"/>
      <w:sz w:val="24"/>
      <w:szCs w:val="20"/>
    </w:rPr>
  </w:style>
  <w:style w:type="paragraph" w:styleId="25">
    <w:name w:val="annotation subject"/>
    <w:basedOn w:val="10"/>
    <w:next w:val="10"/>
    <w:link w:val="46"/>
    <w:semiHidden/>
    <w:qFormat/>
    <w:uiPriority w:val="0"/>
    <w:rPr>
      <w:b/>
      <w:sz w:val="24"/>
      <w:szCs w:val="20"/>
    </w:rPr>
  </w:style>
  <w:style w:type="paragraph" w:styleId="26">
    <w:name w:val="Body Text First Indent"/>
    <w:basedOn w:val="2"/>
    <w:next w:val="1"/>
    <w:qFormat/>
    <w:locked/>
    <w:uiPriority w:val="99"/>
    <w:pPr>
      <w:spacing w:after="120"/>
      <w:ind w:firstLine="420" w:firstLineChars="100"/>
    </w:pPr>
    <w:rPr>
      <w:rFonts w:hint="default" w:ascii="Calibri" w:hAnsi="Calibri" w:eastAsia="宋体" w:cs="Times New Roman"/>
      <w:sz w:val="21"/>
    </w:rPr>
  </w:style>
  <w:style w:type="paragraph" w:styleId="27">
    <w:name w:val="Body Text First Indent 2"/>
    <w:basedOn w:val="12"/>
    <w:next w:val="1"/>
    <w:qFormat/>
    <w:locked/>
    <w:uiPriority w:val="0"/>
    <w:pPr>
      <w:spacing w:after="120" w:afterLines="0" w:line="240" w:lineRule="auto"/>
      <w:ind w:left="420" w:leftChars="200" w:firstLine="420" w:firstLineChars="200"/>
    </w:pPr>
    <w:rPr>
      <w:sz w:val="24"/>
      <w:szCs w:val="20"/>
    </w:rPr>
  </w:style>
  <w:style w:type="table" w:styleId="29">
    <w:name w:val="Table Grid"/>
    <w:basedOn w:val="28"/>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locked/>
    <w:uiPriority w:val="0"/>
    <w:rPr>
      <w:b/>
    </w:rPr>
  </w:style>
  <w:style w:type="character" w:styleId="32">
    <w:name w:val="page number"/>
    <w:basedOn w:val="30"/>
    <w:qFormat/>
    <w:locked/>
    <w:uiPriority w:val="0"/>
  </w:style>
  <w:style w:type="character" w:styleId="33">
    <w:name w:val="annotation reference"/>
    <w:semiHidden/>
    <w:qFormat/>
    <w:uiPriority w:val="0"/>
    <w:rPr>
      <w:sz w:val="21"/>
    </w:rPr>
  </w:style>
  <w:style w:type="paragraph" w:customStyle="1" w:styleId="34">
    <w:name w:val="11111"/>
    <w:basedOn w:val="1"/>
    <w:next w:val="1"/>
    <w:qFormat/>
    <w:uiPriority w:val="0"/>
    <w:pPr>
      <w:spacing w:line="360" w:lineRule="auto"/>
      <w:ind w:firstLine="200" w:firstLineChars="200"/>
    </w:pPr>
    <w:rPr>
      <w:rFonts w:hAnsi="宋体" w:cs="宋体"/>
      <w:kern w:val="2"/>
      <w:szCs w:val="24"/>
    </w:rPr>
  </w:style>
  <w:style w:type="paragraph" w:customStyle="1" w:styleId="35">
    <w:name w:val="Default"/>
    <w:basedOn w:val="36"/>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6">
    <w:name w:val="纯文本1"/>
    <w:basedOn w:val="1"/>
    <w:qFormat/>
    <w:uiPriority w:val="0"/>
    <w:pPr>
      <w:adjustRightInd w:val="0"/>
    </w:pPr>
    <w:rPr>
      <w:rFonts w:ascii="宋体" w:hAnsi="Courier New"/>
      <w:szCs w:val="20"/>
    </w:rPr>
  </w:style>
  <w:style w:type="paragraph" w:customStyle="1" w:styleId="37">
    <w:name w:val="样式 正文首行缩进 + 首行缩进:  2 字符1"/>
    <w:basedOn w:val="1"/>
    <w:next w:val="15"/>
    <w:qFormat/>
    <w:uiPriority w:val="0"/>
    <w:pPr>
      <w:spacing w:line="360" w:lineRule="auto"/>
      <w:ind w:firstLine="480" w:firstLineChars="200"/>
    </w:pPr>
    <w:rPr>
      <w:sz w:val="24"/>
      <w:szCs w:val="20"/>
    </w:rPr>
  </w:style>
  <w:style w:type="character" w:customStyle="1" w:styleId="38">
    <w:name w:val="正文文本 Char"/>
    <w:link w:val="2"/>
    <w:qFormat/>
    <w:locked/>
    <w:uiPriority w:val="0"/>
    <w:rPr>
      <w:sz w:val="18"/>
    </w:rPr>
  </w:style>
  <w:style w:type="character" w:customStyle="1" w:styleId="39">
    <w:name w:val="批注文字 Char"/>
    <w:link w:val="10"/>
    <w:qFormat/>
    <w:locked/>
    <w:uiPriority w:val="0"/>
    <w:rPr>
      <w:rFonts w:ascii="Times New Roman" w:hAnsi="Times New Roman" w:eastAsia="宋体"/>
      <w:sz w:val="24"/>
    </w:rPr>
  </w:style>
  <w:style w:type="character" w:customStyle="1" w:styleId="40">
    <w:name w:val="正文文本缩进 Char"/>
    <w:link w:val="12"/>
    <w:semiHidden/>
    <w:qFormat/>
    <w:locked/>
    <w:uiPriority w:val="0"/>
    <w:rPr>
      <w:rFonts w:ascii="Times New Roman" w:hAnsi="Times New Roman" w:eastAsia="宋体"/>
      <w:sz w:val="24"/>
    </w:rPr>
  </w:style>
  <w:style w:type="character" w:customStyle="1" w:styleId="41">
    <w:name w:val="日期 Char"/>
    <w:link w:val="16"/>
    <w:qFormat/>
    <w:locked/>
    <w:uiPriority w:val="0"/>
    <w:rPr>
      <w:rFonts w:ascii="Times New Roman" w:hAnsi="Times New Roman" w:eastAsia="宋体"/>
      <w:sz w:val="24"/>
    </w:rPr>
  </w:style>
  <w:style w:type="character" w:customStyle="1" w:styleId="42">
    <w:name w:val="批注框文本 Char"/>
    <w:link w:val="18"/>
    <w:semiHidden/>
    <w:qFormat/>
    <w:locked/>
    <w:uiPriority w:val="0"/>
    <w:rPr>
      <w:rFonts w:ascii="Times New Roman" w:hAnsi="Times New Roman" w:eastAsia="宋体"/>
      <w:sz w:val="18"/>
    </w:rPr>
  </w:style>
  <w:style w:type="character" w:customStyle="1" w:styleId="43">
    <w:name w:val="页脚 Char"/>
    <w:link w:val="19"/>
    <w:qFormat/>
    <w:locked/>
    <w:uiPriority w:val="99"/>
    <w:rPr>
      <w:sz w:val="18"/>
    </w:rPr>
  </w:style>
  <w:style w:type="character" w:customStyle="1" w:styleId="44">
    <w:name w:val="页眉 Char"/>
    <w:link w:val="13"/>
    <w:qFormat/>
    <w:locked/>
    <w:uiPriority w:val="0"/>
    <w:rPr>
      <w:sz w:val="18"/>
    </w:rPr>
  </w:style>
  <w:style w:type="character" w:customStyle="1" w:styleId="45">
    <w:name w:val="普通(网站) Char"/>
    <w:link w:val="24"/>
    <w:qFormat/>
    <w:locked/>
    <w:uiPriority w:val="0"/>
    <w:rPr>
      <w:rFonts w:ascii="宋体" w:hAnsi="宋体" w:eastAsia="宋体"/>
      <w:sz w:val="24"/>
    </w:rPr>
  </w:style>
  <w:style w:type="character" w:customStyle="1" w:styleId="46">
    <w:name w:val="批注主题 Char"/>
    <w:link w:val="25"/>
    <w:semiHidden/>
    <w:qFormat/>
    <w:locked/>
    <w:uiPriority w:val="0"/>
    <w:rPr>
      <w:rFonts w:ascii="Times New Roman" w:hAnsi="Times New Roman" w:eastAsia="宋体"/>
      <w:b/>
      <w:kern w:val="2"/>
      <w:sz w:val="24"/>
    </w:rPr>
  </w:style>
  <w:style w:type="character" w:customStyle="1" w:styleId="47">
    <w:name w:val="页脚 字符"/>
    <w:basedOn w:val="30"/>
    <w:qFormat/>
    <w:uiPriority w:val="99"/>
  </w:style>
  <w:style w:type="character" w:customStyle="1" w:styleId="48">
    <w:name w:val="正文文本 字符1"/>
    <w:semiHidden/>
    <w:qFormat/>
    <w:uiPriority w:val="0"/>
    <w:rPr>
      <w:rFonts w:ascii="Times New Roman" w:hAnsi="Times New Roman" w:eastAsia="宋体"/>
      <w:sz w:val="24"/>
    </w:rPr>
  </w:style>
  <w:style w:type="character" w:customStyle="1" w:styleId="49">
    <w:name w:val="表格 Char"/>
    <w:link w:val="50"/>
    <w:qFormat/>
    <w:locked/>
    <w:uiPriority w:val="0"/>
    <w:rPr>
      <w:rFonts w:ascii="宋体"/>
      <w:sz w:val="21"/>
    </w:rPr>
  </w:style>
  <w:style w:type="paragraph" w:customStyle="1" w:styleId="50">
    <w:name w:val="表格"/>
    <w:basedOn w:val="1"/>
    <w:next w:val="1"/>
    <w:link w:val="49"/>
    <w:qFormat/>
    <w:uiPriority w:val="0"/>
    <w:pPr>
      <w:adjustRightInd w:val="0"/>
      <w:snapToGrid w:val="0"/>
      <w:spacing w:beforeLines="10" w:afterLines="10" w:line="259" w:lineRule="auto"/>
      <w:jc w:val="center"/>
    </w:pPr>
    <w:rPr>
      <w:rFonts w:ascii="宋体"/>
      <w:kern w:val="0"/>
      <w:szCs w:val="20"/>
    </w:rPr>
  </w:style>
  <w:style w:type="character" w:customStyle="1" w:styleId="51">
    <w:name w:val="日期 字符"/>
    <w:semiHidden/>
    <w:qFormat/>
    <w:uiPriority w:val="0"/>
    <w:rPr>
      <w:rFonts w:ascii="Times New Roman" w:hAnsi="Times New Roman" w:eastAsia="宋体"/>
      <w:sz w:val="24"/>
    </w:rPr>
  </w:style>
  <w:style w:type="character" w:customStyle="1" w:styleId="52">
    <w:name w:val="批注文字 字符1"/>
    <w:semiHidden/>
    <w:qFormat/>
    <w:uiPriority w:val="0"/>
    <w:rPr>
      <w:rFonts w:ascii="Times New Roman" w:hAnsi="Times New Roman" w:eastAsia="宋体"/>
      <w:sz w:val="24"/>
    </w:rPr>
  </w:style>
  <w:style w:type="paragraph" w:customStyle="1" w:styleId="53">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4">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55">
    <w:name w:val="【正文】"/>
    <w:basedOn w:val="1"/>
    <w:next w:val="23"/>
    <w:qFormat/>
    <w:uiPriority w:val="0"/>
    <w:pPr>
      <w:spacing w:line="360" w:lineRule="auto"/>
      <w:ind w:firstLine="200" w:firstLineChars="200"/>
    </w:pPr>
    <w:rPr>
      <w:rFonts w:ascii="Calibri" w:hAnsi="Calibri" w:eastAsia="宋体" w:cs="Times New Roman"/>
      <w:sz w:val="24"/>
      <w:szCs w:val="24"/>
    </w:rPr>
  </w:style>
  <w:style w:type="paragraph" w:customStyle="1" w:styleId="56">
    <w:name w:val="内容"/>
    <w:basedOn w:val="1"/>
    <w:link w:val="57"/>
    <w:qFormat/>
    <w:uiPriority w:val="0"/>
    <w:pPr>
      <w:spacing w:before="156" w:beforeLines="50" w:after="156" w:afterLines="50"/>
      <w:ind w:firstLine="200" w:firstLineChars="200"/>
    </w:pPr>
    <w:rPr>
      <w:rFonts w:ascii="Calibri" w:hAnsi="Calibri" w:eastAsia="宋体" w:cs="Times New Roman"/>
      <w:color w:val="000000"/>
      <w:sz w:val="24"/>
      <w:szCs w:val="22"/>
    </w:rPr>
  </w:style>
  <w:style w:type="character" w:customStyle="1" w:styleId="57">
    <w:name w:val="内容 Char"/>
    <w:link w:val="56"/>
    <w:qFormat/>
    <w:locked/>
    <w:uiPriority w:val="0"/>
    <w:rPr>
      <w:rFonts w:ascii="Calibri" w:hAnsi="Calibri" w:eastAsia="宋体" w:cs="Times New Roman"/>
      <w:color w:val="000000"/>
      <w:sz w:val="24"/>
      <w:szCs w:val="22"/>
    </w:rPr>
  </w:style>
  <w:style w:type="character" w:customStyle="1" w:styleId="58">
    <w:name w:val="图表 Char"/>
    <w:link w:val="59"/>
    <w:qFormat/>
    <w:uiPriority w:val="0"/>
    <w:rPr>
      <w:rFonts w:ascii="Times New Roman" w:hAnsi="Times New Roman" w:eastAsia="黑体" w:cs="Times New Roman"/>
      <w:sz w:val="24"/>
      <w:szCs w:val="22"/>
    </w:rPr>
  </w:style>
  <w:style w:type="paragraph" w:customStyle="1" w:styleId="59">
    <w:name w:val="图表"/>
    <w:basedOn w:val="1"/>
    <w:link w:val="58"/>
    <w:qFormat/>
    <w:uiPriority w:val="0"/>
    <w:pPr>
      <w:spacing w:line="360" w:lineRule="auto"/>
      <w:jc w:val="center"/>
    </w:pPr>
    <w:rPr>
      <w:rFonts w:ascii="Times New Roman" w:hAnsi="Times New Roman" w:eastAsia="黑体" w:cs="Times New Roman"/>
      <w:sz w:val="24"/>
      <w:szCs w:val="22"/>
    </w:rPr>
  </w:style>
  <w:style w:type="paragraph" w:customStyle="1" w:styleId="60">
    <w:name w:val="【表中文字】"/>
    <w:basedOn w:val="61"/>
    <w:qFormat/>
    <w:uiPriority w:val="0"/>
    <w:pPr>
      <w:jc w:val="center"/>
    </w:pPr>
    <w:rPr>
      <w:rFonts w:ascii="Calibri" w:hAnsi="Calibri" w:eastAsia="宋体" w:cs="Times New Roman"/>
      <w:szCs w:val="22"/>
    </w:rPr>
  </w:style>
  <w:style w:type="paragraph" w:customStyle="1" w:styleId="61">
    <w:name w:val=".表1-1-1内容"/>
    <w:basedOn w:val="1"/>
    <w:qFormat/>
    <w:uiPriority w:val="0"/>
    <w:pPr>
      <w:spacing w:line="300" w:lineRule="exact"/>
      <w:jc w:val="center"/>
    </w:pPr>
    <w:rPr>
      <w:kern w:val="0"/>
      <w:szCs w:val="21"/>
    </w:rPr>
  </w:style>
  <w:style w:type="paragraph" w:customStyle="1" w:styleId="62">
    <w:name w:val="正文00"/>
    <w:basedOn w:val="1"/>
    <w:qFormat/>
    <w:uiPriority w:val="0"/>
    <w:pPr>
      <w:widowControl/>
      <w:spacing w:line="425" w:lineRule="atLeast"/>
      <w:ind w:left="107" w:leftChars="51" w:right="124" w:rightChars="59" w:firstLine="480"/>
      <w:textAlignment w:val="baseline"/>
    </w:pPr>
    <w:rPr>
      <w:rFonts w:ascii="Calibri" w:hAnsi="Calibri" w:eastAsia="宋体" w:cs="Times New Roman"/>
      <w:sz w:val="24"/>
      <w:szCs w:val="24"/>
    </w:rPr>
  </w:style>
  <w:style w:type="paragraph" w:customStyle="1" w:styleId="63">
    <w:name w:val="表字体"/>
    <w:basedOn w:val="1"/>
    <w:qFormat/>
    <w:uiPriority w:val="0"/>
    <w:pPr>
      <w:jc w:val="center"/>
    </w:pPr>
    <w:rPr>
      <w:rFonts w:ascii="Times New Roman" w:hAnsi="Times New Roman" w:cs="Times New Roman"/>
      <w:szCs w:val="24"/>
    </w:rPr>
  </w:style>
  <w:style w:type="paragraph" w:customStyle="1" w:styleId="64">
    <w:name w:val="表格内"/>
    <w:basedOn w:val="1"/>
    <w:qFormat/>
    <w:uiPriority w:val="0"/>
    <w:pPr>
      <w:keepNext w:val="0"/>
      <w:keepLines w:val="0"/>
      <w:widowControl w:val="0"/>
      <w:suppressLineNumbers w:val="0"/>
      <w:adjustRightInd w:val="0"/>
      <w:snapToGrid w:val="0"/>
      <w:spacing w:before="0" w:beforeAutospacing="0" w:after="0" w:afterAutospacing="0" w:line="360" w:lineRule="exact"/>
      <w:ind w:left="0" w:right="0"/>
      <w:jc w:val="center"/>
    </w:pPr>
    <w:rPr>
      <w:rFonts w:hint="default" w:ascii="Times New Roman" w:hAnsi="Times New Roman" w:cs="Times New Roman"/>
      <w:kern w:val="0"/>
      <w:sz w:val="21"/>
      <w:szCs w:val="21"/>
      <w:lang w:val="en-US" w:eastAsia="zh-CN" w:bidi="ar"/>
    </w:rPr>
  </w:style>
  <w:style w:type="paragraph" w:customStyle="1" w:styleId="65">
    <w:name w:val="表头"/>
    <w:basedOn w:val="20"/>
    <w:next w:val="66"/>
    <w:qFormat/>
    <w:uiPriority w:val="0"/>
    <w:pPr>
      <w:jc w:val="center"/>
    </w:pPr>
    <w:rPr>
      <w:rFonts w:ascii="Times New Roman" w:hAnsi="Times New Roman" w:eastAsia="宋体" w:cs="Times New Roman"/>
      <w:b/>
      <w:sz w:val="21"/>
      <w:szCs w:val="24"/>
      <w:lang w:val="en-US" w:eastAsia="zh-CN" w:bidi="ar-SA"/>
    </w:rPr>
  </w:style>
  <w:style w:type="paragraph" w:customStyle="1" w:styleId="66">
    <w:name w:val="表1"/>
    <w:next w:val="1"/>
    <w:qFormat/>
    <w:uiPriority w:val="0"/>
    <w:pPr>
      <w:adjustRightInd w:val="0"/>
      <w:snapToGrid w:val="0"/>
      <w:jc w:val="center"/>
    </w:pPr>
    <w:rPr>
      <w:rFonts w:ascii="宋体" w:hAnsi="Times New Roman" w:eastAsia="宋体" w:cs="Times New Roman"/>
      <w:sz w:val="21"/>
      <w:lang w:val="en-US" w:eastAsia="zh-CN" w:bidi="ar-SA"/>
    </w:rPr>
  </w:style>
  <w:style w:type="paragraph" w:customStyle="1" w:styleId="67">
    <w:name w:val="【表头】"/>
    <w:basedOn w:val="1"/>
    <w:next w:val="1"/>
    <w:qFormat/>
    <w:uiPriority w:val="0"/>
    <w:pPr>
      <w:spacing w:line="500" w:lineRule="atLeast"/>
      <w:ind w:firstLine="425" w:firstLineChars="177"/>
      <w:jc w:val="center"/>
    </w:pPr>
    <w:rPr>
      <w:rFonts w:ascii="宋体" w:hAnsi="宋体" w:eastAsia="宋体" w:cs="Times New Roman"/>
      <w:b/>
      <w:szCs w:val="21"/>
    </w:rPr>
  </w:style>
  <w:style w:type="paragraph" w:customStyle="1" w:styleId="68">
    <w:name w:val="表中文字（工大）"/>
    <w:basedOn w:val="1"/>
    <w:qFormat/>
    <w:uiPriority w:val="0"/>
    <w:pPr>
      <w:spacing w:line="400" w:lineRule="exact"/>
      <w:jc w:val="center"/>
    </w:pPr>
    <w:rPr>
      <w:rFonts w:eastAsia="Times New Roman"/>
      <w:kern w:val="0"/>
      <w:sz w:val="24"/>
      <w:szCs w:val="20"/>
    </w:rPr>
  </w:style>
  <w:style w:type="paragraph" w:customStyle="1" w:styleId="69">
    <w:name w:val="WPSOffice手动目录 1"/>
    <w:qFormat/>
    <w:uiPriority w:val="0"/>
    <w:pPr>
      <w:ind w:leftChars="0"/>
    </w:pPr>
    <w:rPr>
      <w:rFonts w:ascii="Times New Roman" w:hAnsi="Times New Roman" w:eastAsia="宋体" w:cs="Times New Roman"/>
      <w:sz w:val="20"/>
      <w:szCs w:val="20"/>
    </w:rPr>
  </w:style>
  <w:style w:type="paragraph" w:customStyle="1" w:styleId="70">
    <w:name w:val="..正文"/>
    <w:basedOn w:val="1"/>
    <w:qFormat/>
    <w:uiPriority w:val="0"/>
    <w:pPr>
      <w:spacing w:line="500" w:lineRule="exact"/>
      <w:ind w:firstLine="480" w:firstLineChars="200"/>
    </w:pPr>
    <w:rPr>
      <w:rFonts w:ascii="Times New Roman" w:hAnsi="Times New Roman" w:cs="Times New Roman"/>
      <w:kern w:val="0"/>
      <w:sz w:val="24"/>
      <w:szCs w:val="24"/>
    </w:rPr>
  </w:style>
  <w:style w:type="paragraph" w:customStyle="1" w:styleId="71">
    <w:name w:val="表格内容"/>
    <w:basedOn w:val="1"/>
    <w:qFormat/>
    <w:uiPriority w:val="0"/>
    <w:pPr>
      <w:spacing w:line="340" w:lineRule="exact"/>
      <w:jc w:val="center"/>
    </w:pPr>
    <w:rPr>
      <w:rFonts w:ascii="宋体" w:hAnsi="宋体" w:cs="Times New Roman"/>
      <w:szCs w:val="21"/>
      <w:lang w:val="zh-CN" w:eastAsia="zh-CN"/>
    </w:rPr>
  </w:style>
  <w:style w:type="paragraph" w:customStyle="1" w:styleId="72">
    <w:name w:val=" Char Char Char Char Char Char Char"/>
    <w:basedOn w:val="1"/>
    <w:qFormat/>
    <w:uiPriority w:val="0"/>
    <w:pPr>
      <w:spacing w:line="360" w:lineRule="auto"/>
      <w:ind w:firstLine="200" w:firstLineChars="200"/>
    </w:pPr>
    <w:rPr>
      <w:rFonts w:ascii="宋体" w:hAnsi="宋体" w:cs="宋体"/>
      <w:sz w:val="24"/>
    </w:rPr>
  </w:style>
  <w:style w:type="paragraph" w:customStyle="1" w:styleId="73">
    <w:name w:val="Table Paragraph"/>
    <w:basedOn w:val="1"/>
    <w:qFormat/>
    <w:uiPriority w:val="1"/>
    <w:pPr>
      <w:jc w:val="center"/>
    </w:pPr>
    <w:rPr>
      <w:rFonts w:ascii="Times New Roman" w:hAnsi="Times New Roman" w:eastAsia="Times New Roman" w:cs="Times New Roman"/>
      <w:lang w:val="zh-CN" w:eastAsia="zh-CN" w:bidi="zh-CN"/>
    </w:rPr>
  </w:style>
  <w:style w:type="character" w:customStyle="1" w:styleId="74">
    <w:name w:val="font41"/>
    <w:basedOn w:val="30"/>
    <w:qFormat/>
    <w:uiPriority w:val="0"/>
    <w:rPr>
      <w:rFonts w:hint="eastAsia" w:ascii="宋体" w:hAnsi="宋体" w:eastAsia="宋体" w:cs="宋体"/>
      <w:color w:val="000000"/>
      <w:sz w:val="24"/>
      <w:szCs w:val="24"/>
      <w:u w:val="none"/>
    </w:rPr>
  </w:style>
  <w:style w:type="paragraph" w:customStyle="1" w:styleId="75">
    <w:name w:val="表格文字！！！！"/>
    <w:basedOn w:val="1"/>
    <w:qFormat/>
    <w:uiPriority w:val="0"/>
    <w:pPr>
      <w:keepNext w:val="0"/>
      <w:keepLines w:val="0"/>
      <w:widowControl w:val="0"/>
      <w:suppressLineNumbers w:val="0"/>
      <w:spacing w:before="0" w:beforeAutospacing="0" w:after="0" w:afterAutospacing="0" w:line="240" w:lineRule="auto"/>
      <w:ind w:left="0" w:right="0" w:firstLine="0" w:firstLineChars="0"/>
      <w:jc w:val="center"/>
    </w:pPr>
    <w:rPr>
      <w:rFonts w:hint="default" w:ascii="Times New Roman" w:hAnsi="Times New Roman" w:eastAsia="宋体" w:cs="Times New Roman"/>
      <w:kern w:val="2"/>
      <w:sz w:val="21"/>
      <w:szCs w:val="21"/>
      <w:lang w:val="en-US" w:eastAsia="zh-CN" w:bidi="ar"/>
    </w:rPr>
  </w:style>
  <w:style w:type="character" w:customStyle="1" w:styleId="76">
    <w:name w:val="NormalCharacter"/>
    <w:semiHidden/>
    <w:qFormat/>
    <w:uiPriority w:val="0"/>
  </w:style>
  <w:style w:type="character" w:customStyle="1" w:styleId="77">
    <w:name w:val="正文缩进 Char"/>
    <w:link w:val="9"/>
    <w:qFormat/>
    <w:uiPriority w:val="0"/>
    <w:rPr>
      <w:rFonts w:ascii="Calibri" w:hAnsi="Calibri" w:cs="宋体"/>
      <w:szCs w:val="21"/>
    </w:rPr>
  </w:style>
  <w:style w:type="paragraph" w:customStyle="1" w:styleId="78">
    <w:name w:val="a表格"/>
    <w:basedOn w:val="1"/>
    <w:qFormat/>
    <w:uiPriority w:val="0"/>
    <w:pPr>
      <w:ind w:right="-105" w:rightChars="-50"/>
      <w:jc w:val="center"/>
    </w:pPr>
    <w:rPr>
      <w:kern w:val="0"/>
      <w:szCs w:val="21"/>
      <w:lang w:val="zh-CN" w:eastAsia="zh-CN"/>
    </w:rPr>
  </w:style>
  <w:style w:type="table" w:customStyle="1" w:styleId="79">
    <w:name w:val="Table Normal"/>
    <w:semiHidden/>
    <w:unhideWhenUsed/>
    <w:qFormat/>
    <w:uiPriority w:val="0"/>
    <w:tblPr>
      <w:tblCellMar>
        <w:top w:w="0" w:type="dxa"/>
        <w:left w:w="0" w:type="dxa"/>
        <w:bottom w:w="0" w:type="dxa"/>
        <w:right w:w="0" w:type="dxa"/>
      </w:tblCellMar>
    </w:tblPr>
  </w:style>
  <w:style w:type="paragraph" w:customStyle="1" w:styleId="80">
    <w:name w:val="正文(首行缩进)"/>
    <w:basedOn w:val="1"/>
    <w:unhideWhenUsed/>
    <w:qFormat/>
    <w:uiPriority w:val="0"/>
    <w:pPr>
      <w:spacing w:beforeLines="0" w:afterLines="0" w:line="360" w:lineRule="auto"/>
      <w:ind w:firstLine="510"/>
    </w:pPr>
    <w:rPr>
      <w:rFonts w:hint="eastAsia" w:ascii="宋体" w:hAnsi="宋体" w:eastAsia="宋体"/>
      <w:snapToGrid w:val="0"/>
      <w:kern w:val="0"/>
      <w:sz w:val="24"/>
      <w:szCs w:val="24"/>
    </w:rPr>
  </w:style>
  <w:style w:type="paragraph" w:customStyle="1" w:styleId="81">
    <w:name w:val="表格文字"/>
    <w:basedOn w:val="14"/>
    <w:next w:val="1"/>
    <w:qFormat/>
    <w:uiPriority w:val="0"/>
    <w:pPr>
      <w:spacing w:line="240" w:lineRule="auto"/>
      <w:ind w:firstLine="0"/>
      <w:jc w:val="center"/>
    </w:pPr>
    <w:rPr>
      <w:rFonts w:ascii="Times New Roman" w:hAnsi="Times New Roman"/>
      <w:sz w:val="21"/>
    </w:rPr>
  </w:style>
  <w:style w:type="character" w:customStyle="1" w:styleId="82">
    <w:name w:val="font31"/>
    <w:basedOn w:val="30"/>
    <w:qFormat/>
    <w:uiPriority w:val="0"/>
    <w:rPr>
      <w:rFonts w:hint="eastAsia" w:ascii="宋体" w:hAnsi="宋体" w:eastAsia="宋体" w:cs="宋体"/>
      <w:color w:val="000000"/>
      <w:sz w:val="24"/>
      <w:szCs w:val="24"/>
      <w:u w:val="none"/>
    </w:rPr>
  </w:style>
  <w:style w:type="character" w:customStyle="1" w:styleId="83">
    <w:name w:val="font21"/>
    <w:basedOn w:val="30"/>
    <w:qFormat/>
    <w:uiPriority w:val="0"/>
    <w:rPr>
      <w:rFonts w:hint="default" w:ascii="Times New Roman" w:hAnsi="Times New Roman" w:cs="Times New Roman"/>
      <w:color w:val="000000"/>
      <w:sz w:val="24"/>
      <w:szCs w:val="24"/>
      <w:u w:val="none"/>
    </w:rPr>
  </w:style>
  <w:style w:type="character" w:customStyle="1" w:styleId="84">
    <w:name w:val="font51"/>
    <w:basedOn w:val="30"/>
    <w:qFormat/>
    <w:uiPriority w:val="0"/>
    <w:rPr>
      <w:rFonts w:hint="eastAsia" w:ascii="宋体" w:hAnsi="宋体" w:eastAsia="宋体" w:cs="宋体"/>
      <w:color w:val="000000"/>
      <w:sz w:val="21"/>
      <w:szCs w:val="21"/>
      <w:u w:val="none"/>
    </w:rPr>
  </w:style>
  <w:style w:type="character" w:customStyle="1" w:styleId="85">
    <w:name w:val="font71"/>
    <w:basedOn w:val="30"/>
    <w:qFormat/>
    <w:uiPriority w:val="0"/>
    <w:rPr>
      <w:rFonts w:hint="default" w:ascii="Times New Roman" w:hAnsi="Times New Roman" w:cs="Times New Roman"/>
      <w:color w:val="FF0000"/>
      <w:sz w:val="21"/>
      <w:szCs w:val="21"/>
      <w:u w:val="none"/>
    </w:rPr>
  </w:style>
  <w:style w:type="character" w:customStyle="1" w:styleId="86">
    <w:name w:val="font01"/>
    <w:basedOn w:val="30"/>
    <w:qFormat/>
    <w:uiPriority w:val="0"/>
    <w:rPr>
      <w:rFonts w:hint="eastAsia" w:ascii="宋体" w:hAnsi="宋体" w:eastAsia="宋体" w:cs="宋体"/>
      <w:color w:val="FF0000"/>
      <w:sz w:val="21"/>
      <w:szCs w:val="21"/>
      <w:u w:val="none"/>
    </w:rPr>
  </w:style>
  <w:style w:type="character" w:customStyle="1" w:styleId="87">
    <w:name w:val="font61"/>
    <w:basedOn w:val="30"/>
    <w:qFormat/>
    <w:uiPriority w:val="0"/>
    <w:rPr>
      <w:rFonts w:hint="default" w:ascii="Times New Roman" w:hAnsi="Times New Roman" w:cs="Times New Roman"/>
      <w:color w:val="FF0000"/>
      <w:sz w:val="21"/>
      <w:szCs w:val="21"/>
      <w:u w:val="none"/>
    </w:rPr>
  </w:style>
  <w:style w:type="character" w:customStyle="1" w:styleId="88">
    <w:name w:val="font81"/>
    <w:basedOn w:val="30"/>
    <w:qFormat/>
    <w:uiPriority w:val="0"/>
    <w:rPr>
      <w:rFonts w:hint="default" w:ascii="Times New Roman" w:hAnsi="Times New Roman" w:cs="Times New Roman"/>
      <w:color w:val="FF0000"/>
      <w:sz w:val="21"/>
      <w:szCs w:val="21"/>
      <w:u w:val="none"/>
      <w:vertAlign w:val="subscript"/>
    </w:rPr>
  </w:style>
  <w:style w:type="paragraph" w:customStyle="1" w:styleId="89">
    <w:name w:val="Other|1"/>
    <w:basedOn w:val="1"/>
    <w:qFormat/>
    <w:uiPriority w:val="0"/>
    <w:pPr>
      <w:widowControl w:val="0"/>
      <w:shd w:val="clear" w:color="auto" w:fill="auto"/>
      <w:spacing w:line="439" w:lineRule="auto"/>
      <w:ind w:firstLine="400"/>
    </w:pPr>
    <w:rPr>
      <w:rFonts w:ascii="宋体" w:hAnsi="宋体" w:eastAsia="宋体" w:cs="宋体"/>
      <w:u w:val="none"/>
      <w:shd w:val="clear" w:color="auto" w:fill="auto"/>
      <w:lang w:val="zh-TW" w:eastAsia="zh-TW" w:bidi="zh-TW"/>
    </w:rPr>
  </w:style>
  <w:style w:type="paragraph" w:customStyle="1" w:styleId="90">
    <w:name w:val="表格标题"/>
    <w:basedOn w:val="91"/>
    <w:next w:val="91"/>
    <w:qFormat/>
    <w:uiPriority w:val="0"/>
    <w:pPr>
      <w:numPr>
        <w:ilvl w:val="0"/>
        <w:numId w:val="2"/>
      </w:numPr>
      <w:tabs>
        <w:tab w:val="left" w:pos="567"/>
      </w:tabs>
      <w:spacing w:line="240" w:lineRule="auto"/>
      <w:ind w:firstLineChars="0"/>
      <w:jc w:val="center"/>
    </w:pPr>
    <w:rPr>
      <w:rFonts w:ascii="Times New Roman" w:hAnsi="Times New Roman" w:eastAsia="宋体" w:cs="Times New Roman"/>
      <w:b/>
      <w:sz w:val="24"/>
    </w:rPr>
  </w:style>
  <w:style w:type="paragraph" w:customStyle="1" w:styleId="91">
    <w:name w:val="正文1"/>
    <w:basedOn w:val="92"/>
    <w:qFormat/>
    <w:uiPriority w:val="0"/>
    <w:pPr>
      <w:tabs>
        <w:tab w:val="left" w:pos="567"/>
      </w:tabs>
      <w:autoSpaceDE w:val="0"/>
      <w:autoSpaceDN w:val="0"/>
      <w:snapToGrid w:val="0"/>
      <w:spacing w:line="360" w:lineRule="auto"/>
      <w:ind w:firstLine="720" w:firstLineChars="200"/>
      <w:jc w:val="both"/>
    </w:pPr>
    <w:rPr>
      <w:rFonts w:hAnsi="宋体" w:cs="宋体"/>
      <w:sz w:val="21"/>
      <w:szCs w:val="21"/>
    </w:rPr>
  </w:style>
  <w:style w:type="paragraph" w:customStyle="1" w:styleId="92">
    <w:name w:val="正文11"/>
    <w:qFormat/>
    <w:uiPriority w:val="0"/>
    <w:pPr>
      <w:widowControl w:val="0"/>
      <w:tabs>
        <w:tab w:val="left" w:pos="567"/>
      </w:tabs>
      <w:adjustRightInd w:val="0"/>
      <w:spacing w:line="360" w:lineRule="atLeast"/>
      <w:ind w:left="567" w:hanging="567"/>
      <w:textAlignment w:val="baseline"/>
    </w:pPr>
    <w:rPr>
      <w:rFonts w:ascii="宋体" w:hAnsi="Times New Roman" w:eastAsia="宋体" w:cs="Times New Roman"/>
      <w:sz w:val="24"/>
      <w:lang w:val="en-US" w:eastAsia="zh-CN" w:bidi="ar-SA"/>
    </w:rPr>
  </w:style>
  <w:style w:type="paragraph" w:customStyle="1" w:styleId="93">
    <w:name w:val="Table Text"/>
    <w:basedOn w:val="1"/>
    <w:semiHidden/>
    <w:qFormat/>
    <w:uiPriority w:val="0"/>
    <w:rPr>
      <w:rFonts w:ascii="宋体" w:hAnsi="宋体" w:eastAsia="宋体" w:cs="宋体"/>
      <w:sz w:val="20"/>
      <w:szCs w:val="20"/>
      <w:lang w:val="en-US" w:eastAsia="en-US" w:bidi="ar-SA"/>
    </w:rPr>
  </w:style>
  <w:style w:type="paragraph" w:customStyle="1" w:styleId="94">
    <w:name w:val="雪表头"/>
    <w:basedOn w:val="1"/>
    <w:next w:val="1"/>
    <w:qFormat/>
    <w:uiPriority w:val="0"/>
    <w:pPr>
      <w:keepNext/>
      <w:spacing w:line="500" w:lineRule="exact"/>
      <w:jc w:val="center"/>
    </w:pPr>
    <w:rPr>
      <w:rFonts w:hint="default" w:ascii="Times New Roman" w:eastAsia="黑体"/>
      <w:kern w:val="2"/>
      <w:szCs w:val="24"/>
    </w:rPr>
  </w:style>
  <w:style w:type="paragraph" w:customStyle="1" w:styleId="95">
    <w:name w:val="雪表文"/>
    <w:basedOn w:val="1"/>
    <w:qFormat/>
    <w:uiPriority w:val="0"/>
    <w:pPr>
      <w:spacing w:line="360" w:lineRule="exact"/>
      <w:ind w:firstLine="0" w:firstLineChars="0"/>
      <w:jc w:val="center"/>
      <w:textAlignment w:val="center"/>
    </w:pPr>
    <w:rPr>
      <w:rFonts w:ascii="Times New Roman" w:hAnsi="Times New Roman" w:eastAsia="宋体"/>
      <w:bCs/>
      <w:iCs/>
      <w:sz w:val="21"/>
      <w:szCs w:val="28"/>
    </w:rPr>
  </w:style>
  <w:style w:type="paragraph" w:customStyle="1" w:styleId="96">
    <w:name w:val="首行缩进表格正文"/>
    <w:basedOn w:val="1"/>
    <w:qFormat/>
    <w:uiPriority w:val="0"/>
    <w:pPr>
      <w:spacing w:line="360" w:lineRule="auto"/>
      <w:ind w:firstLine="720" w:firstLineChars="200"/>
      <w:jc w:val="left"/>
    </w:pPr>
    <w:rPr>
      <w:rFonts w:ascii="Times New Roman" w:hAnsi="Times New Roman" w:eastAsia="宋体"/>
      <w:sz w:val="24"/>
    </w:rPr>
  </w:style>
  <w:style w:type="paragraph" w:customStyle="1" w:styleId="97">
    <w:name w:val="正文----------------"/>
    <w:basedOn w:val="1"/>
    <w:qFormat/>
    <w:uiPriority w:val="0"/>
    <w:pPr>
      <w:spacing w:line="440" w:lineRule="exact"/>
      <w:ind w:firstLine="544" w:firstLineChars="200"/>
    </w:pPr>
    <w:rPr>
      <w:rFonts w:cs="宋体"/>
      <w:spacing w:val="16"/>
      <w:sz w:val="24"/>
    </w:rPr>
  </w:style>
  <w:style w:type="paragraph" w:styleId="98">
    <w:name w:val="No Spacing"/>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9">
    <w:name w:val="表体"/>
    <w:basedOn w:val="2"/>
    <w:qFormat/>
    <w:uiPriority w:val="0"/>
    <w:pPr>
      <w:overflowPunct w:val="0"/>
      <w:adjustRightInd w:val="0"/>
      <w:spacing w:before="40" w:after="40" w:line="240" w:lineRule="auto"/>
      <w:ind w:firstLine="0" w:firstLineChars="0"/>
      <w:jc w:val="center"/>
      <w:textAlignment w:val="baseline"/>
    </w:pPr>
    <w:rPr>
      <w:rFonts w:ascii="宋体"/>
      <w:color w:val="000080"/>
      <w:kern w:val="24"/>
      <w:szCs w:val="20"/>
    </w:rPr>
  </w:style>
  <w:style w:type="paragraph" w:customStyle="1" w:styleId="100">
    <w:name w:val="baby-正文"/>
    <w:basedOn w:val="2"/>
    <w:next w:val="18"/>
    <w:qFormat/>
    <w:uiPriority w:val="0"/>
    <w:rPr>
      <w:rFonts w:ascii="仿宋_GB2312" w:hAnsi="宋体"/>
      <w:bCs/>
      <w:sz w:val="30"/>
    </w:rPr>
  </w:style>
  <w:style w:type="paragraph" w:customStyle="1" w:styleId="101">
    <w:name w:val="xl27"/>
    <w:basedOn w:val="1"/>
    <w:qFormat/>
    <w:uiPriority w:val="99"/>
    <w:pPr>
      <w:widowControl/>
      <w:pBdr>
        <w:top w:val="single" w:color="auto" w:sz="8" w:space="0"/>
        <w:left w:val="single" w:color="auto" w:sz="8" w:space="0"/>
        <w:right w:val="single" w:color="auto" w:sz="8" w:space="0"/>
      </w:pBdr>
      <w:spacing w:before="100" w:beforeAutospacing="1" w:after="100" w:afterAutospacing="1"/>
      <w:jc w:val="center"/>
    </w:pPr>
    <w:rPr>
      <w:rFonts w:ascii="Arial Unicode MS" w:hAnsi="Arial Unicode MS" w:eastAsia="Arial Unicode MS"/>
      <w:sz w:val="22"/>
      <w:szCs w:val="22"/>
    </w:rPr>
  </w:style>
  <w:style w:type="paragraph" w:customStyle="1" w:styleId="102">
    <w:name w:val="- 页码 -"/>
    <w:qFormat/>
    <w:uiPriority w:val="0"/>
    <w:pPr>
      <w:widowControl w:val="0"/>
      <w:spacing w:line="360" w:lineRule="auto"/>
      <w:ind w:firstLine="200" w:firstLineChars="200"/>
      <w:jc w:val="both"/>
    </w:pPr>
    <w:rPr>
      <w:rFonts w:ascii="Calibri" w:hAnsi="Calibri" w:eastAsia="宋体" w:cs="Times New Roman"/>
      <w:kern w:val="2"/>
      <w:sz w:val="24"/>
      <w:lang w:val="en-US" w:eastAsia="zh-CN" w:bidi="ar-SA"/>
    </w:rPr>
  </w:style>
  <w:style w:type="paragraph" w:customStyle="1" w:styleId="103">
    <w:name w:val="00【表头】"/>
    <w:basedOn w:val="1"/>
    <w:qFormat/>
    <w:uiPriority w:val="0"/>
    <w:pPr>
      <w:adjustRightInd w:val="0"/>
      <w:snapToGrid w:val="0"/>
      <w:jc w:val="center"/>
    </w:pPr>
    <w:rPr>
      <w:rFonts w:ascii="Times New Roman" w:hAnsi="Times New Roman" w:eastAsia="宋体"/>
      <w:b/>
      <w:sz w:val="24"/>
    </w:rPr>
  </w:style>
  <w:style w:type="paragraph" w:customStyle="1" w:styleId="104">
    <w:name w:val="表格题目"/>
    <w:basedOn w:val="1"/>
    <w:qFormat/>
    <w:uiPriority w:val="0"/>
    <w:pPr>
      <w:spacing w:line="240" w:lineRule="atLeast"/>
      <w:jc w:val="center"/>
    </w:pPr>
    <w:rPr>
      <w:rFonts w:ascii="黑体" w:hAnsi="宋体" w:eastAsia="黑体"/>
      <w:sz w:val="24"/>
    </w:rPr>
  </w:style>
  <w:style w:type="paragraph" w:customStyle="1" w:styleId="105">
    <w:name w:val="盂县"/>
    <w:basedOn w:val="1"/>
    <w:qFormat/>
    <w:uiPriority w:val="0"/>
    <w:pPr>
      <w:adjustRightInd w:val="0"/>
      <w:snapToGrid w:val="0"/>
      <w:spacing w:line="312" w:lineRule="auto"/>
      <w:ind w:firstLine="560" w:firstLineChars="200"/>
    </w:pPr>
    <w:rPr>
      <w:sz w:val="28"/>
    </w:rPr>
  </w:style>
  <w:style w:type="paragraph" w:customStyle="1" w:styleId="106">
    <w:name w:val="列出段落1"/>
    <w:basedOn w:val="1"/>
    <w:qFormat/>
    <w:uiPriority w:val="34"/>
    <w:pPr>
      <w:ind w:firstLine="420"/>
    </w:pPr>
  </w:style>
  <w:style w:type="paragraph" w:customStyle="1" w:styleId="107">
    <w:name w:val="我的正文"/>
    <w:basedOn w:val="1"/>
    <w:qFormat/>
    <w:uiPriority w:val="0"/>
    <w:pPr>
      <w:adjustRightInd w:val="0"/>
      <w:snapToGrid w:val="0"/>
      <w:spacing w:line="480" w:lineRule="exact"/>
      <w:ind w:firstLine="720" w:firstLineChars="200"/>
      <w:jc w:val="left"/>
    </w:pPr>
    <w:rPr>
      <w:rFonts w:ascii="Times New Roman" w:hAnsi="Times New Roman" w:eastAsia="宋体" w:cs="宋体"/>
      <w:bCs/>
      <w:szCs w:val="21"/>
    </w:rPr>
  </w:style>
  <w:style w:type="paragraph" w:customStyle="1" w:styleId="108">
    <w:name w:val="a正文"/>
    <w:basedOn w:val="109"/>
    <w:qFormat/>
    <w:uiPriority w:val="0"/>
    <w:pPr>
      <w:spacing w:line="520" w:lineRule="exact"/>
      <w:ind w:firstLine="200"/>
    </w:pPr>
    <w:rPr>
      <w:kern w:val="0"/>
      <w:szCs w:val="20"/>
    </w:rPr>
  </w:style>
  <w:style w:type="paragraph" w:customStyle="1" w:styleId="109">
    <w:name w:val="正文格式"/>
    <w:basedOn w:val="1"/>
    <w:next w:val="1"/>
    <w:qFormat/>
    <w:uiPriority w:val="0"/>
    <w:pPr>
      <w:spacing w:line="360" w:lineRule="auto"/>
      <w:ind w:firstLine="482"/>
    </w:pPr>
    <w:rPr>
      <w:sz w:val="24"/>
    </w:rPr>
  </w:style>
  <w:style w:type="paragraph" w:customStyle="1" w:styleId="110">
    <w:name w:val="Huo 小四缩进2"/>
    <w:basedOn w:val="1"/>
    <w:qFormat/>
    <w:uiPriority w:val="0"/>
    <w:pPr>
      <w:adjustRightInd w:val="0"/>
      <w:spacing w:line="360" w:lineRule="auto"/>
      <w:ind w:firstLine="480" w:firstLineChars="200"/>
    </w:pPr>
    <w:rPr>
      <w:rFonts w:cs="Times New Roman"/>
      <w:sz w:val="24"/>
    </w:rPr>
  </w:style>
  <w:style w:type="paragraph" w:customStyle="1" w:styleId="111">
    <w:name w:val="0正文"/>
    <w:basedOn w:val="1"/>
    <w:qFormat/>
    <w:uiPriority w:val="0"/>
    <w:pPr>
      <w:spacing w:line="360" w:lineRule="auto"/>
      <w:ind w:firstLine="480" w:firstLineChars="200"/>
    </w:pPr>
    <w:rPr>
      <w:rFonts w:ascii="Calibri" w:hAnsi="Calibri"/>
      <w:sz w:val="24"/>
      <w:szCs w:val="20"/>
    </w:rPr>
  </w:style>
  <w:style w:type="paragraph" w:customStyle="1" w:styleId="112">
    <w:name w:val="表头1"/>
    <w:basedOn w:val="65"/>
    <w:next w:val="1"/>
    <w:qFormat/>
    <w:uiPriority w:val="0"/>
    <w:pPr>
      <w:spacing w:line="240" w:lineRule="auto"/>
      <w:ind w:firstLine="0" w:firstLineChars="0"/>
    </w:pPr>
  </w:style>
  <w:style w:type="paragraph" w:customStyle="1" w:styleId="113">
    <w:name w:val="环评正文"/>
    <w:basedOn w:val="1"/>
    <w:qFormat/>
    <w:uiPriority w:val="0"/>
    <w:pPr>
      <w:spacing w:line="360" w:lineRule="auto"/>
      <w:ind w:firstLine="200" w:firstLineChars="200"/>
    </w:pPr>
    <w:rPr>
      <w:rFonts w:ascii="Cambria Math" w:hAnsi="Cambria Math" w:eastAsia="Arial" w:cs="Cambria Math"/>
      <w:sz w:val="24"/>
      <w:szCs w:val="24"/>
    </w:rPr>
  </w:style>
  <w:style w:type="character" w:customStyle="1" w:styleId="114">
    <w:name w:val="font11"/>
    <w:basedOn w:val="30"/>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97" Type="http://schemas.openxmlformats.org/officeDocument/2006/relationships/fontTable" Target="fontTable.xml"/><Relationship Id="rId96" Type="http://schemas.openxmlformats.org/officeDocument/2006/relationships/numbering" Target="numbering.xml"/><Relationship Id="rId95" Type="http://schemas.openxmlformats.org/officeDocument/2006/relationships/customXml" Target="../customXml/item1.xml"/><Relationship Id="rId94" Type="http://schemas.openxmlformats.org/officeDocument/2006/relationships/image" Target="media/image82.png"/><Relationship Id="rId93" Type="http://schemas.openxmlformats.org/officeDocument/2006/relationships/image" Target="media/image81.png"/><Relationship Id="rId92" Type="http://schemas.openxmlformats.org/officeDocument/2006/relationships/image" Target="media/image80.jpeg"/><Relationship Id="rId91" Type="http://schemas.openxmlformats.org/officeDocument/2006/relationships/image" Target="media/image79.png"/><Relationship Id="rId90" Type="http://schemas.openxmlformats.org/officeDocument/2006/relationships/image" Target="media/image78.png"/><Relationship Id="rId9" Type="http://schemas.openxmlformats.org/officeDocument/2006/relationships/footer" Target="footer7.xml"/><Relationship Id="rId89" Type="http://schemas.openxmlformats.org/officeDocument/2006/relationships/image" Target="media/image77.png"/><Relationship Id="rId88" Type="http://schemas.openxmlformats.org/officeDocument/2006/relationships/image" Target="media/image76.png"/><Relationship Id="rId87" Type="http://schemas.openxmlformats.org/officeDocument/2006/relationships/image" Target="media/image75.png"/><Relationship Id="rId86" Type="http://schemas.openxmlformats.org/officeDocument/2006/relationships/image" Target="media/image74.png"/><Relationship Id="rId85" Type="http://schemas.openxmlformats.org/officeDocument/2006/relationships/image" Target="media/image73.png"/><Relationship Id="rId84" Type="http://schemas.openxmlformats.org/officeDocument/2006/relationships/image" Target="media/image72.png"/><Relationship Id="rId83" Type="http://schemas.openxmlformats.org/officeDocument/2006/relationships/image" Target="media/image71.png"/><Relationship Id="rId82" Type="http://schemas.openxmlformats.org/officeDocument/2006/relationships/image" Target="media/image70.png"/><Relationship Id="rId81" Type="http://schemas.openxmlformats.org/officeDocument/2006/relationships/image" Target="media/image69.png"/><Relationship Id="rId80" Type="http://schemas.openxmlformats.org/officeDocument/2006/relationships/image" Target="media/image68.png"/><Relationship Id="rId8" Type="http://schemas.openxmlformats.org/officeDocument/2006/relationships/footer" Target="footer6.xml"/><Relationship Id="rId79" Type="http://schemas.openxmlformats.org/officeDocument/2006/relationships/image" Target="media/image67.png"/><Relationship Id="rId78" Type="http://schemas.openxmlformats.org/officeDocument/2006/relationships/image" Target="media/image66.png"/><Relationship Id="rId77" Type="http://schemas.openxmlformats.org/officeDocument/2006/relationships/image" Target="media/image65.png"/><Relationship Id="rId76" Type="http://schemas.openxmlformats.org/officeDocument/2006/relationships/image" Target="media/image64.png"/><Relationship Id="rId75" Type="http://schemas.openxmlformats.org/officeDocument/2006/relationships/image" Target="media/image63.png"/><Relationship Id="rId74" Type="http://schemas.openxmlformats.org/officeDocument/2006/relationships/image" Target="media/image62.png"/><Relationship Id="rId73" Type="http://schemas.openxmlformats.org/officeDocument/2006/relationships/image" Target="media/image61.png"/><Relationship Id="rId72" Type="http://schemas.openxmlformats.org/officeDocument/2006/relationships/image" Target="media/image60.png"/><Relationship Id="rId71" Type="http://schemas.openxmlformats.org/officeDocument/2006/relationships/image" Target="media/image59.png"/><Relationship Id="rId70" Type="http://schemas.openxmlformats.org/officeDocument/2006/relationships/image" Target="media/image58.png"/><Relationship Id="rId7" Type="http://schemas.openxmlformats.org/officeDocument/2006/relationships/footer" Target="footer5.xml"/><Relationship Id="rId69" Type="http://schemas.openxmlformats.org/officeDocument/2006/relationships/image" Target="media/image57.png"/><Relationship Id="rId68" Type="http://schemas.openxmlformats.org/officeDocument/2006/relationships/image" Target="media/image56.png"/><Relationship Id="rId67" Type="http://schemas.openxmlformats.org/officeDocument/2006/relationships/image" Target="media/image55.png"/><Relationship Id="rId66" Type="http://schemas.openxmlformats.org/officeDocument/2006/relationships/image" Target="media/image54.png"/><Relationship Id="rId65" Type="http://schemas.openxmlformats.org/officeDocument/2006/relationships/image" Target="media/image53.png"/><Relationship Id="rId64" Type="http://schemas.openxmlformats.org/officeDocument/2006/relationships/image" Target="media/image52.png"/><Relationship Id="rId63" Type="http://schemas.openxmlformats.org/officeDocument/2006/relationships/image" Target="media/image51.png"/><Relationship Id="rId62" Type="http://schemas.openxmlformats.org/officeDocument/2006/relationships/image" Target="media/image50.png"/><Relationship Id="rId61" Type="http://schemas.openxmlformats.org/officeDocument/2006/relationships/image" Target="media/image49.png"/><Relationship Id="rId60" Type="http://schemas.openxmlformats.org/officeDocument/2006/relationships/image" Target="media/image48.png"/><Relationship Id="rId6" Type="http://schemas.openxmlformats.org/officeDocument/2006/relationships/footer" Target="footer4.xml"/><Relationship Id="rId59" Type="http://schemas.openxmlformats.org/officeDocument/2006/relationships/image" Target="media/image47.png"/><Relationship Id="rId58" Type="http://schemas.openxmlformats.org/officeDocument/2006/relationships/image" Target="media/image46.png"/><Relationship Id="rId57" Type="http://schemas.openxmlformats.org/officeDocument/2006/relationships/image" Target="media/image45.png"/><Relationship Id="rId56" Type="http://schemas.openxmlformats.org/officeDocument/2006/relationships/image" Target="media/image44.png"/><Relationship Id="rId55" Type="http://schemas.openxmlformats.org/officeDocument/2006/relationships/image" Target="media/image43.png"/><Relationship Id="rId54" Type="http://schemas.openxmlformats.org/officeDocument/2006/relationships/image" Target="media/image42.png"/><Relationship Id="rId53" Type="http://schemas.openxmlformats.org/officeDocument/2006/relationships/image" Target="media/image41.png"/><Relationship Id="rId52" Type="http://schemas.openxmlformats.org/officeDocument/2006/relationships/image" Target="media/image40.png"/><Relationship Id="rId51" Type="http://schemas.openxmlformats.org/officeDocument/2006/relationships/image" Target="media/image39.png"/><Relationship Id="rId50" Type="http://schemas.openxmlformats.org/officeDocument/2006/relationships/image" Target="media/image38.png"/><Relationship Id="rId5" Type="http://schemas.openxmlformats.org/officeDocument/2006/relationships/footer" Target="footer3.xml"/><Relationship Id="rId49" Type="http://schemas.openxmlformats.org/officeDocument/2006/relationships/image" Target="media/image37.png"/><Relationship Id="rId48" Type="http://schemas.openxmlformats.org/officeDocument/2006/relationships/image" Target="media/image36.png"/><Relationship Id="rId47" Type="http://schemas.openxmlformats.org/officeDocument/2006/relationships/image" Target="media/image35.png"/><Relationship Id="rId46" Type="http://schemas.openxmlformats.org/officeDocument/2006/relationships/image" Target="media/image34.png"/><Relationship Id="rId45" Type="http://schemas.openxmlformats.org/officeDocument/2006/relationships/image" Target="media/image33.png"/><Relationship Id="rId44" Type="http://schemas.openxmlformats.org/officeDocument/2006/relationships/image" Target="media/image32.png"/><Relationship Id="rId43" Type="http://schemas.openxmlformats.org/officeDocument/2006/relationships/image" Target="media/image31.png"/><Relationship Id="rId42" Type="http://schemas.openxmlformats.org/officeDocument/2006/relationships/image" Target="media/image30.png"/><Relationship Id="rId41" Type="http://schemas.openxmlformats.org/officeDocument/2006/relationships/image" Target="media/image29.png"/><Relationship Id="rId40" Type="http://schemas.openxmlformats.org/officeDocument/2006/relationships/image" Target="media/image28.png"/><Relationship Id="rId4" Type="http://schemas.openxmlformats.org/officeDocument/2006/relationships/footer" Target="footer2.xml"/><Relationship Id="rId39" Type="http://schemas.openxmlformats.org/officeDocument/2006/relationships/image" Target="media/image27.png"/><Relationship Id="rId38" Type="http://schemas.openxmlformats.org/officeDocument/2006/relationships/image" Target="media/image26.png"/><Relationship Id="rId37" Type="http://schemas.openxmlformats.org/officeDocument/2006/relationships/image" Target="media/image25.png"/><Relationship Id="rId36" Type="http://schemas.openxmlformats.org/officeDocument/2006/relationships/image" Target="media/image24.png"/><Relationship Id="rId35" Type="http://schemas.openxmlformats.org/officeDocument/2006/relationships/image" Target="media/image23.png"/><Relationship Id="rId34" Type="http://schemas.openxmlformats.org/officeDocument/2006/relationships/image" Target="media/image22.png"/><Relationship Id="rId33" Type="http://schemas.openxmlformats.org/officeDocument/2006/relationships/image" Target="media/image21.png"/><Relationship Id="rId32" Type="http://schemas.openxmlformats.org/officeDocument/2006/relationships/image" Target="media/image20.png"/><Relationship Id="rId31" Type="http://schemas.openxmlformats.org/officeDocument/2006/relationships/image" Target="media/image19.png"/><Relationship Id="rId30" Type="http://schemas.openxmlformats.org/officeDocument/2006/relationships/image" Target="media/image18.png"/><Relationship Id="rId3" Type="http://schemas.openxmlformats.org/officeDocument/2006/relationships/footer" Target="footer1.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8.xml"/><Relationship Id="rId10" Type="http://schemas.openxmlformats.org/officeDocument/2006/relationships/header" Target="header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extobjs>
    <extobj name="ECB019B1-382A-4266-B25C-5B523AA43C14-1">
      <extobjdata type="ECB019B1-382A-4266-B25C-5B523AA43C14" data="ewoJIkZpbGVJZCIgOiAiMjY2MzA5NDI0OTYxIiwKCSJHcm91cElkIiA6ICI2ODA0MDE1MTEiLAoJIkltYWdlIiA6ICJpVkJPUncwS0dnb0FBQUFOU1VoRVVnQUFBd29BQUFDb0NBWUFBQUJBQkJsWkFBQUFBWE5TUjBJQXJzNGM2UUFBQkpkSlJFRlVlSnp0Mk0rcVZXVVl4L0ZuN2IwN2drbVFvSTB5SVpPRWNocUVRaEhlaFJBMGFlQ2dRY011SUtoQm82SklraUFKaXhDOEErOUFod2N5NmJqL0hTY0tVc2V6OXpsN05TZ3JlTndKSFE3dnU3YWZ6eFg4QmcvdjRyc2l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GYkpINzBvUnorSjVxdHdBQUFBQUVsRlRrU3VRbUNDIiwKCSJUaGVtZSIgOiAiIiwKCSJUeXBlIiA6ICJmbG93IiwKCSJWZXJzaW9uIiA6ICIiCn0K"/>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141</Pages>
  <Words>86</Words>
  <Characters>90</Characters>
  <Lines>13</Lines>
  <Paragraphs>3</Paragraphs>
  <TotalTime>2</TotalTime>
  <ScaleCrop>false</ScaleCrop>
  <LinksUpToDate>false</LinksUpToDate>
  <CharactersWithSpaces>115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阳光下，泡沫</cp:lastModifiedBy>
  <cp:lastPrinted>2022-07-01T00:38:00Z</cp:lastPrinted>
  <dcterms:modified xsi:type="dcterms:W3CDTF">2026-10-15T01:45:48Z</dcterms:modified>
  <dc:title>附件2</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74D3D82E404C47669244DA79C2863824_13</vt:lpwstr>
  </property>
  <property fmtid="{D5CDD505-2E9C-101B-9397-08002B2CF9AE}" pid="4" name="KSOTemplateDocerSaveRecord">
    <vt:lpwstr>eyJoZGlkIjoiNWI3MjVkMmUzZWFkMGE4NjQzM2IwY2QxYjM0N2Q2NGYiLCJ1c2VySWQiOiI0MzIxNDY5OTMifQ==</vt:lpwstr>
  </property>
</Properties>
</file>