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BF1C4">
      <w:pPr>
        <w:rPr>
          <w:rFonts w:hint="default" w:ascii="Times New Roman" w:hAnsi="Times New Roman" w:eastAsia="仿宋_GB2312" w:cs="Times New Roman"/>
          <w:color w:val="auto"/>
          <w:sz w:val="36"/>
          <w:szCs w:val="36"/>
        </w:rPr>
      </w:pPr>
    </w:p>
    <w:p w14:paraId="58FFF92B">
      <w:pPr>
        <w:rPr>
          <w:rFonts w:hint="default" w:ascii="Times New Roman" w:hAnsi="Times New Roman" w:eastAsia="仿宋_GB2312" w:cs="Times New Roman"/>
          <w:color w:val="auto"/>
          <w:sz w:val="36"/>
          <w:szCs w:val="36"/>
        </w:rPr>
      </w:pPr>
    </w:p>
    <w:p w14:paraId="67051D7D">
      <w:pPr>
        <w:rPr>
          <w:rFonts w:hint="default" w:ascii="Times New Roman" w:hAnsi="Times New Roman" w:eastAsia="仿宋_GB2312" w:cs="Times New Roman"/>
          <w:color w:val="auto"/>
          <w:sz w:val="36"/>
          <w:szCs w:val="36"/>
        </w:rPr>
      </w:pPr>
    </w:p>
    <w:p w14:paraId="683E5B6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方正小标宋_GBK" w:cs="Times New Roman"/>
          <w:bCs/>
          <w:color w:val="auto"/>
          <w:sz w:val="72"/>
          <w:szCs w:val="72"/>
        </w:rPr>
      </w:pPr>
      <w:bookmarkStart w:id="0" w:name="_Toc26907"/>
      <w:bookmarkStart w:id="1" w:name="_Toc65222360"/>
      <w:bookmarkStart w:id="2" w:name="_Toc65504028"/>
      <w:bookmarkStart w:id="3" w:name="_Toc68786104"/>
      <w:r>
        <w:rPr>
          <w:rFonts w:hint="default" w:ascii="Times New Roman" w:hAnsi="Times New Roman" w:eastAsia="方正小标宋_GBK" w:cs="Times New Roman"/>
          <w:bCs/>
          <w:color w:val="auto"/>
          <w:sz w:val="72"/>
          <w:szCs w:val="72"/>
        </w:rPr>
        <w:t>建设项目环境影响报告表</w:t>
      </w:r>
      <w:bookmarkEnd w:id="0"/>
      <w:bookmarkEnd w:id="1"/>
      <w:bookmarkEnd w:id="2"/>
      <w:bookmarkEnd w:id="3"/>
    </w:p>
    <w:p w14:paraId="41F23C3A">
      <w:pPr>
        <w:adjustRightInd w:val="0"/>
        <w:snapToGrid w:val="0"/>
        <w:spacing w:before="192" w:beforeLines="80"/>
        <w:jc w:val="center"/>
        <w:rPr>
          <w:rFonts w:hint="default" w:ascii="Times New Roman" w:hAnsi="Times New Roman" w:eastAsia="楷体_GB2312" w:cs="Times New Roman"/>
          <w:bCs/>
          <w:color w:val="auto"/>
          <w:sz w:val="48"/>
          <w:szCs w:val="48"/>
        </w:rPr>
      </w:pPr>
    </w:p>
    <w:p w14:paraId="4A20EBF9">
      <w:pPr>
        <w:jc w:val="center"/>
        <w:rPr>
          <w:rFonts w:hint="eastAsia" w:ascii="Times New Roman" w:hAnsi="Times New Roman" w:eastAsia="仿宋" w:cs="Times New Roman"/>
          <w:color w:val="auto"/>
          <w:sz w:val="52"/>
          <w:szCs w:val="52"/>
          <w:lang w:eastAsia="zh-CN"/>
        </w:rPr>
      </w:pPr>
    </w:p>
    <w:p w14:paraId="36B20BA4">
      <w:pPr>
        <w:jc w:val="center"/>
        <w:rPr>
          <w:rFonts w:hint="default" w:ascii="Times New Roman" w:hAnsi="Times New Roman" w:eastAsia="仿宋" w:cs="Times New Roman"/>
          <w:color w:val="auto"/>
          <w:sz w:val="52"/>
          <w:szCs w:val="52"/>
        </w:rPr>
      </w:pPr>
    </w:p>
    <w:p w14:paraId="4EDF07EC">
      <w:pPr>
        <w:ind w:firstLine="1040"/>
        <w:rPr>
          <w:rFonts w:hint="default" w:ascii="Times New Roman" w:hAnsi="Times New Roman" w:eastAsia="仿宋" w:cs="Times New Roman"/>
          <w:color w:val="auto"/>
          <w:sz w:val="44"/>
          <w:szCs w:val="44"/>
        </w:rPr>
      </w:pPr>
    </w:p>
    <w:p w14:paraId="050A9D06">
      <w:pPr>
        <w:pStyle w:val="27"/>
        <w:rPr>
          <w:rFonts w:hint="default" w:ascii="Times New Roman" w:hAnsi="Times New Roman" w:eastAsia="仿宋" w:cs="Times New Roman"/>
          <w:color w:val="auto"/>
          <w:sz w:val="44"/>
          <w:szCs w:val="44"/>
        </w:rPr>
      </w:pPr>
    </w:p>
    <w:p w14:paraId="748DE3E0">
      <w:pPr>
        <w:rPr>
          <w:rFonts w:hint="default"/>
          <w:color w:val="auto"/>
        </w:rPr>
      </w:pPr>
    </w:p>
    <w:p w14:paraId="071D76C5">
      <w:pPr>
        <w:ind w:firstLine="1040"/>
        <w:rPr>
          <w:rFonts w:hint="default" w:ascii="Times New Roman" w:hAnsi="Times New Roman" w:eastAsia="仿宋" w:cs="Times New Roman"/>
          <w:color w:val="auto"/>
          <w:sz w:val="44"/>
          <w:szCs w:val="44"/>
        </w:rPr>
      </w:pPr>
    </w:p>
    <w:p w14:paraId="01468425">
      <w:pPr>
        <w:pStyle w:val="27"/>
        <w:rPr>
          <w:rFonts w:hint="default"/>
          <w:color w:val="auto"/>
        </w:rPr>
      </w:pPr>
    </w:p>
    <w:p w14:paraId="2737ECFF">
      <w:pPr>
        <w:ind w:firstLine="1040"/>
        <w:rPr>
          <w:rFonts w:hint="default" w:ascii="Times New Roman" w:hAnsi="Times New Roman" w:eastAsia="仿宋" w:cs="Times New Roman"/>
          <w:color w:val="auto"/>
          <w:sz w:val="44"/>
          <w:szCs w:val="44"/>
        </w:rPr>
      </w:pPr>
    </w:p>
    <w:p w14:paraId="250A2D30">
      <w:pPr>
        <w:keepNext w:val="0"/>
        <w:keepLines w:val="0"/>
        <w:pageBreakBefore w:val="0"/>
        <w:widowControl w:val="0"/>
        <w:kinsoku/>
        <w:wordWrap/>
        <w:overflowPunct/>
        <w:topLinePunct w:val="0"/>
        <w:autoSpaceDE/>
        <w:autoSpaceDN/>
        <w:bidi w:val="0"/>
        <w:adjustRightInd w:val="0"/>
        <w:snapToGrid/>
        <w:spacing w:line="360" w:lineRule="auto"/>
        <w:ind w:left="2692" w:leftChars="568" w:hanging="1500" w:hangingChars="500"/>
        <w:textAlignment w:val="auto"/>
        <w:rPr>
          <w:rFonts w:hint="default" w:ascii="Times New Roman" w:hAnsi="Times New Roman" w:eastAsia="宋体" w:cs="Times New Roman"/>
          <w:color w:val="auto"/>
          <w:sz w:val="30"/>
          <w:szCs w:val="30"/>
          <w:u w:val="single"/>
          <w:lang w:val="en-US" w:eastAsia="zh-CN"/>
        </w:rPr>
      </w:pPr>
      <w:r>
        <w:rPr>
          <w:rFonts w:hint="default" w:ascii="Times New Roman" w:hAnsi="Times New Roman" w:cs="Times New Roman"/>
          <w:color w:val="auto"/>
          <w:sz w:val="30"/>
          <w:szCs w:val="30"/>
        </w:rPr>
        <w:t>项目名称：</w:t>
      </w:r>
      <w:r>
        <w:rPr>
          <w:rFonts w:hint="default" w:cs="Times New Roman"/>
          <w:color w:val="auto"/>
          <w:sz w:val="30"/>
          <w:szCs w:val="30"/>
          <w:u w:val="single"/>
          <w:lang w:val="en-US" w:eastAsia="zh-CN"/>
        </w:rPr>
        <w:t>伊春市公用市政建筑安装有限公司</w:t>
      </w:r>
      <w:r>
        <w:rPr>
          <w:rFonts w:hint="eastAsia" w:cs="Times New Roman"/>
          <w:color w:val="auto"/>
          <w:sz w:val="30"/>
          <w:szCs w:val="30"/>
          <w:u w:val="single"/>
          <w:lang w:val="en-US" w:eastAsia="zh-CN"/>
        </w:rPr>
        <w:t>改扩建</w:t>
      </w:r>
      <w:r>
        <w:rPr>
          <w:rFonts w:hint="default" w:cs="Times New Roman"/>
          <w:color w:val="auto"/>
          <w:sz w:val="30"/>
          <w:szCs w:val="30"/>
          <w:u w:val="single"/>
          <w:lang w:val="en-US" w:eastAsia="zh-CN"/>
        </w:rPr>
        <w:t>项目</w:t>
      </w:r>
    </w:p>
    <w:p w14:paraId="70E2C1B3">
      <w:pPr>
        <w:keepNext w:val="0"/>
        <w:keepLines w:val="0"/>
        <w:pageBreakBefore w:val="0"/>
        <w:widowControl w:val="0"/>
        <w:kinsoku/>
        <w:wordWrap/>
        <w:overflowPunct/>
        <w:topLinePunct w:val="0"/>
        <w:autoSpaceDE/>
        <w:autoSpaceDN/>
        <w:bidi w:val="0"/>
        <w:adjustRightInd w:val="0"/>
        <w:snapToGrid/>
        <w:spacing w:line="360" w:lineRule="auto"/>
        <w:ind w:left="1192" w:leftChars="568" w:firstLine="0" w:firstLineChars="0"/>
        <w:textAlignment w:val="auto"/>
        <w:rPr>
          <w:rFonts w:hint="default" w:ascii="Times New Roman" w:hAnsi="Times New Roman" w:cs="Times New Roman"/>
          <w:color w:val="auto"/>
          <w:sz w:val="30"/>
          <w:szCs w:val="30"/>
          <w:u w:val="single"/>
        </w:rPr>
      </w:pPr>
      <w:r>
        <w:rPr>
          <w:rFonts w:hint="default" w:ascii="Times New Roman" w:hAnsi="Times New Roman" w:cs="Times New Roman"/>
          <w:color w:val="auto"/>
          <w:sz w:val="30"/>
          <w:szCs w:val="30"/>
        </w:rPr>
        <w:t>建设单位（盖章）：</w:t>
      </w:r>
      <w:r>
        <w:rPr>
          <w:rFonts w:hint="default" w:cs="Times New Roman"/>
          <w:color w:val="auto"/>
          <w:sz w:val="30"/>
          <w:szCs w:val="30"/>
          <w:u w:val="single"/>
          <w:lang w:val="en-US" w:eastAsia="zh-CN"/>
        </w:rPr>
        <w:t>伊春市公用市政建筑安装有限公司</w:t>
      </w:r>
    </w:p>
    <w:p w14:paraId="2CF35A56">
      <w:pPr>
        <w:keepNext w:val="0"/>
        <w:keepLines w:val="0"/>
        <w:pageBreakBefore w:val="0"/>
        <w:widowControl w:val="0"/>
        <w:kinsoku/>
        <w:wordWrap/>
        <w:overflowPunct/>
        <w:topLinePunct w:val="0"/>
        <w:autoSpaceDE/>
        <w:autoSpaceDN/>
        <w:bidi w:val="0"/>
        <w:adjustRightInd w:val="0"/>
        <w:snapToGrid/>
        <w:spacing w:line="360" w:lineRule="auto"/>
        <w:ind w:firstLine="1200" w:firstLineChars="400"/>
        <w:textAlignment w:val="auto"/>
        <w:rPr>
          <w:rFonts w:hint="eastAsia" w:ascii="Times New Roman" w:hAnsi="Times New Roman" w:eastAsia="宋体" w:cs="Times New Roman"/>
          <w:color w:val="auto"/>
          <w:sz w:val="36"/>
          <w:szCs w:val="36"/>
          <w:lang w:eastAsia="zh-CN"/>
        </w:rPr>
      </w:pPr>
      <w:r>
        <w:rPr>
          <w:rFonts w:hint="default" w:ascii="Times New Roman" w:hAnsi="Times New Roman" w:cs="Times New Roman"/>
          <w:color w:val="auto"/>
          <w:sz w:val="30"/>
          <w:szCs w:val="30"/>
        </w:rPr>
        <w:t>编制日期：</w:t>
      </w:r>
      <w:r>
        <w:rPr>
          <w:rFonts w:hint="default" w:ascii="Times New Roman" w:hAnsi="Times New Roman" w:cs="Times New Roman"/>
          <w:color w:val="auto"/>
          <w:sz w:val="30"/>
          <w:szCs w:val="30"/>
          <w:u w:val="single"/>
        </w:rPr>
        <w:t>202</w:t>
      </w:r>
      <w:r>
        <w:rPr>
          <w:rFonts w:hint="eastAsia" w:cs="Times New Roman"/>
          <w:color w:val="auto"/>
          <w:sz w:val="30"/>
          <w:szCs w:val="30"/>
          <w:u w:val="single"/>
          <w:lang w:val="en-US" w:eastAsia="zh-CN"/>
        </w:rPr>
        <w:t>6</w:t>
      </w:r>
      <w:r>
        <w:rPr>
          <w:rFonts w:hint="default" w:ascii="Times New Roman" w:hAnsi="Times New Roman" w:cs="Times New Roman"/>
          <w:color w:val="auto"/>
          <w:sz w:val="30"/>
          <w:szCs w:val="30"/>
          <w:u w:val="single"/>
        </w:rPr>
        <w:t>年</w:t>
      </w:r>
      <w:r>
        <w:rPr>
          <w:rFonts w:hint="eastAsia" w:cs="Times New Roman"/>
          <w:color w:val="auto"/>
          <w:sz w:val="30"/>
          <w:szCs w:val="30"/>
          <w:u w:val="single"/>
          <w:lang w:val="en-US" w:eastAsia="zh-CN"/>
        </w:rPr>
        <w:t>6</w:t>
      </w:r>
      <w:r>
        <w:rPr>
          <w:rFonts w:hint="default" w:ascii="Times New Roman" w:hAnsi="Times New Roman" w:cs="Times New Roman"/>
          <w:color w:val="auto"/>
          <w:sz w:val="30"/>
          <w:szCs w:val="30"/>
          <w:u w:val="single"/>
        </w:rPr>
        <w:t>月</w:t>
      </w:r>
      <w:bookmarkStart w:id="4" w:name="_Hlk57884087"/>
    </w:p>
    <w:p w14:paraId="6861C2F3">
      <w:pPr>
        <w:adjustRightInd w:val="0"/>
        <w:snapToGrid w:val="0"/>
        <w:spacing w:line="288" w:lineRule="auto"/>
        <w:ind w:firstLine="1040"/>
        <w:rPr>
          <w:rFonts w:hint="default" w:ascii="Times New Roman" w:hAnsi="Times New Roman" w:eastAsia="仿宋_GB2312" w:cs="Times New Roman"/>
          <w:color w:val="auto"/>
          <w:sz w:val="36"/>
          <w:szCs w:val="36"/>
        </w:rPr>
      </w:pPr>
    </w:p>
    <w:p w14:paraId="0AA42A2D">
      <w:pPr>
        <w:keepNext/>
        <w:keepLines w:val="0"/>
        <w:pageBreakBefore w:val="0"/>
        <w:widowControl w:val="0"/>
        <w:kinsoku/>
        <w:wordWrap/>
        <w:overflowPunct w:val="0"/>
        <w:topLinePunct w:val="0"/>
        <w:autoSpaceDE/>
        <w:autoSpaceDN/>
        <w:bidi w:val="0"/>
        <w:adjustRightInd/>
        <w:snapToGrid w:val="0"/>
        <w:spacing w:line="260" w:lineRule="auto"/>
        <w:textAlignment w:val="auto"/>
        <w:outlineLvl w:val="9"/>
        <w:rPr>
          <w:rFonts w:hint="default" w:ascii="Times New Roman" w:hAnsi="Times New Roman" w:eastAsia="仿宋_GB2312" w:cs="Times New Roman"/>
          <w:color w:val="auto"/>
          <w:sz w:val="36"/>
          <w:szCs w:val="36"/>
        </w:rPr>
      </w:pPr>
    </w:p>
    <w:p w14:paraId="64BD702E">
      <w:pPr>
        <w:keepNext/>
        <w:keepLines w:val="0"/>
        <w:pageBreakBefore w:val="0"/>
        <w:widowControl w:val="0"/>
        <w:kinsoku/>
        <w:wordWrap/>
        <w:overflowPunct w:val="0"/>
        <w:topLinePunct w:val="0"/>
        <w:autoSpaceDE/>
        <w:autoSpaceDN/>
        <w:bidi w:val="0"/>
        <w:adjustRightInd/>
        <w:snapToGrid w:val="0"/>
        <w:spacing w:line="260" w:lineRule="auto"/>
        <w:ind w:left="431" w:hanging="431"/>
        <w:textAlignment w:val="auto"/>
        <w:outlineLvl w:val="9"/>
        <w:rPr>
          <w:rFonts w:hint="default" w:ascii="Times New Roman" w:hAnsi="Times New Roman" w:cs="Times New Roman"/>
          <w:color w:val="auto"/>
        </w:rPr>
      </w:pPr>
    </w:p>
    <w:p w14:paraId="116001A2">
      <w:pPr>
        <w:keepNext w:val="0"/>
        <w:keepLines w:val="0"/>
        <w:pageBreakBefore w:val="0"/>
        <w:widowControl w:val="0"/>
        <w:kinsoku/>
        <w:wordWrap/>
        <w:overflowPunct/>
        <w:topLinePunct w:val="0"/>
        <w:autoSpaceDE/>
        <w:autoSpaceDN/>
        <w:bidi w:val="0"/>
        <w:adjustRightInd w:val="0"/>
        <w:snapToGrid/>
        <w:spacing w:line="360" w:lineRule="auto"/>
        <w:ind w:firstLine="1040"/>
        <w:textAlignment w:val="auto"/>
        <w:rPr>
          <w:rFonts w:hint="default" w:ascii="Times New Roman" w:hAnsi="Times New Roman" w:eastAsia="仿宋_GB2312" w:cs="Times New Roman"/>
          <w:color w:val="auto"/>
          <w:sz w:val="32"/>
          <w:szCs w:val="32"/>
        </w:rPr>
      </w:pPr>
    </w:p>
    <w:bookmarkEnd w:id="4"/>
    <w:p w14:paraId="27AC1B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8"/>
          <w:szCs w:val="30"/>
        </w:rPr>
      </w:pPr>
      <w:r>
        <w:rPr>
          <w:rFonts w:hint="default" w:ascii="Times New Roman" w:hAnsi="Times New Roman" w:cs="Times New Roman"/>
          <w:color w:val="auto"/>
          <w:sz w:val="32"/>
          <w:szCs w:val="32"/>
        </w:rPr>
        <w:t>中华人民共和国生态环境部制</w:t>
      </w:r>
    </w:p>
    <w:p w14:paraId="4A555975">
      <w:pPr>
        <w:adjustRightInd w:val="0"/>
        <w:snapToGrid w:val="0"/>
        <w:spacing w:line="288" w:lineRule="auto"/>
        <w:jc w:val="center"/>
        <w:rPr>
          <w:rFonts w:hint="eastAsia" w:ascii="Times New Roman" w:hAnsi="Times New Roman" w:eastAsia="宋体" w:cs="Times New Roman"/>
          <w:color w:val="auto"/>
          <w:sz w:val="28"/>
          <w:szCs w:val="30"/>
          <w:lang w:eastAsia="zh-CN"/>
        </w:rPr>
      </w:pPr>
    </w:p>
    <w:p w14:paraId="70CBA8B9">
      <w:pPr>
        <w:pStyle w:val="15"/>
        <w:rPr>
          <w:color w:val="auto"/>
        </w:rPr>
      </w:pPr>
    </w:p>
    <w:p w14:paraId="1AABC2F7">
      <w:pPr>
        <w:rPr>
          <w:color w:val="auto"/>
        </w:rPr>
      </w:pPr>
    </w:p>
    <w:p w14:paraId="620B80E7">
      <w:pPr>
        <w:rPr>
          <w:color w:val="auto"/>
        </w:rPr>
      </w:pPr>
    </w:p>
    <w:p w14:paraId="1E71BA4E">
      <w:pPr>
        <w:pStyle w:val="27"/>
        <w:rPr>
          <w:rFonts w:hint="eastAsia"/>
          <w:color w:val="auto"/>
          <w:lang w:eastAsia="zh-CN"/>
        </w:rPr>
      </w:pPr>
      <w:r>
        <w:rPr>
          <w:rFonts w:hint="eastAsia"/>
          <w:color w:val="auto"/>
          <w:lang w:eastAsia="zh-CN"/>
        </w:rPr>
        <w:drawing>
          <wp:inline distT="0" distB="0" distL="114300" distR="114300">
            <wp:extent cx="6117590" cy="8649970"/>
            <wp:effectExtent l="0" t="0" r="16510" b="17780"/>
            <wp:docPr id="59" name="图片 59" descr="6e820d39f410f60445235c1cbfae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6e820d39f410f60445235c1cbfae0808"/>
                    <pic:cNvPicPr>
                      <a:picLocks noChangeAspect="1"/>
                    </pic:cNvPicPr>
                  </pic:nvPicPr>
                  <pic:blipFill>
                    <a:blip r:embed="rId19"/>
                    <a:stretch>
                      <a:fillRect/>
                    </a:stretch>
                  </pic:blipFill>
                  <pic:spPr>
                    <a:xfrm>
                      <a:off x="0" y="0"/>
                      <a:ext cx="6117590" cy="8649970"/>
                    </a:xfrm>
                    <a:prstGeom prst="rect">
                      <a:avLst/>
                    </a:prstGeom>
                  </pic:spPr>
                </pic:pic>
              </a:graphicData>
            </a:graphic>
          </wp:inline>
        </w:drawing>
      </w:r>
    </w:p>
    <w:p w14:paraId="14C9EF23">
      <w:pPr>
        <w:adjustRightInd w:val="0"/>
        <w:snapToGrid w:val="0"/>
        <w:spacing w:line="288" w:lineRule="auto"/>
        <w:jc w:val="center"/>
        <w:rPr>
          <w:rFonts w:hint="default" w:ascii="Times New Roman" w:hAnsi="Times New Roman" w:eastAsia="楷体_GB2312" w:cs="Times New Roman"/>
          <w:color w:val="auto"/>
          <w:sz w:val="44"/>
          <w:szCs w:val="36"/>
        </w:rPr>
      </w:pPr>
      <w:r>
        <w:rPr>
          <w:rFonts w:hint="default" w:ascii="Times New Roman" w:hAnsi="Times New Roman" w:eastAsia="楷体_GB2312" w:cs="Times New Roman"/>
          <w:color w:val="auto"/>
          <w:sz w:val="44"/>
          <w:szCs w:val="36"/>
        </w:rPr>
        <w:t>目录</w:t>
      </w:r>
    </w:p>
    <w:p w14:paraId="00CB795B">
      <w:pPr>
        <w:pStyle w:val="23"/>
        <w:tabs>
          <w:tab w:val="right" w:leader="dot" w:pos="9637"/>
        </w:tabs>
      </w:pPr>
      <w:r>
        <w:rPr>
          <w:rFonts w:hint="default" w:ascii="Times New Roman" w:hAnsi="Times New Roman" w:eastAsia="黑体" w:cs="Times New Roman"/>
          <w:b w:val="0"/>
          <w:bCs w:val="0"/>
          <w:color w:val="auto"/>
          <w:sz w:val="28"/>
          <w:szCs w:val="28"/>
        </w:rPr>
        <w:fldChar w:fldCharType="begin"/>
      </w:r>
      <w:r>
        <w:rPr>
          <w:rFonts w:hint="default" w:ascii="Times New Roman" w:hAnsi="Times New Roman" w:eastAsia="黑体" w:cs="Times New Roman"/>
          <w:b w:val="0"/>
          <w:bCs w:val="0"/>
          <w:color w:val="auto"/>
          <w:sz w:val="28"/>
          <w:szCs w:val="28"/>
        </w:rPr>
        <w:instrText xml:space="preserve"> TOC \o "1-3" \h \z \u </w:instrText>
      </w:r>
      <w:r>
        <w:rPr>
          <w:rFonts w:hint="default" w:ascii="Times New Roman" w:hAnsi="Times New Roman" w:eastAsia="黑体" w:cs="Times New Roman"/>
          <w:b w:val="0"/>
          <w:bCs w:val="0"/>
          <w:color w:val="auto"/>
          <w:sz w:val="28"/>
          <w:szCs w:val="28"/>
        </w:rPr>
        <w:fldChar w:fldCharType="separate"/>
      </w: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_Toc21226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一、建设项目基本情况</w:t>
      </w:r>
      <w:r>
        <w:tab/>
      </w:r>
      <w:r>
        <w:fldChar w:fldCharType="begin"/>
      </w:r>
      <w:r>
        <w:instrText xml:space="preserve"> PAGEREF _Toc21226 \h </w:instrText>
      </w:r>
      <w:r>
        <w:fldChar w:fldCharType="separate"/>
      </w:r>
      <w:r>
        <w:t>1</w:t>
      </w:r>
      <w:r>
        <w:fldChar w:fldCharType="end"/>
      </w:r>
      <w:r>
        <w:rPr>
          <w:rFonts w:hint="default" w:ascii="Times New Roman" w:hAnsi="Times New Roman" w:eastAsia="黑体" w:cs="Times New Roman"/>
          <w:bCs w:val="0"/>
          <w:color w:val="auto"/>
          <w:szCs w:val="28"/>
        </w:rPr>
        <w:fldChar w:fldCharType="end"/>
      </w:r>
    </w:p>
    <w:p w14:paraId="04B52666">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_Toc1735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二、建设项目工程分析</w:t>
      </w:r>
      <w:r>
        <w:tab/>
      </w:r>
      <w:r>
        <w:fldChar w:fldCharType="begin"/>
      </w:r>
      <w:r>
        <w:instrText xml:space="preserve"> PAGEREF _Toc1735 \h </w:instrText>
      </w:r>
      <w:r>
        <w:fldChar w:fldCharType="separate"/>
      </w:r>
      <w:r>
        <w:t>13</w:t>
      </w:r>
      <w:r>
        <w:fldChar w:fldCharType="end"/>
      </w:r>
      <w:r>
        <w:rPr>
          <w:rFonts w:hint="default" w:ascii="Times New Roman" w:hAnsi="Times New Roman" w:eastAsia="黑体" w:cs="Times New Roman"/>
          <w:bCs w:val="0"/>
          <w:color w:val="auto"/>
          <w:szCs w:val="28"/>
        </w:rPr>
        <w:fldChar w:fldCharType="end"/>
      </w:r>
    </w:p>
    <w:p w14:paraId="1A6B0A1F">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_Toc31218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三、区域环境质量现状、环境保护目标及评价标准</w:t>
      </w:r>
      <w:r>
        <w:tab/>
      </w:r>
      <w:r>
        <w:fldChar w:fldCharType="begin"/>
      </w:r>
      <w:r>
        <w:instrText xml:space="preserve"> PAGEREF _Toc31218 \h </w:instrText>
      </w:r>
      <w:r>
        <w:fldChar w:fldCharType="separate"/>
      </w:r>
      <w:r>
        <w:t>24</w:t>
      </w:r>
      <w:r>
        <w:fldChar w:fldCharType="end"/>
      </w:r>
      <w:r>
        <w:rPr>
          <w:rFonts w:hint="default" w:ascii="Times New Roman" w:hAnsi="Times New Roman" w:eastAsia="黑体" w:cs="Times New Roman"/>
          <w:bCs w:val="0"/>
          <w:color w:val="auto"/>
          <w:szCs w:val="28"/>
        </w:rPr>
        <w:fldChar w:fldCharType="end"/>
      </w:r>
    </w:p>
    <w:p w14:paraId="4ADFA25F">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_Toc26401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四、主要环境影响和保护措施</w:t>
      </w:r>
      <w:r>
        <w:tab/>
      </w:r>
      <w:r>
        <w:fldChar w:fldCharType="begin"/>
      </w:r>
      <w:r>
        <w:instrText xml:space="preserve"> PAGEREF _Toc26401 \h </w:instrText>
      </w:r>
      <w:r>
        <w:fldChar w:fldCharType="separate"/>
      </w:r>
      <w:r>
        <w:t>29</w:t>
      </w:r>
      <w:r>
        <w:fldChar w:fldCharType="end"/>
      </w:r>
      <w:r>
        <w:rPr>
          <w:rFonts w:hint="default" w:ascii="Times New Roman" w:hAnsi="Times New Roman" w:eastAsia="黑体" w:cs="Times New Roman"/>
          <w:bCs w:val="0"/>
          <w:color w:val="auto"/>
          <w:szCs w:val="28"/>
        </w:rPr>
        <w:fldChar w:fldCharType="end"/>
      </w:r>
    </w:p>
    <w:p w14:paraId="36C0D915">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_Toc12979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五、环境保护措施监督检查清单</w:t>
      </w:r>
      <w:r>
        <w:tab/>
      </w:r>
      <w:r>
        <w:fldChar w:fldCharType="begin"/>
      </w:r>
      <w:r>
        <w:instrText xml:space="preserve"> PAGEREF _Toc12979 \h </w:instrText>
      </w:r>
      <w:r>
        <w:fldChar w:fldCharType="separate"/>
      </w:r>
      <w:r>
        <w:t>38</w:t>
      </w:r>
      <w:r>
        <w:fldChar w:fldCharType="end"/>
      </w:r>
      <w:r>
        <w:rPr>
          <w:rFonts w:hint="default" w:ascii="Times New Roman" w:hAnsi="Times New Roman" w:eastAsia="黑体" w:cs="Times New Roman"/>
          <w:bCs w:val="0"/>
          <w:color w:val="auto"/>
          <w:szCs w:val="28"/>
        </w:rPr>
        <w:fldChar w:fldCharType="end"/>
      </w:r>
    </w:p>
    <w:p w14:paraId="4865D8E4">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_Toc8461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snapToGrid w:val="0"/>
          <w:szCs w:val="30"/>
        </w:rPr>
        <w:t>六、结论</w:t>
      </w:r>
      <w:r>
        <w:tab/>
      </w:r>
      <w:r>
        <w:fldChar w:fldCharType="begin"/>
      </w:r>
      <w:r>
        <w:instrText xml:space="preserve"> PAGEREF _Toc8461 \h </w:instrText>
      </w:r>
      <w:r>
        <w:fldChar w:fldCharType="separate"/>
      </w:r>
      <w:r>
        <w:t>43</w:t>
      </w:r>
      <w:r>
        <w:fldChar w:fldCharType="end"/>
      </w:r>
      <w:r>
        <w:rPr>
          <w:rFonts w:hint="default" w:ascii="Times New Roman" w:hAnsi="Times New Roman" w:eastAsia="黑体" w:cs="Times New Roman"/>
          <w:bCs w:val="0"/>
          <w:color w:val="auto"/>
          <w:szCs w:val="28"/>
        </w:rPr>
        <w:fldChar w:fldCharType="end"/>
      </w:r>
    </w:p>
    <w:p w14:paraId="6E2D0AA9">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_Toc895 </w:instrText>
      </w:r>
      <w:r>
        <w:rPr>
          <w:rFonts w:hint="default" w:ascii="Times New Roman" w:hAnsi="Times New Roman" w:eastAsia="黑体" w:cs="Times New Roman"/>
          <w:bCs w:val="0"/>
          <w:szCs w:val="28"/>
        </w:rPr>
        <w:fldChar w:fldCharType="separate"/>
      </w:r>
      <w:r>
        <w:rPr>
          <w:rFonts w:hint="default" w:ascii="Times New Roman" w:hAnsi="Times New Roman" w:eastAsia="方正小标宋_GBK" w:cs="Times New Roman"/>
          <w:snapToGrid w:val="0"/>
          <w:szCs w:val="38"/>
          <w:highlight w:val="none"/>
        </w:rPr>
        <w:t>建设项目污染物排放量汇总表</w:t>
      </w:r>
      <w:r>
        <w:tab/>
      </w:r>
      <w:r>
        <w:fldChar w:fldCharType="begin"/>
      </w:r>
      <w:r>
        <w:instrText xml:space="preserve"> PAGEREF _Toc895 \h </w:instrText>
      </w:r>
      <w:r>
        <w:fldChar w:fldCharType="separate"/>
      </w:r>
      <w:r>
        <w:t>44</w:t>
      </w:r>
      <w:r>
        <w:fldChar w:fldCharType="end"/>
      </w:r>
      <w:r>
        <w:rPr>
          <w:rFonts w:hint="default" w:ascii="Times New Roman" w:hAnsi="Times New Roman" w:eastAsia="黑体" w:cs="Times New Roman"/>
          <w:bCs w:val="0"/>
          <w:color w:val="auto"/>
          <w:szCs w:val="28"/>
        </w:rPr>
        <w:fldChar w:fldCharType="end"/>
      </w:r>
    </w:p>
    <w:p w14:paraId="5A89222F">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_Toc12700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附图1项目地理位置图</w:t>
      </w:r>
      <w:r>
        <w:tab/>
      </w:r>
      <w:r>
        <w:fldChar w:fldCharType="begin"/>
      </w:r>
      <w:r>
        <w:instrText xml:space="preserve"> PAGEREF _Toc12700 \h </w:instrText>
      </w:r>
      <w:r>
        <w:fldChar w:fldCharType="separate"/>
      </w:r>
      <w:r>
        <w:t>45</w:t>
      </w:r>
      <w:r>
        <w:fldChar w:fldCharType="end"/>
      </w:r>
      <w:r>
        <w:rPr>
          <w:rFonts w:hint="default" w:ascii="Times New Roman" w:hAnsi="Times New Roman" w:eastAsia="黑体" w:cs="Times New Roman"/>
          <w:bCs w:val="0"/>
          <w:color w:val="auto"/>
          <w:szCs w:val="28"/>
        </w:rPr>
        <w:fldChar w:fldCharType="end"/>
      </w:r>
    </w:p>
    <w:p w14:paraId="028B71A0">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_Toc19738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w:t>
      </w:r>
      <w:r>
        <w:rPr>
          <w:rFonts w:hint="eastAsia" w:eastAsia="黑体" w:cs="Times New Roman"/>
          <w:bCs w:val="0"/>
          <w:szCs w:val="28"/>
          <w:lang w:val="en-US" w:eastAsia="zh-CN"/>
        </w:rPr>
        <w:t>2</w:t>
      </w:r>
      <w:r>
        <w:rPr>
          <w:rFonts w:hint="default" w:ascii="Times New Roman" w:hAnsi="Times New Roman" w:eastAsia="黑体" w:cs="Times New Roman"/>
          <w:bCs w:val="0"/>
          <w:szCs w:val="28"/>
        </w:rPr>
        <w:t>项目平面布置图</w:t>
      </w:r>
      <w:r>
        <w:tab/>
      </w:r>
      <w:r>
        <w:fldChar w:fldCharType="begin"/>
      </w:r>
      <w:r>
        <w:instrText xml:space="preserve"> PAGEREF _Toc19738 \h </w:instrText>
      </w:r>
      <w:r>
        <w:fldChar w:fldCharType="separate"/>
      </w:r>
      <w:r>
        <w:t>46</w:t>
      </w:r>
      <w:r>
        <w:fldChar w:fldCharType="end"/>
      </w:r>
      <w:r>
        <w:rPr>
          <w:rFonts w:hint="default" w:ascii="Times New Roman" w:hAnsi="Times New Roman" w:eastAsia="黑体" w:cs="Times New Roman"/>
          <w:bCs w:val="0"/>
          <w:color w:val="auto"/>
          <w:szCs w:val="28"/>
        </w:rPr>
        <w:fldChar w:fldCharType="end"/>
      </w:r>
    </w:p>
    <w:p w14:paraId="5B0B311A">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_Toc22162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w:t>
      </w:r>
      <w:r>
        <w:rPr>
          <w:rFonts w:hint="eastAsia" w:eastAsia="黑体" w:cs="Times New Roman"/>
          <w:bCs w:val="0"/>
          <w:szCs w:val="28"/>
          <w:lang w:val="en-US" w:eastAsia="zh-CN"/>
        </w:rPr>
        <w:t>3</w:t>
      </w:r>
      <w:r>
        <w:rPr>
          <w:rFonts w:hint="default" w:ascii="Times New Roman" w:hAnsi="Times New Roman" w:eastAsia="黑体" w:cs="Times New Roman"/>
          <w:bCs w:val="0"/>
          <w:szCs w:val="28"/>
        </w:rPr>
        <w:t>环境</w:t>
      </w:r>
      <w:r>
        <w:rPr>
          <w:rFonts w:hint="eastAsia" w:eastAsia="黑体" w:cs="Times New Roman"/>
          <w:bCs w:val="0"/>
          <w:szCs w:val="28"/>
          <w:lang w:eastAsia="zh-CN"/>
        </w:rPr>
        <w:t>空气</w:t>
      </w:r>
      <w:r>
        <w:rPr>
          <w:rFonts w:hint="default" w:ascii="Times New Roman" w:hAnsi="Times New Roman" w:eastAsia="黑体" w:cs="Times New Roman"/>
          <w:bCs w:val="0"/>
          <w:szCs w:val="28"/>
        </w:rPr>
        <w:t>保护目标分布图</w:t>
      </w:r>
      <w:r>
        <w:tab/>
      </w:r>
      <w:r>
        <w:fldChar w:fldCharType="begin"/>
      </w:r>
      <w:r>
        <w:instrText xml:space="preserve"> PAGEREF _Toc22162 \h </w:instrText>
      </w:r>
      <w:r>
        <w:fldChar w:fldCharType="separate"/>
      </w:r>
      <w:r>
        <w:t>47</w:t>
      </w:r>
      <w:r>
        <w:fldChar w:fldCharType="end"/>
      </w:r>
      <w:r>
        <w:rPr>
          <w:rFonts w:hint="default" w:ascii="Times New Roman" w:hAnsi="Times New Roman" w:eastAsia="黑体" w:cs="Times New Roman"/>
          <w:bCs w:val="0"/>
          <w:color w:val="auto"/>
          <w:szCs w:val="28"/>
        </w:rPr>
        <w:fldChar w:fldCharType="end"/>
      </w:r>
    </w:p>
    <w:p w14:paraId="5C3CADF4">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_Toc32260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w:t>
      </w:r>
      <w:r>
        <w:rPr>
          <w:rFonts w:hint="eastAsia" w:ascii="Times New Roman" w:hAnsi="Times New Roman" w:eastAsia="黑体" w:cs="Times New Roman"/>
          <w:bCs w:val="0"/>
          <w:szCs w:val="28"/>
          <w:lang w:val="en-US" w:eastAsia="zh-CN"/>
        </w:rPr>
        <w:t>4</w:t>
      </w:r>
      <w:r>
        <w:rPr>
          <w:rFonts w:hint="eastAsia" w:ascii="Times New Roman" w:hAnsi="Times New Roman" w:eastAsia="黑体" w:cs="Times New Roman"/>
          <w:bCs w:val="0"/>
          <w:szCs w:val="28"/>
          <w:lang w:eastAsia="zh-CN"/>
        </w:rPr>
        <w:t>声</w:t>
      </w:r>
      <w:r>
        <w:rPr>
          <w:rFonts w:hint="default" w:ascii="Times New Roman" w:hAnsi="Times New Roman" w:eastAsia="黑体" w:cs="Times New Roman"/>
          <w:bCs w:val="0"/>
          <w:szCs w:val="28"/>
        </w:rPr>
        <w:t>环境保护目标分布图</w:t>
      </w:r>
      <w:r>
        <w:tab/>
      </w:r>
      <w:r>
        <w:fldChar w:fldCharType="begin"/>
      </w:r>
      <w:r>
        <w:instrText xml:space="preserve"> PAGEREF _Toc32260 \h </w:instrText>
      </w:r>
      <w:r>
        <w:fldChar w:fldCharType="separate"/>
      </w:r>
      <w:r>
        <w:t>48</w:t>
      </w:r>
      <w:r>
        <w:fldChar w:fldCharType="end"/>
      </w:r>
      <w:r>
        <w:rPr>
          <w:rFonts w:hint="default" w:ascii="Times New Roman" w:hAnsi="Times New Roman" w:eastAsia="黑体" w:cs="Times New Roman"/>
          <w:bCs w:val="0"/>
          <w:color w:val="auto"/>
          <w:szCs w:val="28"/>
        </w:rPr>
        <w:fldChar w:fldCharType="end"/>
      </w:r>
    </w:p>
    <w:p w14:paraId="0A37FEBA">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_Toc29969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w:t>
      </w:r>
      <w:r>
        <w:rPr>
          <w:rFonts w:hint="eastAsia" w:eastAsia="黑体" w:cs="Times New Roman"/>
          <w:bCs w:val="0"/>
          <w:szCs w:val="28"/>
          <w:lang w:val="en-US" w:eastAsia="zh-CN"/>
        </w:rPr>
        <w:t>5环境空气</w:t>
      </w:r>
      <w:r>
        <w:rPr>
          <w:rFonts w:hint="eastAsia" w:ascii="Times New Roman" w:hAnsi="Times New Roman" w:eastAsia="黑体" w:cs="Times New Roman"/>
          <w:bCs w:val="0"/>
          <w:szCs w:val="28"/>
          <w:lang w:val="en-US" w:eastAsia="zh-CN"/>
        </w:rPr>
        <w:t>现状监测布点图</w:t>
      </w:r>
      <w:r>
        <w:tab/>
      </w:r>
      <w:r>
        <w:fldChar w:fldCharType="begin"/>
      </w:r>
      <w:r>
        <w:instrText xml:space="preserve"> PAGEREF _Toc29969 \h </w:instrText>
      </w:r>
      <w:r>
        <w:fldChar w:fldCharType="separate"/>
      </w:r>
      <w:r>
        <w:t>49</w:t>
      </w:r>
      <w:r>
        <w:fldChar w:fldCharType="end"/>
      </w:r>
      <w:r>
        <w:rPr>
          <w:rFonts w:hint="default" w:ascii="Times New Roman" w:hAnsi="Times New Roman" w:eastAsia="黑体" w:cs="Times New Roman"/>
          <w:bCs w:val="0"/>
          <w:color w:val="auto"/>
          <w:szCs w:val="28"/>
        </w:rPr>
        <w:fldChar w:fldCharType="end"/>
      </w:r>
    </w:p>
    <w:p w14:paraId="65DB2EFC">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_Toc23790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附图</w:t>
      </w:r>
      <w:r>
        <w:rPr>
          <w:rFonts w:hint="eastAsia" w:eastAsia="黑体" w:cs="Times New Roman"/>
          <w:bCs w:val="0"/>
          <w:szCs w:val="28"/>
          <w:lang w:val="en-US" w:eastAsia="zh-CN"/>
        </w:rPr>
        <w:t>6声环境</w:t>
      </w:r>
      <w:r>
        <w:rPr>
          <w:rFonts w:hint="eastAsia" w:ascii="Times New Roman" w:hAnsi="Times New Roman" w:eastAsia="黑体" w:cs="Times New Roman"/>
          <w:bCs w:val="0"/>
          <w:szCs w:val="28"/>
          <w:lang w:val="en-US" w:eastAsia="zh-CN"/>
        </w:rPr>
        <w:t>现状监测布点图</w:t>
      </w:r>
      <w:r>
        <w:tab/>
      </w:r>
      <w:r>
        <w:fldChar w:fldCharType="begin"/>
      </w:r>
      <w:r>
        <w:instrText xml:space="preserve"> PAGEREF _Toc23790 \h </w:instrText>
      </w:r>
      <w:r>
        <w:fldChar w:fldCharType="separate"/>
      </w:r>
      <w:r>
        <w:t>50</w:t>
      </w:r>
      <w:r>
        <w:fldChar w:fldCharType="end"/>
      </w:r>
      <w:r>
        <w:rPr>
          <w:rFonts w:hint="default" w:ascii="Times New Roman" w:hAnsi="Times New Roman" w:eastAsia="黑体" w:cs="Times New Roman"/>
          <w:bCs w:val="0"/>
          <w:color w:val="auto"/>
          <w:szCs w:val="28"/>
        </w:rPr>
        <w:fldChar w:fldCharType="end"/>
      </w:r>
    </w:p>
    <w:p w14:paraId="7E272F21">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_Toc16055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附件1</w:t>
      </w:r>
      <w:r>
        <w:rPr>
          <w:rFonts w:hint="default" w:ascii="Times New Roman" w:hAnsi="Times New Roman" w:eastAsia="黑体" w:cs="Times New Roman"/>
          <w:bCs w:val="0"/>
          <w:szCs w:val="28"/>
          <w:lang w:val="en-US" w:eastAsia="zh-CN"/>
        </w:rPr>
        <w:t>营业执照</w:t>
      </w:r>
      <w:r>
        <w:tab/>
      </w:r>
      <w:r>
        <w:fldChar w:fldCharType="begin"/>
      </w:r>
      <w:r>
        <w:instrText xml:space="preserve"> PAGEREF _Toc16055 \h </w:instrText>
      </w:r>
      <w:r>
        <w:fldChar w:fldCharType="separate"/>
      </w:r>
      <w:r>
        <w:t>51</w:t>
      </w:r>
      <w:r>
        <w:fldChar w:fldCharType="end"/>
      </w:r>
      <w:r>
        <w:rPr>
          <w:rFonts w:hint="default" w:ascii="Times New Roman" w:hAnsi="Times New Roman" w:eastAsia="黑体" w:cs="Times New Roman"/>
          <w:bCs w:val="0"/>
          <w:color w:val="auto"/>
          <w:szCs w:val="28"/>
        </w:rPr>
        <w:fldChar w:fldCharType="end"/>
      </w:r>
    </w:p>
    <w:p w14:paraId="78EBFE24">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_Toc3053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w:t>
      </w:r>
      <w:r>
        <w:rPr>
          <w:rFonts w:hint="default" w:ascii="Times New Roman" w:hAnsi="Times New Roman" w:eastAsia="黑体" w:cs="Times New Roman"/>
          <w:bCs w:val="0"/>
          <w:szCs w:val="28"/>
          <w:lang w:val="en-US" w:eastAsia="zh-CN"/>
        </w:rPr>
        <w:t>2</w:t>
      </w:r>
      <w:r>
        <w:rPr>
          <w:rFonts w:hint="eastAsia" w:eastAsia="黑体" w:cs="Times New Roman"/>
          <w:bCs w:val="0"/>
          <w:szCs w:val="28"/>
          <w:lang w:val="en-US" w:eastAsia="zh-CN"/>
        </w:rPr>
        <w:t>现有工程环评批复</w:t>
      </w:r>
      <w:r>
        <w:tab/>
      </w:r>
      <w:r>
        <w:fldChar w:fldCharType="begin"/>
      </w:r>
      <w:r>
        <w:instrText xml:space="preserve"> PAGEREF _Toc3053 \h </w:instrText>
      </w:r>
      <w:r>
        <w:fldChar w:fldCharType="separate"/>
      </w:r>
      <w:r>
        <w:t>52</w:t>
      </w:r>
      <w:r>
        <w:fldChar w:fldCharType="end"/>
      </w:r>
      <w:r>
        <w:rPr>
          <w:rFonts w:hint="default" w:ascii="Times New Roman" w:hAnsi="Times New Roman" w:eastAsia="黑体" w:cs="Times New Roman"/>
          <w:bCs w:val="0"/>
          <w:color w:val="auto"/>
          <w:szCs w:val="28"/>
        </w:rPr>
        <w:fldChar w:fldCharType="end"/>
      </w:r>
    </w:p>
    <w:p w14:paraId="7C53AF64">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_Toc20617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w:t>
      </w:r>
      <w:r>
        <w:rPr>
          <w:rFonts w:hint="eastAsia" w:eastAsia="黑体" w:cs="Times New Roman"/>
          <w:bCs w:val="0"/>
          <w:szCs w:val="28"/>
          <w:lang w:val="en-US" w:eastAsia="zh-CN"/>
        </w:rPr>
        <w:t>3现有工程竣工环境保护验收意见</w:t>
      </w:r>
      <w:r>
        <w:tab/>
      </w:r>
      <w:r>
        <w:fldChar w:fldCharType="begin"/>
      </w:r>
      <w:r>
        <w:instrText xml:space="preserve"> PAGEREF _Toc20617 \h </w:instrText>
      </w:r>
      <w:r>
        <w:fldChar w:fldCharType="separate"/>
      </w:r>
      <w:r>
        <w:t>58</w:t>
      </w:r>
      <w:r>
        <w:fldChar w:fldCharType="end"/>
      </w:r>
      <w:r>
        <w:rPr>
          <w:rFonts w:hint="default" w:ascii="Times New Roman" w:hAnsi="Times New Roman" w:eastAsia="黑体" w:cs="Times New Roman"/>
          <w:bCs w:val="0"/>
          <w:color w:val="auto"/>
          <w:szCs w:val="28"/>
        </w:rPr>
        <w:fldChar w:fldCharType="end"/>
      </w:r>
    </w:p>
    <w:p w14:paraId="4DAA2B04">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_Toc12840 </w:instrText>
      </w:r>
      <w:r>
        <w:rPr>
          <w:rFonts w:hint="default" w:ascii="Times New Roman" w:hAnsi="Times New Roman" w:eastAsia="黑体" w:cs="Times New Roman"/>
          <w:bCs w:val="0"/>
          <w:szCs w:val="28"/>
        </w:rPr>
        <w:fldChar w:fldCharType="separate"/>
      </w:r>
      <w:r>
        <w:rPr>
          <w:rFonts w:hint="eastAsia" w:eastAsia="黑体" w:cs="Times New Roman"/>
          <w:bCs w:val="0"/>
          <w:szCs w:val="28"/>
          <w:lang w:eastAsia="zh-CN"/>
        </w:rPr>
        <w:t>附件</w:t>
      </w:r>
      <w:r>
        <w:rPr>
          <w:rFonts w:hint="eastAsia" w:eastAsia="黑体" w:cs="Times New Roman"/>
          <w:bCs w:val="0"/>
          <w:szCs w:val="28"/>
          <w:lang w:val="en-US" w:eastAsia="zh-CN"/>
        </w:rPr>
        <w:t>4排污许可证</w:t>
      </w:r>
      <w:r>
        <w:tab/>
      </w:r>
      <w:r>
        <w:fldChar w:fldCharType="begin"/>
      </w:r>
      <w:r>
        <w:instrText xml:space="preserve"> PAGEREF _Toc12840 \h </w:instrText>
      </w:r>
      <w:r>
        <w:fldChar w:fldCharType="separate"/>
      </w:r>
      <w:r>
        <w:t>67</w:t>
      </w:r>
      <w:r>
        <w:fldChar w:fldCharType="end"/>
      </w:r>
      <w:r>
        <w:rPr>
          <w:rFonts w:hint="default" w:ascii="Times New Roman" w:hAnsi="Times New Roman" w:eastAsia="黑体" w:cs="Times New Roman"/>
          <w:bCs w:val="0"/>
          <w:color w:val="auto"/>
          <w:szCs w:val="28"/>
        </w:rPr>
        <w:fldChar w:fldCharType="end"/>
      </w:r>
    </w:p>
    <w:p w14:paraId="0789CABA">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_Toc8804 </w:instrText>
      </w:r>
      <w:r>
        <w:rPr>
          <w:rFonts w:hint="default" w:ascii="Times New Roman" w:hAnsi="Times New Roman" w:eastAsia="黑体" w:cs="Times New Roman"/>
          <w:bCs w:val="0"/>
          <w:szCs w:val="28"/>
        </w:rPr>
        <w:fldChar w:fldCharType="separate"/>
      </w:r>
      <w:r>
        <w:rPr>
          <w:rFonts w:hint="eastAsia" w:eastAsia="黑体" w:cs="Times New Roman"/>
          <w:bCs w:val="0"/>
          <w:szCs w:val="28"/>
          <w:lang w:eastAsia="zh-CN"/>
        </w:rPr>
        <w:t>附件</w:t>
      </w:r>
      <w:r>
        <w:rPr>
          <w:rFonts w:hint="eastAsia" w:eastAsia="黑体" w:cs="Times New Roman"/>
          <w:bCs w:val="0"/>
          <w:szCs w:val="28"/>
          <w:lang w:val="en-US" w:eastAsia="zh-CN"/>
        </w:rPr>
        <w:t>5轻质柴油成分分析报告</w:t>
      </w:r>
      <w:r>
        <w:tab/>
      </w:r>
      <w:r>
        <w:fldChar w:fldCharType="begin"/>
      </w:r>
      <w:r>
        <w:instrText xml:space="preserve"> PAGEREF _Toc8804 \h </w:instrText>
      </w:r>
      <w:r>
        <w:fldChar w:fldCharType="separate"/>
      </w:r>
      <w:r>
        <w:t>68</w:t>
      </w:r>
      <w:r>
        <w:fldChar w:fldCharType="end"/>
      </w:r>
      <w:r>
        <w:rPr>
          <w:rFonts w:hint="default" w:ascii="Times New Roman" w:hAnsi="Times New Roman" w:eastAsia="黑体" w:cs="Times New Roman"/>
          <w:bCs w:val="0"/>
          <w:color w:val="auto"/>
          <w:szCs w:val="28"/>
        </w:rPr>
        <w:fldChar w:fldCharType="end"/>
      </w:r>
    </w:p>
    <w:p w14:paraId="2AAC711E">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_Toc26643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w:t>
      </w:r>
      <w:r>
        <w:rPr>
          <w:rFonts w:hint="eastAsia" w:eastAsia="黑体" w:cs="Times New Roman"/>
          <w:bCs w:val="0"/>
          <w:szCs w:val="28"/>
          <w:lang w:val="en-US" w:eastAsia="zh-CN"/>
        </w:rPr>
        <w:t>6现状监测报告</w:t>
      </w:r>
      <w:r>
        <w:tab/>
      </w:r>
      <w:r>
        <w:fldChar w:fldCharType="begin"/>
      </w:r>
      <w:r>
        <w:instrText xml:space="preserve"> PAGEREF _Toc26643 \h </w:instrText>
      </w:r>
      <w:r>
        <w:fldChar w:fldCharType="separate"/>
      </w:r>
      <w:r>
        <w:t>69</w:t>
      </w:r>
      <w:r>
        <w:fldChar w:fldCharType="end"/>
      </w:r>
      <w:r>
        <w:rPr>
          <w:rFonts w:hint="default" w:ascii="Times New Roman" w:hAnsi="Times New Roman" w:eastAsia="黑体" w:cs="Times New Roman"/>
          <w:bCs w:val="0"/>
          <w:color w:val="auto"/>
          <w:szCs w:val="28"/>
        </w:rPr>
        <w:fldChar w:fldCharType="end"/>
      </w:r>
    </w:p>
    <w:p w14:paraId="0BCA14AD">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_Toc4813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w:t>
      </w:r>
      <w:r>
        <w:rPr>
          <w:rFonts w:hint="eastAsia" w:eastAsia="黑体" w:cs="Times New Roman"/>
          <w:bCs w:val="0"/>
          <w:szCs w:val="28"/>
          <w:lang w:val="en-US" w:eastAsia="zh-CN"/>
        </w:rPr>
        <w:t>7分区管控报告</w:t>
      </w:r>
      <w:r>
        <w:tab/>
      </w:r>
      <w:r>
        <w:fldChar w:fldCharType="begin"/>
      </w:r>
      <w:r>
        <w:instrText xml:space="preserve"> PAGEREF _Toc4813 \h </w:instrText>
      </w:r>
      <w:r>
        <w:fldChar w:fldCharType="separate"/>
      </w:r>
      <w:r>
        <w:t>76</w:t>
      </w:r>
      <w:r>
        <w:fldChar w:fldCharType="end"/>
      </w:r>
      <w:r>
        <w:rPr>
          <w:rFonts w:hint="default" w:ascii="Times New Roman" w:hAnsi="Times New Roman" w:eastAsia="黑体" w:cs="Times New Roman"/>
          <w:bCs w:val="0"/>
          <w:color w:val="auto"/>
          <w:szCs w:val="28"/>
        </w:rPr>
        <w:fldChar w:fldCharType="end"/>
      </w:r>
    </w:p>
    <w:p w14:paraId="4A897440">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_Toc8828 </w:instrText>
      </w:r>
      <w:r>
        <w:rPr>
          <w:rFonts w:hint="default" w:ascii="Times New Roman" w:hAnsi="Times New Roman" w:eastAsia="黑体" w:cs="Times New Roman"/>
          <w:bCs w:val="0"/>
          <w:szCs w:val="28"/>
        </w:rPr>
        <w:fldChar w:fldCharType="separate"/>
      </w:r>
      <w:r>
        <w:rPr>
          <w:rFonts w:hint="default" w:ascii="Times New Roman" w:hAnsi="Times New Roman" w:eastAsia="黑体" w:cs="Times New Roman"/>
          <w:bCs w:val="0"/>
          <w:szCs w:val="28"/>
        </w:rPr>
        <w:t>附件</w:t>
      </w:r>
      <w:r>
        <w:rPr>
          <w:rFonts w:hint="eastAsia" w:eastAsia="黑体" w:cs="Times New Roman"/>
          <w:bCs w:val="0"/>
          <w:szCs w:val="28"/>
          <w:lang w:val="en-US" w:eastAsia="zh-CN"/>
        </w:rPr>
        <w:t>8应急预案备案表</w:t>
      </w:r>
      <w:r>
        <w:tab/>
      </w:r>
      <w:r>
        <w:fldChar w:fldCharType="begin"/>
      </w:r>
      <w:r>
        <w:instrText xml:space="preserve"> PAGEREF _Toc8828 \h </w:instrText>
      </w:r>
      <w:r>
        <w:fldChar w:fldCharType="separate"/>
      </w:r>
      <w:r>
        <w:t>82</w:t>
      </w:r>
      <w:r>
        <w:fldChar w:fldCharType="end"/>
      </w:r>
      <w:r>
        <w:rPr>
          <w:rFonts w:hint="default" w:ascii="Times New Roman" w:hAnsi="Times New Roman" w:eastAsia="黑体" w:cs="Times New Roman"/>
          <w:bCs w:val="0"/>
          <w:color w:val="auto"/>
          <w:szCs w:val="28"/>
        </w:rPr>
        <w:fldChar w:fldCharType="end"/>
      </w:r>
    </w:p>
    <w:p w14:paraId="5F3FA87D">
      <w:pPr>
        <w:pStyle w:val="23"/>
        <w:tabs>
          <w:tab w:val="right" w:leader="dot" w:pos="9637"/>
        </w:tabs>
      </w:pPr>
      <w:r>
        <w:rPr>
          <w:rFonts w:hint="default" w:ascii="Times New Roman" w:hAnsi="Times New Roman" w:eastAsia="黑体" w:cs="Times New Roman"/>
          <w:bCs w:val="0"/>
          <w:color w:val="auto"/>
          <w:szCs w:val="28"/>
        </w:rPr>
        <w:fldChar w:fldCharType="begin"/>
      </w:r>
      <w:r>
        <w:rPr>
          <w:rFonts w:hint="default" w:ascii="Times New Roman" w:hAnsi="Times New Roman" w:eastAsia="黑体" w:cs="Times New Roman"/>
          <w:bCs w:val="0"/>
          <w:szCs w:val="28"/>
        </w:rPr>
        <w:instrText xml:space="preserve"> HYPERLINK \l _Toc31309 </w:instrText>
      </w:r>
      <w:r>
        <w:rPr>
          <w:rFonts w:hint="default" w:ascii="Times New Roman" w:hAnsi="Times New Roman" w:eastAsia="黑体" w:cs="Times New Roman"/>
          <w:bCs w:val="0"/>
          <w:szCs w:val="28"/>
        </w:rPr>
        <w:fldChar w:fldCharType="separate"/>
      </w:r>
      <w:r>
        <w:rPr>
          <w:rFonts w:hint="eastAsia" w:eastAsia="黑体" w:cs="Times New Roman"/>
          <w:bCs w:val="0"/>
          <w:szCs w:val="28"/>
          <w:lang w:val="en-US" w:eastAsia="zh-CN"/>
        </w:rPr>
        <w:t>附件9大气专题评价</w:t>
      </w:r>
      <w:r>
        <w:tab/>
      </w:r>
      <w:r>
        <w:fldChar w:fldCharType="begin"/>
      </w:r>
      <w:r>
        <w:instrText xml:space="preserve"> PAGEREF _Toc31309 \h </w:instrText>
      </w:r>
      <w:r>
        <w:fldChar w:fldCharType="separate"/>
      </w:r>
      <w:r>
        <w:t>84</w:t>
      </w:r>
      <w:r>
        <w:fldChar w:fldCharType="end"/>
      </w:r>
      <w:r>
        <w:rPr>
          <w:rFonts w:hint="default" w:ascii="Times New Roman" w:hAnsi="Times New Roman" w:eastAsia="黑体" w:cs="Times New Roman"/>
          <w:bCs w:val="0"/>
          <w:color w:val="auto"/>
          <w:szCs w:val="28"/>
        </w:rPr>
        <w:fldChar w:fldCharType="end"/>
      </w:r>
    </w:p>
    <w:p w14:paraId="4F0EE9D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28"/>
        </w:rPr>
      </w:pPr>
      <w:r>
        <w:rPr>
          <w:rFonts w:hint="default" w:ascii="Times New Roman" w:hAnsi="Times New Roman" w:eastAsia="黑体" w:cs="Times New Roman"/>
          <w:bCs w:val="0"/>
          <w:color w:val="auto"/>
          <w:szCs w:val="28"/>
        </w:rPr>
        <w:fldChar w:fldCharType="end"/>
      </w:r>
    </w:p>
    <w:p w14:paraId="30ACDC30">
      <w:pPr>
        <w:adjustRightInd w:val="0"/>
        <w:snapToGrid w:val="0"/>
        <w:spacing w:line="500" w:lineRule="exact"/>
        <w:rPr>
          <w:rFonts w:hint="default" w:ascii="Times New Roman" w:hAnsi="Times New Roman" w:cs="Times New Roman"/>
          <w:color w:val="auto"/>
          <w:sz w:val="28"/>
          <w:szCs w:val="28"/>
        </w:rPr>
      </w:pPr>
    </w:p>
    <w:p w14:paraId="04232336">
      <w:pPr>
        <w:adjustRightInd w:val="0"/>
        <w:snapToGrid w:val="0"/>
        <w:spacing w:line="500" w:lineRule="exact"/>
        <w:rPr>
          <w:rFonts w:hint="default" w:ascii="Times New Roman" w:hAnsi="Times New Roman" w:cs="Times New Roman"/>
          <w:color w:val="auto"/>
          <w:sz w:val="28"/>
          <w:szCs w:val="28"/>
        </w:rPr>
      </w:pPr>
    </w:p>
    <w:p w14:paraId="0CABCB0C">
      <w:pPr>
        <w:adjustRightInd w:val="0"/>
        <w:snapToGrid w:val="0"/>
        <w:spacing w:line="288" w:lineRule="auto"/>
        <w:rPr>
          <w:rFonts w:hint="default" w:ascii="Times New Roman" w:hAnsi="Times New Roman" w:eastAsia="仿宋_GB2312" w:cs="Times New Roman"/>
          <w:color w:val="auto"/>
          <w:sz w:val="36"/>
          <w:szCs w:val="36"/>
        </w:rPr>
        <w:sectPr>
          <w:headerReference r:id="rId3" w:type="default"/>
          <w:footerReference r:id="rId4" w:type="default"/>
          <w:footerReference r:id="rId5" w:type="even"/>
          <w:pgSz w:w="11905" w:h="16838"/>
          <w:pgMar w:top="1134" w:right="1134" w:bottom="1134" w:left="1134" w:header="851" w:footer="1077" w:gutter="0"/>
          <w:pgBorders>
            <w:top w:val="none" w:sz="0" w:space="0"/>
            <w:left w:val="none" w:sz="0" w:space="0"/>
            <w:bottom w:val="none" w:sz="0" w:space="0"/>
            <w:right w:val="none" w:sz="0" w:space="0"/>
          </w:pgBorders>
          <w:pgNumType w:start="3"/>
          <w:cols w:space="720" w:num="1"/>
          <w:rtlGutter w:val="0"/>
          <w:docGrid w:type="linesAndChars" w:linePitch="323" w:charSpace="0"/>
        </w:sectPr>
      </w:pPr>
    </w:p>
    <w:p w14:paraId="03BC7FE9">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lang w:eastAsia="zh-CN"/>
        </w:rPr>
      </w:pPr>
      <w:bookmarkStart w:id="5" w:name="_Toc15214"/>
      <w:bookmarkStart w:id="6" w:name="_Toc21226"/>
      <w:r>
        <w:rPr>
          <w:rFonts w:hint="default" w:ascii="Times New Roman" w:hAnsi="Times New Roman" w:eastAsia="黑体" w:cs="Times New Roman"/>
          <w:snapToGrid w:val="0"/>
          <w:color w:val="auto"/>
          <w:sz w:val="30"/>
          <w:szCs w:val="30"/>
        </w:rPr>
        <w:t>一、建设项目基本情况</w:t>
      </w:r>
      <w:bookmarkEnd w:id="5"/>
      <w:bookmarkEnd w:id="6"/>
    </w:p>
    <w:tbl>
      <w:tblPr>
        <w:tblStyle w:val="35"/>
        <w:tblW w:w="497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51"/>
        <w:gridCol w:w="2209"/>
        <w:gridCol w:w="2273"/>
        <w:gridCol w:w="3587"/>
      </w:tblGrid>
      <w:tr w14:paraId="754B6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7F56A98B">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建设项目名称</w:t>
            </w:r>
          </w:p>
        </w:tc>
        <w:tc>
          <w:tcPr>
            <w:tcW w:w="4193" w:type="pct"/>
            <w:gridSpan w:val="3"/>
            <w:noWrap w:val="0"/>
            <w:vAlign w:val="center"/>
          </w:tcPr>
          <w:p w14:paraId="583BBA70">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伊春市公用市政建筑安装有限公司改扩建项目</w:t>
            </w:r>
          </w:p>
        </w:tc>
      </w:tr>
      <w:tr w14:paraId="2A9F07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806" w:type="pct"/>
            <w:noWrap w:val="0"/>
            <w:tcMar>
              <w:top w:w="16" w:type="dxa"/>
              <w:left w:w="16" w:type="dxa"/>
              <w:right w:w="16" w:type="dxa"/>
            </w:tcMar>
            <w:vAlign w:val="center"/>
          </w:tcPr>
          <w:p w14:paraId="7EEC10E4">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项目代码</w:t>
            </w:r>
          </w:p>
        </w:tc>
        <w:tc>
          <w:tcPr>
            <w:tcW w:w="4193" w:type="pct"/>
            <w:gridSpan w:val="3"/>
            <w:noWrap w:val="0"/>
            <w:vAlign w:val="center"/>
          </w:tcPr>
          <w:p w14:paraId="5FDB898C">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lang w:val="en-US" w:eastAsia="zh-CN"/>
              </w:rPr>
            </w:pPr>
            <w:r>
              <w:rPr>
                <w:rFonts w:hint="eastAsia" w:cs="Times New Roman"/>
                <w:color w:val="auto"/>
                <w:sz w:val="24"/>
                <w:lang w:val="en-US" w:eastAsia="zh-CN"/>
              </w:rPr>
              <w:t>/</w:t>
            </w:r>
          </w:p>
        </w:tc>
      </w:tr>
      <w:tr w14:paraId="0E5D6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36E61FDA">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建设单位联系人</w:t>
            </w:r>
          </w:p>
        </w:tc>
        <w:tc>
          <w:tcPr>
            <w:tcW w:w="1148" w:type="pct"/>
            <w:noWrap w:val="0"/>
            <w:vAlign w:val="center"/>
          </w:tcPr>
          <w:p w14:paraId="0C4BD4C8">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卢伟</w:t>
            </w:r>
          </w:p>
        </w:tc>
        <w:tc>
          <w:tcPr>
            <w:tcW w:w="1181" w:type="pct"/>
            <w:noWrap w:val="0"/>
            <w:vAlign w:val="center"/>
          </w:tcPr>
          <w:p w14:paraId="086E0D63">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联系方式</w:t>
            </w:r>
          </w:p>
        </w:tc>
        <w:tc>
          <w:tcPr>
            <w:tcW w:w="1863" w:type="pct"/>
            <w:noWrap w:val="0"/>
            <w:vAlign w:val="center"/>
          </w:tcPr>
          <w:p w14:paraId="79DD0124">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lang w:val="en-US" w:eastAsia="zh-CN"/>
              </w:rPr>
            </w:pPr>
            <w:bookmarkStart w:id="322" w:name="_GoBack"/>
            <w:bookmarkEnd w:id="322"/>
          </w:p>
        </w:tc>
      </w:tr>
      <w:tr w14:paraId="045ED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17625996">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建设地点</w:t>
            </w:r>
          </w:p>
        </w:tc>
        <w:tc>
          <w:tcPr>
            <w:tcW w:w="4193" w:type="pct"/>
            <w:gridSpan w:val="3"/>
            <w:noWrap w:val="0"/>
            <w:vAlign w:val="center"/>
          </w:tcPr>
          <w:p w14:paraId="16302BBB">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lang w:val="en-US" w:eastAsia="zh-CN"/>
              </w:rPr>
            </w:pPr>
            <w:r>
              <w:rPr>
                <w:rFonts w:hint="eastAsia" w:eastAsia="宋体"/>
                <w:color w:val="auto"/>
                <w:sz w:val="24"/>
                <w:lang w:val="en-US" w:eastAsia="zh-CN"/>
              </w:rPr>
              <w:t>伊春市伊美区101号（原乌马河红旗贮木场）</w:t>
            </w:r>
          </w:p>
        </w:tc>
      </w:tr>
      <w:tr w14:paraId="0592F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43990B60">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地理坐标</w:t>
            </w:r>
          </w:p>
        </w:tc>
        <w:tc>
          <w:tcPr>
            <w:tcW w:w="4193" w:type="pct"/>
            <w:gridSpan w:val="3"/>
            <w:noWrap w:val="0"/>
            <w:vAlign w:val="center"/>
          </w:tcPr>
          <w:p w14:paraId="71AD89BB">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default" w:ascii="Times New Roman" w:hAnsi="Times New Roman" w:cs="Times New Roman"/>
                <w:color w:val="auto"/>
                <w:sz w:val="24"/>
                <w:u w:val="single"/>
              </w:rPr>
              <w:t>1</w:t>
            </w:r>
            <w:r>
              <w:rPr>
                <w:rFonts w:hint="eastAsia" w:cs="Times New Roman"/>
                <w:color w:val="auto"/>
                <w:sz w:val="24"/>
                <w:u w:val="single"/>
                <w:lang w:val="en-US" w:eastAsia="zh-CN"/>
              </w:rPr>
              <w:t>28</w:t>
            </w:r>
            <w:r>
              <w:rPr>
                <w:rFonts w:hint="default" w:ascii="Times New Roman" w:hAnsi="Times New Roman" w:cs="Times New Roman"/>
                <w:color w:val="auto"/>
                <w:sz w:val="24"/>
              </w:rPr>
              <w:t>度</w:t>
            </w:r>
            <w:r>
              <w:rPr>
                <w:rFonts w:hint="eastAsia" w:cs="Times New Roman"/>
                <w:color w:val="auto"/>
                <w:sz w:val="24"/>
                <w:u w:val="single"/>
                <w:lang w:val="en-US" w:eastAsia="zh-CN"/>
              </w:rPr>
              <w:t>56</w:t>
            </w:r>
            <w:r>
              <w:rPr>
                <w:rFonts w:hint="default" w:ascii="Times New Roman" w:hAnsi="Times New Roman" w:cs="Times New Roman"/>
                <w:color w:val="auto"/>
                <w:sz w:val="24"/>
              </w:rPr>
              <w:t>分</w:t>
            </w:r>
            <w:r>
              <w:rPr>
                <w:rFonts w:hint="eastAsia" w:cs="Times New Roman"/>
                <w:color w:val="auto"/>
                <w:sz w:val="24"/>
                <w:u w:val="single"/>
                <w:lang w:val="en-US" w:eastAsia="zh-CN"/>
              </w:rPr>
              <w:t>49.532</w:t>
            </w:r>
            <w:r>
              <w:rPr>
                <w:rFonts w:hint="default" w:ascii="Times New Roman" w:hAnsi="Times New Roman" w:cs="Times New Roman"/>
                <w:color w:val="auto"/>
                <w:sz w:val="24"/>
              </w:rPr>
              <w:t>秒，</w:t>
            </w:r>
            <w:r>
              <w:rPr>
                <w:rFonts w:hint="eastAsia" w:cs="Times New Roman"/>
                <w:color w:val="auto"/>
                <w:sz w:val="24"/>
                <w:u w:val="single"/>
                <w:lang w:val="en-US" w:eastAsia="zh-CN"/>
              </w:rPr>
              <w:t>47</w:t>
            </w:r>
            <w:r>
              <w:rPr>
                <w:rFonts w:hint="default" w:ascii="Times New Roman" w:hAnsi="Times New Roman" w:cs="Times New Roman"/>
                <w:color w:val="auto"/>
                <w:sz w:val="24"/>
              </w:rPr>
              <w:t>度</w:t>
            </w:r>
            <w:r>
              <w:rPr>
                <w:rFonts w:hint="eastAsia" w:cs="Times New Roman"/>
                <w:color w:val="auto"/>
                <w:sz w:val="24"/>
                <w:u w:val="single"/>
                <w:lang w:val="en-US" w:eastAsia="zh-CN"/>
              </w:rPr>
              <w:t>42</w:t>
            </w:r>
            <w:r>
              <w:rPr>
                <w:rFonts w:hint="default" w:ascii="Times New Roman" w:hAnsi="Times New Roman" w:cs="Times New Roman"/>
                <w:color w:val="auto"/>
                <w:sz w:val="24"/>
              </w:rPr>
              <w:t>分</w:t>
            </w:r>
            <w:r>
              <w:rPr>
                <w:rFonts w:hint="eastAsia" w:cs="Times New Roman"/>
                <w:color w:val="auto"/>
                <w:sz w:val="24"/>
                <w:u w:val="single"/>
                <w:lang w:val="en-US" w:eastAsia="zh-CN"/>
              </w:rPr>
              <w:t>4.78</w:t>
            </w:r>
            <w:r>
              <w:rPr>
                <w:rFonts w:hint="default" w:ascii="Times New Roman" w:hAnsi="Times New Roman" w:cs="Times New Roman"/>
                <w:color w:val="auto"/>
                <w:sz w:val="24"/>
              </w:rPr>
              <w:t>秒）</w:t>
            </w:r>
          </w:p>
        </w:tc>
      </w:tr>
      <w:tr w14:paraId="79431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806" w:type="pct"/>
            <w:noWrap w:val="0"/>
            <w:tcMar>
              <w:top w:w="16" w:type="dxa"/>
              <w:left w:w="16" w:type="dxa"/>
              <w:right w:w="16" w:type="dxa"/>
            </w:tcMar>
            <w:vAlign w:val="center"/>
          </w:tcPr>
          <w:p w14:paraId="13AAD8DF">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国民经济</w:t>
            </w:r>
          </w:p>
          <w:p w14:paraId="12CC1259">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行业类别</w:t>
            </w:r>
          </w:p>
        </w:tc>
        <w:tc>
          <w:tcPr>
            <w:tcW w:w="1148" w:type="pct"/>
            <w:noWrap w:val="0"/>
            <w:vAlign w:val="center"/>
          </w:tcPr>
          <w:p w14:paraId="1D975F77">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eastAsia" w:ascii="Times New Roman" w:hAnsi="Times New Roman" w:cs="Times New Roman"/>
                <w:color w:val="auto"/>
                <w:sz w:val="24"/>
              </w:rPr>
            </w:pPr>
            <w:r>
              <w:rPr>
                <w:rFonts w:hint="eastAsia" w:ascii="Times New Roman" w:hAnsi="Times New Roman" w:cs="Times New Roman"/>
                <w:color w:val="auto"/>
                <w:sz w:val="24"/>
              </w:rPr>
              <w:t>C3099其他非金属矿物制品制造</w:t>
            </w:r>
          </w:p>
          <w:p w14:paraId="2F13C722">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lang w:val="en-US" w:eastAsia="zh-CN"/>
              </w:rPr>
            </w:pPr>
          </w:p>
        </w:tc>
        <w:tc>
          <w:tcPr>
            <w:tcW w:w="1181" w:type="pct"/>
            <w:noWrap w:val="0"/>
            <w:vAlign w:val="center"/>
          </w:tcPr>
          <w:p w14:paraId="1B065C3B">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cs="Times New Roman"/>
                <w:color w:val="auto"/>
                <w:sz w:val="24"/>
                <w:lang w:val="en-US" w:eastAsia="zh-CN"/>
              </w:rPr>
            </w:pPr>
            <w:bookmarkStart w:id="7" w:name="_Hlk49843745"/>
            <w:r>
              <w:rPr>
                <w:rFonts w:hint="default" w:cs="Times New Roman"/>
                <w:color w:val="auto"/>
                <w:sz w:val="24"/>
                <w:lang w:val="en-US" w:eastAsia="zh-CN"/>
              </w:rPr>
              <w:t>建设项目</w:t>
            </w:r>
          </w:p>
          <w:p w14:paraId="125FAD2A">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cs="Times New Roman"/>
                <w:color w:val="auto"/>
                <w:sz w:val="24"/>
                <w:lang w:val="en-US" w:eastAsia="zh-CN"/>
              </w:rPr>
            </w:pPr>
            <w:r>
              <w:rPr>
                <w:rFonts w:hint="default" w:cs="Times New Roman"/>
                <w:color w:val="auto"/>
                <w:sz w:val="24"/>
                <w:lang w:val="en-US" w:eastAsia="zh-CN"/>
              </w:rPr>
              <w:t>行业类别</w:t>
            </w:r>
            <w:bookmarkEnd w:id="7"/>
          </w:p>
        </w:tc>
        <w:tc>
          <w:tcPr>
            <w:tcW w:w="1863" w:type="pct"/>
            <w:noWrap w:val="0"/>
            <w:vAlign w:val="center"/>
          </w:tcPr>
          <w:p w14:paraId="222DA7D8">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cs="Times New Roman"/>
                <w:color w:val="auto"/>
                <w:sz w:val="24"/>
                <w:lang w:val="en-US" w:eastAsia="zh-CN"/>
              </w:rPr>
            </w:pPr>
            <w:r>
              <w:rPr>
                <w:rFonts w:hint="default" w:cs="Times New Roman"/>
                <w:color w:val="auto"/>
                <w:sz w:val="24"/>
                <w:lang w:val="en-US" w:eastAsia="zh-CN"/>
              </w:rPr>
              <w:t>二十七、非金属矿物制品业：</w:t>
            </w:r>
          </w:p>
          <w:p w14:paraId="47616C79">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cs="Times New Roman"/>
                <w:color w:val="auto"/>
                <w:sz w:val="24"/>
                <w:lang w:val="en-US" w:eastAsia="zh-CN"/>
              </w:rPr>
            </w:pPr>
            <w:r>
              <w:rPr>
                <w:rFonts w:hint="default" w:cs="Times New Roman"/>
                <w:color w:val="auto"/>
                <w:sz w:val="24"/>
                <w:lang w:val="en-US" w:eastAsia="zh-CN"/>
              </w:rPr>
              <w:t>55石膏、水泥制品及类似制品制造302商品混凝土、60耐火材料制品制造308；石墨及其他非金属矿物制品制造309其他</w:t>
            </w:r>
          </w:p>
        </w:tc>
      </w:tr>
      <w:tr w14:paraId="78FB9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806" w:type="pct"/>
            <w:noWrap w:val="0"/>
            <w:tcMar>
              <w:top w:w="16" w:type="dxa"/>
              <w:left w:w="16" w:type="dxa"/>
              <w:right w:w="16" w:type="dxa"/>
            </w:tcMar>
            <w:vAlign w:val="center"/>
          </w:tcPr>
          <w:p w14:paraId="03E2BCEB">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建设性质</w:t>
            </w:r>
          </w:p>
        </w:tc>
        <w:tc>
          <w:tcPr>
            <w:tcW w:w="1148" w:type="pct"/>
            <w:noWrap w:val="0"/>
            <w:vAlign w:val="center"/>
          </w:tcPr>
          <w:p w14:paraId="11E40E23">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新建（迁建）</w:t>
            </w:r>
          </w:p>
          <w:p w14:paraId="3E9D159C">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改建</w:t>
            </w:r>
          </w:p>
          <w:p w14:paraId="26E91DFE">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扩建</w:t>
            </w:r>
          </w:p>
          <w:p w14:paraId="24FE3186">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□技术改造</w:t>
            </w:r>
          </w:p>
        </w:tc>
        <w:tc>
          <w:tcPr>
            <w:tcW w:w="1181" w:type="pct"/>
            <w:noWrap w:val="0"/>
            <w:vAlign w:val="center"/>
          </w:tcPr>
          <w:p w14:paraId="5143CF11">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建设项目</w:t>
            </w:r>
          </w:p>
          <w:p w14:paraId="6F22E19F">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申报情形</w:t>
            </w:r>
          </w:p>
        </w:tc>
        <w:tc>
          <w:tcPr>
            <w:tcW w:w="1863" w:type="pct"/>
            <w:noWrap w:val="0"/>
            <w:vAlign w:val="center"/>
          </w:tcPr>
          <w:p w14:paraId="72A855F2">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sz w:val="24"/>
                <w:lang w:eastAsia="zh-CN"/>
              </w:rPr>
            </w:pP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首次申报项目</w:t>
            </w:r>
          </w:p>
          <w:p w14:paraId="6F14AC5F">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□不予批准后再次申报项目</w:t>
            </w:r>
          </w:p>
          <w:p w14:paraId="69F01D3B">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sz w:val="24"/>
                <w:lang w:eastAsia="zh-CN"/>
              </w:rPr>
            </w:pPr>
            <w:r>
              <w:rPr>
                <w:rFonts w:hint="eastAsia" w:cs="Times New Roman"/>
                <w:color w:val="auto"/>
                <w:sz w:val="24"/>
                <w:lang w:eastAsia="zh-CN"/>
              </w:rPr>
              <w:t>☑</w:t>
            </w:r>
            <w:r>
              <w:rPr>
                <w:rFonts w:hint="default" w:ascii="Times New Roman" w:hAnsi="Times New Roman" w:cs="Times New Roman"/>
                <w:color w:val="auto"/>
                <w:sz w:val="24"/>
              </w:rPr>
              <w:t>超五年重新审核项目</w:t>
            </w:r>
          </w:p>
          <w:p w14:paraId="05056A61">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□重大变动重新报批项目</w:t>
            </w:r>
          </w:p>
        </w:tc>
      </w:tr>
      <w:tr w14:paraId="3DCB0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806" w:type="pct"/>
            <w:noWrap w:val="0"/>
            <w:tcMar>
              <w:top w:w="16" w:type="dxa"/>
              <w:left w:w="16" w:type="dxa"/>
              <w:right w:w="16" w:type="dxa"/>
            </w:tcMar>
            <w:vAlign w:val="center"/>
          </w:tcPr>
          <w:p w14:paraId="00FA7658">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项目审批（核准/</w:t>
            </w:r>
          </w:p>
          <w:p w14:paraId="4C4F63E3">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备案）部门（选填）</w:t>
            </w:r>
          </w:p>
        </w:tc>
        <w:tc>
          <w:tcPr>
            <w:tcW w:w="1148" w:type="pct"/>
            <w:noWrap w:val="0"/>
            <w:vAlign w:val="center"/>
          </w:tcPr>
          <w:p w14:paraId="07F8A6DD">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w:t>
            </w:r>
          </w:p>
        </w:tc>
        <w:tc>
          <w:tcPr>
            <w:tcW w:w="1181" w:type="pct"/>
            <w:noWrap w:val="0"/>
            <w:vAlign w:val="center"/>
          </w:tcPr>
          <w:p w14:paraId="651A6526">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项目审批（核准/</w:t>
            </w:r>
          </w:p>
          <w:p w14:paraId="65994ABD">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备案）文号（选填）</w:t>
            </w:r>
          </w:p>
        </w:tc>
        <w:tc>
          <w:tcPr>
            <w:tcW w:w="1863" w:type="pct"/>
            <w:noWrap w:val="0"/>
            <w:vAlign w:val="center"/>
          </w:tcPr>
          <w:p w14:paraId="342C4F1E">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w:t>
            </w:r>
          </w:p>
        </w:tc>
      </w:tr>
      <w:tr w14:paraId="58FF9B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753C499D">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总投资（万元）</w:t>
            </w:r>
          </w:p>
        </w:tc>
        <w:tc>
          <w:tcPr>
            <w:tcW w:w="1148" w:type="pct"/>
            <w:noWrap w:val="0"/>
            <w:vAlign w:val="center"/>
          </w:tcPr>
          <w:p w14:paraId="2590DF71">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370</w:t>
            </w:r>
          </w:p>
        </w:tc>
        <w:tc>
          <w:tcPr>
            <w:tcW w:w="1181" w:type="pct"/>
            <w:noWrap w:val="0"/>
            <w:tcMar>
              <w:top w:w="16" w:type="dxa"/>
              <w:left w:w="16" w:type="dxa"/>
              <w:right w:w="16" w:type="dxa"/>
            </w:tcMar>
            <w:vAlign w:val="center"/>
          </w:tcPr>
          <w:p w14:paraId="26D141C0">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1863" w:type="pct"/>
            <w:noWrap w:val="0"/>
            <w:vAlign w:val="center"/>
          </w:tcPr>
          <w:p w14:paraId="0008BD68">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12</w:t>
            </w:r>
          </w:p>
        </w:tc>
      </w:tr>
      <w:tr w14:paraId="723C81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0B482D77">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环保投资占比（%）</w:t>
            </w:r>
          </w:p>
        </w:tc>
        <w:tc>
          <w:tcPr>
            <w:tcW w:w="1148" w:type="pct"/>
            <w:noWrap w:val="0"/>
            <w:vAlign w:val="center"/>
          </w:tcPr>
          <w:p w14:paraId="72F9050A">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3.24</w:t>
            </w:r>
          </w:p>
        </w:tc>
        <w:tc>
          <w:tcPr>
            <w:tcW w:w="1181" w:type="pct"/>
            <w:noWrap w:val="0"/>
            <w:tcMar>
              <w:top w:w="16" w:type="dxa"/>
              <w:left w:w="16" w:type="dxa"/>
              <w:right w:w="16" w:type="dxa"/>
            </w:tcMar>
            <w:vAlign w:val="center"/>
          </w:tcPr>
          <w:p w14:paraId="5C22918E">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1863" w:type="pct"/>
            <w:noWrap w:val="0"/>
            <w:vAlign w:val="center"/>
          </w:tcPr>
          <w:p w14:paraId="33C4E487">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202</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p>
        </w:tc>
      </w:tr>
      <w:tr w14:paraId="36397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06" w:type="pct"/>
            <w:noWrap w:val="0"/>
            <w:tcMar>
              <w:top w:w="16" w:type="dxa"/>
              <w:left w:w="16" w:type="dxa"/>
              <w:right w:w="16" w:type="dxa"/>
            </w:tcMar>
            <w:vAlign w:val="center"/>
          </w:tcPr>
          <w:p w14:paraId="3FA0F5D8">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是否开工建设</w:t>
            </w:r>
          </w:p>
        </w:tc>
        <w:tc>
          <w:tcPr>
            <w:tcW w:w="1148" w:type="pct"/>
            <w:noWrap w:val="0"/>
            <w:vAlign w:val="center"/>
          </w:tcPr>
          <w:p w14:paraId="4C292C50">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否</w:t>
            </w:r>
          </w:p>
          <w:p w14:paraId="4087E870">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lang w:val="en-US" w:eastAsia="zh-CN"/>
              </w:rPr>
            </w:pPr>
            <w:r>
              <w:rPr>
                <w:rFonts w:hint="default" w:ascii="Times New Roman" w:hAnsi="Times New Roman" w:cs="Times New Roman"/>
                <w:color w:val="auto"/>
                <w:sz w:val="24"/>
              </w:rPr>
              <w:t>□是</w:t>
            </w:r>
          </w:p>
        </w:tc>
        <w:tc>
          <w:tcPr>
            <w:tcW w:w="1181" w:type="pct"/>
            <w:noWrap w:val="0"/>
            <w:tcMar>
              <w:top w:w="16" w:type="dxa"/>
              <w:left w:w="16" w:type="dxa"/>
              <w:right w:w="16" w:type="dxa"/>
            </w:tcMar>
            <w:vAlign w:val="center"/>
          </w:tcPr>
          <w:p w14:paraId="3F40CA87">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sz w:val="24"/>
              </w:rPr>
            </w:pPr>
            <w:r>
              <w:rPr>
                <w:rFonts w:hint="default" w:ascii="Times New Roman" w:hAnsi="Times New Roman" w:cs="Times New Roman"/>
                <w:color w:val="auto"/>
                <w:spacing w:val="-6"/>
                <w:sz w:val="24"/>
              </w:rPr>
              <w:t>用地面积（m</w:t>
            </w:r>
            <w:r>
              <w:rPr>
                <w:rFonts w:hint="default" w:ascii="Times New Roman" w:hAnsi="Times New Roman" w:cs="Times New Roman"/>
                <w:color w:val="auto"/>
                <w:spacing w:val="-6"/>
                <w:sz w:val="24"/>
                <w:vertAlign w:val="superscript"/>
              </w:rPr>
              <w:t>2</w:t>
            </w:r>
            <w:r>
              <w:rPr>
                <w:rFonts w:hint="default" w:ascii="Times New Roman" w:hAnsi="Times New Roman" w:cs="Times New Roman"/>
                <w:color w:val="auto"/>
                <w:spacing w:val="-6"/>
                <w:sz w:val="24"/>
              </w:rPr>
              <w:t>）</w:t>
            </w:r>
          </w:p>
        </w:tc>
        <w:tc>
          <w:tcPr>
            <w:tcW w:w="1863" w:type="pct"/>
            <w:noWrap w:val="0"/>
            <w:vAlign w:val="center"/>
          </w:tcPr>
          <w:p w14:paraId="68B6E675">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本次不新增</w:t>
            </w:r>
          </w:p>
        </w:tc>
      </w:tr>
      <w:tr w14:paraId="3B5425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pct"/>
            <w:noWrap w:val="0"/>
            <w:vAlign w:val="center"/>
          </w:tcPr>
          <w:p w14:paraId="27700C11">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专项评价设置情况</w:t>
            </w:r>
          </w:p>
        </w:tc>
        <w:tc>
          <w:tcPr>
            <w:tcW w:w="4193" w:type="pct"/>
            <w:gridSpan w:val="3"/>
            <w:noWrap w:val="0"/>
            <w:vAlign w:val="center"/>
          </w:tcPr>
          <w:p w14:paraId="455B7F7E">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0"/>
                <w:sz w:val="24"/>
                <w:lang w:val="en-US" w:eastAsia="zh-CN"/>
              </w:rPr>
            </w:pPr>
            <w:r>
              <w:rPr>
                <w:rFonts w:hint="eastAsia"/>
                <w:color w:val="auto"/>
                <w:sz w:val="24"/>
                <w:szCs w:val="32"/>
                <w:lang w:val="en-US" w:eastAsia="zh-CN"/>
              </w:rPr>
              <w:t>本项目废气含苯并[a]芘，且500米范围内存在环境保护目标，因此设置大气专项评价</w:t>
            </w:r>
          </w:p>
        </w:tc>
      </w:tr>
      <w:tr w14:paraId="7BD9C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806" w:type="pct"/>
            <w:noWrap w:val="0"/>
            <w:vAlign w:val="center"/>
          </w:tcPr>
          <w:p w14:paraId="04407583">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规划情况</w:t>
            </w:r>
          </w:p>
        </w:tc>
        <w:tc>
          <w:tcPr>
            <w:tcW w:w="4193" w:type="pct"/>
            <w:gridSpan w:val="3"/>
            <w:noWrap w:val="0"/>
            <w:vAlign w:val="center"/>
          </w:tcPr>
          <w:p w14:paraId="5ACA2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无</w:t>
            </w:r>
          </w:p>
        </w:tc>
      </w:tr>
      <w:tr w14:paraId="0231E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pct"/>
            <w:noWrap w:val="0"/>
            <w:vAlign w:val="center"/>
          </w:tcPr>
          <w:p w14:paraId="010B7808">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规划环境影响</w:t>
            </w:r>
          </w:p>
          <w:p w14:paraId="2D76AF3A">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评价情况</w:t>
            </w:r>
          </w:p>
        </w:tc>
        <w:tc>
          <w:tcPr>
            <w:tcW w:w="4193" w:type="pct"/>
            <w:gridSpan w:val="3"/>
            <w:noWrap w:val="0"/>
            <w:vAlign w:val="center"/>
          </w:tcPr>
          <w:p w14:paraId="2AC2AB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无</w:t>
            </w:r>
          </w:p>
        </w:tc>
      </w:tr>
      <w:tr w14:paraId="39401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pct"/>
            <w:noWrap w:val="0"/>
            <w:vAlign w:val="center"/>
          </w:tcPr>
          <w:p w14:paraId="4340B0C0">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规划及规划环境影响评价符合性分析</w:t>
            </w:r>
          </w:p>
        </w:tc>
        <w:tc>
          <w:tcPr>
            <w:tcW w:w="4193" w:type="pct"/>
            <w:gridSpan w:val="3"/>
            <w:noWrap w:val="0"/>
            <w:vAlign w:val="center"/>
          </w:tcPr>
          <w:p w14:paraId="7CF6D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无</w:t>
            </w:r>
          </w:p>
        </w:tc>
      </w:tr>
      <w:tr w14:paraId="76EE5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06" w:type="pct"/>
            <w:noWrap w:val="0"/>
            <w:vAlign w:val="center"/>
          </w:tcPr>
          <w:p w14:paraId="6C45E3CC">
            <w:pPr>
              <w:keepNext w:val="0"/>
              <w:keepLines w:val="0"/>
              <w:pageBreakBefore w:val="0"/>
              <w:suppressLineNumbers w:val="0"/>
              <w:kinsoku/>
              <w:wordWrap/>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其他符合性分析</w:t>
            </w:r>
          </w:p>
        </w:tc>
        <w:tc>
          <w:tcPr>
            <w:tcW w:w="4193" w:type="pct"/>
            <w:gridSpan w:val="3"/>
            <w:noWrap w:val="0"/>
            <w:vAlign w:val="center"/>
          </w:tcPr>
          <w:p w14:paraId="5D99244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0" w:firstLineChars="0"/>
              <w:jc w:val="both"/>
              <w:textAlignment w:val="auto"/>
              <w:outlineLvl w:val="9"/>
              <w:rPr>
                <w:rFonts w:hint="eastAsia" w:ascii="Times New Roman" w:hAnsi="Times New Roman" w:eastAsia="宋体" w:cs="Times New Roman"/>
                <w:b/>
                <w:bCs/>
                <w:color w:val="auto"/>
                <w:sz w:val="28"/>
                <w:szCs w:val="28"/>
                <w:lang w:val="en-US" w:eastAsia="zh-CN"/>
              </w:rPr>
            </w:pPr>
            <w:r>
              <w:rPr>
                <w:rFonts w:hint="eastAsia" w:cs="Times New Roman"/>
                <w:b/>
                <w:bCs/>
                <w:color w:val="auto"/>
                <w:sz w:val="28"/>
                <w:szCs w:val="28"/>
                <w:lang w:val="en-US" w:eastAsia="zh-CN"/>
              </w:rPr>
              <w:t>一、产业政策等符合性分析</w:t>
            </w:r>
          </w:p>
          <w:p w14:paraId="016AD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1、产业政策符合性分析</w:t>
            </w:r>
          </w:p>
          <w:p w14:paraId="7292EE56">
            <w:pPr>
              <w:pStyle w:val="75"/>
              <w:keepNext w:val="0"/>
              <w:keepLines w:val="0"/>
              <w:suppressLineNumbers w:val="0"/>
              <w:spacing w:before="0" w:beforeAutospacing="0" w:after="0" w:afterAutospacing="0"/>
              <w:ind w:left="0" w:right="0" w:firstLine="480"/>
              <w:rPr>
                <w:rFonts w:hint="default" w:ascii="Times New Roman" w:hAnsi="Times New Roman" w:cs="Times New Roman"/>
                <w:color w:val="auto"/>
                <w:lang w:val="zh-CN" w:eastAsia="zh-CN"/>
              </w:rPr>
            </w:pPr>
            <w:r>
              <w:rPr>
                <w:rFonts w:hint="default"/>
                <w:color w:val="auto"/>
                <w:sz w:val="24"/>
                <w:lang w:val="zh-CN"/>
              </w:rPr>
              <w:t>本项目为</w:t>
            </w:r>
            <w:r>
              <w:rPr>
                <w:rFonts w:hint="eastAsia"/>
                <w:color w:val="auto"/>
                <w:sz w:val="24"/>
                <w:lang w:val="zh-CN"/>
              </w:rPr>
              <w:t>沥青混凝土项目</w:t>
            </w:r>
            <w:r>
              <w:rPr>
                <w:rFonts w:hint="default"/>
                <w:color w:val="auto"/>
                <w:sz w:val="24"/>
                <w:lang w:val="zh-CN"/>
              </w:rPr>
              <w:t>，</w:t>
            </w:r>
            <w:r>
              <w:rPr>
                <w:rFonts w:hint="default" w:ascii="宋体" w:hAnsi="宋体" w:cs="宋体"/>
                <w:color w:val="auto"/>
                <w:sz w:val="24"/>
              </w:rPr>
              <w:t>根据《产业结构调整指导目录（</w:t>
            </w:r>
            <w:r>
              <w:rPr>
                <w:rFonts w:hint="default"/>
                <w:color w:val="auto"/>
                <w:sz w:val="24"/>
              </w:rPr>
              <w:t>2024</w:t>
            </w:r>
            <w:r>
              <w:rPr>
                <w:rFonts w:hint="default" w:ascii="宋体" w:hAnsi="宋体" w:cs="宋体"/>
                <w:color w:val="auto"/>
                <w:sz w:val="24"/>
              </w:rPr>
              <w:t>年本）》，本项目不属于“限制类”和“淘汰类”项目，根据国务院《促进产业结构调整暂行规定》（国发〔</w:t>
            </w:r>
            <w:r>
              <w:rPr>
                <w:rFonts w:hint="default"/>
                <w:color w:val="auto"/>
                <w:sz w:val="24"/>
              </w:rPr>
              <w:t>2005</w:t>
            </w:r>
            <w:r>
              <w:rPr>
                <w:rFonts w:hint="default" w:ascii="宋体" w:hAnsi="宋体" w:cs="宋体"/>
                <w:color w:val="auto"/>
                <w:sz w:val="24"/>
              </w:rPr>
              <w:t>〕</w:t>
            </w:r>
            <w:r>
              <w:rPr>
                <w:rFonts w:hint="default"/>
                <w:color w:val="auto"/>
                <w:sz w:val="24"/>
              </w:rPr>
              <w:t>40</w:t>
            </w:r>
            <w:r>
              <w:rPr>
                <w:rFonts w:hint="default" w:ascii="宋体" w:hAnsi="宋体" w:cs="宋体"/>
                <w:color w:val="auto"/>
                <w:sz w:val="24"/>
              </w:rPr>
              <w:t>号），项目的建设符合国家相关法律和政策，属允许类建设项目，符合国家产业政策。</w:t>
            </w:r>
          </w:p>
          <w:p w14:paraId="3B526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2、与《</w:t>
            </w:r>
            <w:r>
              <w:rPr>
                <w:rFonts w:hint="default" w:ascii="Times New Roman" w:hAnsi="Times New Roman" w:eastAsia="宋体" w:cs="Times New Roman"/>
                <w:color w:val="auto"/>
                <w:sz w:val="24"/>
                <w:lang w:val="en-US" w:eastAsia="zh-CN"/>
              </w:rPr>
              <w:t>黑龙江省大气污染防治条例》</w:t>
            </w:r>
            <w:r>
              <w:rPr>
                <w:rFonts w:hint="eastAsia" w:ascii="Times New Roman" w:hAnsi="Times New Roman" w:eastAsia="宋体" w:cs="Times New Roman"/>
                <w:color w:val="auto"/>
                <w:sz w:val="24"/>
                <w:lang w:val="en-US" w:eastAsia="zh-CN"/>
              </w:rPr>
              <w:t>符合性</w:t>
            </w:r>
          </w:p>
          <w:p w14:paraId="7C66CBE3">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color w:val="auto"/>
                <w:kern w:val="0"/>
                <w:sz w:val="24"/>
              </w:rPr>
            </w:pPr>
            <w:r>
              <w:rPr>
                <w:rFonts w:hint="default"/>
                <w:color w:val="auto"/>
                <w:kern w:val="0"/>
                <w:sz w:val="24"/>
              </w:rPr>
              <w:t>第六条企业事业单位和其他生产经营者应当采取有效措施，防止和减少大气污染，对所造成的损害依法承担责任。第十条企业事业单位和其他生产经营者建设对大气环境有影响的项目，应当依法进行环境影响评价、公开环境影响评价文件；向大气排放污染物的，应当符合大气污染物排放标准，遵守重点大气污染物排放总量控制要求。</w:t>
            </w:r>
          </w:p>
          <w:p w14:paraId="23EA2D0F">
            <w:pPr>
              <w:pStyle w:val="137"/>
              <w:keepNext w:val="0"/>
              <w:keepLines w:val="0"/>
              <w:suppressLineNumbers w:val="0"/>
              <w:snapToGrid w:val="0"/>
              <w:spacing w:before="0" w:beforeAutospacing="0" w:after="0" w:afterAutospacing="0" w:line="360" w:lineRule="auto"/>
              <w:ind w:left="0" w:right="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第三十三条设区的市级城市建成区内，禁止新建额定蒸发量低于每小时二十吨或者额定功率低于十四兆瓦的</w:t>
            </w:r>
            <w:r>
              <w:rPr>
                <w:rFonts w:hint="default" w:ascii="Times New Roman" w:hAnsi="Times New Roman" w:eastAsia="宋体" w:cs="Times New Roman"/>
                <w:color w:val="auto"/>
                <w:sz w:val="24"/>
                <w:highlight w:val="none"/>
                <w:lang w:val="en-US" w:eastAsia="zh-CN"/>
              </w:rPr>
              <w:fldChar w:fldCharType="begin"/>
            </w:r>
            <w:r>
              <w:rPr>
                <w:rFonts w:hint="default" w:ascii="Times New Roman" w:hAnsi="Times New Roman" w:eastAsia="宋体" w:cs="Times New Roman"/>
                <w:color w:val="auto"/>
                <w:sz w:val="24"/>
                <w:highlight w:val="none"/>
                <w:lang w:val="en-US" w:eastAsia="zh-CN"/>
              </w:rPr>
              <w:instrText xml:space="preserve"> HYPERLINK "https://baike.baidu.com/item/%E7%87%83%E7%85%A4%E9%94%85%E7%82%89/2369922" \t "https://baike.baidu.com/item/%E9%BB%91%E9%BE%99%E6%B1%9F%E7%9C%81%E5%A4%A7%E6%B0%94%E6%B1%A1%E6%9F%93%E9%98%B2%E6%B2%BB%E6%9D%A1%E4%BE%8B/_blank" </w:instrText>
            </w:r>
            <w:r>
              <w:rPr>
                <w:rFonts w:hint="default" w:ascii="Times New Roman" w:hAnsi="Times New Roman" w:eastAsia="宋体" w:cs="Times New Roman"/>
                <w:color w:val="auto"/>
                <w:sz w:val="24"/>
                <w:highlight w:val="none"/>
                <w:lang w:val="en-US" w:eastAsia="zh-CN"/>
              </w:rPr>
              <w:fldChar w:fldCharType="separate"/>
            </w:r>
            <w:r>
              <w:rPr>
                <w:rFonts w:hint="default" w:ascii="Times New Roman" w:hAnsi="Times New Roman" w:eastAsia="宋体" w:cs="Times New Roman"/>
                <w:color w:val="auto"/>
                <w:sz w:val="24"/>
                <w:highlight w:val="none"/>
              </w:rPr>
              <w:t>燃煤锅炉</w:t>
            </w:r>
            <w:r>
              <w:rPr>
                <w:rFonts w:hint="default" w:ascii="Times New Roman" w:hAnsi="Times New Roman" w:eastAsia="宋体" w:cs="Times New Roman"/>
                <w:color w:val="auto"/>
                <w:sz w:val="24"/>
                <w:highlight w:val="none"/>
                <w:lang w:val="en-US" w:eastAsia="zh-CN"/>
              </w:rPr>
              <w:fldChar w:fldCharType="end"/>
            </w:r>
            <w:r>
              <w:rPr>
                <w:rFonts w:hint="default" w:ascii="Times New Roman" w:hAnsi="Times New Roman" w:eastAsia="宋体" w:cs="Times New Roman"/>
                <w:color w:val="auto"/>
                <w:sz w:val="24"/>
                <w:highlight w:val="none"/>
                <w:lang w:val="en-US" w:eastAsia="zh-CN"/>
              </w:rPr>
              <w:t>；已经建成的额定蒸发量每小时十吨以下或者额定功率七兆瓦以下的燃煤锅炉，应当在国家规定的期限内淘汰。国家对新建和淘汰燃煤锅炉另有规定的，从其规定。</w:t>
            </w:r>
          </w:p>
          <w:p w14:paraId="117F60DD">
            <w:pPr>
              <w:pStyle w:val="137"/>
              <w:keepNext w:val="0"/>
              <w:keepLines w:val="0"/>
              <w:suppressLineNumbers w:val="0"/>
              <w:snapToGrid w:val="0"/>
              <w:spacing w:before="0" w:beforeAutospacing="0" w:after="0" w:afterAutospacing="0" w:line="360" w:lineRule="auto"/>
              <w:ind w:left="0" w:right="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设区的市级人民政府可以制定高于前款规定的标准。</w:t>
            </w:r>
          </w:p>
          <w:p w14:paraId="00623A90">
            <w:pPr>
              <w:pStyle w:val="137"/>
              <w:keepNext w:val="0"/>
              <w:keepLines w:val="0"/>
              <w:suppressLineNumbers w:val="0"/>
              <w:snapToGrid w:val="0"/>
              <w:spacing w:before="0" w:beforeAutospacing="0" w:after="0" w:afterAutospacing="0" w:line="360" w:lineRule="auto"/>
              <w:ind w:left="0" w:right="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县级以上人民政府应当向社会公布</w:t>
            </w:r>
            <w:r>
              <w:rPr>
                <w:rFonts w:hint="default" w:ascii="Times New Roman" w:hAnsi="Times New Roman" w:eastAsia="宋体" w:cs="Times New Roman"/>
                <w:color w:val="auto"/>
                <w:sz w:val="24"/>
                <w:highlight w:val="none"/>
                <w:lang w:val="en-US" w:eastAsia="zh-CN"/>
              </w:rPr>
              <w:fldChar w:fldCharType="begin"/>
            </w:r>
            <w:r>
              <w:rPr>
                <w:rFonts w:hint="default" w:ascii="Times New Roman" w:hAnsi="Times New Roman" w:eastAsia="宋体" w:cs="Times New Roman"/>
                <w:color w:val="auto"/>
                <w:sz w:val="24"/>
                <w:highlight w:val="none"/>
                <w:lang w:val="en-US" w:eastAsia="zh-CN"/>
              </w:rPr>
              <w:instrText xml:space="preserve"> HYPERLINK "https://baike.baidu.com/item/%E7%87%83%E7%85%A4%E9%94%85%E7%82%89/2369922" \t "https://baike.baidu.com/item/%E9%BB%91%E9%BE%99%E6%B1%9F%E7%9C%81%E5%A4%A7%E6%B0%94%E6%B1%A1%E6%9F%93%E9%98%B2%E6%B2%BB%E6%9D%A1%E4%BE%8B/_blank" </w:instrText>
            </w:r>
            <w:r>
              <w:rPr>
                <w:rFonts w:hint="default" w:ascii="Times New Roman" w:hAnsi="Times New Roman" w:eastAsia="宋体" w:cs="Times New Roman"/>
                <w:color w:val="auto"/>
                <w:sz w:val="24"/>
                <w:highlight w:val="none"/>
                <w:lang w:val="en-US" w:eastAsia="zh-CN"/>
              </w:rPr>
              <w:fldChar w:fldCharType="separate"/>
            </w:r>
            <w:r>
              <w:rPr>
                <w:rFonts w:hint="default" w:ascii="Times New Roman" w:hAnsi="Times New Roman" w:eastAsia="宋体" w:cs="Times New Roman"/>
                <w:color w:val="auto"/>
                <w:sz w:val="24"/>
                <w:highlight w:val="none"/>
                <w:lang w:val="en-US" w:eastAsia="zh-CN"/>
              </w:rPr>
              <w:t>燃煤锅炉</w:t>
            </w:r>
            <w:r>
              <w:rPr>
                <w:rFonts w:hint="default" w:ascii="Times New Roman" w:hAnsi="Times New Roman" w:eastAsia="宋体" w:cs="Times New Roman"/>
                <w:color w:val="auto"/>
                <w:sz w:val="24"/>
                <w:highlight w:val="none"/>
                <w:lang w:val="en-US" w:eastAsia="zh-CN"/>
              </w:rPr>
              <w:fldChar w:fldCharType="end"/>
            </w:r>
            <w:r>
              <w:rPr>
                <w:rFonts w:hint="default" w:ascii="Times New Roman" w:hAnsi="Times New Roman" w:eastAsia="宋体" w:cs="Times New Roman"/>
                <w:color w:val="auto"/>
                <w:sz w:val="24"/>
                <w:highlight w:val="none"/>
                <w:lang w:val="en-US" w:eastAsia="zh-CN"/>
              </w:rPr>
              <w:t>计划淘汰名单和时限，并合理控制城市建成区外规划区内额定蒸发量每小时十吨以下或者额定功率七兆瓦以下燃煤锅炉的建设和使用。</w:t>
            </w:r>
          </w:p>
          <w:p w14:paraId="7BFDD05F">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ascii="Times New Roman" w:hAnsi="Times New Roman" w:cs="Times New Roman"/>
                <w:color w:val="auto"/>
                <w:sz w:val="24"/>
                <w:lang w:val="en-US" w:eastAsia="zh-CN"/>
              </w:rPr>
            </w:pPr>
            <w:r>
              <w:rPr>
                <w:rFonts w:hint="default" w:ascii="Times New Roman" w:hAnsi="Times New Roman" w:cs="Times New Roman"/>
                <w:color w:val="auto"/>
                <w:sz w:val="24"/>
              </w:rPr>
              <w:t>本项目建设地点位于</w:t>
            </w:r>
            <w:r>
              <w:rPr>
                <w:rFonts w:hint="eastAsia" w:eastAsia="宋体"/>
                <w:color w:val="auto"/>
                <w:sz w:val="24"/>
                <w:lang w:val="en-US" w:eastAsia="zh-CN"/>
              </w:rPr>
              <w:t>伊春市伊美区101号（原乌马河红旗贮木场）</w:t>
            </w:r>
            <w:r>
              <w:rPr>
                <w:rFonts w:hint="default" w:ascii="Times New Roman" w:hAnsi="Times New Roman" w:cs="Times New Roman"/>
                <w:color w:val="auto"/>
                <w:sz w:val="24"/>
              </w:rPr>
              <w:t>，</w:t>
            </w:r>
            <w:r>
              <w:rPr>
                <w:rFonts w:hint="eastAsia" w:ascii="Times New Roman" w:hAnsi="Times New Roman" w:cs="Times New Roman"/>
                <w:color w:val="auto"/>
                <w:sz w:val="24"/>
                <w:lang w:eastAsia="zh-CN"/>
              </w:rPr>
              <w:t>建设</w:t>
            </w:r>
            <w:r>
              <w:rPr>
                <w:rFonts w:hint="eastAsia" w:ascii="Times New Roman" w:hAnsi="Times New Roman" w:cs="Times New Roman"/>
                <w:color w:val="auto"/>
                <w:sz w:val="24"/>
                <w:lang w:val="en-US" w:eastAsia="zh-CN"/>
              </w:rPr>
              <w:t>1台1t/h导热油炉，使用轻质柴油为燃料</w:t>
            </w:r>
            <w:r>
              <w:rPr>
                <w:rFonts w:hint="default" w:ascii="Times New Roman" w:hAnsi="Times New Roman" w:cs="Times New Roman"/>
                <w:color w:val="auto"/>
                <w:sz w:val="24"/>
                <w:lang w:eastAsia="zh-CN"/>
              </w:rPr>
              <w:t>，</w:t>
            </w:r>
            <w:r>
              <w:rPr>
                <w:rFonts w:hint="eastAsia" w:cs="Times New Roman"/>
                <w:color w:val="auto"/>
                <w:sz w:val="24"/>
                <w:lang w:eastAsia="zh-CN"/>
              </w:rPr>
              <w:t>本次进行环境影响评价。综上，符合以上</w:t>
            </w:r>
            <w:r>
              <w:rPr>
                <w:rFonts w:hint="eastAsia" w:ascii="Times New Roman" w:hAnsi="Times New Roman" w:cs="Times New Roman"/>
                <w:color w:val="auto"/>
                <w:sz w:val="24"/>
                <w:lang w:eastAsia="zh-CN"/>
              </w:rPr>
              <w:t>要求</w:t>
            </w:r>
            <w:r>
              <w:rPr>
                <w:rFonts w:hint="default" w:ascii="Times New Roman" w:hAnsi="Times New Roman" w:cs="Times New Roman"/>
                <w:color w:val="auto"/>
                <w:sz w:val="24"/>
              </w:rPr>
              <w:t>。</w:t>
            </w:r>
          </w:p>
          <w:p w14:paraId="41E4919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cs="Times New Roman"/>
                <w:color w:val="auto"/>
                <w:sz w:val="24"/>
                <w:lang w:val="en-US" w:eastAsia="zh-CN"/>
              </w:rPr>
            </w:pPr>
            <w:r>
              <w:rPr>
                <w:rFonts w:hint="eastAsia" w:cs="Times New Roman"/>
                <w:color w:val="auto"/>
                <w:sz w:val="24"/>
                <w:lang w:val="en-US" w:eastAsia="zh-CN"/>
              </w:rPr>
              <w:t>3、与《伊春市大气污染防治行动计划实施细则》的符合性</w:t>
            </w:r>
          </w:p>
          <w:p w14:paraId="0F806923">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s="Times New Roman"/>
                <w:color w:val="auto"/>
                <w:sz w:val="24"/>
                <w:lang w:val="en-US" w:eastAsia="zh-CN"/>
              </w:rPr>
            </w:pPr>
            <w:r>
              <w:rPr>
                <w:rFonts w:hint="eastAsia" w:cs="Times New Roman"/>
                <w:color w:val="auto"/>
                <w:sz w:val="24"/>
                <w:lang w:val="en-US" w:eastAsia="zh-CN"/>
              </w:rPr>
              <w:t>根据《伊春市大气污染防治行动计划实施细则》，  2.加强扬尘控制，深化面源污染治理。各地要大力推进园林城建设，提高街道两侧硬化率、绿化率，减少城区、城乡结合部街路裸露地面。运输渣土、沙石等车辆必须采取密闭措施，并逐步安装卫星定位系统。推行道路机械化清扫等高效、低尘的作业方式。建设工程施工现场必须设置全封闭围挡墙，严禁敞开式作业。大力推广预拌砂浆，减少施工现场污染。建筑施工场地出口道路必须硬化并设置车辆清洗平台，对出场车辆逐台进行清洗。大型堆场应建立密闭料仓与传送装置，露天堆放的应建设防风抑尘网等；长期堆放的废弃物，应采取覆绿、铺装、硬化、定期喷洒抑尘剂或稳定剂等措施，控制扬尘污染。</w:t>
            </w:r>
          </w:p>
          <w:p w14:paraId="6B3CF667">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s="Times New Roman"/>
                <w:color w:val="auto"/>
                <w:sz w:val="24"/>
                <w:lang w:val="en-US" w:eastAsia="zh-CN"/>
              </w:rPr>
            </w:pPr>
            <w:r>
              <w:rPr>
                <w:rFonts w:hint="eastAsia" w:cs="Times New Roman"/>
                <w:color w:val="auto"/>
                <w:sz w:val="24"/>
                <w:lang w:val="en-US" w:eastAsia="zh-CN"/>
              </w:rPr>
              <w:t>本项目利用现有原料堆场，本次评价要求原料堆场建设防风抑尘网控制无组织颗粒物的排放，定期洒水降尘，控制扬尘污染，综上本项目建设符合《伊春市大气污染防治行动计划实施细则》。</w:t>
            </w:r>
          </w:p>
          <w:p w14:paraId="7602C48A">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ascii="Times New Roman" w:hAnsi="Times New Roman" w:cs="Times New Roman"/>
                <w:color w:val="auto"/>
                <w:sz w:val="24"/>
                <w:lang w:val="en-US" w:eastAsia="zh-CN"/>
              </w:rPr>
            </w:pPr>
            <w:r>
              <w:rPr>
                <w:rFonts w:hint="eastAsia" w:cs="Times New Roman"/>
                <w:color w:val="auto"/>
                <w:sz w:val="24"/>
                <w:lang w:val="en-US" w:eastAsia="zh-CN"/>
              </w:rPr>
              <w:t>4、与</w:t>
            </w:r>
            <w:r>
              <w:rPr>
                <w:rFonts w:hint="eastAsia" w:ascii="Times New Roman" w:hAnsi="Times New Roman" w:cs="Times New Roman"/>
                <w:color w:val="auto"/>
                <w:sz w:val="24"/>
                <w:lang w:val="en-US" w:eastAsia="zh-CN"/>
              </w:rPr>
              <w:t>《伊春市人民政府关于划定高污染燃料禁燃区的通告》</w:t>
            </w:r>
            <w:r>
              <w:rPr>
                <w:rFonts w:hint="eastAsia" w:cs="Times New Roman"/>
                <w:color w:val="auto"/>
                <w:sz w:val="24"/>
                <w:lang w:val="en-US" w:eastAsia="zh-CN"/>
              </w:rPr>
              <w:t>的符合性</w:t>
            </w:r>
          </w:p>
          <w:p w14:paraId="23B62CD5">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s="Times New Roman"/>
                <w:color w:val="auto"/>
                <w:sz w:val="24"/>
                <w:lang w:val="en-US" w:eastAsia="zh-CN"/>
              </w:rPr>
            </w:pPr>
            <w:r>
              <w:rPr>
                <w:rFonts w:hint="eastAsia" w:cs="Times New Roman"/>
                <w:color w:val="auto"/>
                <w:sz w:val="24"/>
                <w:lang w:val="en-US" w:eastAsia="zh-CN"/>
              </w:rPr>
              <w:t>根据</w:t>
            </w:r>
            <w:r>
              <w:rPr>
                <w:rFonts w:hint="eastAsia" w:ascii="Times New Roman" w:hAnsi="Times New Roman" w:cs="Times New Roman"/>
                <w:color w:val="auto"/>
                <w:sz w:val="24"/>
                <w:lang w:val="en-US" w:eastAsia="zh-CN"/>
              </w:rPr>
              <w:t>《伊春市人民政府关于划定高污染燃料禁燃区的通告》</w:t>
            </w:r>
            <w:r>
              <w:rPr>
                <w:rFonts w:hint="eastAsia" w:cs="Times New Roman"/>
                <w:color w:val="auto"/>
                <w:sz w:val="24"/>
                <w:lang w:val="en-US" w:eastAsia="zh-CN"/>
              </w:rPr>
              <w:t>，一、禁燃区范围：市政府所在地建成区及铁力市政府所在地建成区。在禁燃区内，禁止销售、燃用高污染燃料。禁止新建、扩建燃用高污染燃料设施，对已建成的相关设施，应在市政府规定期限内改用天然气、页岩气、液化石油气、电或者其他清洁能源。</w:t>
            </w:r>
          </w:p>
          <w:p w14:paraId="4F462254">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s="Times New Roman"/>
                <w:color w:val="auto"/>
                <w:sz w:val="24"/>
                <w:lang w:val="en-US" w:eastAsia="zh-CN"/>
              </w:rPr>
            </w:pPr>
            <w:r>
              <w:rPr>
                <w:rFonts w:hint="eastAsia" w:cs="Times New Roman"/>
                <w:color w:val="auto"/>
                <w:sz w:val="24"/>
                <w:lang w:val="en-US" w:eastAsia="zh-CN"/>
              </w:rPr>
              <w:t>本项目建设地点不属于建成区，因此本项目满足</w:t>
            </w:r>
            <w:r>
              <w:rPr>
                <w:rFonts w:hint="eastAsia" w:ascii="Times New Roman" w:hAnsi="Times New Roman" w:cs="Times New Roman"/>
                <w:color w:val="auto"/>
                <w:sz w:val="24"/>
                <w:lang w:val="en-US" w:eastAsia="zh-CN"/>
              </w:rPr>
              <w:t>《伊春市人民政府关于划定高污染燃料禁燃区的通告》</w:t>
            </w:r>
            <w:r>
              <w:rPr>
                <w:rFonts w:hint="eastAsia" w:cs="Times New Roman"/>
                <w:color w:val="auto"/>
                <w:sz w:val="24"/>
                <w:lang w:val="en-US" w:eastAsia="zh-CN"/>
              </w:rPr>
              <w:t>要求。</w:t>
            </w:r>
          </w:p>
          <w:p w14:paraId="101D6928">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、与《</w:t>
            </w:r>
            <w:r>
              <w:rPr>
                <w:rFonts w:hint="eastAsia" w:ascii="Times New Roman" w:hAnsi="Times New Roman" w:eastAsia="宋体" w:cs="Times New Roman"/>
                <w:color w:val="auto"/>
                <w:sz w:val="24"/>
                <w:lang w:val="en-US" w:eastAsia="zh-CN"/>
              </w:rPr>
              <w:t>伊春市</w:t>
            </w:r>
            <w:r>
              <w:rPr>
                <w:rFonts w:hint="default" w:ascii="Times New Roman" w:hAnsi="Times New Roman" w:eastAsia="宋体" w:cs="Times New Roman"/>
                <w:color w:val="auto"/>
                <w:sz w:val="24"/>
                <w:lang w:val="en-US" w:eastAsia="zh-CN"/>
              </w:rPr>
              <w:t>人民政府关于印发＜</w:t>
            </w:r>
            <w:r>
              <w:rPr>
                <w:rFonts w:hint="eastAsia" w:ascii="Times New Roman" w:hAnsi="Times New Roman" w:eastAsia="宋体" w:cs="Times New Roman"/>
                <w:color w:val="auto"/>
                <w:sz w:val="24"/>
                <w:lang w:val="en-US" w:eastAsia="zh-CN"/>
              </w:rPr>
              <w:t>伊春市</w:t>
            </w:r>
            <w:r>
              <w:rPr>
                <w:rFonts w:hint="default" w:ascii="Times New Roman" w:hAnsi="Times New Roman" w:eastAsia="宋体" w:cs="Times New Roman"/>
                <w:color w:val="auto"/>
                <w:sz w:val="24"/>
                <w:lang w:val="en-US" w:eastAsia="zh-CN"/>
              </w:rPr>
              <w:t>空气质量持续改善行动计划实施方案＞的通知》（</w:t>
            </w:r>
            <w:r>
              <w:rPr>
                <w:rFonts w:hint="eastAsia" w:ascii="Times New Roman" w:hAnsi="Times New Roman" w:eastAsia="宋体" w:cs="Times New Roman"/>
                <w:color w:val="auto"/>
                <w:sz w:val="24"/>
                <w:lang w:val="en-US" w:eastAsia="zh-CN"/>
              </w:rPr>
              <w:t>伊</w:t>
            </w:r>
            <w:r>
              <w:rPr>
                <w:rFonts w:hint="default" w:ascii="Times New Roman" w:hAnsi="Times New Roman" w:eastAsia="宋体" w:cs="Times New Roman"/>
                <w:color w:val="auto"/>
                <w:sz w:val="24"/>
                <w:lang w:val="en-US" w:eastAsia="zh-CN"/>
              </w:rPr>
              <w:t>政发〔202</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8</w:t>
            </w:r>
            <w:r>
              <w:rPr>
                <w:rFonts w:hint="default" w:ascii="Times New Roman" w:hAnsi="Times New Roman" w:eastAsia="宋体" w:cs="Times New Roman"/>
                <w:color w:val="auto"/>
                <w:sz w:val="24"/>
                <w:lang w:val="en-US" w:eastAsia="zh-CN"/>
              </w:rPr>
              <w:t>号）符合性分析</w:t>
            </w:r>
          </w:p>
          <w:p w14:paraId="70004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本项目与</w:t>
            </w:r>
            <w:r>
              <w:rPr>
                <w:rFonts w:hint="default" w:ascii="Times New Roman" w:hAnsi="Times New Roman" w:eastAsia="宋体" w:cs="Times New Roman"/>
                <w:b w:val="0"/>
                <w:bCs w:val="0"/>
                <w:color w:val="auto"/>
                <w:kern w:val="2"/>
                <w:sz w:val="24"/>
                <w:szCs w:val="24"/>
                <w:highlight w:val="none"/>
                <w:lang w:val="en-US" w:eastAsia="zh-CN" w:bidi="ar-SA"/>
              </w:rPr>
              <w:t>《伊春市人民政府关于印发＜伊春市空气质量持续改善行动计划实施方案＞的通知》（伊政发〔2024〕8号）符合性分析</w:t>
            </w:r>
            <w:r>
              <w:rPr>
                <w:rFonts w:hint="default" w:ascii="Times New Roman" w:hAnsi="Times New Roman" w:cs="Times New Roman"/>
                <w:color w:val="auto"/>
                <w:sz w:val="24"/>
                <w:highlight w:val="none"/>
                <w:lang w:val="en-US" w:eastAsia="zh-CN"/>
              </w:rPr>
              <w:t>，详见表1-</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p>
          <w:p w14:paraId="3E87D454">
            <w:pPr>
              <w:pStyle w:val="128"/>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b/>
                <w:color w:val="auto"/>
                <w:szCs w:val="24"/>
                <w:highlight w:val="none"/>
                <w:lang w:val="en-US" w:eastAsia="zh-CN"/>
              </w:rPr>
            </w:pPr>
            <w:r>
              <w:rPr>
                <w:rFonts w:hint="default" w:ascii="Times New Roman" w:hAnsi="Times New Roman" w:eastAsia="宋体" w:cs="Times New Roman"/>
                <w:b/>
                <w:bCs/>
                <w:color w:val="auto"/>
                <w:highlight w:val="none"/>
                <w:lang w:val="en-US" w:eastAsia="zh-CN"/>
              </w:rPr>
              <w:t>表1-</w:t>
            </w:r>
            <w:r>
              <w:rPr>
                <w:rFonts w:hint="eastAsia" w:ascii="Times New Roman" w:hAnsi="Times New Roman" w:eastAsia="宋体" w:cs="Times New Roman"/>
                <w:b/>
                <w:bCs/>
                <w:color w:val="auto"/>
                <w:highlight w:val="none"/>
                <w:lang w:val="en-US" w:eastAsia="zh-CN"/>
              </w:rPr>
              <w:t>1</w:t>
            </w:r>
            <w:r>
              <w:rPr>
                <w:rFonts w:hint="default" w:ascii="Times New Roman" w:hAnsi="Times New Roman" w:eastAsia="宋体" w:cs="Times New Roman"/>
                <w:b/>
                <w:bCs/>
                <w:color w:val="auto"/>
                <w:highlight w:val="none"/>
                <w:lang w:val="en-US" w:eastAsia="zh-CN"/>
              </w:rPr>
              <w:t>与《</w:t>
            </w:r>
            <w:r>
              <w:rPr>
                <w:rFonts w:hint="eastAsia" w:ascii="Times New Roman" w:hAnsi="Times New Roman" w:eastAsia="宋体" w:cs="Times New Roman"/>
                <w:b/>
                <w:bCs/>
                <w:color w:val="auto"/>
                <w:highlight w:val="none"/>
                <w:lang w:val="en-US" w:eastAsia="zh-CN"/>
              </w:rPr>
              <w:t>伊春市</w:t>
            </w:r>
            <w:r>
              <w:rPr>
                <w:rFonts w:hint="default" w:ascii="Times New Roman" w:hAnsi="Times New Roman" w:eastAsia="宋体" w:cs="Times New Roman"/>
                <w:b/>
                <w:bCs/>
                <w:color w:val="auto"/>
                <w:highlight w:val="none"/>
                <w:lang w:val="en-US" w:eastAsia="zh-CN"/>
              </w:rPr>
              <w:t>空气质量持续改善行动计划实施方案》符合性分析</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561"/>
              <w:gridCol w:w="3066"/>
              <w:gridCol w:w="1226"/>
            </w:tblGrid>
            <w:tr w14:paraId="39B5EF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61" w:type="dxa"/>
                  <w:tcBorders>
                    <w:tl2br w:val="nil"/>
                    <w:tr2bl w:val="nil"/>
                  </w:tcBorders>
                  <w:noWrap w:val="0"/>
                  <w:vAlign w:val="center"/>
                </w:tcPr>
                <w:p w14:paraId="6CC203E4">
                  <w:pPr>
                    <w:pStyle w:val="124"/>
                    <w:keepNext w:val="0"/>
                    <w:keepLines w:val="0"/>
                    <w:pageBreakBefore w:val="0"/>
                    <w:widowControl w:val="0"/>
                    <w:suppressLineNumbers w:val="0"/>
                    <w:kinsoku/>
                    <w:wordWrap/>
                    <w:overflowPunct/>
                    <w:topLinePunct w:val="0"/>
                    <w:autoSpaceDE/>
                    <w:autoSpaceDN/>
                    <w:bidi w:val="0"/>
                    <w:adjustRightInd/>
                    <w:snapToGrid/>
                    <w:spacing w:beforeAutospacing="0" w:afterAutospacing="0" w:line="300" w:lineRule="exact"/>
                    <w:ind w:right="0"/>
                    <w:jc w:val="center"/>
                    <w:textAlignment w:val="auto"/>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相关要求</w:t>
                  </w:r>
                </w:p>
              </w:tc>
              <w:tc>
                <w:tcPr>
                  <w:tcW w:w="3066" w:type="dxa"/>
                  <w:tcBorders>
                    <w:tl2br w:val="nil"/>
                    <w:tr2bl w:val="nil"/>
                  </w:tcBorders>
                  <w:noWrap w:val="0"/>
                  <w:vAlign w:val="center"/>
                </w:tcPr>
                <w:p w14:paraId="4F4418EA">
                  <w:pPr>
                    <w:pStyle w:val="124"/>
                    <w:keepNext w:val="0"/>
                    <w:keepLines w:val="0"/>
                    <w:pageBreakBefore w:val="0"/>
                    <w:widowControl w:val="0"/>
                    <w:suppressLineNumbers w:val="0"/>
                    <w:kinsoku/>
                    <w:wordWrap/>
                    <w:overflowPunct/>
                    <w:topLinePunct w:val="0"/>
                    <w:autoSpaceDE/>
                    <w:autoSpaceDN/>
                    <w:bidi w:val="0"/>
                    <w:adjustRightInd/>
                    <w:snapToGrid/>
                    <w:spacing w:beforeAutospacing="0" w:afterAutospacing="0" w:line="300" w:lineRule="exact"/>
                    <w:ind w:right="0"/>
                    <w:jc w:val="center"/>
                    <w:textAlignment w:val="auto"/>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本项目设置情况</w:t>
                  </w:r>
                </w:p>
              </w:tc>
              <w:tc>
                <w:tcPr>
                  <w:tcW w:w="1226" w:type="dxa"/>
                  <w:tcBorders>
                    <w:tl2br w:val="nil"/>
                    <w:tr2bl w:val="nil"/>
                  </w:tcBorders>
                  <w:noWrap w:val="0"/>
                  <w:vAlign w:val="center"/>
                </w:tcPr>
                <w:p w14:paraId="75F3E531">
                  <w:pPr>
                    <w:pStyle w:val="124"/>
                    <w:keepNext w:val="0"/>
                    <w:keepLines w:val="0"/>
                    <w:pageBreakBefore w:val="0"/>
                    <w:widowControl w:val="0"/>
                    <w:suppressLineNumbers w:val="0"/>
                    <w:kinsoku/>
                    <w:wordWrap/>
                    <w:overflowPunct/>
                    <w:topLinePunct w:val="0"/>
                    <w:autoSpaceDE/>
                    <w:autoSpaceDN/>
                    <w:bidi w:val="0"/>
                    <w:adjustRightInd/>
                    <w:snapToGrid/>
                    <w:spacing w:beforeAutospacing="0" w:afterAutospacing="0" w:line="300" w:lineRule="exact"/>
                    <w:ind w:right="0"/>
                    <w:jc w:val="center"/>
                    <w:textAlignment w:val="auto"/>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符合情况</w:t>
                  </w:r>
                </w:p>
              </w:tc>
            </w:tr>
            <w:tr w14:paraId="27CBE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3561" w:type="dxa"/>
                  <w:tcBorders>
                    <w:tl2br w:val="nil"/>
                    <w:tr2bl w:val="nil"/>
                  </w:tcBorders>
                  <w:noWrap w:val="0"/>
                  <w:vAlign w:val="center"/>
                </w:tcPr>
                <w:p w14:paraId="7FD78E74">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二、持续推进产业结构调整</w:t>
                  </w:r>
                </w:p>
                <w:p w14:paraId="36B3EC4F">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一)严格环境准入要求。新改扩建项目严格落实产业规划、产业政策、生态环境分区管控、规划环评、项目环评、节能审查,以及产能置换、重点污染物总量控制、污染物排放区域削减、碳达峰等相关要求执行,原则上采用清洁运输方式。涉及产能置换的项目,被置换产能及其配套设施关停后,新建项目方能投产。坚决遏制“两高一低”项目盲目上马。</w:t>
                  </w:r>
                </w:p>
              </w:tc>
              <w:tc>
                <w:tcPr>
                  <w:tcW w:w="3066" w:type="dxa"/>
                  <w:tcBorders>
                    <w:tl2br w:val="nil"/>
                    <w:tr2bl w:val="nil"/>
                  </w:tcBorders>
                  <w:noWrap w:val="0"/>
                  <w:vAlign w:val="center"/>
                </w:tcPr>
                <w:p w14:paraId="43C28350">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根据该条款要求，并结合本项目实际情况，工程严格</w:t>
                  </w:r>
                  <w:r>
                    <w:rPr>
                      <w:rFonts w:hint="eastAsia" w:ascii="Times New Roman" w:hAnsi="Times New Roman" w:eastAsia="宋体" w:cs="Times New Roman"/>
                      <w:b w:val="0"/>
                      <w:bCs/>
                      <w:color w:val="auto"/>
                      <w:sz w:val="21"/>
                      <w:szCs w:val="21"/>
                      <w:highlight w:val="none"/>
                      <w:lang w:val="en-US" w:eastAsia="zh-CN"/>
                    </w:rPr>
                    <w:t>落实产业政策、生态环境分区管控</w:t>
                  </w:r>
                  <w:r>
                    <w:rPr>
                      <w:rFonts w:hint="default" w:ascii="Times New Roman" w:hAnsi="Times New Roman" w:eastAsia="宋体" w:cs="Times New Roman"/>
                      <w:b w:val="0"/>
                      <w:bCs/>
                      <w:color w:val="auto"/>
                      <w:sz w:val="21"/>
                      <w:szCs w:val="21"/>
                      <w:highlight w:val="none"/>
                      <w:lang w:val="en-US" w:eastAsia="zh-CN"/>
                    </w:rPr>
                    <w:t>要求，积极落实项目环评相关工作；</w:t>
                  </w:r>
                  <w:r>
                    <w:rPr>
                      <w:rFonts w:hint="eastAsia" w:ascii="Times New Roman" w:hAnsi="Times New Roman" w:eastAsia="宋体" w:cs="Times New Roman"/>
                      <w:b w:val="0"/>
                      <w:bCs/>
                      <w:color w:val="auto"/>
                      <w:sz w:val="21"/>
                      <w:szCs w:val="21"/>
                      <w:highlight w:val="none"/>
                      <w:lang w:val="en-US" w:eastAsia="zh-CN"/>
                    </w:rPr>
                    <w:t>且本项目不属于“两高一低”项目</w:t>
                  </w:r>
                  <w:r>
                    <w:rPr>
                      <w:rFonts w:hint="default" w:ascii="Times New Roman" w:hAnsi="Times New Roman" w:eastAsia="宋体" w:cs="Times New Roman"/>
                      <w:b w:val="0"/>
                      <w:bCs/>
                      <w:color w:val="auto"/>
                      <w:sz w:val="21"/>
                      <w:szCs w:val="21"/>
                      <w:highlight w:val="none"/>
                      <w:lang w:val="en-US" w:eastAsia="zh-CN"/>
                    </w:rPr>
                    <w:t>。</w:t>
                  </w:r>
                </w:p>
              </w:tc>
              <w:tc>
                <w:tcPr>
                  <w:tcW w:w="1226" w:type="dxa"/>
                  <w:tcBorders>
                    <w:tl2br w:val="nil"/>
                    <w:tr2bl w:val="nil"/>
                  </w:tcBorders>
                  <w:noWrap w:val="0"/>
                  <w:vAlign w:val="center"/>
                </w:tcPr>
                <w:p w14:paraId="2919E89F">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baseline"/>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eastAsia="zh-CN"/>
                    </w:rPr>
                    <w:t>符合</w:t>
                  </w:r>
                </w:p>
              </w:tc>
            </w:tr>
            <w:tr w14:paraId="3F8B6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3561" w:type="dxa"/>
                  <w:tcBorders>
                    <w:tl2br w:val="nil"/>
                    <w:tr2bl w:val="nil"/>
                  </w:tcBorders>
                  <w:noWrap w:val="0"/>
                  <w:vAlign w:val="center"/>
                </w:tcPr>
                <w:p w14:paraId="6021B072">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(二)加快重点行业落后产能淘汰退出。严格执行《产业结构调整指导目录》要求,加快引导将污染物或温室气体排放明显高出行业平均水平、能效以及清洁生产水平低的工艺及装备纳入淘汰类和限制类名单。</w:t>
                  </w:r>
                </w:p>
              </w:tc>
              <w:tc>
                <w:tcPr>
                  <w:tcW w:w="3066" w:type="dxa"/>
                  <w:tcBorders>
                    <w:tl2br w:val="nil"/>
                    <w:tr2bl w:val="nil"/>
                  </w:tcBorders>
                  <w:noWrap w:val="0"/>
                  <w:vAlign w:val="center"/>
                </w:tcPr>
                <w:p w14:paraId="61D3ACB2">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根据前面的分析可知，本项目不涉及《产业结构调整指导目录》中“鼓励类”、“淘汰类”和“限制类”相关内容，工程属于允许类。</w:t>
                  </w:r>
                  <w:r>
                    <w:rPr>
                      <w:rFonts w:hint="eastAsia" w:ascii="Times New Roman" w:hAnsi="Times New Roman" w:eastAsia="宋体" w:cs="Times New Roman"/>
                      <w:b w:val="0"/>
                      <w:bCs/>
                      <w:color w:val="auto"/>
                      <w:kern w:val="2"/>
                      <w:sz w:val="21"/>
                      <w:szCs w:val="21"/>
                      <w:highlight w:val="none"/>
                      <w:lang w:val="en-US" w:eastAsia="zh-CN" w:bidi="ar-SA"/>
                    </w:rPr>
                    <w:t>本项目所用的工艺技术和装备未纳入淘汰类和限制类名单。</w:t>
                  </w:r>
                </w:p>
              </w:tc>
              <w:tc>
                <w:tcPr>
                  <w:tcW w:w="1226" w:type="dxa"/>
                  <w:tcBorders>
                    <w:tl2br w:val="nil"/>
                    <w:tr2bl w:val="nil"/>
                  </w:tcBorders>
                  <w:noWrap w:val="0"/>
                  <w:vAlign w:val="center"/>
                </w:tcPr>
                <w:p w14:paraId="78A3B409">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baseline"/>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eastAsia="zh-CN"/>
                    </w:rPr>
                    <w:t>符合</w:t>
                  </w:r>
                </w:p>
              </w:tc>
            </w:tr>
            <w:tr w14:paraId="07D23D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561" w:type="dxa"/>
                  <w:tcBorders>
                    <w:tl2br w:val="nil"/>
                    <w:tr2bl w:val="nil"/>
                  </w:tcBorders>
                  <w:noWrap w:val="0"/>
                  <w:vAlign w:val="center"/>
                </w:tcPr>
                <w:p w14:paraId="3B297E6B">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五、持续加强面源污染治理</w:t>
                  </w:r>
                </w:p>
                <w:p w14:paraId="609CDC90">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一)深化扬尘污染综合治理。按照国家、省有关要求,全面推进绿色施工,严格执行“六个百分之百”,将防治扬尘污染费用纳入工程造价。到2025年,装配式建筑占新建建筑面积的比例达到20%;市建成区道路机械化清扫率达80%左右,县城达70%左右。对城市公共裸地进行排查建档并采取防尘措施。</w:t>
                  </w:r>
                </w:p>
              </w:tc>
              <w:tc>
                <w:tcPr>
                  <w:tcW w:w="3066" w:type="dxa"/>
                  <w:tcBorders>
                    <w:tl2br w:val="nil"/>
                    <w:tr2bl w:val="nil"/>
                  </w:tcBorders>
                  <w:noWrap w:val="0"/>
                  <w:vAlign w:val="center"/>
                </w:tcPr>
                <w:p w14:paraId="359486F7">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both"/>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本项目严格执行扬尘污染综合治理工作，工程运营期</w:t>
                  </w:r>
                  <w:r>
                    <w:rPr>
                      <w:rFonts w:hint="eastAsia" w:ascii="Times New Roman" w:hAnsi="Times New Roman" w:eastAsia="宋体" w:cs="Times New Roman"/>
                      <w:b w:val="0"/>
                      <w:bCs/>
                      <w:color w:val="auto"/>
                      <w:kern w:val="2"/>
                      <w:sz w:val="21"/>
                      <w:szCs w:val="21"/>
                      <w:highlight w:val="none"/>
                      <w:lang w:val="en-US" w:eastAsia="zh-CN" w:bidi="ar-SA"/>
                    </w:rPr>
                    <w:t>扬尘污染防治理措施包括</w:t>
                  </w:r>
                  <w:r>
                    <w:rPr>
                      <w:rFonts w:hint="default" w:ascii="Times New Roman" w:hAnsi="Times New Roman" w:eastAsia="宋体" w:cs="Times New Roman"/>
                      <w:b w:val="0"/>
                      <w:bCs/>
                      <w:color w:val="auto"/>
                      <w:kern w:val="2"/>
                      <w:sz w:val="21"/>
                      <w:szCs w:val="21"/>
                      <w:highlight w:val="none"/>
                      <w:lang w:val="en-US" w:eastAsia="zh-CN" w:bidi="ar-SA"/>
                    </w:rPr>
                    <w:t>骨料堆场在装卸过程中注意保持湿度、注意洒水降尘；</w:t>
                  </w:r>
                  <w:r>
                    <w:rPr>
                      <w:rFonts w:hint="eastAsia" w:ascii="Times New Roman" w:hAnsi="Times New Roman" w:eastAsia="宋体" w:cs="Times New Roman"/>
                      <w:b w:val="0"/>
                      <w:bCs/>
                      <w:color w:val="auto"/>
                      <w:kern w:val="2"/>
                      <w:sz w:val="21"/>
                      <w:szCs w:val="21"/>
                      <w:highlight w:val="none"/>
                      <w:lang w:val="en-US" w:eastAsia="zh-CN" w:bidi="ar-SA"/>
                    </w:rPr>
                    <w:t>骨料堆场利用不低于堆放物高度（2.5m）的严密围挡,并采用定期洒水降尘</w:t>
                  </w:r>
                  <w:r>
                    <w:rPr>
                      <w:rFonts w:hint="default" w:ascii="Times New Roman" w:hAnsi="Times New Roman" w:eastAsia="宋体" w:cs="Times New Roman"/>
                      <w:b w:val="0"/>
                      <w:bCs/>
                      <w:color w:val="auto"/>
                      <w:kern w:val="2"/>
                      <w:sz w:val="21"/>
                      <w:szCs w:val="21"/>
                      <w:highlight w:val="none"/>
                      <w:lang w:val="en-US" w:eastAsia="zh-CN" w:bidi="ar-SA"/>
                    </w:rPr>
                    <w:t>；厂区道路采用混凝土硬化处理，定期喷淋洒水。矿粉罐仓顶设置除尘器</w:t>
                  </w:r>
                  <w:r>
                    <w:rPr>
                      <w:rFonts w:hint="eastAsia" w:ascii="Times New Roman" w:hAnsi="Times New Roman" w:eastAsia="宋体" w:cs="Times New Roman"/>
                      <w:b w:val="0"/>
                      <w:bCs/>
                      <w:color w:val="auto"/>
                      <w:kern w:val="2"/>
                      <w:sz w:val="21"/>
                      <w:szCs w:val="21"/>
                      <w:highlight w:val="none"/>
                      <w:lang w:val="en-US" w:eastAsia="zh-CN" w:bidi="ar-SA"/>
                    </w:rPr>
                    <w:t>。</w:t>
                  </w:r>
                  <w:r>
                    <w:rPr>
                      <w:rFonts w:hint="default" w:ascii="Times New Roman" w:hAnsi="Times New Roman" w:eastAsia="宋体" w:cs="Times New Roman"/>
                      <w:b w:val="0"/>
                      <w:bCs/>
                      <w:color w:val="auto"/>
                      <w:kern w:val="2"/>
                      <w:sz w:val="21"/>
                      <w:szCs w:val="21"/>
                      <w:highlight w:val="none"/>
                      <w:lang w:val="en-US" w:eastAsia="zh-CN" w:bidi="ar-SA"/>
                    </w:rPr>
                    <w:t>厂界</w:t>
                  </w:r>
                  <w:r>
                    <w:rPr>
                      <w:rFonts w:hint="eastAsia" w:ascii="Times New Roman" w:hAnsi="Times New Roman" w:eastAsia="宋体" w:cs="Times New Roman"/>
                      <w:b w:val="0"/>
                      <w:bCs/>
                      <w:color w:val="auto"/>
                      <w:kern w:val="2"/>
                      <w:sz w:val="21"/>
                      <w:szCs w:val="21"/>
                      <w:highlight w:val="none"/>
                      <w:lang w:val="en-US" w:eastAsia="zh-CN" w:bidi="ar-SA"/>
                    </w:rPr>
                    <w:t>颗粒物</w:t>
                  </w:r>
                  <w:r>
                    <w:rPr>
                      <w:rFonts w:hint="default" w:ascii="Times New Roman" w:hAnsi="Times New Roman" w:eastAsia="宋体" w:cs="Times New Roman"/>
                      <w:b w:val="0"/>
                      <w:bCs/>
                      <w:color w:val="auto"/>
                      <w:kern w:val="2"/>
                      <w:sz w:val="21"/>
                      <w:szCs w:val="21"/>
                      <w:highlight w:val="none"/>
                      <w:lang w:val="en-US" w:eastAsia="zh-CN" w:bidi="ar-SA"/>
                    </w:rPr>
                    <w:t>《大气污染物综合排放标准》（GB16297-1996）表2中无组织排放监控浓度限值标准</w:t>
                  </w:r>
                  <w:r>
                    <w:rPr>
                      <w:rFonts w:hint="default" w:ascii="Times New Roman" w:hAnsi="Times New Roman" w:eastAsia="宋体" w:cs="Times New Roman"/>
                      <w:b w:val="0"/>
                      <w:bCs/>
                      <w:color w:val="auto"/>
                      <w:sz w:val="21"/>
                      <w:szCs w:val="21"/>
                      <w:highlight w:val="none"/>
                      <w:lang w:val="en-US" w:eastAsia="zh-CN"/>
                    </w:rPr>
                    <w:t>。</w:t>
                  </w:r>
                </w:p>
              </w:tc>
              <w:tc>
                <w:tcPr>
                  <w:tcW w:w="1226" w:type="dxa"/>
                  <w:tcBorders>
                    <w:tl2br w:val="nil"/>
                    <w:tr2bl w:val="nil"/>
                  </w:tcBorders>
                  <w:noWrap w:val="0"/>
                  <w:vAlign w:val="center"/>
                </w:tcPr>
                <w:p w14:paraId="0E6BD835">
                  <w:pPr>
                    <w:pStyle w:val="7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baseline"/>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eastAsia="zh-CN"/>
                    </w:rPr>
                    <w:t>符合</w:t>
                  </w:r>
                </w:p>
              </w:tc>
            </w:tr>
          </w:tbl>
          <w:p w14:paraId="75D18B4D">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val="en-US" w:eastAsia="zh-CN"/>
              </w:rPr>
              <w:t>、与《伊春市人民政府关于印发＜伊春市国土空间总体规划</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2021—2035年）＞的通知</w:t>
            </w:r>
            <w:r>
              <w:rPr>
                <w:rFonts w:hint="eastAsia" w:ascii="Times New Roman" w:hAnsi="Times New Roman" w:eastAsia="宋体" w:cs="Times New Roman"/>
                <w:color w:val="auto"/>
                <w:sz w:val="24"/>
                <w:lang w:val="en-US" w:eastAsia="zh-CN"/>
              </w:rPr>
              <w:t>的</w:t>
            </w:r>
            <w:r>
              <w:rPr>
                <w:rFonts w:hint="default" w:ascii="Times New Roman" w:hAnsi="Times New Roman" w:eastAsia="宋体" w:cs="Times New Roman"/>
                <w:color w:val="auto"/>
                <w:sz w:val="24"/>
                <w:lang w:val="en-US" w:eastAsia="zh-CN"/>
              </w:rPr>
              <w:t>符合性分析</w:t>
            </w:r>
          </w:p>
          <w:p w14:paraId="33EF172F">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《伊春市国土空间总体规划（2021—2035年）》的通知</w:t>
            </w:r>
            <w:r>
              <w:rPr>
                <w:rFonts w:hint="eastAsia"/>
                <w:color w:val="auto"/>
                <w:sz w:val="24"/>
                <w:lang w:val="en-US" w:eastAsia="zh-CN"/>
              </w:rPr>
              <w:t>中第三章 以“三区三线”为基础，优化总体格局中</w:t>
            </w:r>
            <w:r>
              <w:rPr>
                <w:rFonts w:hint="eastAsia"/>
                <w:color w:val="auto"/>
                <w:sz w:val="24"/>
              </w:rPr>
              <w:t>第四节 优化规划分区和用地结构</w:t>
            </w:r>
          </w:p>
          <w:p w14:paraId="3A0D8BC2">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一、推进规划分区管控</w:t>
            </w:r>
          </w:p>
          <w:p w14:paraId="1322C84E">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按照底线管控、全域统筹的思路，划分生态保护区、生态控制区、农田保护区、城镇发展区、乡村发展区和矿产能源发展区六大主导功能规划分区。建立各类规划分区的国土用途管控目标、空间布局和管控规则，提升国土空间开发保护质量和效益。</w:t>
            </w:r>
          </w:p>
          <w:p w14:paraId="7E0BF9DE">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二、优化土地利用结构</w:t>
            </w:r>
          </w:p>
          <w:p w14:paraId="38353857">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保障生态安全和粮食安全，稳定农林用地、自然保护和保留用地规模；严格控制建设用地总量，精准配置新增建设用地，加大盘活存量，提升土地利用效率。</w:t>
            </w:r>
          </w:p>
          <w:p w14:paraId="25CEC4B1">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科学利用农林用地。落实最严格的耕地保护制度，切实加强永久基本农田建设；因地制宜发展园地，加强对中低产田和新建园地的改造和管理，支持特色农林产业种植，提升园地效益。</w:t>
            </w:r>
          </w:p>
          <w:p w14:paraId="21898AAE">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节约集约利用建设用地。科学控制建设用地总量，推进建设用地由“增量扩张”向“增存并重”转型，推进建设用地在城镇、乡村（林场）内部以及城乡之间合理流转。优化建设用地结构，推进城镇用地集约发展，引导村庄建设用地减量化，保障区域基础设施和其他建设用地。</w:t>
            </w:r>
          </w:p>
          <w:p w14:paraId="13F9BAB0">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rPr>
              <w:t>稳定自然保护与保留用地。大力保护湿地、陆地水域等自然保护区域，对规划期内不具备开发利用条件的自然保留区域实施开发限制。</w:t>
            </w:r>
          </w:p>
          <w:p w14:paraId="0CD14D5C">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本项目位于</w:t>
            </w:r>
            <w:r>
              <w:rPr>
                <w:rFonts w:hint="eastAsia"/>
                <w:color w:val="auto"/>
                <w:sz w:val="24"/>
              </w:rPr>
              <w:t>伊春市</w:t>
            </w:r>
            <w:r>
              <w:rPr>
                <w:rFonts w:hint="eastAsia"/>
                <w:color w:val="auto"/>
                <w:sz w:val="24"/>
                <w:lang w:val="en-US" w:eastAsia="zh-CN"/>
              </w:rPr>
              <w:t>伊美</w:t>
            </w:r>
            <w:r>
              <w:rPr>
                <w:rFonts w:hint="eastAsia"/>
                <w:color w:val="auto"/>
                <w:sz w:val="24"/>
              </w:rPr>
              <w:t>区</w:t>
            </w:r>
            <w:r>
              <w:rPr>
                <w:rFonts w:hint="eastAsia"/>
                <w:color w:val="auto"/>
                <w:sz w:val="24"/>
                <w:lang w:val="en-US" w:eastAsia="zh-CN"/>
              </w:rPr>
              <w:t>伊敏林场</w:t>
            </w:r>
            <w:r>
              <w:rPr>
                <w:rFonts w:hint="eastAsia"/>
                <w:color w:val="auto"/>
                <w:sz w:val="24"/>
              </w:rPr>
              <w:t>，</w:t>
            </w:r>
            <w:r>
              <w:rPr>
                <w:rFonts w:hint="default"/>
                <w:color w:val="auto"/>
                <w:sz w:val="24"/>
              </w:rPr>
              <w:t>项目选址不</w:t>
            </w:r>
            <w:r>
              <w:rPr>
                <w:rFonts w:hint="eastAsia"/>
                <w:color w:val="auto"/>
                <w:sz w:val="24"/>
              </w:rPr>
              <w:t>在</w:t>
            </w:r>
            <w:r>
              <w:rPr>
                <w:rFonts w:hint="default"/>
                <w:color w:val="auto"/>
                <w:sz w:val="24"/>
              </w:rPr>
              <w:t>风景名胜区、温泉疗养区、水产养殖区、基本农田保护区、自然保护区</w:t>
            </w:r>
            <w:r>
              <w:rPr>
                <w:rFonts w:hint="eastAsia"/>
                <w:color w:val="auto"/>
                <w:sz w:val="24"/>
              </w:rPr>
              <w:t>、</w:t>
            </w:r>
            <w:r>
              <w:rPr>
                <w:rFonts w:hint="default"/>
                <w:color w:val="auto"/>
                <w:sz w:val="24"/>
              </w:rPr>
              <w:t>生活饮用水源地和地下水补给区等需要特殊保护区域。</w:t>
            </w:r>
          </w:p>
          <w:p w14:paraId="4D043A86">
            <w:pPr>
              <w:keepNext w:val="0"/>
              <w:keepLines w:val="0"/>
              <w:suppressLineNumbers w:val="0"/>
              <w:spacing w:before="0" w:beforeAutospacing="0" w:after="0" w:afterAutospacing="0" w:line="360" w:lineRule="auto"/>
              <w:ind w:left="0" w:right="0" w:firstLine="480" w:firstLineChars="200"/>
              <w:rPr>
                <w:rFonts w:hint="eastAsia"/>
                <w:color w:val="auto"/>
                <w:lang w:val="en-US" w:eastAsia="zh-CN"/>
              </w:rPr>
            </w:pPr>
            <w:r>
              <w:rPr>
                <w:rFonts w:hint="default"/>
                <w:color w:val="auto"/>
                <w:kern w:val="0"/>
                <w:sz w:val="24"/>
              </w:rPr>
              <w:t>本</w:t>
            </w:r>
            <w:r>
              <w:rPr>
                <w:rFonts w:hint="default" w:ascii="Times New Roman" w:hAnsi="Times New Roman" w:eastAsia="宋体" w:cs="Times New Roman"/>
                <w:color w:val="auto"/>
                <w:sz w:val="24"/>
              </w:rPr>
              <w:t>项目</w:t>
            </w:r>
            <w:r>
              <w:rPr>
                <w:rFonts w:hint="default"/>
                <w:color w:val="auto"/>
                <w:kern w:val="0"/>
                <w:sz w:val="24"/>
              </w:rPr>
              <w:t>符合</w:t>
            </w:r>
            <w:r>
              <w:rPr>
                <w:rFonts w:hint="eastAsia"/>
                <w:color w:val="auto"/>
                <w:sz w:val="24"/>
                <w:lang w:val="en-US" w:eastAsia="zh-CN"/>
              </w:rPr>
              <w:t>伊美</w:t>
            </w:r>
            <w:r>
              <w:rPr>
                <w:rFonts w:hint="eastAsia"/>
                <w:color w:val="auto"/>
                <w:sz w:val="24"/>
              </w:rPr>
              <w:t>区</w:t>
            </w:r>
            <w:r>
              <w:rPr>
                <w:rFonts w:hint="default"/>
                <w:color w:val="auto"/>
                <w:kern w:val="0"/>
                <w:sz w:val="24"/>
              </w:rPr>
              <w:t>生态环境准入清单相关要求，项目符合伊春市</w:t>
            </w:r>
            <w:r>
              <w:rPr>
                <w:rFonts w:hint="eastAsia"/>
                <w:color w:val="auto"/>
                <w:kern w:val="0"/>
                <w:sz w:val="24"/>
                <w:lang w:val="en-US" w:eastAsia="zh-CN"/>
              </w:rPr>
              <w:t>生态环境分区管控</w:t>
            </w:r>
            <w:r>
              <w:rPr>
                <w:rFonts w:hint="default"/>
                <w:color w:val="auto"/>
                <w:kern w:val="0"/>
                <w:sz w:val="24"/>
              </w:rPr>
              <w:t>相关要求。</w:t>
            </w:r>
            <w:r>
              <w:rPr>
                <w:rFonts w:hint="eastAsia"/>
                <w:color w:val="auto"/>
                <w:kern w:val="0"/>
                <w:sz w:val="24"/>
                <w:lang w:val="en-US" w:eastAsia="zh-CN"/>
              </w:rPr>
              <w:t>与</w:t>
            </w:r>
            <w:r>
              <w:rPr>
                <w:rFonts w:hint="eastAsia"/>
                <w:color w:val="auto"/>
                <w:sz w:val="24"/>
              </w:rPr>
              <w:t>《伊春市国土空间总体规划（2021—2035年）》</w:t>
            </w:r>
            <w:r>
              <w:rPr>
                <w:rFonts w:hint="eastAsia"/>
                <w:color w:val="auto"/>
                <w:sz w:val="24"/>
                <w:lang w:val="en-US" w:eastAsia="zh-CN"/>
              </w:rPr>
              <w:t>要求相符。</w:t>
            </w:r>
          </w:p>
          <w:p w14:paraId="6A5D5CC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0" w:firstLineChars="0"/>
              <w:jc w:val="both"/>
              <w:textAlignment w:val="auto"/>
              <w:outlineLvl w:val="9"/>
              <w:rPr>
                <w:rFonts w:hint="default" w:ascii="Times New Roman" w:hAnsi="Times New Roman" w:eastAsia="黑体" w:cs="Times New Roman"/>
                <w:b w:val="0"/>
                <w:bCs/>
                <w:color w:val="auto"/>
                <w:kern w:val="0"/>
                <w:sz w:val="28"/>
                <w:szCs w:val="28"/>
              </w:rPr>
            </w:pPr>
            <w:r>
              <w:rPr>
                <w:rFonts w:hint="eastAsia" w:eastAsia="黑体" w:cs="Times New Roman"/>
                <w:b w:val="0"/>
                <w:bCs/>
                <w:color w:val="auto"/>
                <w:kern w:val="0"/>
                <w:sz w:val="28"/>
                <w:szCs w:val="28"/>
                <w:lang w:val="en-US" w:eastAsia="zh-CN"/>
              </w:rPr>
              <w:t>二</w:t>
            </w:r>
            <w:r>
              <w:rPr>
                <w:rFonts w:hint="default" w:ascii="Times New Roman" w:hAnsi="Times New Roman" w:eastAsia="黑体" w:cs="Times New Roman"/>
                <w:b w:val="0"/>
                <w:bCs/>
                <w:color w:val="auto"/>
                <w:kern w:val="0"/>
                <w:sz w:val="28"/>
                <w:szCs w:val="28"/>
              </w:rPr>
              <w:t>、</w:t>
            </w:r>
            <w:r>
              <w:rPr>
                <w:rFonts w:hint="default" w:ascii="Times New Roman" w:hAnsi="Times New Roman" w:eastAsia="黑体" w:cs="Times New Roman"/>
                <w:b w:val="0"/>
                <w:bCs/>
                <w:color w:val="auto"/>
                <w:kern w:val="0"/>
                <w:sz w:val="28"/>
                <w:szCs w:val="28"/>
                <w:lang w:eastAsia="zh-CN"/>
              </w:rPr>
              <w:t>“三线一单”符合性分析</w:t>
            </w:r>
          </w:p>
          <w:p w14:paraId="02D834FC">
            <w:pPr>
              <w:keepNext w:val="0"/>
              <w:keepLines w:val="0"/>
              <w:suppressLineNumbers w:val="0"/>
              <w:spacing w:before="0" w:beforeAutospacing="0" w:after="0" w:afterAutospacing="0" w:line="360" w:lineRule="auto"/>
              <w:ind w:left="0" w:right="0" w:firstLine="480" w:firstLineChars="200"/>
              <w:rPr>
                <w:rFonts w:hint="eastAsia" w:eastAsia="宋体"/>
                <w:b/>
                <w:bCs/>
                <w:color w:val="auto"/>
                <w:sz w:val="24"/>
                <w:szCs w:val="32"/>
                <w:highlight w:val="none"/>
                <w:lang w:eastAsia="zh-CN"/>
              </w:rPr>
            </w:pPr>
            <w:r>
              <w:rPr>
                <w:rFonts w:hint="default"/>
                <w:b/>
                <w:bCs/>
                <w:color w:val="auto"/>
                <w:sz w:val="24"/>
                <w:szCs w:val="32"/>
                <w:highlight w:val="none"/>
              </w:rPr>
              <w:t>（1）</w:t>
            </w:r>
            <w:r>
              <w:rPr>
                <w:rFonts w:hint="eastAsia"/>
                <w:b/>
                <w:bCs/>
                <w:color w:val="auto"/>
                <w:sz w:val="24"/>
                <w:szCs w:val="32"/>
                <w:highlight w:val="none"/>
                <w:lang w:val="en-US" w:eastAsia="zh-CN"/>
              </w:rPr>
              <w:t>一图</w:t>
            </w:r>
          </w:p>
          <w:p w14:paraId="2124E78C">
            <w:pPr>
              <w:pStyle w:val="34"/>
              <w:keepNext w:val="0"/>
              <w:keepLines w:val="0"/>
              <w:suppressLineNumbers w:val="0"/>
              <w:spacing w:before="0" w:beforeAutospacing="0" w:after="0" w:afterAutospacing="0" w:line="360" w:lineRule="auto"/>
              <w:ind w:left="0" w:leftChars="0" w:right="0" w:firstLine="480"/>
              <w:rPr>
                <w:rFonts w:hint="default" w:eastAsia="宋体"/>
                <w:color w:val="auto"/>
                <w:kern w:val="0"/>
                <w:sz w:val="24"/>
                <w:highlight w:val="none"/>
                <w:lang w:val="en-US" w:eastAsia="zh-CN"/>
              </w:rPr>
            </w:pPr>
            <w:r>
              <w:rPr>
                <w:rFonts w:hint="default"/>
                <w:color w:val="auto"/>
                <w:kern w:val="0"/>
                <w:sz w:val="24"/>
              </w:rPr>
              <w:t>根据黑龙江省“三区三线”划定成果及</w:t>
            </w:r>
            <w:r>
              <w:rPr>
                <w:rFonts w:hint="default"/>
                <w:color w:val="auto"/>
                <w:sz w:val="24"/>
              </w:rPr>
              <w:t>伊春市人民政府关于实施“三线一单”生态环境分区管控意见</w:t>
            </w:r>
            <w:r>
              <w:rPr>
                <w:rFonts w:hint="default"/>
                <w:color w:val="auto"/>
                <w:kern w:val="0"/>
                <w:sz w:val="24"/>
              </w:rPr>
              <w:t>，本项目厂址所在区域不属于生态保护红线范围</w:t>
            </w:r>
            <w:r>
              <w:rPr>
                <w:rFonts w:hint="default"/>
                <w:color w:val="auto"/>
                <w:kern w:val="0"/>
                <w:sz w:val="24"/>
                <w:highlight w:val="none"/>
              </w:rPr>
              <w:t>内。</w:t>
            </w:r>
            <w:r>
              <w:rPr>
                <w:rFonts w:hint="eastAsia"/>
                <w:color w:val="auto"/>
                <w:kern w:val="0"/>
                <w:sz w:val="24"/>
                <w:highlight w:val="none"/>
                <w:lang w:val="en-US" w:eastAsia="zh-CN"/>
              </w:rPr>
              <w:t>本项目与环境管控单元叠加图见下图。</w:t>
            </w:r>
          </w:p>
          <w:p w14:paraId="51E24500">
            <w:pPr>
              <w:pStyle w:val="3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eastAsia" w:eastAsia="宋体"/>
                <w:color w:val="auto"/>
                <w:kern w:val="0"/>
                <w:sz w:val="24"/>
                <w:highlight w:val="none"/>
                <w:lang w:eastAsia="zh-CN"/>
              </w:rPr>
            </w:pPr>
            <w:r>
              <w:rPr>
                <w:rFonts w:hint="eastAsia" w:eastAsia="宋体"/>
                <w:color w:val="auto"/>
                <w:kern w:val="0"/>
                <w:sz w:val="24"/>
                <w:highlight w:val="none"/>
                <w:lang w:eastAsia="zh-CN"/>
              </w:rPr>
              <w:drawing>
                <wp:inline distT="0" distB="0" distL="114300" distR="114300">
                  <wp:extent cx="4982845" cy="2712720"/>
                  <wp:effectExtent l="0" t="0" r="8255" b="11430"/>
                  <wp:docPr id="1" name="图片 1" descr="15801f35-8bce-47c6-a9ea-f43a99c4c8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01f35-8bce-47c6-a9ea-f43a99c4c80a"/>
                          <pic:cNvPicPr>
                            <a:picLocks noChangeAspect="1"/>
                          </pic:cNvPicPr>
                        </pic:nvPicPr>
                        <pic:blipFill>
                          <a:blip r:embed="rId20"/>
                          <a:stretch>
                            <a:fillRect/>
                          </a:stretch>
                        </pic:blipFill>
                        <pic:spPr>
                          <a:xfrm>
                            <a:off x="0" y="0"/>
                            <a:ext cx="4982845" cy="2712720"/>
                          </a:xfrm>
                          <a:prstGeom prst="rect">
                            <a:avLst/>
                          </a:prstGeom>
                        </pic:spPr>
                      </pic:pic>
                    </a:graphicData>
                  </a:graphic>
                </wp:inline>
              </w:drawing>
            </w:r>
          </w:p>
          <w:p w14:paraId="6071F2E7">
            <w:pPr>
              <w:pStyle w:val="34"/>
              <w:keepNext w:val="0"/>
              <w:keepLines w:val="0"/>
              <w:suppressLineNumbers w:val="0"/>
              <w:spacing w:before="0" w:beforeAutospacing="0" w:after="0" w:afterAutospacing="0" w:line="360" w:lineRule="auto"/>
              <w:ind w:left="0" w:leftChars="0" w:right="0" w:firstLine="482"/>
              <w:rPr>
                <w:rFonts w:hint="eastAsia" w:eastAsia="宋体"/>
                <w:color w:val="auto"/>
                <w:highlight w:val="none"/>
                <w:lang w:eastAsia="zh-CN"/>
              </w:rPr>
            </w:pPr>
            <w:r>
              <w:rPr>
                <w:rFonts w:hint="default"/>
                <w:b/>
                <w:bCs/>
                <w:color w:val="auto"/>
                <w:sz w:val="24"/>
                <w:szCs w:val="32"/>
                <w:highlight w:val="none"/>
              </w:rPr>
              <w:t>（2）</w:t>
            </w:r>
            <w:r>
              <w:rPr>
                <w:rFonts w:hint="eastAsia"/>
                <w:b/>
                <w:bCs/>
                <w:color w:val="auto"/>
                <w:sz w:val="24"/>
                <w:szCs w:val="32"/>
                <w:highlight w:val="none"/>
                <w:lang w:val="en-US" w:eastAsia="zh-CN"/>
              </w:rPr>
              <w:t>一表</w:t>
            </w:r>
          </w:p>
          <w:p w14:paraId="1C69A95C">
            <w:pPr>
              <w:keepNext w:val="0"/>
              <w:keepLines w:val="0"/>
              <w:suppressLineNumbers w:val="0"/>
              <w:wordWrap w:val="0"/>
              <w:topLinePunct/>
              <w:spacing w:before="0" w:beforeAutospacing="0" w:after="0" w:afterAutospacing="0" w:line="360" w:lineRule="auto"/>
              <w:ind w:left="0" w:right="0" w:firstLine="480" w:firstLineChars="200"/>
              <w:jc w:val="left"/>
              <w:rPr>
                <w:rFonts w:hint="default"/>
                <w:color w:val="auto"/>
                <w:kern w:val="0"/>
                <w:sz w:val="24"/>
              </w:rPr>
            </w:pPr>
            <w:r>
              <w:rPr>
                <w:rFonts w:hint="default"/>
                <w:color w:val="auto"/>
                <w:kern w:val="0"/>
                <w:sz w:val="24"/>
              </w:rPr>
              <w:t>根据</w:t>
            </w:r>
            <w:r>
              <w:rPr>
                <w:rFonts w:hint="default"/>
                <w:color w:val="auto"/>
                <w:sz w:val="24"/>
              </w:rPr>
              <w:t>伊春市生态环境准入清单（2023年版）</w:t>
            </w:r>
            <w:r>
              <w:rPr>
                <w:rFonts w:hint="default"/>
                <w:color w:val="auto"/>
                <w:kern w:val="0"/>
                <w:sz w:val="24"/>
              </w:rPr>
              <w:t>，本项目所在地属于</w:t>
            </w:r>
            <w:r>
              <w:rPr>
                <w:rFonts w:hint="eastAsia"/>
                <w:color w:val="auto"/>
                <w:sz w:val="24"/>
                <w:szCs w:val="24"/>
                <w:lang w:val="en-US" w:eastAsia="zh-CN"/>
              </w:rPr>
              <w:t>伊美</w:t>
            </w:r>
            <w:r>
              <w:rPr>
                <w:rFonts w:hint="default"/>
                <w:color w:val="auto"/>
                <w:sz w:val="24"/>
                <w:szCs w:val="24"/>
              </w:rPr>
              <w:t>区城镇空间</w:t>
            </w:r>
            <w:r>
              <w:rPr>
                <w:rFonts w:hint="eastAsia"/>
                <w:color w:val="auto"/>
                <w:sz w:val="24"/>
                <w:szCs w:val="24"/>
                <w:lang w:eastAsia="zh-CN"/>
              </w:rPr>
              <w:t>、</w:t>
            </w:r>
            <w:r>
              <w:rPr>
                <w:rFonts w:hint="eastAsia"/>
                <w:color w:val="auto"/>
                <w:sz w:val="24"/>
                <w:szCs w:val="24"/>
                <w:lang w:val="en-US" w:eastAsia="zh-CN"/>
              </w:rPr>
              <w:t>乌翠区城镇空间</w:t>
            </w:r>
            <w:r>
              <w:rPr>
                <w:rFonts w:hint="default"/>
                <w:color w:val="auto"/>
                <w:kern w:val="0"/>
                <w:sz w:val="24"/>
              </w:rPr>
              <w:t>重点管控单元，环境管控单元编码：</w:t>
            </w:r>
            <w:r>
              <w:rPr>
                <w:rFonts w:hint="eastAsia"/>
                <w:color w:val="auto"/>
                <w:sz w:val="24"/>
                <w:szCs w:val="24"/>
                <w:lang w:val="en-US" w:eastAsia="zh-CN"/>
              </w:rPr>
              <w:t>ZH23071720001</w:t>
            </w:r>
            <w:r>
              <w:rPr>
                <w:rFonts w:hint="eastAsia"/>
                <w:color w:val="auto"/>
                <w:szCs w:val="21"/>
                <w:lang w:val="en-US" w:eastAsia="zh-CN"/>
              </w:rPr>
              <w:t>，</w:t>
            </w:r>
            <w:r>
              <w:rPr>
                <w:rFonts w:hint="default"/>
                <w:color w:val="auto"/>
                <w:kern w:val="0"/>
                <w:sz w:val="24"/>
              </w:rPr>
              <w:t>管控要求见表1-1。</w:t>
            </w:r>
          </w:p>
          <w:p w14:paraId="290840D1">
            <w:pPr>
              <w:keepNext w:val="0"/>
              <w:keepLines w:val="0"/>
              <w:suppressLineNumbers w:val="0"/>
              <w:spacing w:before="0" w:beforeAutospacing="0" w:after="0" w:afterAutospacing="0"/>
              <w:ind w:left="0" w:right="0"/>
              <w:jc w:val="center"/>
              <w:rPr>
                <w:rFonts w:hint="default"/>
                <w:color w:val="auto"/>
                <w:w w:val="99"/>
                <w:sz w:val="24"/>
              </w:rPr>
            </w:pPr>
            <w:r>
              <w:rPr>
                <w:rFonts w:hint="default"/>
                <w:b/>
                <w:color w:val="auto"/>
                <w:sz w:val="24"/>
              </w:rPr>
              <w:t>表1-1建设项目所在区域环境管控要求</w:t>
            </w:r>
          </w:p>
          <w:tbl>
            <w:tblPr>
              <w:tblStyle w:val="35"/>
              <w:tblW w:w="781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
              <w:gridCol w:w="1"/>
              <w:gridCol w:w="1302"/>
              <w:gridCol w:w="1"/>
              <w:gridCol w:w="2"/>
              <w:gridCol w:w="836"/>
              <w:gridCol w:w="4"/>
              <w:gridCol w:w="403"/>
              <w:gridCol w:w="5"/>
              <w:gridCol w:w="2926"/>
              <w:gridCol w:w="6"/>
              <w:gridCol w:w="660"/>
              <w:gridCol w:w="8"/>
              <w:gridCol w:w="5"/>
            </w:tblGrid>
            <w:tr w14:paraId="6482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Align w:val="center"/>
                </w:tcPr>
                <w:p w14:paraId="1DF5118A">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环境管控单元编码</w:t>
                  </w:r>
                </w:p>
              </w:tc>
              <w:tc>
                <w:tcPr>
                  <w:tcW w:w="834" w:type="pct"/>
                  <w:gridSpan w:val="3"/>
                  <w:vAlign w:val="center"/>
                </w:tcPr>
                <w:p w14:paraId="2DAF2E4B">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环境管控单元名称</w:t>
                  </w:r>
                </w:p>
              </w:tc>
              <w:tc>
                <w:tcPr>
                  <w:tcW w:w="537" w:type="pct"/>
                  <w:gridSpan w:val="3"/>
                  <w:vAlign w:val="center"/>
                </w:tcPr>
                <w:p w14:paraId="544AE3BC">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环境管控单元类别</w:t>
                  </w:r>
                </w:p>
              </w:tc>
              <w:tc>
                <w:tcPr>
                  <w:tcW w:w="2140" w:type="pct"/>
                  <w:gridSpan w:val="5"/>
                  <w:vAlign w:val="center"/>
                </w:tcPr>
                <w:p w14:paraId="74A71813">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管控要求</w:t>
                  </w:r>
                </w:p>
              </w:tc>
              <w:tc>
                <w:tcPr>
                  <w:tcW w:w="430" w:type="pct"/>
                  <w:gridSpan w:val="3"/>
                  <w:vAlign w:val="center"/>
                </w:tcPr>
                <w:p w14:paraId="66424B20">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本项目符合性</w:t>
                  </w:r>
                </w:p>
              </w:tc>
            </w:tr>
            <w:tr w14:paraId="3191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Merge w:val="restart"/>
                  <w:vAlign w:val="center"/>
                </w:tcPr>
                <w:p w14:paraId="54A10A80">
                  <w:pPr>
                    <w:keepNext w:val="0"/>
                    <w:keepLines w:val="0"/>
                    <w:suppressLineNumbers w:val="0"/>
                    <w:snapToGrid w:val="0"/>
                    <w:spacing w:before="0" w:beforeAutospacing="0" w:after="0" w:afterAutospacing="0" w:line="350" w:lineRule="exact"/>
                    <w:ind w:left="0" w:right="0"/>
                    <w:jc w:val="center"/>
                    <w:rPr>
                      <w:rFonts w:hint="default" w:eastAsia="宋体"/>
                      <w:color w:val="auto"/>
                      <w:szCs w:val="21"/>
                      <w:lang w:val="en-US" w:eastAsia="zh-CN"/>
                    </w:rPr>
                  </w:pPr>
                  <w:r>
                    <w:rPr>
                      <w:rFonts w:hint="eastAsia"/>
                      <w:color w:val="auto"/>
                      <w:szCs w:val="21"/>
                      <w:lang w:val="en-US" w:eastAsia="zh-CN"/>
                    </w:rPr>
                    <w:t>环境质量底线</w:t>
                  </w:r>
                </w:p>
              </w:tc>
              <w:tc>
                <w:tcPr>
                  <w:tcW w:w="834" w:type="pct"/>
                  <w:gridSpan w:val="3"/>
                  <w:vAlign w:val="center"/>
                </w:tcPr>
                <w:p w14:paraId="5A3D0447">
                  <w:pPr>
                    <w:keepNext w:val="0"/>
                    <w:keepLines w:val="0"/>
                    <w:suppressLineNumbers w:val="0"/>
                    <w:snapToGrid w:val="0"/>
                    <w:spacing w:before="0" w:beforeAutospacing="0" w:after="0" w:afterAutospacing="0" w:line="350" w:lineRule="exact"/>
                    <w:ind w:left="0" w:right="0"/>
                    <w:jc w:val="center"/>
                    <w:rPr>
                      <w:rFonts w:hint="eastAsia" w:eastAsia="宋体"/>
                      <w:color w:val="auto"/>
                      <w:szCs w:val="21"/>
                      <w:lang w:eastAsia="zh-CN"/>
                    </w:rPr>
                  </w:pPr>
                  <w:r>
                    <w:rPr>
                      <w:rFonts w:hint="eastAsia"/>
                      <w:color w:val="auto"/>
                      <w:szCs w:val="21"/>
                    </w:rPr>
                    <w:t>其他区域</w:t>
                  </w:r>
                  <w:r>
                    <w:rPr>
                      <w:rFonts w:hint="eastAsia"/>
                      <w:color w:val="auto"/>
                      <w:szCs w:val="21"/>
                      <w:lang w:eastAsia="zh-CN"/>
                    </w:rPr>
                    <w:t>（伊春河乌马河育林大桥乌翠区）</w:t>
                  </w:r>
                </w:p>
              </w:tc>
              <w:tc>
                <w:tcPr>
                  <w:tcW w:w="537" w:type="pct"/>
                  <w:gridSpan w:val="3"/>
                  <w:vAlign w:val="center"/>
                </w:tcPr>
                <w:p w14:paraId="0F8F8A28">
                  <w:pPr>
                    <w:keepNext w:val="0"/>
                    <w:keepLines w:val="0"/>
                    <w:suppressLineNumbers w:val="0"/>
                    <w:snapToGrid w:val="0"/>
                    <w:spacing w:before="0" w:beforeAutospacing="0" w:after="0" w:afterAutospacing="0" w:line="350" w:lineRule="exact"/>
                    <w:ind w:left="0" w:right="0"/>
                    <w:jc w:val="center"/>
                    <w:rPr>
                      <w:rFonts w:hint="default" w:eastAsia="宋体"/>
                      <w:color w:val="auto"/>
                      <w:szCs w:val="21"/>
                      <w:lang w:val="en-US" w:eastAsia="zh-CN"/>
                    </w:rPr>
                  </w:pPr>
                  <w:r>
                    <w:rPr>
                      <w:rFonts w:hint="eastAsia"/>
                      <w:color w:val="auto"/>
                      <w:szCs w:val="21"/>
                      <w:lang w:val="en-US" w:eastAsia="zh-CN"/>
                    </w:rPr>
                    <w:t>一般管控单元</w:t>
                  </w:r>
                </w:p>
              </w:tc>
              <w:tc>
                <w:tcPr>
                  <w:tcW w:w="2140" w:type="pct"/>
                  <w:gridSpan w:val="5"/>
                  <w:vAlign w:val="center"/>
                </w:tcPr>
                <w:p w14:paraId="4D4E4A3B">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w:t>
                  </w:r>
                </w:p>
              </w:tc>
              <w:tc>
                <w:tcPr>
                  <w:tcW w:w="430" w:type="pct"/>
                  <w:gridSpan w:val="3"/>
                  <w:vAlign w:val="center"/>
                </w:tcPr>
                <w:p w14:paraId="50CFB37B">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符合</w:t>
                  </w:r>
                </w:p>
              </w:tc>
            </w:tr>
            <w:tr w14:paraId="21F5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Merge w:val="continue"/>
                  <w:vAlign w:val="center"/>
                </w:tcPr>
                <w:p w14:paraId="4A00F9ED">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4" w:type="pct"/>
                  <w:gridSpan w:val="3"/>
                  <w:vAlign w:val="center"/>
                </w:tcPr>
                <w:p w14:paraId="44AE1D40">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eastAsia="zh-CN"/>
                    </w:rPr>
                    <w:t>乌翠区</w:t>
                  </w:r>
                  <w:r>
                    <w:rPr>
                      <w:rFonts w:hint="eastAsia"/>
                      <w:color w:val="auto"/>
                      <w:szCs w:val="21"/>
                    </w:rPr>
                    <w:t>大气环境受体敏感重点管控区</w:t>
                  </w:r>
                </w:p>
              </w:tc>
              <w:tc>
                <w:tcPr>
                  <w:tcW w:w="537" w:type="pct"/>
                  <w:gridSpan w:val="3"/>
                  <w:vAlign w:val="center"/>
                </w:tcPr>
                <w:p w14:paraId="457E84E0">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重点管控单元</w:t>
                  </w:r>
                </w:p>
              </w:tc>
              <w:tc>
                <w:tcPr>
                  <w:tcW w:w="2140" w:type="pct"/>
                  <w:gridSpan w:val="5"/>
                  <w:vAlign w:val="center"/>
                </w:tcPr>
                <w:p w14:paraId="41271DA5">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w:t>
                  </w:r>
                </w:p>
              </w:tc>
              <w:tc>
                <w:tcPr>
                  <w:tcW w:w="430" w:type="pct"/>
                  <w:gridSpan w:val="3"/>
                  <w:vAlign w:val="center"/>
                </w:tcPr>
                <w:p w14:paraId="45698321">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符合</w:t>
                  </w:r>
                </w:p>
              </w:tc>
            </w:tr>
            <w:tr w14:paraId="2644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Merge w:val="continue"/>
                  <w:vAlign w:val="center"/>
                </w:tcPr>
                <w:p w14:paraId="704DCA64">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4" w:type="pct"/>
                  <w:gridSpan w:val="3"/>
                  <w:vAlign w:val="center"/>
                </w:tcPr>
                <w:p w14:paraId="53F49E81">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eastAsia="zh-CN"/>
                    </w:rPr>
                    <w:t>乌翠区</w:t>
                  </w:r>
                  <w:r>
                    <w:rPr>
                      <w:rFonts w:hint="eastAsia"/>
                      <w:color w:val="auto"/>
                      <w:szCs w:val="21"/>
                    </w:rPr>
                    <w:t>大气环境布局敏感重点管控区</w:t>
                  </w:r>
                </w:p>
              </w:tc>
              <w:tc>
                <w:tcPr>
                  <w:tcW w:w="537" w:type="pct"/>
                  <w:gridSpan w:val="3"/>
                  <w:vAlign w:val="center"/>
                </w:tcPr>
                <w:p w14:paraId="0662CB86">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重点管控单元</w:t>
                  </w:r>
                </w:p>
              </w:tc>
              <w:tc>
                <w:tcPr>
                  <w:tcW w:w="2140" w:type="pct"/>
                  <w:gridSpan w:val="5"/>
                  <w:vAlign w:val="center"/>
                </w:tcPr>
                <w:p w14:paraId="5F393904">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w:t>
                  </w:r>
                </w:p>
              </w:tc>
              <w:tc>
                <w:tcPr>
                  <w:tcW w:w="430" w:type="pct"/>
                  <w:gridSpan w:val="3"/>
                  <w:vAlign w:val="center"/>
                </w:tcPr>
                <w:p w14:paraId="2F37D1E4">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符合</w:t>
                  </w:r>
                </w:p>
              </w:tc>
            </w:tr>
            <w:tr w14:paraId="630F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Merge w:val="restart"/>
                  <w:vAlign w:val="center"/>
                </w:tcPr>
                <w:p w14:paraId="55B5A38B">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rPr>
                    <w:t>资源利用上线</w:t>
                  </w:r>
                </w:p>
              </w:tc>
              <w:tc>
                <w:tcPr>
                  <w:tcW w:w="834" w:type="pct"/>
                  <w:gridSpan w:val="3"/>
                  <w:vAlign w:val="center"/>
                </w:tcPr>
                <w:p w14:paraId="757D321A">
                  <w:pPr>
                    <w:keepNext w:val="0"/>
                    <w:keepLines w:val="0"/>
                    <w:suppressLineNumbers w:val="0"/>
                    <w:snapToGrid w:val="0"/>
                    <w:spacing w:before="0" w:beforeAutospacing="0" w:after="0" w:afterAutospacing="0" w:line="350" w:lineRule="exact"/>
                    <w:ind w:left="0" w:right="0"/>
                    <w:jc w:val="center"/>
                    <w:rPr>
                      <w:rFonts w:hint="eastAsia"/>
                      <w:color w:val="auto"/>
                      <w:szCs w:val="21"/>
                    </w:rPr>
                  </w:pPr>
                  <w:r>
                    <w:rPr>
                      <w:rFonts w:hint="eastAsia"/>
                      <w:color w:val="auto"/>
                      <w:szCs w:val="21"/>
                      <w:lang w:eastAsia="zh-CN"/>
                    </w:rPr>
                    <w:t>乌翠区</w:t>
                  </w:r>
                  <w:r>
                    <w:rPr>
                      <w:rFonts w:hint="eastAsia"/>
                      <w:color w:val="auto"/>
                      <w:szCs w:val="21"/>
                    </w:rPr>
                    <w:t>自然资源一般管控区</w:t>
                  </w:r>
                </w:p>
              </w:tc>
              <w:tc>
                <w:tcPr>
                  <w:tcW w:w="537" w:type="pct"/>
                  <w:gridSpan w:val="3"/>
                  <w:vAlign w:val="center"/>
                </w:tcPr>
                <w:p w14:paraId="6A87C9B0">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rPr>
                    <w:t>一般管控区</w:t>
                  </w:r>
                </w:p>
              </w:tc>
              <w:tc>
                <w:tcPr>
                  <w:tcW w:w="2140" w:type="pct"/>
                  <w:gridSpan w:val="5"/>
                  <w:vAlign w:val="center"/>
                </w:tcPr>
                <w:p w14:paraId="1850DC6B">
                  <w:pPr>
                    <w:keepNext w:val="0"/>
                    <w:keepLines w:val="0"/>
                    <w:suppressLineNumbers w:val="0"/>
                    <w:snapToGrid w:val="0"/>
                    <w:spacing w:before="0" w:beforeAutospacing="0" w:after="0" w:afterAutospacing="0" w:line="350" w:lineRule="exact"/>
                    <w:ind w:left="0" w:right="0"/>
                    <w:jc w:val="center"/>
                    <w:rPr>
                      <w:rFonts w:hint="eastAsia" w:eastAsia="宋体"/>
                      <w:color w:val="auto"/>
                      <w:szCs w:val="21"/>
                      <w:lang w:val="en-US" w:eastAsia="zh-CN"/>
                    </w:rPr>
                  </w:pPr>
                  <w:r>
                    <w:rPr>
                      <w:rFonts w:hint="eastAsia"/>
                      <w:color w:val="auto"/>
                      <w:szCs w:val="21"/>
                      <w:lang w:val="en-US" w:eastAsia="zh-CN"/>
                    </w:rPr>
                    <w:t>/</w:t>
                  </w:r>
                </w:p>
              </w:tc>
              <w:tc>
                <w:tcPr>
                  <w:tcW w:w="430" w:type="pct"/>
                  <w:gridSpan w:val="3"/>
                  <w:vAlign w:val="center"/>
                </w:tcPr>
                <w:p w14:paraId="277F905F">
                  <w:pPr>
                    <w:keepNext w:val="0"/>
                    <w:keepLines w:val="0"/>
                    <w:suppressLineNumbers w:val="0"/>
                    <w:snapToGrid w:val="0"/>
                    <w:spacing w:before="0" w:beforeAutospacing="0" w:after="0" w:afterAutospacing="0" w:line="350" w:lineRule="exact"/>
                    <w:ind w:left="0" w:right="0"/>
                    <w:jc w:val="center"/>
                    <w:rPr>
                      <w:rFonts w:hint="default" w:eastAsia="宋体"/>
                      <w:color w:val="auto"/>
                      <w:szCs w:val="21"/>
                      <w:lang w:val="en-US" w:eastAsia="zh-CN"/>
                    </w:rPr>
                  </w:pPr>
                  <w:r>
                    <w:rPr>
                      <w:rFonts w:hint="eastAsia"/>
                      <w:color w:val="auto"/>
                      <w:szCs w:val="21"/>
                      <w:lang w:val="en-US" w:eastAsia="zh-CN"/>
                    </w:rPr>
                    <w:t>符合</w:t>
                  </w:r>
                </w:p>
              </w:tc>
            </w:tr>
            <w:tr w14:paraId="513D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056" w:type="pct"/>
                  <w:vMerge w:val="continue"/>
                  <w:vAlign w:val="center"/>
                </w:tcPr>
                <w:p w14:paraId="26FBB0EA">
                  <w:pPr>
                    <w:keepNext w:val="0"/>
                    <w:keepLines w:val="0"/>
                    <w:suppressLineNumbers w:val="0"/>
                    <w:snapToGrid w:val="0"/>
                    <w:spacing w:before="0" w:beforeAutospacing="0" w:after="0" w:afterAutospacing="0" w:line="350" w:lineRule="exact"/>
                    <w:ind w:left="0" w:right="0"/>
                    <w:jc w:val="center"/>
                    <w:rPr>
                      <w:rFonts w:hint="eastAsia"/>
                      <w:color w:val="auto"/>
                      <w:szCs w:val="21"/>
                    </w:rPr>
                  </w:pPr>
                </w:p>
              </w:tc>
              <w:tc>
                <w:tcPr>
                  <w:tcW w:w="834" w:type="pct"/>
                  <w:gridSpan w:val="3"/>
                  <w:vAlign w:val="center"/>
                </w:tcPr>
                <w:p w14:paraId="7E53F5AD">
                  <w:pPr>
                    <w:keepNext w:val="0"/>
                    <w:keepLines w:val="0"/>
                    <w:suppressLineNumbers w:val="0"/>
                    <w:snapToGrid w:val="0"/>
                    <w:spacing w:before="0" w:beforeAutospacing="0" w:after="0" w:afterAutospacing="0" w:line="350" w:lineRule="exact"/>
                    <w:ind w:left="0" w:right="0"/>
                    <w:jc w:val="center"/>
                    <w:rPr>
                      <w:rFonts w:hint="eastAsia"/>
                      <w:color w:val="auto"/>
                      <w:szCs w:val="21"/>
                    </w:rPr>
                  </w:pPr>
                  <w:r>
                    <w:rPr>
                      <w:rFonts w:hint="eastAsia"/>
                      <w:color w:val="auto"/>
                      <w:szCs w:val="21"/>
                      <w:lang w:eastAsia="zh-CN"/>
                    </w:rPr>
                    <w:t>乌翠区</w:t>
                  </w:r>
                  <w:r>
                    <w:rPr>
                      <w:rFonts w:hint="eastAsia"/>
                      <w:color w:val="auto"/>
                      <w:szCs w:val="21"/>
                    </w:rPr>
                    <w:t>地下水环境一般管控区</w:t>
                  </w:r>
                </w:p>
              </w:tc>
              <w:tc>
                <w:tcPr>
                  <w:tcW w:w="537" w:type="pct"/>
                  <w:gridSpan w:val="3"/>
                  <w:vAlign w:val="center"/>
                </w:tcPr>
                <w:p w14:paraId="44CCE475">
                  <w:pPr>
                    <w:keepNext w:val="0"/>
                    <w:keepLines w:val="0"/>
                    <w:suppressLineNumbers w:val="0"/>
                    <w:snapToGrid w:val="0"/>
                    <w:spacing w:before="0" w:beforeAutospacing="0" w:after="0" w:afterAutospacing="0" w:line="350" w:lineRule="exact"/>
                    <w:ind w:left="0" w:right="0"/>
                    <w:jc w:val="center"/>
                    <w:rPr>
                      <w:rFonts w:hint="eastAsia"/>
                      <w:color w:val="auto"/>
                      <w:szCs w:val="21"/>
                    </w:rPr>
                  </w:pPr>
                  <w:r>
                    <w:rPr>
                      <w:rFonts w:hint="eastAsia"/>
                      <w:color w:val="auto"/>
                      <w:szCs w:val="21"/>
                    </w:rPr>
                    <w:t>一般管控区</w:t>
                  </w:r>
                </w:p>
              </w:tc>
              <w:tc>
                <w:tcPr>
                  <w:tcW w:w="2140" w:type="pct"/>
                  <w:gridSpan w:val="5"/>
                  <w:vAlign w:val="center"/>
                </w:tcPr>
                <w:p w14:paraId="1E167868">
                  <w:pPr>
                    <w:keepNext w:val="0"/>
                    <w:keepLines w:val="0"/>
                    <w:suppressLineNumbers w:val="0"/>
                    <w:snapToGrid w:val="0"/>
                    <w:spacing w:before="0" w:beforeAutospacing="0" w:after="0" w:afterAutospacing="0" w:line="350" w:lineRule="exact"/>
                    <w:ind w:left="0" w:right="0"/>
                    <w:jc w:val="center"/>
                    <w:rPr>
                      <w:rFonts w:hint="eastAsia"/>
                      <w:color w:val="auto"/>
                      <w:szCs w:val="21"/>
                    </w:rPr>
                  </w:pPr>
                  <w:r>
                    <w:rPr>
                      <w:rFonts w:hint="eastAsia"/>
                      <w:color w:val="auto"/>
                      <w:szCs w:val="21"/>
                    </w:rPr>
                    <w:t>环境风险管控</w:t>
                  </w:r>
                </w:p>
                <w:p w14:paraId="2037F132">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rPr>
                    <w:t>1.土壤污染重点监管单位应当履行下列义务：（一）严格控制有毒有害物质排放，并按年度向生态环境主管部门报告排放情况；（二）建立土壤污染隐患排查制度，保证持续有效防止有毒有害物质渗漏、流失、扬散；（三）制定、实施自行监测方案，并将监测数据报生态环境主管部门。2.重点单位新、改、扩建项目地下储罐储存有毒有害物质的，应当在项目投入生产或者使用之前，将地下储罐的信息报所在地设区的市级生态环境主管部门备案。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430" w:type="pct"/>
                  <w:gridSpan w:val="3"/>
                  <w:vAlign w:val="center"/>
                </w:tcPr>
                <w:p w14:paraId="5A82ED95">
                  <w:pPr>
                    <w:keepNext w:val="0"/>
                    <w:keepLines w:val="0"/>
                    <w:suppressLineNumbers w:val="0"/>
                    <w:snapToGrid w:val="0"/>
                    <w:spacing w:before="0" w:beforeAutospacing="0" w:after="0" w:afterAutospacing="0" w:line="350" w:lineRule="exact"/>
                    <w:ind w:left="0" w:right="0"/>
                    <w:jc w:val="center"/>
                    <w:rPr>
                      <w:rFonts w:hint="default" w:eastAsia="宋体"/>
                      <w:color w:val="auto"/>
                      <w:szCs w:val="21"/>
                      <w:lang w:val="en-US" w:eastAsia="zh-CN"/>
                    </w:rPr>
                  </w:pPr>
                  <w:r>
                    <w:rPr>
                      <w:rFonts w:hint="eastAsia" w:ascii="Times New Roman" w:hAnsi="Times New Roman" w:cs="Times New Roman"/>
                      <w:color w:val="auto"/>
                      <w:szCs w:val="21"/>
                      <w:lang w:val="en-US" w:eastAsia="zh-CN"/>
                    </w:rPr>
                    <w:t>本项目为沥青混凝土制造项目，</w:t>
                  </w:r>
                  <w:r>
                    <w:rPr>
                      <w:rFonts w:hint="eastAsia" w:cs="Times New Roman"/>
                      <w:color w:val="auto"/>
                      <w:szCs w:val="21"/>
                      <w:lang w:val="en-US" w:eastAsia="zh-CN"/>
                    </w:rPr>
                    <w:t>符合</w:t>
                  </w:r>
                  <w:r>
                    <w:rPr>
                      <w:rFonts w:hint="eastAsia"/>
                      <w:color w:val="auto"/>
                      <w:szCs w:val="21"/>
                    </w:rPr>
                    <w:t>伊美区地下水环境一般管控区</w:t>
                  </w:r>
                  <w:r>
                    <w:rPr>
                      <w:rFonts w:hint="eastAsia"/>
                      <w:color w:val="auto"/>
                      <w:szCs w:val="21"/>
                      <w:lang w:val="en-US" w:eastAsia="zh-CN"/>
                    </w:rPr>
                    <w:t>管控要求</w:t>
                  </w:r>
                </w:p>
              </w:tc>
            </w:tr>
            <w:tr w14:paraId="346E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 w:type="pct"/>
                <w:trHeight w:val="443" w:hRule="atLeast"/>
              </w:trPr>
              <w:tc>
                <w:tcPr>
                  <w:tcW w:w="1057" w:type="pct"/>
                  <w:gridSpan w:val="2"/>
                  <w:vMerge w:val="restart"/>
                  <w:vAlign w:val="center"/>
                </w:tcPr>
                <w:p w14:paraId="7852C542">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ZH23071720001</w:t>
                  </w:r>
                </w:p>
              </w:tc>
              <w:tc>
                <w:tcPr>
                  <w:tcW w:w="835" w:type="pct"/>
                  <w:gridSpan w:val="3"/>
                  <w:vMerge w:val="restart"/>
                  <w:vAlign w:val="center"/>
                </w:tcPr>
                <w:p w14:paraId="19AC655E">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lang w:val="en-US" w:eastAsia="zh-CN"/>
                    </w:rPr>
                    <w:t>伊美</w:t>
                  </w:r>
                  <w:r>
                    <w:rPr>
                      <w:rFonts w:hint="default"/>
                      <w:color w:val="auto"/>
                      <w:szCs w:val="21"/>
                    </w:rPr>
                    <w:t>区城镇空间</w:t>
                  </w:r>
                </w:p>
              </w:tc>
              <w:tc>
                <w:tcPr>
                  <w:tcW w:w="537" w:type="pct"/>
                  <w:gridSpan w:val="2"/>
                  <w:vMerge w:val="restart"/>
                  <w:vAlign w:val="center"/>
                </w:tcPr>
                <w:p w14:paraId="6CBB4BB9">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重点管控单元</w:t>
                  </w:r>
                </w:p>
              </w:tc>
              <w:tc>
                <w:tcPr>
                  <w:tcW w:w="261" w:type="pct"/>
                  <w:gridSpan w:val="2"/>
                  <w:vAlign w:val="center"/>
                </w:tcPr>
                <w:p w14:paraId="1B6B9D14">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空间布局约束</w:t>
                  </w:r>
                </w:p>
              </w:tc>
              <w:tc>
                <w:tcPr>
                  <w:tcW w:w="1877" w:type="pct"/>
                  <w:gridSpan w:val="2"/>
                  <w:vAlign w:val="center"/>
                </w:tcPr>
                <w:p w14:paraId="2E0F6C7C">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1.严禁在人口密集区新建危险化学品生产项目，城镇人口密集区危险化学品生产企业应搬迁改造。</w:t>
                  </w:r>
                </w:p>
                <w:p w14:paraId="6C06075A">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2.禁止在城镇居民区、文化教育科学研究区等人口集中区域建设畜禽养殖场、养殖小区。</w:t>
                  </w:r>
                </w:p>
                <w:p w14:paraId="79B6E742">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3.严控“两高”行业产能。严格执行钢铁、水泥、平板玻璃等行业产能置换实施办法。</w:t>
                  </w:r>
                </w:p>
                <w:p w14:paraId="618AACFD">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4..利用水泥窑协同处置城市生活垃圾、危险废弃物、电石渣等固废伴生水泥项目，必须依托现有新型干法水泥熟料生产线进行不扩产能改造。</w:t>
                  </w:r>
                </w:p>
              </w:tc>
              <w:tc>
                <w:tcPr>
                  <w:tcW w:w="427" w:type="pct"/>
                  <w:gridSpan w:val="2"/>
                  <w:vAlign w:val="center"/>
                </w:tcPr>
                <w:p w14:paraId="35D78ED6">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本项目为沥青混凝土制造项目，不属于上述约束项目。</w:t>
                  </w:r>
                </w:p>
              </w:tc>
            </w:tr>
            <w:tr w14:paraId="7CBF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 w:type="pct"/>
                <w:trHeight w:val="830" w:hRule="atLeast"/>
              </w:trPr>
              <w:tc>
                <w:tcPr>
                  <w:tcW w:w="1057" w:type="pct"/>
                  <w:gridSpan w:val="2"/>
                  <w:vMerge w:val="continue"/>
                  <w:vAlign w:val="center"/>
                </w:tcPr>
                <w:p w14:paraId="3E225FD0">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07683039">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1BEB29C7">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261" w:type="pct"/>
                  <w:gridSpan w:val="2"/>
                  <w:vAlign w:val="center"/>
                </w:tcPr>
                <w:p w14:paraId="33FE4690">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污染物排放管控</w:t>
                  </w:r>
                </w:p>
              </w:tc>
              <w:tc>
                <w:tcPr>
                  <w:tcW w:w="1877" w:type="pct"/>
                  <w:gridSpan w:val="2"/>
                  <w:vAlign w:val="center"/>
                </w:tcPr>
                <w:p w14:paraId="0A644939">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1.加快65t／h以上燃煤锅炉（含电力）超低排放改造。</w:t>
                  </w:r>
                </w:p>
                <w:p w14:paraId="536290AF">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2.对以煤、石焦油、渣油、重油等为燃料的锅炉和工业炉窑，加快使用清洁低碳能源以及工厂余热、电力热力等进行替代。</w:t>
                  </w:r>
                </w:p>
                <w:p w14:paraId="19DBE066">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3.到2025年，在用65蒸吨/小时以上的燃煤锅炉（含电力）实现超低排放，钢铁企业基本实现超低排放。</w:t>
                  </w:r>
                </w:p>
              </w:tc>
              <w:tc>
                <w:tcPr>
                  <w:tcW w:w="427" w:type="pct"/>
                  <w:gridSpan w:val="2"/>
                  <w:vAlign w:val="center"/>
                </w:tcPr>
                <w:p w14:paraId="4CBC22C2">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本项目为</w:t>
                  </w:r>
                  <w:r>
                    <w:rPr>
                      <w:rFonts w:hint="eastAsia"/>
                      <w:color w:val="auto"/>
                      <w:szCs w:val="21"/>
                    </w:rPr>
                    <w:t>沥青混凝土</w:t>
                  </w:r>
                  <w:r>
                    <w:rPr>
                      <w:rFonts w:hint="default"/>
                      <w:color w:val="auto"/>
                      <w:szCs w:val="21"/>
                    </w:rPr>
                    <w:t>制造</w:t>
                  </w:r>
                  <w:r>
                    <w:rPr>
                      <w:rFonts w:hint="eastAsia"/>
                      <w:color w:val="auto"/>
                      <w:szCs w:val="21"/>
                    </w:rPr>
                    <w:t>项目</w:t>
                  </w:r>
                  <w:r>
                    <w:rPr>
                      <w:rFonts w:hint="default"/>
                      <w:color w:val="auto"/>
                      <w:szCs w:val="21"/>
                    </w:rPr>
                    <w:t>，</w:t>
                  </w:r>
                  <w:r>
                    <w:rPr>
                      <w:rFonts w:hint="eastAsia"/>
                      <w:color w:val="auto"/>
                      <w:szCs w:val="21"/>
                    </w:rPr>
                    <w:t>生产用</w:t>
                  </w:r>
                  <w:r>
                    <w:rPr>
                      <w:rFonts w:hint="eastAsia"/>
                      <w:color w:val="auto"/>
                      <w:szCs w:val="21"/>
                      <w:lang w:val="en-US" w:eastAsia="zh-CN"/>
                    </w:rPr>
                    <w:t>柴油</w:t>
                  </w:r>
                  <w:r>
                    <w:rPr>
                      <w:rFonts w:hint="default"/>
                      <w:color w:val="auto"/>
                      <w:szCs w:val="21"/>
                    </w:rPr>
                    <w:t>，符合要求。</w:t>
                  </w:r>
                </w:p>
              </w:tc>
            </w:tr>
            <w:tr w14:paraId="069C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 w:type="pct"/>
                <w:trHeight w:val="443" w:hRule="atLeast"/>
              </w:trPr>
              <w:tc>
                <w:tcPr>
                  <w:tcW w:w="1057" w:type="pct"/>
                  <w:gridSpan w:val="2"/>
                  <w:vMerge w:val="continue"/>
                  <w:vAlign w:val="center"/>
                </w:tcPr>
                <w:p w14:paraId="557BDCC5">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0E28BBEA">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3D41610A">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261" w:type="pct"/>
                  <w:gridSpan w:val="2"/>
                  <w:vAlign w:val="center"/>
                </w:tcPr>
                <w:p w14:paraId="1F3975BE">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环境风险防控</w:t>
                  </w:r>
                </w:p>
              </w:tc>
              <w:tc>
                <w:tcPr>
                  <w:tcW w:w="1877" w:type="pct"/>
                  <w:gridSpan w:val="2"/>
                  <w:vAlign w:val="center"/>
                </w:tcPr>
                <w:p w14:paraId="28D462E5">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化工园区与城市建成区、人员密集场所、重要设施、敏感目标等应当保持规定的安全距离，相对封闭，不应保留常住居民，非关联企业和产业要逐步搬迁或退出，妥善防范化解“邻避”问题。严禁在松花江干流及一级支流沿岸1公里范围内布局化工园区。</w:t>
                  </w:r>
                </w:p>
                <w:p w14:paraId="001577E7">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2.禁止在居民区、学校、医疗和养老机构等周边新建有色金属冶炼、焦化等行业企业。</w:t>
                  </w:r>
                </w:p>
              </w:tc>
              <w:tc>
                <w:tcPr>
                  <w:tcW w:w="427" w:type="pct"/>
                  <w:gridSpan w:val="2"/>
                  <w:vAlign w:val="center"/>
                </w:tcPr>
                <w:p w14:paraId="638068FE">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本项目为</w:t>
                  </w:r>
                  <w:r>
                    <w:rPr>
                      <w:rFonts w:hint="eastAsia"/>
                      <w:color w:val="auto"/>
                      <w:szCs w:val="21"/>
                    </w:rPr>
                    <w:t>沥青混凝土</w:t>
                  </w:r>
                  <w:r>
                    <w:rPr>
                      <w:rFonts w:hint="default"/>
                      <w:color w:val="auto"/>
                      <w:szCs w:val="21"/>
                    </w:rPr>
                    <w:t>制造</w:t>
                  </w:r>
                  <w:r>
                    <w:rPr>
                      <w:rFonts w:hint="eastAsia"/>
                      <w:color w:val="auto"/>
                      <w:szCs w:val="21"/>
                    </w:rPr>
                    <w:t>项目</w:t>
                  </w:r>
                  <w:r>
                    <w:rPr>
                      <w:rFonts w:hint="default"/>
                      <w:color w:val="auto"/>
                      <w:szCs w:val="21"/>
                    </w:rPr>
                    <w:t>，不属于上述风险防控项目。</w:t>
                  </w:r>
                </w:p>
              </w:tc>
            </w:tr>
            <w:tr w14:paraId="0A54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 w:type="pct"/>
                <w:trHeight w:val="2342" w:hRule="atLeast"/>
              </w:trPr>
              <w:tc>
                <w:tcPr>
                  <w:tcW w:w="1057" w:type="pct"/>
                  <w:gridSpan w:val="2"/>
                  <w:vMerge w:val="continue"/>
                  <w:vAlign w:val="center"/>
                </w:tcPr>
                <w:p w14:paraId="26C69D95">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208E3E81">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24269EC2">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261" w:type="pct"/>
                  <w:gridSpan w:val="2"/>
                  <w:vAlign w:val="center"/>
                </w:tcPr>
                <w:p w14:paraId="6D487C0E">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资源利用效率要求</w:t>
                  </w:r>
                </w:p>
              </w:tc>
              <w:tc>
                <w:tcPr>
                  <w:tcW w:w="1877" w:type="pct"/>
                  <w:gridSpan w:val="2"/>
                  <w:vAlign w:val="center"/>
                </w:tcPr>
                <w:p w14:paraId="5DE63663">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1.推进污水再生利用设施建设。</w:t>
                  </w:r>
                </w:p>
                <w:p w14:paraId="5D95F9B1">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2.公共建筑必须采用节水器具，限期淘汰公共建筑中不符合节水标准的水嘴、便器水箱等生活用水器具。</w:t>
                  </w:r>
                </w:p>
                <w:p w14:paraId="270BCD6D">
                  <w:pPr>
                    <w:keepNext w:val="0"/>
                    <w:keepLines w:val="0"/>
                    <w:suppressLineNumbers w:val="0"/>
                    <w:snapToGrid w:val="0"/>
                    <w:spacing w:before="0" w:beforeAutospacing="0" w:after="0" w:afterAutospacing="0" w:line="350" w:lineRule="exact"/>
                    <w:ind w:left="0" w:right="0"/>
                    <w:jc w:val="center"/>
                    <w:rPr>
                      <w:rFonts w:hint="default" w:ascii="Times New Roman" w:hAnsi="Times New Roman" w:cs="Times New Roman"/>
                      <w:color w:val="auto"/>
                      <w:szCs w:val="21"/>
                      <w:lang w:val="zh-CN" w:eastAsia="zh-CN"/>
                    </w:rPr>
                  </w:pPr>
                  <w:r>
                    <w:rPr>
                      <w:rFonts w:hint="eastAsia" w:ascii="Times New Roman" w:hAnsi="Times New Roman" w:cs="Times New Roman"/>
                      <w:color w:val="auto"/>
                      <w:szCs w:val="21"/>
                      <w:lang w:val="en-US" w:eastAsia="zh-CN"/>
                    </w:rPr>
                    <w:t>3</w:t>
                  </w:r>
                  <w:r>
                    <w:rPr>
                      <w:rFonts w:hint="default" w:ascii="Times New Roman" w:hAnsi="Times New Roman" w:cs="Times New Roman"/>
                      <w:color w:val="auto"/>
                      <w:szCs w:val="21"/>
                      <w:lang w:val="en-US" w:eastAsia="zh-CN"/>
                    </w:rPr>
                    <w:t>.</w:t>
                  </w:r>
                  <w:r>
                    <w:rPr>
                      <w:rFonts w:hint="default" w:ascii="Times New Roman" w:hAnsi="Times New Roman" w:cs="Times New Roman"/>
                      <w:color w:val="auto"/>
                      <w:szCs w:val="21"/>
                      <w:lang w:val="zh-CN" w:eastAsia="zh-CN"/>
                    </w:rPr>
                    <w:t>在禁燃区内，禁止销售、燃用高污染燃料；禁止新建、扩建燃用高污染燃料的设施，已建成的，应当在城市人民政府规定的期限内改用天然气、页岩气、液化石油气、电或者其他清洁能源。</w:t>
                  </w:r>
                </w:p>
                <w:p w14:paraId="5E2F1A07">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4</w:t>
                  </w:r>
                  <w:r>
                    <w:rPr>
                      <w:rFonts w:hint="default" w:ascii="Times New Roman" w:hAnsi="Times New Roman" w:cs="Times New Roman"/>
                      <w:color w:val="auto"/>
                      <w:szCs w:val="21"/>
                      <w:lang w:val="zh-CN" w:eastAsia="zh-CN"/>
                    </w:rPr>
                    <w:t>城市建设应当统筹规划，在燃煤供热地区，推进热电联产和集中供热。在集中供热管网覆盖地区，禁止新建、扩建分散燃煤供热锅炉；已建成的不能达标排放的燃煤供热锅炉，应当在城市人民政府规定的期限内拆除。</w:t>
                  </w:r>
                </w:p>
              </w:tc>
              <w:tc>
                <w:tcPr>
                  <w:tcW w:w="427" w:type="pct"/>
                  <w:gridSpan w:val="2"/>
                  <w:vAlign w:val="center"/>
                </w:tcPr>
                <w:p w14:paraId="736096B7">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eastAsia"/>
                      <w:color w:val="auto"/>
                      <w:szCs w:val="21"/>
                    </w:rPr>
                    <w:t>本项目不向处环境排放废水</w:t>
                  </w:r>
                </w:p>
              </w:tc>
            </w:tr>
            <w:tr w14:paraId="37D2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342" w:hRule="atLeast"/>
              </w:trPr>
              <w:tc>
                <w:tcPr>
                  <w:tcW w:w="1057" w:type="pct"/>
                  <w:gridSpan w:val="3"/>
                  <w:vMerge w:val="restart"/>
                  <w:vAlign w:val="center"/>
                </w:tcPr>
                <w:p w14:paraId="135007E6">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ZH23071820002</w:t>
                  </w:r>
                </w:p>
              </w:tc>
              <w:tc>
                <w:tcPr>
                  <w:tcW w:w="835" w:type="pct"/>
                  <w:gridSpan w:val="3"/>
                  <w:vMerge w:val="restart"/>
                  <w:vAlign w:val="center"/>
                </w:tcPr>
                <w:p w14:paraId="36068A3A">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乌翠区城镇空间</w:t>
                  </w:r>
                </w:p>
              </w:tc>
              <w:tc>
                <w:tcPr>
                  <w:tcW w:w="537" w:type="pct"/>
                  <w:gridSpan w:val="2"/>
                  <w:vMerge w:val="restart"/>
                  <w:vAlign w:val="center"/>
                </w:tcPr>
                <w:p w14:paraId="7E594F76">
                  <w:pPr>
                    <w:keepNext w:val="0"/>
                    <w:keepLines w:val="0"/>
                    <w:suppressLineNumbers w:val="0"/>
                    <w:snapToGrid w:val="0"/>
                    <w:spacing w:before="0" w:beforeAutospacing="0" w:after="0" w:afterAutospacing="0" w:line="350" w:lineRule="exact"/>
                    <w:ind w:left="0" w:right="0"/>
                    <w:jc w:val="center"/>
                    <w:rPr>
                      <w:rFonts w:hint="default"/>
                      <w:color w:val="auto"/>
                      <w:szCs w:val="21"/>
                    </w:rPr>
                  </w:pPr>
                  <w:r>
                    <w:rPr>
                      <w:rFonts w:hint="default"/>
                      <w:color w:val="auto"/>
                      <w:szCs w:val="21"/>
                    </w:rPr>
                    <w:t>重点管控单元</w:t>
                  </w:r>
                </w:p>
              </w:tc>
              <w:tc>
                <w:tcPr>
                  <w:tcW w:w="408" w:type="dxa"/>
                  <w:gridSpan w:val="2"/>
                  <w:vAlign w:val="center"/>
                </w:tcPr>
                <w:p w14:paraId="47564524">
                  <w:pPr>
                    <w:keepNext w:val="0"/>
                    <w:keepLines w:val="0"/>
                    <w:suppressLineNumbers w:val="0"/>
                    <w:snapToGrid w:val="0"/>
                    <w:spacing w:before="0" w:beforeAutospacing="0" w:after="0" w:afterAutospacing="0" w:line="350" w:lineRule="exact"/>
                    <w:ind w:left="0" w:leftChars="0" w:right="0" w:rightChars="0"/>
                    <w:jc w:val="center"/>
                    <w:rPr>
                      <w:rFonts w:hint="default"/>
                      <w:color w:val="auto"/>
                      <w:szCs w:val="21"/>
                    </w:rPr>
                  </w:pPr>
                  <w:r>
                    <w:rPr>
                      <w:rFonts w:hint="default"/>
                      <w:color w:val="auto"/>
                      <w:szCs w:val="21"/>
                    </w:rPr>
                    <w:t>空间布局约束</w:t>
                  </w:r>
                </w:p>
              </w:tc>
              <w:tc>
                <w:tcPr>
                  <w:tcW w:w="1877" w:type="pct"/>
                  <w:gridSpan w:val="2"/>
                  <w:vAlign w:val="center"/>
                </w:tcPr>
                <w:p w14:paraId="540AD665">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执行准入要求：（1）严禁在人口密集区新建危险化学品生产项目，城镇人口密集区危险化学品生产企业应搬迁改造。（2）禁止在城镇居民区、文化教育科学研究区等人口集中区域建设畜禽养殖场、养殖小区。2.大气环境布局敏感重点管控区同时执行准入要求：（1）严控“两高”行业产能。严格执行钢铁、水泥、平板玻璃等行业产能置换实施办法。（2）利用水泥窑协同处置城市生活垃圾、危险废弃物、电石渣等固废伴生水泥项目，必须依托现有新型干法水泥熟料生产线进行不扩产能改造</w:t>
                  </w:r>
                </w:p>
              </w:tc>
              <w:tc>
                <w:tcPr>
                  <w:tcW w:w="668" w:type="dxa"/>
                  <w:gridSpan w:val="2"/>
                  <w:vAlign w:val="center"/>
                </w:tcPr>
                <w:p w14:paraId="194BE1CF">
                  <w:pPr>
                    <w:keepNext w:val="0"/>
                    <w:keepLines w:val="0"/>
                    <w:suppressLineNumbers w:val="0"/>
                    <w:snapToGrid w:val="0"/>
                    <w:spacing w:before="0" w:beforeAutospacing="0" w:after="0" w:afterAutospacing="0" w:line="350" w:lineRule="exact"/>
                    <w:ind w:left="0" w:leftChars="0" w:right="0" w:rightChars="0"/>
                    <w:jc w:val="center"/>
                    <w:rPr>
                      <w:rFonts w:hint="eastAsia"/>
                      <w:color w:val="auto"/>
                      <w:szCs w:val="21"/>
                    </w:rPr>
                  </w:pPr>
                  <w:r>
                    <w:rPr>
                      <w:rFonts w:hint="eastAsia" w:ascii="Times New Roman" w:hAnsi="Times New Roman" w:cs="Times New Roman"/>
                      <w:color w:val="auto"/>
                      <w:szCs w:val="21"/>
                      <w:lang w:val="en-US" w:eastAsia="zh-CN"/>
                    </w:rPr>
                    <w:t>本项目为沥青混凝土制造项目，不属于上述约束项目。</w:t>
                  </w:r>
                </w:p>
              </w:tc>
            </w:tr>
            <w:tr w14:paraId="5AD8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342" w:hRule="atLeast"/>
              </w:trPr>
              <w:tc>
                <w:tcPr>
                  <w:tcW w:w="1057" w:type="pct"/>
                  <w:gridSpan w:val="3"/>
                  <w:vMerge w:val="continue"/>
                  <w:vAlign w:val="center"/>
                </w:tcPr>
                <w:p w14:paraId="013852C2">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76E7FA26">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25DADDF6">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408" w:type="dxa"/>
                  <w:gridSpan w:val="2"/>
                  <w:vAlign w:val="center"/>
                </w:tcPr>
                <w:p w14:paraId="3C634FA3">
                  <w:pPr>
                    <w:keepNext w:val="0"/>
                    <w:keepLines w:val="0"/>
                    <w:suppressLineNumbers w:val="0"/>
                    <w:snapToGrid w:val="0"/>
                    <w:spacing w:before="0" w:beforeAutospacing="0" w:after="0" w:afterAutospacing="0" w:line="350" w:lineRule="exact"/>
                    <w:ind w:left="0" w:leftChars="0" w:right="0" w:rightChars="0"/>
                    <w:jc w:val="center"/>
                    <w:rPr>
                      <w:rFonts w:hint="default"/>
                      <w:color w:val="auto"/>
                      <w:szCs w:val="21"/>
                    </w:rPr>
                  </w:pPr>
                  <w:r>
                    <w:rPr>
                      <w:rFonts w:hint="default"/>
                      <w:color w:val="auto"/>
                      <w:szCs w:val="21"/>
                    </w:rPr>
                    <w:t>污染物排放管控</w:t>
                  </w:r>
                </w:p>
              </w:tc>
              <w:tc>
                <w:tcPr>
                  <w:tcW w:w="1877" w:type="pct"/>
                  <w:gridSpan w:val="2"/>
                  <w:vAlign w:val="center"/>
                </w:tcPr>
                <w:p w14:paraId="5EA4C64B">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1.执行准入要求：加快65t／h以上燃煤锅炉（含电力）超低排放改造。2.大气环境布局敏</w:t>
                  </w:r>
                </w:p>
                <w:p w14:paraId="76C7D64C">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感重点管控区同时执行准入要求：（1）对以煤、石焦油、渣油、重油等为燃料的锅炉和工业炉窑，加快使用清洁低碳能源以及工厂余热、电力热力等进行替代。（2）到2025年，在用65蒸吨/小时以上的燃煤锅炉（含电力）实现超低排放，钢铁企业基本实现超低排放</w:t>
                  </w:r>
                </w:p>
              </w:tc>
              <w:tc>
                <w:tcPr>
                  <w:tcW w:w="668" w:type="dxa"/>
                  <w:gridSpan w:val="2"/>
                  <w:vAlign w:val="center"/>
                </w:tcPr>
                <w:p w14:paraId="641C0FEC">
                  <w:pPr>
                    <w:keepNext w:val="0"/>
                    <w:keepLines w:val="0"/>
                    <w:suppressLineNumbers w:val="0"/>
                    <w:snapToGrid w:val="0"/>
                    <w:spacing w:before="0" w:beforeAutospacing="0" w:after="0" w:afterAutospacing="0" w:line="350" w:lineRule="exact"/>
                    <w:ind w:left="0" w:leftChars="0" w:right="0" w:rightChars="0"/>
                    <w:jc w:val="center"/>
                    <w:rPr>
                      <w:rFonts w:hint="eastAsia"/>
                      <w:color w:val="auto"/>
                      <w:szCs w:val="21"/>
                    </w:rPr>
                  </w:pPr>
                  <w:r>
                    <w:rPr>
                      <w:rFonts w:hint="default"/>
                      <w:color w:val="auto"/>
                      <w:szCs w:val="21"/>
                    </w:rPr>
                    <w:t>本项目为</w:t>
                  </w:r>
                  <w:r>
                    <w:rPr>
                      <w:rFonts w:hint="eastAsia"/>
                      <w:color w:val="auto"/>
                      <w:szCs w:val="21"/>
                    </w:rPr>
                    <w:t>沥青混凝土</w:t>
                  </w:r>
                  <w:r>
                    <w:rPr>
                      <w:rFonts w:hint="default"/>
                      <w:color w:val="auto"/>
                      <w:szCs w:val="21"/>
                    </w:rPr>
                    <w:t>制造</w:t>
                  </w:r>
                  <w:r>
                    <w:rPr>
                      <w:rFonts w:hint="eastAsia"/>
                      <w:color w:val="auto"/>
                      <w:szCs w:val="21"/>
                    </w:rPr>
                    <w:t>项目</w:t>
                  </w:r>
                  <w:r>
                    <w:rPr>
                      <w:rFonts w:hint="default"/>
                      <w:color w:val="auto"/>
                      <w:szCs w:val="21"/>
                    </w:rPr>
                    <w:t>，</w:t>
                  </w:r>
                  <w:r>
                    <w:rPr>
                      <w:rFonts w:hint="eastAsia"/>
                      <w:color w:val="auto"/>
                      <w:szCs w:val="21"/>
                    </w:rPr>
                    <w:t>生产用</w:t>
                  </w:r>
                  <w:r>
                    <w:rPr>
                      <w:rFonts w:hint="eastAsia"/>
                      <w:color w:val="auto"/>
                      <w:szCs w:val="21"/>
                      <w:lang w:val="en-US" w:eastAsia="zh-CN"/>
                    </w:rPr>
                    <w:t>柴油</w:t>
                  </w:r>
                  <w:r>
                    <w:rPr>
                      <w:rFonts w:hint="default"/>
                      <w:color w:val="auto"/>
                      <w:szCs w:val="21"/>
                    </w:rPr>
                    <w:t>，符合要求。</w:t>
                  </w:r>
                </w:p>
              </w:tc>
            </w:tr>
            <w:tr w14:paraId="2B8B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342" w:hRule="atLeast"/>
              </w:trPr>
              <w:tc>
                <w:tcPr>
                  <w:tcW w:w="1057" w:type="pct"/>
                  <w:gridSpan w:val="3"/>
                  <w:vMerge w:val="continue"/>
                  <w:vAlign w:val="center"/>
                </w:tcPr>
                <w:p w14:paraId="3CB2680E">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02080266">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4B93DDE8">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408" w:type="dxa"/>
                  <w:gridSpan w:val="2"/>
                  <w:vAlign w:val="center"/>
                </w:tcPr>
                <w:p w14:paraId="2D0392C3">
                  <w:pPr>
                    <w:keepNext w:val="0"/>
                    <w:keepLines w:val="0"/>
                    <w:suppressLineNumbers w:val="0"/>
                    <w:snapToGrid w:val="0"/>
                    <w:spacing w:before="0" w:beforeAutospacing="0" w:after="0" w:afterAutospacing="0" w:line="350" w:lineRule="exact"/>
                    <w:ind w:left="0" w:leftChars="0" w:right="0" w:rightChars="0"/>
                    <w:jc w:val="center"/>
                    <w:rPr>
                      <w:rFonts w:hint="default"/>
                      <w:color w:val="auto"/>
                      <w:szCs w:val="21"/>
                    </w:rPr>
                  </w:pPr>
                  <w:r>
                    <w:rPr>
                      <w:rFonts w:hint="default"/>
                      <w:color w:val="auto"/>
                      <w:szCs w:val="21"/>
                    </w:rPr>
                    <w:t>环境风险防控</w:t>
                  </w:r>
                </w:p>
              </w:tc>
              <w:tc>
                <w:tcPr>
                  <w:tcW w:w="1877" w:type="pct"/>
                  <w:gridSpan w:val="2"/>
                  <w:vAlign w:val="center"/>
                </w:tcPr>
                <w:p w14:paraId="00F7B98B">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1.执行准入要求：化工园区与城市建成区、人员密集场所、重要设施、敏感目标等应当保</w:t>
                  </w:r>
                </w:p>
                <w:p w14:paraId="5E606007">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持规定的安全距离，相对封闭，不应保留常住居民，非关联企业和产业要逐步搬迁或退出，妥善防范化解“邻避”问题。严禁在松花江干流及一级支流沿岸1公里范围内布局化工园区。2.大气环境布局敏感重点管控区同时执行准入要求：禁止在居民区、学校、医疗和养老机构等周边新建有色金属冶炼、焦化等行业企业</w:t>
                  </w:r>
                </w:p>
              </w:tc>
              <w:tc>
                <w:tcPr>
                  <w:tcW w:w="668" w:type="dxa"/>
                  <w:gridSpan w:val="2"/>
                  <w:vAlign w:val="center"/>
                </w:tcPr>
                <w:p w14:paraId="5B4649E2">
                  <w:pPr>
                    <w:keepNext w:val="0"/>
                    <w:keepLines w:val="0"/>
                    <w:suppressLineNumbers w:val="0"/>
                    <w:snapToGrid w:val="0"/>
                    <w:spacing w:before="0" w:beforeAutospacing="0" w:after="0" w:afterAutospacing="0" w:line="350" w:lineRule="exact"/>
                    <w:ind w:left="0" w:leftChars="0" w:right="0" w:rightChars="0"/>
                    <w:jc w:val="center"/>
                    <w:rPr>
                      <w:rFonts w:hint="eastAsia"/>
                      <w:color w:val="auto"/>
                      <w:szCs w:val="21"/>
                    </w:rPr>
                  </w:pPr>
                  <w:r>
                    <w:rPr>
                      <w:rFonts w:hint="default"/>
                      <w:color w:val="auto"/>
                      <w:szCs w:val="21"/>
                    </w:rPr>
                    <w:t>本项目为</w:t>
                  </w:r>
                  <w:r>
                    <w:rPr>
                      <w:rFonts w:hint="eastAsia"/>
                      <w:color w:val="auto"/>
                      <w:szCs w:val="21"/>
                    </w:rPr>
                    <w:t>沥青混凝土</w:t>
                  </w:r>
                  <w:r>
                    <w:rPr>
                      <w:rFonts w:hint="default"/>
                      <w:color w:val="auto"/>
                      <w:szCs w:val="21"/>
                    </w:rPr>
                    <w:t>制造</w:t>
                  </w:r>
                  <w:r>
                    <w:rPr>
                      <w:rFonts w:hint="eastAsia"/>
                      <w:color w:val="auto"/>
                      <w:szCs w:val="21"/>
                    </w:rPr>
                    <w:t>项目</w:t>
                  </w:r>
                  <w:r>
                    <w:rPr>
                      <w:rFonts w:hint="default"/>
                      <w:color w:val="auto"/>
                      <w:szCs w:val="21"/>
                    </w:rPr>
                    <w:t>，不属于上述风险防控项目。</w:t>
                  </w:r>
                </w:p>
              </w:tc>
            </w:tr>
            <w:tr w14:paraId="2C83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342" w:hRule="atLeast"/>
              </w:trPr>
              <w:tc>
                <w:tcPr>
                  <w:tcW w:w="1057" w:type="pct"/>
                  <w:gridSpan w:val="3"/>
                  <w:vMerge w:val="continue"/>
                  <w:vAlign w:val="center"/>
                </w:tcPr>
                <w:p w14:paraId="47441217">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835" w:type="pct"/>
                  <w:gridSpan w:val="3"/>
                  <w:vMerge w:val="continue"/>
                  <w:vAlign w:val="center"/>
                </w:tcPr>
                <w:p w14:paraId="70EE9947">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537" w:type="pct"/>
                  <w:gridSpan w:val="2"/>
                  <w:vMerge w:val="continue"/>
                  <w:vAlign w:val="center"/>
                </w:tcPr>
                <w:p w14:paraId="22154C39">
                  <w:pPr>
                    <w:keepNext w:val="0"/>
                    <w:keepLines w:val="0"/>
                    <w:suppressLineNumbers w:val="0"/>
                    <w:snapToGrid w:val="0"/>
                    <w:spacing w:before="0" w:beforeAutospacing="0" w:after="0" w:afterAutospacing="0" w:line="350" w:lineRule="exact"/>
                    <w:ind w:left="0" w:right="0"/>
                    <w:jc w:val="center"/>
                    <w:rPr>
                      <w:rFonts w:hint="default"/>
                      <w:color w:val="auto"/>
                      <w:szCs w:val="21"/>
                    </w:rPr>
                  </w:pPr>
                </w:p>
              </w:tc>
              <w:tc>
                <w:tcPr>
                  <w:tcW w:w="408" w:type="dxa"/>
                  <w:gridSpan w:val="2"/>
                  <w:vAlign w:val="center"/>
                </w:tcPr>
                <w:p w14:paraId="3D049A53">
                  <w:pPr>
                    <w:keepNext w:val="0"/>
                    <w:keepLines w:val="0"/>
                    <w:suppressLineNumbers w:val="0"/>
                    <w:snapToGrid w:val="0"/>
                    <w:spacing w:before="0" w:beforeAutospacing="0" w:after="0" w:afterAutospacing="0" w:line="350" w:lineRule="exact"/>
                    <w:ind w:left="0" w:leftChars="0" w:right="0" w:rightChars="0"/>
                    <w:jc w:val="center"/>
                    <w:rPr>
                      <w:rFonts w:hint="default"/>
                      <w:color w:val="auto"/>
                      <w:szCs w:val="21"/>
                    </w:rPr>
                  </w:pPr>
                  <w:r>
                    <w:rPr>
                      <w:rFonts w:hint="default"/>
                      <w:color w:val="auto"/>
                      <w:szCs w:val="21"/>
                    </w:rPr>
                    <w:t>资源利用效率要求</w:t>
                  </w:r>
                </w:p>
              </w:tc>
              <w:tc>
                <w:tcPr>
                  <w:tcW w:w="1877" w:type="pct"/>
                  <w:gridSpan w:val="2"/>
                  <w:vAlign w:val="center"/>
                </w:tcPr>
                <w:p w14:paraId="0F041483">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执行准入要求：1.推进污水再生利用设施建设。2.公共建筑必须采用节水器具，限期淘汰</w:t>
                  </w:r>
                </w:p>
                <w:p w14:paraId="76DB1EF9">
                  <w:pPr>
                    <w:keepNext w:val="0"/>
                    <w:keepLines w:val="0"/>
                    <w:suppressLineNumbers w:val="0"/>
                    <w:snapToGrid w:val="0"/>
                    <w:spacing w:before="0" w:beforeAutospacing="0" w:after="0" w:afterAutospacing="0" w:line="350" w:lineRule="exact"/>
                    <w:ind w:left="0" w:right="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公共建筑中不符合节水标准的水嘴、便器水箱等生活用水器具</w:t>
                  </w:r>
                </w:p>
              </w:tc>
              <w:tc>
                <w:tcPr>
                  <w:tcW w:w="668" w:type="dxa"/>
                  <w:gridSpan w:val="2"/>
                  <w:vAlign w:val="center"/>
                </w:tcPr>
                <w:p w14:paraId="1DB39862">
                  <w:pPr>
                    <w:keepNext w:val="0"/>
                    <w:keepLines w:val="0"/>
                    <w:suppressLineNumbers w:val="0"/>
                    <w:snapToGrid w:val="0"/>
                    <w:spacing w:before="0" w:beforeAutospacing="0" w:after="0" w:afterAutospacing="0" w:line="350" w:lineRule="exact"/>
                    <w:ind w:left="0" w:leftChars="0" w:right="0" w:rightChars="0"/>
                    <w:jc w:val="center"/>
                    <w:rPr>
                      <w:rFonts w:hint="eastAsia"/>
                      <w:color w:val="auto"/>
                      <w:szCs w:val="21"/>
                    </w:rPr>
                  </w:pPr>
                  <w:r>
                    <w:rPr>
                      <w:rFonts w:hint="eastAsia"/>
                      <w:color w:val="auto"/>
                      <w:szCs w:val="21"/>
                    </w:rPr>
                    <w:t>本项目不向处环境排放废水</w:t>
                  </w:r>
                </w:p>
              </w:tc>
            </w:tr>
          </w:tbl>
          <w:p w14:paraId="2C3C0436">
            <w:pPr>
              <w:pStyle w:val="34"/>
              <w:keepNext w:val="0"/>
              <w:keepLines w:val="0"/>
              <w:suppressLineNumbers w:val="0"/>
              <w:spacing w:before="0" w:beforeAutospacing="0" w:after="0" w:afterAutospacing="0" w:line="360" w:lineRule="auto"/>
              <w:ind w:left="0" w:leftChars="0" w:right="0" w:firstLine="482"/>
              <w:rPr>
                <w:rFonts w:hint="eastAsia" w:eastAsia="宋体"/>
                <w:color w:val="auto"/>
                <w:highlight w:val="none"/>
                <w:lang w:eastAsia="zh-CN"/>
              </w:rPr>
            </w:pPr>
            <w:r>
              <w:rPr>
                <w:rFonts w:hint="default"/>
                <w:b/>
                <w:bCs/>
                <w:color w:val="auto"/>
                <w:sz w:val="24"/>
                <w:szCs w:val="32"/>
                <w:highlight w:val="none"/>
              </w:rPr>
              <w:t>（</w:t>
            </w:r>
            <w:r>
              <w:rPr>
                <w:rFonts w:hint="eastAsia"/>
                <w:b/>
                <w:bCs/>
                <w:color w:val="auto"/>
                <w:sz w:val="24"/>
                <w:szCs w:val="32"/>
                <w:highlight w:val="none"/>
                <w:lang w:val="en-US" w:eastAsia="zh-CN"/>
              </w:rPr>
              <w:t>3</w:t>
            </w:r>
            <w:r>
              <w:rPr>
                <w:rFonts w:hint="default"/>
                <w:b/>
                <w:bCs/>
                <w:color w:val="auto"/>
                <w:sz w:val="24"/>
                <w:szCs w:val="32"/>
                <w:highlight w:val="none"/>
              </w:rPr>
              <w:t>）</w:t>
            </w:r>
            <w:r>
              <w:rPr>
                <w:rFonts w:hint="eastAsia"/>
                <w:b/>
                <w:bCs/>
                <w:color w:val="auto"/>
                <w:sz w:val="24"/>
                <w:szCs w:val="32"/>
                <w:highlight w:val="none"/>
                <w:lang w:val="en-US" w:eastAsia="zh-CN"/>
              </w:rPr>
              <w:t>一说明</w:t>
            </w:r>
          </w:p>
          <w:p w14:paraId="46350222">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伊春市公用市政建筑安装有限公司改扩建项目位置涉及伊春市乌翠区；项目占地总面积0.10平方公里。</w:t>
            </w:r>
          </w:p>
          <w:p w14:paraId="3B5793B4">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与生态保护红线交集面积为0.00平方公里，占项目占地面积的0.00%。</w:t>
            </w:r>
          </w:p>
          <w:p w14:paraId="09FD327B">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与自然保护地整合优化方案数据交集面积为0.00平方公里，占项目占地面积的0.00%。保护地涉及等类型。与自然保护地（现状管理数据）交集面积为0.00平方公里，占项目占地面积的0.00%。保护地涉及等类型。</w:t>
            </w:r>
          </w:p>
          <w:p w14:paraId="5BE297AE">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与饮用水水源保护区交集面积为0.00平方公里，占项目占地面积的0.00%。与国家级水产种质资源保护区交集面积为0.00平方公里，占项目占地面积的0.00%。</w:t>
            </w:r>
          </w:p>
          <w:p w14:paraId="3EEF2363">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与环境管控单元优先保护单元交集面积为0.00平方公里，占项目占地面积的0.00%；与重点管控单元交集面积为0.10平方公里，占项目占地面积的100.00%；一般管控单元交集面积为0.00平方公里，占项目占地面积的0.00%。</w:t>
            </w:r>
          </w:p>
          <w:p w14:paraId="43756A10">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lang w:eastAsia="zh-CN"/>
              </w:rPr>
            </w:pPr>
            <w:r>
              <w:rPr>
                <w:rFonts w:hint="eastAsia" w:eastAsia="宋体"/>
                <w:color w:val="auto"/>
                <w:kern w:val="0"/>
                <w:sz w:val="24"/>
                <w:lang w:eastAsia="zh-CN"/>
              </w:rPr>
              <w:t>与地下水环境优先保护区交集面积为0.00平方公里，占项目占地面积的0.00%；与地下水环境重点管控区交集面积为0.00平方公里，占项目占地面积的0.00%，与地下水环境一般管控区交集面积为0.10平方公里，占项目占地面积的100.00%。</w:t>
            </w:r>
          </w:p>
          <w:p w14:paraId="4D8BDFBE">
            <w:pPr>
              <w:keepNext w:val="0"/>
              <w:keepLines w:val="0"/>
              <w:suppressLineNumbers w:val="0"/>
              <w:spacing w:before="0" w:beforeAutospacing="0" w:after="0" w:afterAutospacing="0" w:line="360" w:lineRule="auto"/>
              <w:ind w:left="0" w:right="0" w:firstLine="480" w:firstLineChars="200"/>
              <w:jc w:val="both"/>
              <w:rPr>
                <w:rFonts w:hint="default"/>
                <w:color w:val="auto"/>
                <w:sz w:val="24"/>
                <w:szCs w:val="24"/>
              </w:rPr>
            </w:pPr>
            <w:r>
              <w:rPr>
                <w:rFonts w:hint="default"/>
                <w:color w:val="auto"/>
                <w:kern w:val="0"/>
                <w:sz w:val="24"/>
              </w:rPr>
              <w:t>综上所述，本项目符合</w:t>
            </w:r>
            <w:r>
              <w:rPr>
                <w:rFonts w:hint="eastAsia"/>
                <w:color w:val="auto"/>
                <w:sz w:val="24"/>
                <w:lang w:val="en-US" w:eastAsia="zh-CN"/>
              </w:rPr>
              <w:t>伊美</w:t>
            </w:r>
            <w:r>
              <w:rPr>
                <w:rFonts w:hint="eastAsia"/>
                <w:color w:val="auto"/>
                <w:sz w:val="24"/>
              </w:rPr>
              <w:t>区</w:t>
            </w:r>
            <w:r>
              <w:rPr>
                <w:rFonts w:hint="default"/>
                <w:color w:val="auto"/>
                <w:kern w:val="0"/>
                <w:sz w:val="24"/>
              </w:rPr>
              <w:t>生态环境准入清单相关要求，项目符合伊春市“三线一单”相关要求。</w:t>
            </w:r>
          </w:p>
          <w:p w14:paraId="780EEC6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0" w:firstLineChars="0"/>
              <w:jc w:val="both"/>
              <w:textAlignment w:val="auto"/>
              <w:outlineLvl w:val="9"/>
              <w:rPr>
                <w:rFonts w:hint="default" w:ascii="Times New Roman" w:hAnsi="Times New Roman" w:eastAsia="黑体" w:cs="Times New Roman"/>
                <w:b w:val="0"/>
                <w:bCs/>
                <w:color w:val="auto"/>
                <w:kern w:val="0"/>
                <w:sz w:val="28"/>
                <w:szCs w:val="28"/>
              </w:rPr>
            </w:pPr>
            <w:r>
              <w:rPr>
                <w:rFonts w:hint="eastAsia" w:eastAsia="黑体" w:cs="Times New Roman"/>
                <w:b w:val="0"/>
                <w:bCs/>
                <w:color w:val="auto"/>
                <w:kern w:val="0"/>
                <w:sz w:val="28"/>
                <w:szCs w:val="28"/>
                <w:lang w:eastAsia="zh-CN"/>
              </w:rPr>
              <w:t>三</w:t>
            </w:r>
            <w:r>
              <w:rPr>
                <w:rFonts w:hint="default" w:ascii="Times New Roman" w:hAnsi="Times New Roman" w:eastAsia="黑体" w:cs="Times New Roman"/>
                <w:b w:val="0"/>
                <w:bCs/>
                <w:color w:val="auto"/>
                <w:kern w:val="0"/>
                <w:sz w:val="28"/>
                <w:szCs w:val="28"/>
              </w:rPr>
              <w:t>、选址合理性分析</w:t>
            </w:r>
          </w:p>
          <w:p w14:paraId="15450436">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（1）规划相符性分析</w:t>
            </w:r>
          </w:p>
          <w:p w14:paraId="710BD6C7">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本项目位于</w:t>
            </w:r>
            <w:r>
              <w:rPr>
                <w:rFonts w:hint="eastAsia" w:eastAsia="宋体"/>
                <w:color w:val="auto"/>
                <w:sz w:val="24"/>
                <w:lang w:val="en-US" w:eastAsia="zh-CN"/>
              </w:rPr>
              <w:t>伊春市伊美区101号（原乌马河红旗贮木场），在现有厂区内进行</w:t>
            </w:r>
            <w:r>
              <w:rPr>
                <w:rFonts w:hint="eastAsia"/>
                <w:color w:val="auto"/>
                <w:sz w:val="24"/>
                <w:lang w:val="en-US" w:eastAsia="zh-CN"/>
              </w:rPr>
              <w:t>改</w:t>
            </w:r>
            <w:r>
              <w:rPr>
                <w:rFonts w:hint="eastAsia" w:eastAsia="宋体"/>
                <w:color w:val="auto"/>
                <w:sz w:val="24"/>
                <w:lang w:val="en-US" w:eastAsia="zh-CN"/>
              </w:rPr>
              <w:t>扩建</w:t>
            </w:r>
            <w:r>
              <w:rPr>
                <w:rFonts w:hint="default" w:ascii="Times New Roman" w:hAnsi="Times New Roman" w:cs="Times New Roman"/>
                <w:color w:val="auto"/>
                <w:sz w:val="24"/>
              </w:rPr>
              <w:t>，</w:t>
            </w:r>
            <w:r>
              <w:rPr>
                <w:rFonts w:hint="eastAsia" w:cs="Times New Roman"/>
                <w:color w:val="auto"/>
                <w:sz w:val="24"/>
                <w:lang w:val="en-US" w:eastAsia="zh-CN"/>
              </w:rPr>
              <w:t>现为工业用地，厂址东侧及南侧为空地，西侧为红旗村，北侧为路桥公司。</w:t>
            </w:r>
            <w:r>
              <w:rPr>
                <w:rFonts w:hint="default" w:ascii="Times New Roman" w:hAnsi="Times New Roman" w:cs="Times New Roman"/>
                <w:color w:val="auto"/>
                <w:sz w:val="24"/>
              </w:rPr>
              <w:t>项目选址不</w:t>
            </w:r>
            <w:r>
              <w:rPr>
                <w:rFonts w:hint="default" w:ascii="Times New Roman" w:hAnsi="Times New Roman" w:cs="Times New Roman"/>
                <w:color w:val="auto"/>
                <w:sz w:val="24"/>
                <w:lang w:eastAsia="zh-CN"/>
              </w:rPr>
              <w:t>位</w:t>
            </w:r>
            <w:r>
              <w:rPr>
                <w:rFonts w:hint="default" w:ascii="Times New Roman" w:hAnsi="Times New Roman" w:cs="Times New Roman"/>
                <w:color w:val="auto"/>
                <w:sz w:val="24"/>
              </w:rPr>
              <w:t>于风景名胜区、温泉疗养区、水产养殖区、基本农田保护区、自然保护区</w:t>
            </w:r>
            <w:r>
              <w:rPr>
                <w:rFonts w:hint="eastAsia" w:cs="Times New Roman"/>
                <w:color w:val="auto"/>
                <w:sz w:val="24"/>
                <w:lang w:eastAsia="zh-CN"/>
              </w:rPr>
              <w:t>、</w:t>
            </w:r>
            <w:r>
              <w:rPr>
                <w:rFonts w:hint="default" w:ascii="Times New Roman" w:hAnsi="Times New Roman" w:cs="Times New Roman"/>
                <w:color w:val="auto"/>
                <w:sz w:val="24"/>
              </w:rPr>
              <w:t>生活饮用水源地和地下水补给区等需要特殊保护区域。</w:t>
            </w:r>
          </w:p>
          <w:p w14:paraId="50F37F12">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本项目用地不属于《限制用地项目目录（2012年本）》和《禁止用地项目目录（2012年本）》中的限制用地、禁止用地项目，本项目</w:t>
            </w:r>
            <w:r>
              <w:rPr>
                <w:rFonts w:hint="eastAsia" w:cs="Times New Roman"/>
                <w:color w:val="auto"/>
                <w:sz w:val="24"/>
                <w:lang w:eastAsia="zh-CN"/>
              </w:rPr>
              <w:t>在现有场地扩建</w:t>
            </w:r>
            <w:r>
              <w:rPr>
                <w:rFonts w:hint="default" w:ascii="Times New Roman" w:hAnsi="Times New Roman" w:cs="Times New Roman"/>
                <w:color w:val="auto"/>
                <w:sz w:val="24"/>
              </w:rPr>
              <w:t>，符合当地规划要求。</w:t>
            </w:r>
          </w:p>
          <w:p w14:paraId="638744D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（2）外环境相容性分析</w:t>
            </w:r>
          </w:p>
          <w:p w14:paraId="57CD615B">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①项目所在地具有方便的交通运输和水电条件，便于项目的建设。</w:t>
            </w:r>
          </w:p>
          <w:p w14:paraId="14DE6FB4">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②项目建设过程中产生的</w:t>
            </w:r>
            <w:r>
              <w:rPr>
                <w:rFonts w:hint="default" w:ascii="Times New Roman" w:hAnsi="Times New Roman" w:cs="Times New Roman"/>
                <w:color w:val="auto"/>
                <w:sz w:val="24"/>
                <w:lang w:eastAsia="zh-CN"/>
              </w:rPr>
              <w:t>废气、</w:t>
            </w:r>
            <w:r>
              <w:rPr>
                <w:rFonts w:hint="default" w:ascii="Times New Roman" w:hAnsi="Times New Roman" w:cs="Times New Roman"/>
                <w:color w:val="auto"/>
                <w:sz w:val="24"/>
              </w:rPr>
              <w:t>噪声、废水、固废对周围环境将产生一定影响，但通过采取相应的环保措施可使该项目的环境影响降低。项目建成后对周边环境的影响主要是废气、生活污水，固体废物以及设备产生的噪声，经过处理后对周边环境影响较小。</w:t>
            </w:r>
          </w:p>
          <w:p w14:paraId="10D159B2">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（3）环境功能一致性分析</w:t>
            </w:r>
          </w:p>
          <w:p w14:paraId="74CD23A7">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根据工程分析确定的污染物源强，通过大气环境、水环境、声环境影响分析，说明项目建成后污染物达标排放对区域环境空气、水环境、声环境影响较小。项目建设不会使得环境功能发生改变。</w:t>
            </w:r>
          </w:p>
          <w:p w14:paraId="7FD6FF27">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综上所述，本项目</w:t>
            </w:r>
            <w:r>
              <w:rPr>
                <w:rFonts w:hint="eastAsia" w:ascii="Times New Roman" w:hAnsi="Times New Roman" w:cs="Times New Roman"/>
                <w:color w:val="auto"/>
                <w:sz w:val="24"/>
                <w:lang w:eastAsia="zh-CN"/>
              </w:rPr>
              <w:t>从环境角度</w:t>
            </w:r>
            <w:r>
              <w:rPr>
                <w:rFonts w:hint="default" w:ascii="Times New Roman" w:hAnsi="Times New Roman" w:cs="Times New Roman"/>
                <w:color w:val="auto"/>
                <w:sz w:val="24"/>
              </w:rPr>
              <w:t>选址可行。</w:t>
            </w:r>
          </w:p>
          <w:p w14:paraId="594247B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0" w:firstLineChars="0"/>
              <w:jc w:val="both"/>
              <w:textAlignment w:val="auto"/>
              <w:outlineLvl w:val="9"/>
              <w:rPr>
                <w:rFonts w:hint="default"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四</w:t>
            </w:r>
            <w:r>
              <w:rPr>
                <w:rFonts w:hint="default" w:ascii="Times New Roman" w:hAnsi="Times New Roman" w:eastAsia="黑体" w:cs="Times New Roman"/>
                <w:color w:val="auto"/>
                <w:sz w:val="28"/>
                <w:szCs w:val="28"/>
              </w:rPr>
              <w:t>、排污许可证制度衔接</w:t>
            </w:r>
          </w:p>
          <w:p w14:paraId="3552F310">
            <w:pPr>
              <w:keepNext w:val="0"/>
              <w:keepLines w:val="0"/>
              <w:suppressLineNumbers w:val="0"/>
              <w:autoSpaceDE w:val="0"/>
              <w:autoSpaceDN w:val="0"/>
              <w:adjustRightInd w:val="0"/>
              <w:snapToGrid w:val="0"/>
              <w:spacing w:before="0" w:beforeAutospacing="0" w:after="0" w:afterAutospacing="0" w:line="500" w:lineRule="exact"/>
              <w:ind w:left="0" w:right="0"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应严格按照国家排污许可证改革的要求，推进排污及污染源“一证式”管理工作，并作为建设单位在生产运营期接受环境监管和环境保护部门实施监管的主要法律文书，单位依法申领排污许可证，按证排污，自证守法。环境保护部门基于企事业单位守法承诺，依法发放排污许可证，依证强化事中事后监管，对违法排污行为实施严厉打击。</w:t>
            </w:r>
          </w:p>
          <w:p w14:paraId="6EDBFC19">
            <w:pPr>
              <w:pStyle w:val="75"/>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kern w:val="0"/>
                <w:sz w:val="24"/>
              </w:rPr>
              <w:t>根据《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企业在设计，建设和运营过程中，需按照许可证管理要求进行监测和申报，自证守法；许可证内容发生变更应进行申报，重大变更应重新环评和申请许可证变更。环保管理部门对许可证内容进行定期和不定期的监督核查。</w:t>
            </w:r>
            <w:r>
              <w:rPr>
                <w:rFonts w:hint="eastAsia" w:cs="Times New Roman"/>
                <w:color w:val="auto"/>
                <w:kern w:val="0"/>
                <w:sz w:val="24"/>
                <w:lang w:eastAsia="zh-CN"/>
              </w:rPr>
              <w:t>根据《固定污染源排污许可分类管理名录》（</w:t>
            </w:r>
            <w:r>
              <w:rPr>
                <w:rFonts w:hint="eastAsia" w:cs="Times New Roman"/>
                <w:color w:val="auto"/>
                <w:kern w:val="0"/>
                <w:sz w:val="24"/>
                <w:lang w:val="en-US" w:eastAsia="zh-CN"/>
              </w:rPr>
              <w:t>2019年版</w:t>
            </w:r>
            <w:r>
              <w:rPr>
                <w:rFonts w:hint="eastAsia" w:cs="Times New Roman"/>
                <w:color w:val="auto"/>
                <w:kern w:val="0"/>
                <w:sz w:val="24"/>
                <w:lang w:eastAsia="zh-CN"/>
              </w:rPr>
              <w:t>），本项目属于简化管理。</w:t>
            </w:r>
          </w:p>
          <w:p w14:paraId="29E897C8">
            <w:pPr>
              <w:keepNext w:val="0"/>
              <w:keepLines w:val="0"/>
              <w:pageBreakBefore w:val="0"/>
              <w:suppressLineNumbers w:val="0"/>
              <w:kinsoku/>
              <w:wordWrap/>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cs="Times New Roman"/>
                <w:color w:val="auto"/>
              </w:rPr>
            </w:pPr>
          </w:p>
        </w:tc>
      </w:tr>
    </w:tbl>
    <w:p w14:paraId="651DEF8E">
      <w:pPr>
        <w:spacing w:line="360" w:lineRule="auto"/>
        <w:outlineLvl w:val="0"/>
        <w:rPr>
          <w:rFonts w:hint="default" w:ascii="Times New Roman" w:hAnsi="Times New Roman" w:eastAsia="黑体" w:cs="Times New Roman"/>
          <w:color w:val="auto"/>
          <w:sz w:val="30"/>
        </w:rPr>
        <w:sectPr>
          <w:footerReference r:id="rId6" w:type="default"/>
          <w:pgSz w:w="11905" w:h="16838"/>
          <w:pgMar w:top="1134" w:right="1134" w:bottom="1134" w:left="1134" w:header="851" w:footer="1077" w:gutter="0"/>
          <w:pgBorders>
            <w:top w:val="none" w:sz="0" w:space="0"/>
            <w:left w:val="none" w:sz="0" w:space="0"/>
            <w:bottom w:val="none" w:sz="0" w:space="0"/>
            <w:right w:val="none" w:sz="0" w:space="0"/>
          </w:pgBorders>
          <w:pgNumType w:fmt="decimal" w:start="1"/>
          <w:cols w:space="720" w:num="1"/>
          <w:rtlGutter w:val="0"/>
          <w:docGrid w:type="linesAndChars" w:linePitch="323" w:charSpace="0"/>
        </w:sectPr>
      </w:pPr>
    </w:p>
    <w:p w14:paraId="176F3C56">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rPr>
      </w:pPr>
      <w:bookmarkStart w:id="8" w:name="_Toc26115"/>
      <w:bookmarkStart w:id="9" w:name="_Toc1735"/>
      <w:r>
        <w:rPr>
          <w:rFonts w:hint="default" w:ascii="Times New Roman" w:hAnsi="Times New Roman" w:eastAsia="黑体" w:cs="Times New Roman"/>
          <w:snapToGrid w:val="0"/>
          <w:color w:val="auto"/>
          <w:sz w:val="30"/>
          <w:szCs w:val="30"/>
        </w:rPr>
        <w:t>二、建设项目工程分析</w:t>
      </w:r>
      <w:bookmarkEnd w:id="8"/>
      <w:bookmarkEnd w:id="9"/>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8933"/>
      </w:tblGrid>
      <w:tr w14:paraId="24AA7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467" w:type="pct"/>
            <w:noWrap w:val="0"/>
            <w:vAlign w:val="center"/>
          </w:tcPr>
          <w:p w14:paraId="42CB4F00">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建设内容</w:t>
            </w:r>
          </w:p>
        </w:tc>
        <w:tc>
          <w:tcPr>
            <w:tcW w:w="4532" w:type="pct"/>
            <w:noWrap w:val="0"/>
            <w:vAlign w:val="top"/>
          </w:tcPr>
          <w:p w14:paraId="5667B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lang w:val="en-US" w:eastAsia="zh-CN"/>
              </w:rPr>
              <w:t>一</w:t>
            </w:r>
            <w:r>
              <w:rPr>
                <w:rFonts w:hint="default" w:ascii="Times New Roman" w:hAnsi="Times New Roman" w:eastAsia="黑体" w:cs="Times New Roman"/>
                <w:b w:val="0"/>
                <w:bCs/>
                <w:color w:val="auto"/>
                <w:sz w:val="28"/>
                <w:szCs w:val="28"/>
              </w:rPr>
              <w:t>、项目概况</w:t>
            </w:r>
          </w:p>
          <w:p w14:paraId="4A0D6E31">
            <w:pPr>
              <w:pStyle w:val="75"/>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项目名称：</w:t>
            </w:r>
            <w:r>
              <w:rPr>
                <w:rFonts w:hint="eastAsia" w:cs="Times New Roman"/>
                <w:color w:val="auto"/>
                <w:sz w:val="24"/>
                <w:lang w:val="en-US" w:eastAsia="zh-CN"/>
              </w:rPr>
              <w:t>伊春市公用市政建筑安装有限公司改扩建项目</w:t>
            </w:r>
          </w:p>
          <w:p w14:paraId="35288DE5">
            <w:pPr>
              <w:pStyle w:val="75"/>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建设性质：</w:t>
            </w:r>
            <w:r>
              <w:rPr>
                <w:rFonts w:hint="eastAsia" w:cs="Times New Roman"/>
                <w:color w:val="auto"/>
                <w:lang w:val="en-US" w:eastAsia="zh-CN"/>
              </w:rPr>
              <w:t>改</w:t>
            </w:r>
            <w:r>
              <w:rPr>
                <w:rFonts w:hint="eastAsia" w:cs="Times New Roman"/>
                <w:color w:val="auto"/>
                <w:lang w:eastAsia="zh-CN"/>
              </w:rPr>
              <w:t>扩建</w:t>
            </w:r>
          </w:p>
          <w:p w14:paraId="30EB65DE">
            <w:pPr>
              <w:pStyle w:val="75"/>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建设单位：</w:t>
            </w:r>
            <w:r>
              <w:rPr>
                <w:rFonts w:hint="default" w:ascii="Times New Roman" w:hAnsi="Times New Roman" w:cs="Times New Roman"/>
                <w:color w:val="auto"/>
                <w:sz w:val="24"/>
                <w:lang w:val="en-US" w:eastAsia="zh-CN"/>
              </w:rPr>
              <w:t>伊春市公用市政建筑安装有限公司</w:t>
            </w:r>
          </w:p>
          <w:p w14:paraId="55541539">
            <w:pPr>
              <w:pStyle w:val="75"/>
              <w:keepNext w:val="0"/>
              <w:keepLines w:val="0"/>
              <w:suppressLineNumbers w:val="0"/>
              <w:spacing w:before="0" w:beforeAutospacing="0" w:after="0" w:afterAutospacing="0" w:line="480" w:lineRule="exact"/>
              <w:ind w:left="0" w:right="0"/>
              <w:rPr>
                <w:rFonts w:hint="eastAsia" w:ascii="Times New Roman" w:hAnsi="Times New Roman" w:eastAsia="宋体" w:cs="Times New Roman"/>
                <w:color w:val="auto"/>
                <w:lang w:eastAsia="zh-CN"/>
              </w:rPr>
            </w:pPr>
            <w:r>
              <w:rPr>
                <w:rFonts w:hint="eastAsia" w:cs="Times New Roman"/>
                <w:color w:val="auto"/>
                <w:lang w:eastAsia="zh-CN"/>
              </w:rPr>
              <w:t>建设地点：</w:t>
            </w:r>
            <w:r>
              <w:rPr>
                <w:rFonts w:hint="default" w:ascii="Times New Roman" w:hAnsi="Times New Roman" w:cs="Times New Roman"/>
                <w:color w:val="auto"/>
                <w:sz w:val="24"/>
              </w:rPr>
              <w:t>本项目位于</w:t>
            </w:r>
            <w:r>
              <w:rPr>
                <w:rFonts w:hint="eastAsia" w:eastAsia="宋体"/>
                <w:color w:val="auto"/>
                <w:sz w:val="24"/>
                <w:lang w:val="en-US" w:eastAsia="zh-CN"/>
              </w:rPr>
              <w:t>伊春市伊美区101号（原乌马河红旗贮木场），在现有厂区内进行扩建</w:t>
            </w:r>
            <w:r>
              <w:rPr>
                <w:rFonts w:hint="default" w:ascii="Times New Roman" w:hAnsi="Times New Roman" w:cs="Times New Roman"/>
                <w:color w:val="auto"/>
                <w:sz w:val="24"/>
              </w:rPr>
              <w:t>，</w:t>
            </w:r>
            <w:r>
              <w:rPr>
                <w:rFonts w:hint="eastAsia" w:cs="Times New Roman"/>
                <w:color w:val="auto"/>
                <w:sz w:val="24"/>
                <w:lang w:val="en-US" w:eastAsia="zh-CN"/>
              </w:rPr>
              <w:t>厂址东侧及南侧为空地，西侧为红旗村，北侧为路桥公司。</w:t>
            </w:r>
          </w:p>
          <w:p w14:paraId="3055091E">
            <w:pPr>
              <w:pStyle w:val="75"/>
              <w:keepNext w:val="0"/>
              <w:keepLines w:val="0"/>
              <w:suppressLineNumbers w:val="0"/>
              <w:spacing w:before="0" w:beforeAutospacing="0" w:after="0" w:afterAutospacing="0" w:line="480" w:lineRule="exact"/>
              <w:ind w:left="0" w:right="0"/>
              <w:rPr>
                <w:rFonts w:hint="default" w:ascii="Times New Roman" w:hAnsi="Times New Roman" w:cs="Times New Roman"/>
                <w:color w:val="auto"/>
              </w:rPr>
            </w:pPr>
            <w:r>
              <w:rPr>
                <w:rFonts w:hint="default" w:ascii="Times New Roman" w:hAnsi="Times New Roman" w:cs="Times New Roman"/>
                <w:color w:val="auto"/>
              </w:rPr>
              <w:t>占地面积：</w:t>
            </w:r>
            <w:r>
              <w:rPr>
                <w:rFonts w:hint="eastAsia" w:cs="Times New Roman"/>
                <w:color w:val="auto"/>
                <w:lang w:eastAsia="zh-CN"/>
              </w:rPr>
              <w:t>本项目现有</w:t>
            </w:r>
            <w:r>
              <w:rPr>
                <w:rFonts w:hint="eastAsia" w:cs="Times New Roman"/>
                <w:color w:val="auto"/>
                <w:lang w:val="en-US" w:eastAsia="zh-CN"/>
              </w:rPr>
              <w:t>占地面积37000m</w:t>
            </w:r>
            <w:r>
              <w:rPr>
                <w:rFonts w:hint="eastAsia" w:cs="Times New Roman"/>
                <w:color w:val="auto"/>
                <w:vertAlign w:val="superscript"/>
                <w:lang w:val="en-US" w:eastAsia="zh-CN"/>
              </w:rPr>
              <w:t>2</w:t>
            </w:r>
            <w:r>
              <w:rPr>
                <w:rFonts w:hint="eastAsia" w:cs="Times New Roman"/>
                <w:color w:val="auto"/>
                <w:lang w:eastAsia="zh-CN"/>
              </w:rPr>
              <w:t>，本次不新增占地面积。</w:t>
            </w:r>
          </w:p>
          <w:p w14:paraId="2959E811">
            <w:pPr>
              <w:pStyle w:val="75"/>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lang w:val="en-US" w:eastAsia="zh-CN"/>
              </w:rPr>
            </w:pPr>
            <w:r>
              <w:rPr>
                <w:rFonts w:hint="default" w:ascii="Times New Roman" w:hAnsi="Times New Roman" w:cs="Times New Roman"/>
                <w:color w:val="auto"/>
              </w:rPr>
              <w:t>工作制度与职工人数：</w:t>
            </w:r>
            <w:r>
              <w:rPr>
                <w:rFonts w:hint="eastAsia" w:cs="Times New Roman"/>
                <w:color w:val="auto"/>
                <w:lang w:val="en-US" w:eastAsia="zh-CN"/>
              </w:rPr>
              <w:t>本项目不新增劳动定员，</w:t>
            </w:r>
            <w:r>
              <w:rPr>
                <w:rFonts w:hint="eastAsia" w:cs="Times New Roman"/>
                <w:color w:val="auto"/>
                <w:lang w:eastAsia="zh-CN"/>
              </w:rPr>
              <w:t>本项目</w:t>
            </w:r>
            <w:r>
              <w:rPr>
                <w:rFonts w:hint="eastAsia" w:cs="Times New Roman"/>
                <w:color w:val="auto"/>
                <w:lang w:val="en-US" w:eastAsia="zh-CN"/>
              </w:rPr>
              <w:t>年运行8个月（3月中旬至11月中旬），240天，每天运行12小时，冬季不生产。</w:t>
            </w:r>
          </w:p>
          <w:p w14:paraId="0F095DCF">
            <w:pPr>
              <w:pStyle w:val="75"/>
              <w:keepNext w:val="0"/>
              <w:keepLines w:val="0"/>
              <w:suppressLineNumbers w:val="0"/>
              <w:spacing w:before="0" w:beforeAutospacing="0" w:after="0" w:afterAutospacing="0" w:line="480" w:lineRule="exact"/>
              <w:ind w:left="0" w:right="0"/>
              <w:rPr>
                <w:rFonts w:hint="default" w:eastAsia="宋体" w:cs="Times New Roman"/>
                <w:color w:val="0000FF"/>
                <w:sz w:val="24"/>
                <w:szCs w:val="24"/>
                <w:lang w:val="en-US" w:eastAsia="zh-CN"/>
              </w:rPr>
            </w:pPr>
            <w:r>
              <w:rPr>
                <w:rFonts w:hint="default" w:ascii="Times New Roman" w:hAnsi="Times New Roman" w:cs="Times New Roman"/>
                <w:color w:val="auto"/>
              </w:rPr>
              <w:t>建设</w:t>
            </w:r>
            <w:r>
              <w:rPr>
                <w:rFonts w:hint="eastAsia" w:cs="Times New Roman"/>
                <w:color w:val="auto"/>
                <w:lang w:val="en-US" w:eastAsia="zh-CN"/>
              </w:rPr>
              <w:t>内容及</w:t>
            </w:r>
            <w:r>
              <w:rPr>
                <w:rFonts w:hint="default" w:ascii="Times New Roman" w:hAnsi="Times New Roman" w:cs="Times New Roman"/>
                <w:color w:val="auto"/>
              </w:rPr>
              <w:t>规模：</w:t>
            </w:r>
            <w:bookmarkStart w:id="10" w:name="_Hlk39683166"/>
            <w:r>
              <w:rPr>
                <w:rFonts w:hint="eastAsia" w:cs="Times New Roman"/>
                <w:color w:val="auto"/>
                <w:lang w:val="en-US" w:eastAsia="zh-CN"/>
              </w:rPr>
              <w:t>因销售需要，通过对</w:t>
            </w:r>
            <w:r>
              <w:rPr>
                <w:rFonts w:hint="eastAsia" w:ascii="Times New Roman" w:hAnsi="Times New Roman" w:eastAsia="宋体" w:cs="Times New Roman"/>
                <w:color w:val="auto"/>
                <w:lang w:val="en-US" w:eastAsia="zh-CN"/>
              </w:rPr>
              <w:t>现有三一SLB2000C8沥青混凝土生产线增加生产时长</w:t>
            </w:r>
            <w:r>
              <w:rPr>
                <w:rFonts w:hint="eastAsia" w:cs="Times New Roman"/>
                <w:color w:val="auto"/>
                <w:vertAlign w:val="baseline"/>
                <w:lang w:val="en-US" w:eastAsia="zh-CN"/>
              </w:rPr>
              <w:t>，年运行时间增加至8个月，</w:t>
            </w:r>
            <w:r>
              <w:rPr>
                <w:rFonts w:hint="eastAsia" w:cs="Times New Roman"/>
                <w:color w:val="auto"/>
                <w:lang w:eastAsia="zh-CN"/>
              </w:rPr>
              <w:t>本次</w:t>
            </w:r>
            <w:r>
              <w:rPr>
                <w:rFonts w:hint="eastAsia" w:cs="Times New Roman"/>
                <w:color w:val="auto"/>
                <w:lang w:val="en-US" w:eastAsia="zh-CN"/>
              </w:rPr>
              <w:t>沥青混凝土</w:t>
            </w:r>
            <w:r>
              <w:rPr>
                <w:rFonts w:hint="eastAsia" w:cs="Times New Roman"/>
                <w:color w:val="auto"/>
                <w:lang w:eastAsia="zh-CN"/>
              </w:rPr>
              <w:t>新增产能</w:t>
            </w:r>
            <w:r>
              <w:rPr>
                <w:rFonts w:hint="eastAsia" w:cs="Times New Roman"/>
                <w:color w:val="auto"/>
                <w:lang w:val="en-US" w:eastAsia="zh-CN"/>
              </w:rPr>
              <w:t>为10800t</w:t>
            </w:r>
            <w:r>
              <w:rPr>
                <w:rFonts w:hint="eastAsia" w:cs="Times New Roman"/>
                <w:color w:val="auto"/>
                <w:vertAlign w:val="baseline"/>
                <w:lang w:val="en-US" w:eastAsia="zh-CN"/>
              </w:rPr>
              <w:t>/a。</w:t>
            </w:r>
            <w:bookmarkEnd w:id="10"/>
            <w:r>
              <w:rPr>
                <w:rFonts w:hint="eastAsia" w:cs="Times New Roman"/>
                <w:color w:val="0000FF"/>
                <w:sz w:val="24"/>
                <w:szCs w:val="24"/>
                <w:vertAlign w:val="baseline"/>
                <w:lang w:val="en-US" w:eastAsia="zh-CN"/>
              </w:rPr>
              <w:t>本项目施工内容仅包括</w:t>
            </w:r>
            <w:r>
              <w:rPr>
                <w:rFonts w:hint="eastAsia" w:ascii="Times New Roman" w:hAnsi="Times New Roman" w:eastAsia="宋体" w:cs="Times New Roman"/>
                <w:color w:val="0000FF"/>
                <w:sz w:val="24"/>
                <w:szCs w:val="24"/>
                <w:lang w:val="en-US" w:eastAsia="zh-CN"/>
              </w:rPr>
              <w:t>拆除坏旧电捕焦油器。</w:t>
            </w:r>
          </w:p>
          <w:p w14:paraId="2222E72E">
            <w:pPr>
              <w:pStyle w:val="75"/>
              <w:keepNext w:val="0"/>
              <w:keepLines w:val="0"/>
              <w:suppressLineNumbers w:val="0"/>
              <w:spacing w:before="0" w:beforeAutospacing="0" w:after="0" w:afterAutospacing="0" w:line="480" w:lineRule="exact"/>
              <w:ind w:left="0" w:right="0"/>
              <w:rPr>
                <w:rFonts w:hint="default" w:ascii="Times New Roman" w:hAnsi="Times New Roman" w:cs="Times New Roman"/>
                <w:color w:val="auto"/>
              </w:rPr>
            </w:pPr>
            <w:r>
              <w:rPr>
                <w:rFonts w:hint="default" w:ascii="Times New Roman" w:hAnsi="Times New Roman" w:cs="Times New Roman"/>
                <w:color w:val="auto"/>
              </w:rPr>
              <w:t>本工程建设的主要内容为主体工程、辅助工程、公用工程和环保工程等，工程基本构成见表2-1。</w:t>
            </w:r>
          </w:p>
          <w:p w14:paraId="7504C03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color w:val="auto"/>
              </w:rPr>
            </w:pPr>
            <w:r>
              <w:rPr>
                <w:rFonts w:hint="default" w:ascii="Times New Roman" w:hAnsi="Times New Roman" w:eastAsia="黑体" w:cs="Times New Roman"/>
                <w:b w:val="0"/>
                <w:bCs/>
                <w:color w:val="auto"/>
                <w:sz w:val="24"/>
              </w:rPr>
              <w:t>表</w:t>
            </w:r>
            <w:r>
              <w:rPr>
                <w:rFonts w:hint="default" w:ascii="Times New Roman" w:hAnsi="Times New Roman" w:eastAsia="黑体" w:cs="Times New Roman"/>
                <w:b w:val="0"/>
                <w:bCs/>
                <w:color w:val="auto"/>
                <w:sz w:val="24"/>
                <w:lang w:val="en-US" w:eastAsia="zh-CN"/>
              </w:rPr>
              <w:t>2-1</w:t>
            </w:r>
            <w:r>
              <w:rPr>
                <w:rFonts w:hint="default" w:ascii="Times New Roman" w:hAnsi="Times New Roman" w:eastAsia="黑体" w:cs="Times New Roman"/>
                <w:b w:val="0"/>
                <w:bCs/>
                <w:color w:val="auto"/>
                <w:sz w:val="24"/>
              </w:rPr>
              <w:t>本项目建设内容一览表</w:t>
            </w:r>
          </w:p>
          <w:tbl>
            <w:tblPr>
              <w:tblStyle w:val="35"/>
              <w:tblW w:w="4997" w:type="pct"/>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26"/>
              <w:gridCol w:w="1556"/>
              <w:gridCol w:w="4772"/>
              <w:gridCol w:w="1258"/>
            </w:tblGrid>
            <w:tr w14:paraId="2C09BB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0" w:hRule="atLeast"/>
              </w:trPr>
              <w:tc>
                <w:tcPr>
                  <w:tcW w:w="6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1186C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项目名称</w:t>
                  </w: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E46C5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建设情况</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121B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本工程建设内容</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F1E0F6">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备注</w:t>
                  </w:r>
                </w:p>
              </w:tc>
            </w:tr>
            <w:tr w14:paraId="79DAB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4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FB233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主体工程</w:t>
                  </w: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9FF9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lang w:eastAsia="zh-CN"/>
                    </w:rPr>
                  </w:pPr>
                  <w:r>
                    <w:rPr>
                      <w:rFonts w:hint="eastAsia" w:cs="Times New Roman"/>
                      <w:bCs/>
                      <w:color w:val="auto"/>
                      <w:kern w:val="0"/>
                      <w:sz w:val="21"/>
                      <w:szCs w:val="21"/>
                      <w:lang w:eastAsia="zh-CN"/>
                    </w:rPr>
                    <w:t>沥青混凝土生产线</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9A963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bCs/>
                      <w:color w:val="0000FF"/>
                      <w:kern w:val="0"/>
                      <w:sz w:val="21"/>
                      <w:szCs w:val="21"/>
                      <w:lang w:val="en-US" w:eastAsia="zh-CN" w:bidi="ar-SA"/>
                    </w:rPr>
                    <w:t>现有</w:t>
                  </w:r>
                  <w:r>
                    <w:rPr>
                      <w:rFonts w:hint="eastAsia" w:cs="Times New Roman"/>
                      <w:color w:val="auto"/>
                      <w:sz w:val="21"/>
                      <w:szCs w:val="21"/>
                      <w:lang w:val="en-US" w:eastAsia="zh-CN"/>
                    </w:rPr>
                    <w:t>1条沥青混凝土生产线，设备型号为三一SLB2000C8。</w:t>
                  </w:r>
                  <w:r>
                    <w:rPr>
                      <w:rFonts w:hint="eastAsia" w:cs="Times New Roman"/>
                      <w:color w:val="auto"/>
                      <w:lang w:eastAsia="zh-CN"/>
                    </w:rPr>
                    <w:t>本次</w:t>
                  </w:r>
                  <w:r>
                    <w:rPr>
                      <w:rFonts w:hint="eastAsia" w:cs="Times New Roman"/>
                      <w:color w:val="auto"/>
                      <w:lang w:val="en-US" w:eastAsia="zh-CN"/>
                    </w:rPr>
                    <w:t>沥青混凝土</w:t>
                  </w:r>
                  <w:r>
                    <w:rPr>
                      <w:rFonts w:hint="eastAsia" w:cs="Times New Roman"/>
                      <w:color w:val="auto"/>
                      <w:lang w:eastAsia="zh-CN"/>
                    </w:rPr>
                    <w:t>新增产能</w:t>
                  </w:r>
                  <w:r>
                    <w:rPr>
                      <w:rFonts w:hint="eastAsia" w:cs="Times New Roman"/>
                      <w:color w:val="auto"/>
                      <w:lang w:val="en-US" w:eastAsia="zh-CN"/>
                    </w:rPr>
                    <w:t>为10800t</w:t>
                  </w:r>
                  <w:r>
                    <w:rPr>
                      <w:rFonts w:hint="eastAsia" w:cs="Times New Roman"/>
                      <w:color w:val="auto"/>
                      <w:vertAlign w:val="baseline"/>
                      <w:lang w:val="en-US" w:eastAsia="zh-CN"/>
                    </w:rPr>
                    <w:t>/a</w:t>
                  </w:r>
                  <w:r>
                    <w:rPr>
                      <w:rFonts w:hint="eastAsia" w:cs="Times New Roman"/>
                      <w:color w:val="auto"/>
                      <w:sz w:val="21"/>
                      <w:szCs w:val="21"/>
                      <w:lang w:val="en-US" w:eastAsia="zh-CN"/>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10B410">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0000FF"/>
                      <w:vertAlign w:val="baseline"/>
                      <w:lang w:val="en-US" w:eastAsia="zh-CN"/>
                    </w:rPr>
                    <w:t>通过年运行时间增加至8个月</w:t>
                  </w:r>
                  <w:r>
                    <w:rPr>
                      <w:rFonts w:hint="eastAsia" w:cs="Times New Roman"/>
                      <w:color w:val="auto"/>
                      <w:sz w:val="21"/>
                      <w:szCs w:val="21"/>
                      <w:lang w:val="en-US" w:eastAsia="zh-CN"/>
                    </w:rPr>
                    <w:t>扩建</w:t>
                  </w:r>
                </w:p>
              </w:tc>
            </w:tr>
            <w:tr w14:paraId="102A9B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6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9C5877">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储运工程</w:t>
                  </w: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D044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lang w:val="en-US" w:eastAsia="zh-CN"/>
                    </w:rPr>
                  </w:pPr>
                  <w:r>
                    <w:rPr>
                      <w:rFonts w:hint="eastAsia" w:cs="Times New Roman"/>
                      <w:bCs/>
                      <w:color w:val="auto"/>
                      <w:kern w:val="0"/>
                      <w:sz w:val="21"/>
                      <w:szCs w:val="21"/>
                      <w:lang w:val="en-US" w:eastAsia="zh-CN"/>
                    </w:rPr>
                    <w:t>原料堆场</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2A8155">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val="en-US" w:eastAsia="zh-CN"/>
                    </w:rPr>
                  </w:pPr>
                  <w:r>
                    <w:rPr>
                      <w:rFonts w:hint="eastAsia" w:ascii="宋体" w:hAnsi="宋体" w:eastAsia="宋体" w:cs="宋体"/>
                      <w:color w:val="auto"/>
                      <w:spacing w:val="-8"/>
                      <w:sz w:val="21"/>
                      <w:szCs w:val="21"/>
                      <w:lang w:eastAsia="zh-CN"/>
                    </w:rPr>
                    <w:t>现有原料堆场，</w:t>
                  </w:r>
                  <w:r>
                    <w:rPr>
                      <w:rFonts w:hint="default" w:ascii="宋体" w:hAnsi="宋体" w:eastAsia="宋体" w:cs="宋体"/>
                      <w:color w:val="auto"/>
                      <w:spacing w:val="-8"/>
                      <w:sz w:val="21"/>
                      <w:szCs w:val="21"/>
                    </w:rPr>
                    <w:t>建</w:t>
                  </w:r>
                  <w:r>
                    <w:rPr>
                      <w:rFonts w:hint="default" w:ascii="宋体" w:hAnsi="宋体" w:eastAsia="宋体" w:cs="宋体"/>
                      <w:color w:val="auto"/>
                      <w:spacing w:val="-4"/>
                      <w:sz w:val="21"/>
                      <w:szCs w:val="21"/>
                    </w:rPr>
                    <w:t>筑面积</w:t>
                  </w:r>
                  <w:r>
                    <w:rPr>
                      <w:rFonts w:hint="eastAsia" w:ascii="Times New Roman" w:hAnsi="Times New Roman" w:eastAsia="宋体" w:cs="Times New Roman"/>
                      <w:color w:val="auto"/>
                      <w:spacing w:val="-4"/>
                      <w:sz w:val="21"/>
                      <w:szCs w:val="21"/>
                      <w:lang w:val="en-US" w:eastAsia="zh-CN"/>
                    </w:rPr>
                    <w:t>80</w:t>
                  </w:r>
                  <w:r>
                    <w:rPr>
                      <w:rFonts w:hint="default" w:ascii="Times New Roman" w:hAnsi="Times New Roman" w:eastAsia="Times New Roman" w:cs="Times New Roman"/>
                      <w:color w:val="auto"/>
                      <w:spacing w:val="-4"/>
                      <w:sz w:val="21"/>
                      <w:szCs w:val="21"/>
                    </w:rPr>
                    <w:t>00m</w:t>
                  </w:r>
                  <w:r>
                    <w:rPr>
                      <w:rFonts w:hint="default" w:ascii="Times New Roman" w:hAnsi="Times New Roman" w:eastAsia="Times New Roman" w:cs="Times New Roman"/>
                      <w:color w:val="auto"/>
                      <w:spacing w:val="-4"/>
                      <w:position w:val="7"/>
                      <w:sz w:val="14"/>
                      <w:szCs w:val="14"/>
                    </w:rPr>
                    <w:t>2</w:t>
                  </w:r>
                  <w:r>
                    <w:rPr>
                      <w:rFonts w:hint="default" w:ascii="宋体" w:hAnsi="宋体" w:eastAsia="宋体" w:cs="宋体"/>
                      <w:color w:val="auto"/>
                      <w:spacing w:val="-4"/>
                      <w:sz w:val="21"/>
                      <w:szCs w:val="21"/>
                    </w:rPr>
                    <w:t>，主要用于原料碎石存储，露天堆放，设置</w:t>
                  </w:r>
                  <w:r>
                    <w:rPr>
                      <w:rFonts w:hint="eastAsia" w:cs="宋体"/>
                      <w:color w:val="auto"/>
                      <w:spacing w:val="-4"/>
                      <w:sz w:val="21"/>
                      <w:szCs w:val="21"/>
                      <w:lang w:eastAsia="zh-CN"/>
                    </w:rPr>
                    <w:t>防风抑尘网</w:t>
                  </w:r>
                  <w:r>
                    <w:rPr>
                      <w:rFonts w:hint="default" w:ascii="宋体" w:hAnsi="宋体" w:eastAsia="宋体" w:cs="宋体"/>
                      <w:color w:val="auto"/>
                      <w:spacing w:val="-4"/>
                      <w:sz w:val="21"/>
                      <w:szCs w:val="21"/>
                    </w:rPr>
                    <w:t>，采</w:t>
                  </w:r>
                  <w:r>
                    <w:rPr>
                      <w:rFonts w:hint="default" w:ascii="宋体" w:hAnsi="宋体" w:eastAsia="宋体" w:cs="宋体"/>
                      <w:color w:val="auto"/>
                      <w:spacing w:val="-1"/>
                      <w:sz w:val="21"/>
                      <w:szCs w:val="21"/>
                    </w:rPr>
                    <w:t>用苫布遮</w:t>
                  </w:r>
                  <w:r>
                    <w:rPr>
                      <w:rFonts w:hint="default" w:ascii="宋体" w:hAnsi="宋体" w:eastAsia="宋体" w:cs="宋体"/>
                      <w:color w:val="auto"/>
                      <w:sz w:val="21"/>
                      <w:szCs w:val="21"/>
                    </w:rPr>
                    <w:t>挡。</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6506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auto"/>
                      <w:sz w:val="21"/>
                      <w:szCs w:val="21"/>
                      <w:lang w:eastAsia="zh-CN"/>
                    </w:rPr>
                  </w:pPr>
                  <w:r>
                    <w:rPr>
                      <w:rFonts w:hint="eastAsia" w:cs="Times New Roman"/>
                      <w:color w:val="auto"/>
                      <w:sz w:val="21"/>
                      <w:szCs w:val="21"/>
                      <w:lang w:val="en-US" w:eastAsia="zh-CN"/>
                    </w:rPr>
                    <w:t>依托现有</w:t>
                  </w:r>
                </w:p>
              </w:tc>
            </w:tr>
            <w:tr w14:paraId="290670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950FC0">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B761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矿粉筒仓</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539968">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2"/>
                      <w:sz w:val="21"/>
                      <w:szCs w:val="21"/>
                      <w:lang w:val="en-US" w:eastAsia="zh-CN" w:bidi="ar-SA"/>
                    </w:rPr>
                  </w:pPr>
                  <w:r>
                    <w:rPr>
                      <w:rFonts w:hint="eastAsia" w:ascii="Times New Roman" w:hAnsi="Times New Roman" w:cs="Times New Roman"/>
                      <w:bCs/>
                      <w:color w:val="0000FF"/>
                      <w:kern w:val="0"/>
                      <w:sz w:val="21"/>
                      <w:szCs w:val="21"/>
                      <w:lang w:val="en-US" w:eastAsia="zh-CN" w:bidi="ar-SA"/>
                    </w:rPr>
                    <w:t>现有</w:t>
                  </w:r>
                  <w:r>
                    <w:rPr>
                      <w:rFonts w:hint="eastAsia" w:ascii="Times New Roman" w:hAnsi="Times New Roman" w:cs="Times New Roman"/>
                      <w:bCs/>
                      <w:color w:val="auto"/>
                      <w:kern w:val="0"/>
                      <w:sz w:val="21"/>
                      <w:szCs w:val="21"/>
                      <w:lang w:val="en-US" w:eastAsia="zh-CN" w:bidi="ar-SA"/>
                    </w:rPr>
                    <w:t>1座矿粉储罐，单座储罐容积为50m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4156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lang w:eastAsia="zh-CN"/>
                    </w:rPr>
                  </w:pPr>
                  <w:r>
                    <w:rPr>
                      <w:rFonts w:hint="eastAsia" w:cs="Times New Roman"/>
                      <w:color w:val="auto"/>
                      <w:sz w:val="21"/>
                      <w:szCs w:val="21"/>
                      <w:lang w:val="en-US" w:eastAsia="zh-CN"/>
                    </w:rPr>
                    <w:t>依托现有</w:t>
                  </w:r>
                </w:p>
              </w:tc>
            </w:tr>
            <w:tr w14:paraId="6D479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85DF79">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FC98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cs="Times New Roman"/>
                      <w:bCs/>
                      <w:color w:val="auto"/>
                      <w:kern w:val="0"/>
                      <w:sz w:val="21"/>
                      <w:szCs w:val="21"/>
                      <w:lang w:val="en-US" w:eastAsia="zh-CN"/>
                    </w:rPr>
                  </w:pPr>
                  <w:r>
                    <w:rPr>
                      <w:rFonts w:hint="eastAsia" w:cs="Times New Roman"/>
                      <w:bCs/>
                      <w:color w:val="auto"/>
                      <w:kern w:val="0"/>
                      <w:sz w:val="21"/>
                      <w:szCs w:val="21"/>
                      <w:lang w:val="en-US" w:eastAsia="zh-CN"/>
                    </w:rPr>
                    <w:t>沥青储罐</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414BBF">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0"/>
                      <w:sz w:val="21"/>
                      <w:szCs w:val="21"/>
                      <w:lang w:val="en-US" w:eastAsia="zh-CN" w:bidi="ar-SA"/>
                    </w:rPr>
                  </w:pPr>
                  <w:r>
                    <w:rPr>
                      <w:rFonts w:hint="eastAsia" w:ascii="Times New Roman" w:hAnsi="Times New Roman" w:cs="Times New Roman"/>
                      <w:bCs/>
                      <w:color w:val="0000FF"/>
                      <w:kern w:val="0"/>
                      <w:sz w:val="21"/>
                      <w:szCs w:val="21"/>
                      <w:lang w:val="en-US" w:eastAsia="zh-CN" w:bidi="ar-SA"/>
                    </w:rPr>
                    <w:t>现有</w:t>
                  </w:r>
                  <w:r>
                    <w:rPr>
                      <w:rFonts w:hint="eastAsia" w:ascii="Times New Roman" w:hAnsi="Times New Roman" w:cs="Times New Roman"/>
                      <w:bCs/>
                      <w:color w:val="auto"/>
                      <w:kern w:val="0"/>
                      <w:sz w:val="21"/>
                      <w:szCs w:val="21"/>
                      <w:lang w:val="en-US" w:eastAsia="zh-CN" w:bidi="ar-SA"/>
                    </w:rPr>
                    <w:t>2座沥青储罐，单座储罐容积为50m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，储罐四周设置围堰</w:t>
                  </w:r>
                  <w:r>
                    <w:rPr>
                      <w:rFonts w:hint="eastAsia" w:ascii="Times New Roman" w:hAnsi="Times New Roman" w:cs="Times New Roman"/>
                      <w:bCs/>
                      <w:color w:val="auto"/>
                      <w:kern w:val="0"/>
                      <w:sz w:val="21"/>
                      <w:szCs w:val="21"/>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4948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依托现有</w:t>
                  </w:r>
                </w:p>
              </w:tc>
            </w:tr>
            <w:tr w14:paraId="21948E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F6120E">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EB52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重油储罐</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6B76A2">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Times New Roman" w:hAnsi="Times New Roman" w:cs="Times New Roman"/>
                      <w:bCs/>
                      <w:color w:val="auto"/>
                      <w:kern w:val="0"/>
                      <w:sz w:val="21"/>
                      <w:szCs w:val="21"/>
                      <w:lang w:val="en-US" w:eastAsia="zh-CN" w:bidi="ar-SA"/>
                    </w:rPr>
                  </w:pPr>
                  <w:r>
                    <w:rPr>
                      <w:rFonts w:hint="eastAsia" w:ascii="Times New Roman" w:hAnsi="Times New Roman" w:cs="Times New Roman"/>
                      <w:bCs/>
                      <w:color w:val="0000FF"/>
                      <w:kern w:val="0"/>
                      <w:sz w:val="21"/>
                      <w:szCs w:val="21"/>
                      <w:lang w:val="en-US" w:eastAsia="zh-CN" w:bidi="ar-SA"/>
                    </w:rPr>
                    <w:t>现有</w:t>
                  </w:r>
                  <w:r>
                    <w:rPr>
                      <w:rFonts w:hint="eastAsia" w:ascii="Times New Roman" w:hAnsi="Times New Roman" w:cs="Times New Roman"/>
                      <w:bCs/>
                      <w:color w:val="auto"/>
                      <w:kern w:val="0"/>
                      <w:sz w:val="21"/>
                      <w:szCs w:val="21"/>
                      <w:lang w:val="en-US" w:eastAsia="zh-CN" w:bidi="ar-SA"/>
                    </w:rPr>
                    <w:t>1座重油储罐，单座储罐容积为30m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，储罐四周设置围堰</w:t>
                  </w:r>
                  <w:r>
                    <w:rPr>
                      <w:rFonts w:hint="eastAsia" w:ascii="Times New Roman" w:hAnsi="Times New Roman" w:cs="Times New Roman"/>
                      <w:bCs/>
                      <w:color w:val="auto"/>
                      <w:kern w:val="0"/>
                      <w:sz w:val="21"/>
                      <w:szCs w:val="21"/>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6202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依托现有</w:t>
                  </w:r>
                </w:p>
              </w:tc>
            </w:tr>
            <w:tr w14:paraId="17AF58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76173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DDCC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柴油储罐</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9A448">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0"/>
                      <w:sz w:val="21"/>
                      <w:szCs w:val="21"/>
                      <w:vertAlign w:val="baseline"/>
                      <w:lang w:val="en-US" w:eastAsia="zh-CN" w:bidi="ar-SA"/>
                    </w:rPr>
                  </w:pPr>
                  <w:r>
                    <w:rPr>
                      <w:rFonts w:hint="eastAsia" w:ascii="Times New Roman" w:hAnsi="Times New Roman" w:cs="Times New Roman"/>
                      <w:bCs/>
                      <w:color w:val="0000FF"/>
                      <w:kern w:val="0"/>
                      <w:sz w:val="21"/>
                      <w:szCs w:val="21"/>
                      <w:lang w:val="en-US" w:eastAsia="zh-CN" w:bidi="ar-SA"/>
                    </w:rPr>
                    <w:t>现有</w:t>
                  </w:r>
                  <w:r>
                    <w:rPr>
                      <w:rFonts w:hint="eastAsia" w:ascii="Times New Roman" w:hAnsi="Times New Roman" w:cs="Times New Roman"/>
                      <w:bCs/>
                      <w:color w:val="auto"/>
                      <w:kern w:val="0"/>
                      <w:sz w:val="21"/>
                      <w:szCs w:val="21"/>
                      <w:lang w:val="en-US" w:eastAsia="zh-CN" w:bidi="ar-SA"/>
                    </w:rPr>
                    <w:t>1座柴油储罐，容积为10m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，为地上储罐，储罐四周设置围堰。</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7233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color w:val="auto"/>
                      <w:sz w:val="21"/>
                      <w:szCs w:val="21"/>
                      <w:lang w:val="en-US" w:eastAsia="zh-CN"/>
                    </w:rPr>
                  </w:pPr>
                  <w:r>
                    <w:rPr>
                      <w:rFonts w:hint="eastAsia" w:cs="Times New Roman"/>
                      <w:color w:val="auto"/>
                      <w:sz w:val="21"/>
                      <w:szCs w:val="21"/>
                      <w:lang w:val="en-US" w:eastAsia="zh-CN"/>
                    </w:rPr>
                    <w:t>依托现有</w:t>
                  </w:r>
                </w:p>
              </w:tc>
            </w:tr>
            <w:tr w14:paraId="27AB2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8BA9E80">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公用工程</w:t>
                  </w: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615DE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cs="Times New Roman"/>
                      <w:color w:val="auto"/>
                      <w:sz w:val="21"/>
                      <w:szCs w:val="21"/>
                      <w:lang w:eastAsia="zh-CN"/>
                    </w:rPr>
                    <w:t>供</w:t>
                  </w:r>
                  <w:r>
                    <w:rPr>
                      <w:rFonts w:hint="default" w:ascii="Times New Roman" w:hAnsi="Times New Roman" w:cs="Times New Roman"/>
                      <w:color w:val="auto"/>
                      <w:sz w:val="21"/>
                      <w:szCs w:val="21"/>
                    </w:rPr>
                    <w:t>水</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C5C8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本项目</w:t>
                  </w:r>
                  <w:r>
                    <w:rPr>
                      <w:rFonts w:hint="eastAsia" w:cs="Times New Roman"/>
                      <w:color w:val="auto"/>
                      <w:sz w:val="21"/>
                      <w:szCs w:val="21"/>
                      <w:highlight w:val="none"/>
                      <w:lang w:val="en-US" w:eastAsia="zh-CN"/>
                    </w:rPr>
                    <w:t>供水采用自打井提供。</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641AB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w:t>
                  </w:r>
                </w:p>
              </w:tc>
            </w:tr>
            <w:tr w14:paraId="4A0F0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39B7F3">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FDA89F">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排水</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960176">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本项目不新增生活污水，现有生活污水排入防渗化粪池，定期抽排至市政污水管网。</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2C9249">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依托</w:t>
                  </w:r>
                </w:p>
              </w:tc>
            </w:tr>
            <w:tr w14:paraId="1527A5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0319C6">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37480D">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供</w:t>
                  </w:r>
                  <w:r>
                    <w:rPr>
                      <w:rFonts w:hint="default" w:ascii="Times New Roman" w:hAnsi="Times New Roman" w:cs="Times New Roman"/>
                      <w:color w:val="auto"/>
                      <w:sz w:val="21"/>
                      <w:szCs w:val="21"/>
                      <w:lang w:eastAsia="zh-CN"/>
                    </w:rPr>
                    <w:t>热</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C1BB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本项目冬季不生产，不需要供暖。</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4E8E62">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依托</w:t>
                  </w:r>
                </w:p>
              </w:tc>
            </w:tr>
            <w:tr w14:paraId="0C1B8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E12C64">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A0D7A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供电</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F2A4F9">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本项目采用市政供电</w:t>
                  </w:r>
                  <w:r>
                    <w:rPr>
                      <w:rFonts w:hint="default" w:ascii="Times New Roman" w:hAnsi="Times New Roman" w:cs="Times New Roman"/>
                      <w:color w:val="auto"/>
                      <w:sz w:val="21"/>
                      <w:szCs w:val="21"/>
                      <w:lang w:eastAsia="zh-CN"/>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12754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依托</w:t>
                  </w:r>
                </w:p>
              </w:tc>
            </w:tr>
            <w:tr w14:paraId="102D5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 w:hRule="atLeast"/>
              </w:trPr>
              <w:tc>
                <w:tcPr>
                  <w:tcW w:w="6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751324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环保工程</w:t>
                  </w: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34BE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废气</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343C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eastAsia="宋体"/>
                      <w:color w:val="auto"/>
                      <w:szCs w:val="21"/>
                    </w:rPr>
                  </w:pPr>
                  <w:r>
                    <w:rPr>
                      <w:rFonts w:hint="eastAsia" w:eastAsia="宋体"/>
                      <w:color w:val="auto"/>
                      <w:szCs w:val="21"/>
                    </w:rPr>
                    <w:t>烘干滚筒及其配套燃烧器、振动筛、提升机、搅拌机等废气：沥青骨料</w:t>
                  </w:r>
                  <w:r>
                    <w:rPr>
                      <w:rFonts w:hint="default" w:eastAsia="宋体"/>
                      <w:color w:val="auto"/>
                      <w:szCs w:val="21"/>
                    </w:rPr>
                    <w:t>烘干废气</w:t>
                  </w:r>
                  <w:r>
                    <w:rPr>
                      <w:rFonts w:hint="eastAsia" w:eastAsia="宋体"/>
                      <w:color w:val="auto"/>
                      <w:szCs w:val="21"/>
                    </w:rPr>
                    <w:t>设置</w:t>
                  </w:r>
                  <w:r>
                    <w:rPr>
                      <w:rFonts w:hint="eastAsia" w:eastAsia="宋体"/>
                      <w:color w:val="auto"/>
                      <w:szCs w:val="21"/>
                      <w:lang w:eastAsia="zh-CN"/>
                    </w:rPr>
                    <w:t>重力沉降</w:t>
                  </w:r>
                  <w:r>
                    <w:rPr>
                      <w:rFonts w:hint="eastAsia" w:eastAsia="宋体"/>
                      <w:color w:val="auto"/>
                      <w:szCs w:val="21"/>
                      <w:lang w:val="en-US" w:eastAsia="zh-CN"/>
                    </w:rPr>
                    <w:t>+</w:t>
                  </w:r>
                  <w:r>
                    <w:rPr>
                      <w:rFonts w:hint="default" w:eastAsia="宋体"/>
                      <w:color w:val="auto"/>
                      <w:szCs w:val="21"/>
                    </w:rPr>
                    <w:t>布袋式除尘器</w:t>
                  </w:r>
                  <w:r>
                    <w:rPr>
                      <w:rFonts w:hint="eastAsia" w:eastAsia="宋体"/>
                      <w:color w:val="auto"/>
                      <w:szCs w:val="21"/>
                    </w:rPr>
                    <w:t>（去除效率99%）</w:t>
                  </w:r>
                  <w:r>
                    <w:rPr>
                      <w:rFonts w:hint="eastAsia" w:eastAsia="宋体"/>
                      <w:color w:val="auto"/>
                      <w:szCs w:val="21"/>
                      <w:lang w:eastAsia="zh-CN"/>
                    </w:rPr>
                    <w:t>二级除尘</w:t>
                  </w:r>
                  <w:r>
                    <w:rPr>
                      <w:rFonts w:hint="eastAsia" w:eastAsia="宋体"/>
                      <w:color w:val="auto"/>
                      <w:szCs w:val="21"/>
                    </w:rPr>
                    <w:t>，</w:t>
                  </w:r>
                  <w:r>
                    <w:rPr>
                      <w:rFonts w:hint="eastAsia"/>
                      <w:color w:val="auto"/>
                      <w:szCs w:val="21"/>
                      <w:lang w:eastAsia="zh-CN"/>
                    </w:rPr>
                    <w:t>燃烧器配套低氮燃烧，上述废气</w:t>
                  </w:r>
                  <w:r>
                    <w:rPr>
                      <w:rFonts w:hint="eastAsia" w:eastAsia="宋体"/>
                      <w:color w:val="auto"/>
                      <w:szCs w:val="21"/>
                    </w:rPr>
                    <w:t>处理后经</w:t>
                  </w:r>
                  <w:r>
                    <w:rPr>
                      <w:rFonts w:hint="default" w:eastAsia="宋体"/>
                      <w:color w:val="auto"/>
                      <w:szCs w:val="21"/>
                    </w:rPr>
                    <w:t>15</w:t>
                  </w:r>
                  <w:r>
                    <w:rPr>
                      <w:rFonts w:hint="eastAsia" w:eastAsia="宋体"/>
                      <w:color w:val="auto"/>
                      <w:szCs w:val="21"/>
                    </w:rPr>
                    <w:t>m排气筒（</w:t>
                  </w:r>
                  <w:r>
                    <w:rPr>
                      <w:rFonts w:hint="eastAsia" w:eastAsia="宋体"/>
                      <w:color w:val="auto"/>
                      <w:szCs w:val="21"/>
                      <w:lang w:val="en-US" w:eastAsia="zh-CN"/>
                    </w:rPr>
                    <w:t>P2</w:t>
                  </w:r>
                  <w:r>
                    <w:rPr>
                      <w:rFonts w:hint="eastAsia" w:eastAsia="宋体"/>
                      <w:color w:val="auto"/>
                      <w:szCs w:val="21"/>
                    </w:rPr>
                    <w:t>）外排。</w:t>
                  </w:r>
                </w:p>
                <w:p w14:paraId="085057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eastAsia="宋体"/>
                      <w:color w:val="auto"/>
                      <w:szCs w:val="21"/>
                    </w:rPr>
                  </w:pPr>
                  <w:r>
                    <w:rPr>
                      <w:rFonts w:hint="eastAsia" w:eastAsia="宋体"/>
                      <w:color w:val="auto"/>
                      <w:szCs w:val="21"/>
                    </w:rPr>
                    <w:t>导热油炉燃烧废气：</w:t>
                  </w:r>
                  <w:r>
                    <w:rPr>
                      <w:rFonts w:hint="default" w:eastAsia="宋体"/>
                      <w:color w:val="auto"/>
                      <w:szCs w:val="21"/>
                    </w:rPr>
                    <w:t>导热油炉烟气</w:t>
                  </w:r>
                  <w:r>
                    <w:rPr>
                      <w:rFonts w:hint="eastAsia" w:eastAsia="宋体"/>
                      <w:color w:val="auto"/>
                      <w:szCs w:val="21"/>
                    </w:rPr>
                    <w:t>通过8m高排气筒(P</w:t>
                  </w:r>
                  <w:r>
                    <w:rPr>
                      <w:rFonts w:hint="eastAsia" w:eastAsia="宋体"/>
                      <w:color w:val="auto"/>
                      <w:szCs w:val="21"/>
                      <w:lang w:val="en-US" w:eastAsia="zh-CN"/>
                    </w:rPr>
                    <w:t>1</w:t>
                  </w:r>
                  <w:r>
                    <w:rPr>
                      <w:rFonts w:hint="eastAsia" w:eastAsia="宋体"/>
                      <w:color w:val="auto"/>
                      <w:szCs w:val="21"/>
                    </w:rPr>
                    <w:t>)直排。沥青烟气：经集气收集后将沥青烟气导入烘干系统进行燃烧（去除效率90%），燃烧后与烘干废气一起进入除尘系统，并在除尘系统末端设置一套活性炭吸附（去除效率80%），吸附未燃烧完全的沥青烟气，后通过15m高排气筒（P</w:t>
                  </w:r>
                  <w:r>
                    <w:rPr>
                      <w:rFonts w:hint="eastAsia" w:eastAsia="宋体"/>
                      <w:color w:val="auto"/>
                      <w:szCs w:val="21"/>
                      <w:lang w:val="en-US" w:eastAsia="zh-CN"/>
                    </w:rPr>
                    <w:t>2</w:t>
                  </w:r>
                  <w:r>
                    <w:rPr>
                      <w:rFonts w:hint="eastAsia" w:eastAsia="宋体"/>
                      <w:color w:val="auto"/>
                      <w:szCs w:val="21"/>
                    </w:rPr>
                    <w:t>）高空排放</w:t>
                  </w:r>
                  <w:r>
                    <w:rPr>
                      <w:rFonts w:hint="eastAsia"/>
                      <w:color w:val="auto"/>
                      <w:szCs w:val="21"/>
                      <w:lang w:eastAsia="zh-CN"/>
                    </w:rPr>
                    <w:t>，</w:t>
                  </w:r>
                  <w:r>
                    <w:rPr>
                      <w:rFonts w:hint="eastAsia"/>
                      <w:color w:val="auto"/>
                      <w:szCs w:val="21"/>
                      <w:lang w:val="en-US" w:eastAsia="zh-CN"/>
                    </w:rPr>
                    <w:t>沥青储罐设置集气罩，经集气后进入沥青烟处理系统</w:t>
                  </w:r>
                  <w:r>
                    <w:rPr>
                      <w:rFonts w:hint="eastAsia" w:eastAsia="宋体"/>
                      <w:color w:val="auto"/>
                      <w:szCs w:val="21"/>
                    </w:rPr>
                    <w:t>。</w:t>
                  </w:r>
                </w:p>
                <w:p w14:paraId="0B6ACC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Times New Roman" w:hAnsi="Times New Roman" w:eastAsia="宋体" w:cs="Times New Roman"/>
                      <w:color w:val="auto"/>
                      <w:szCs w:val="21"/>
                      <w:lang w:eastAsia="zh-CN"/>
                    </w:rPr>
                  </w:pPr>
                  <w:r>
                    <w:rPr>
                      <w:rFonts w:hint="eastAsia" w:eastAsia="宋体"/>
                      <w:color w:val="auto"/>
                      <w:szCs w:val="21"/>
                    </w:rPr>
                    <w:t>无组织粉尘：骨料堆场在</w:t>
                  </w:r>
                  <w:r>
                    <w:rPr>
                      <w:rFonts w:hint="default" w:eastAsia="宋体"/>
                      <w:color w:val="auto"/>
                      <w:szCs w:val="21"/>
                    </w:rPr>
                    <w:t>装卸过程中注意保持湿度、注意洒水降尘；碎石堆场加盖</w:t>
                  </w:r>
                  <w:r>
                    <w:rPr>
                      <w:rFonts w:hint="eastAsia" w:eastAsia="宋体"/>
                      <w:color w:val="auto"/>
                      <w:szCs w:val="21"/>
                    </w:rPr>
                    <w:t>苫</w:t>
                  </w:r>
                  <w:r>
                    <w:rPr>
                      <w:rFonts w:hint="default" w:eastAsia="宋体"/>
                      <w:color w:val="auto"/>
                      <w:szCs w:val="21"/>
                    </w:rPr>
                    <w:t>布，保持湿度，定期洒水降尘</w:t>
                  </w:r>
                  <w:r>
                    <w:rPr>
                      <w:rFonts w:hint="eastAsia" w:eastAsia="宋体"/>
                      <w:color w:val="auto"/>
                      <w:szCs w:val="21"/>
                    </w:rPr>
                    <w:t>；</w:t>
                  </w:r>
                  <w:r>
                    <w:rPr>
                      <w:rFonts w:hint="default" w:ascii="Times New Roman" w:hAnsi="Times New Roman" w:eastAsia="宋体" w:cs="Times New Roman"/>
                      <w:color w:val="auto"/>
                      <w:szCs w:val="21"/>
                    </w:rPr>
                    <w:t>厂区道路采用混凝土硬化处理，定期喷淋洒水</w:t>
                  </w:r>
                  <w:r>
                    <w:rPr>
                      <w:rFonts w:hint="eastAsia" w:ascii="Times New Roman" w:hAnsi="Times New Roman" w:eastAsia="宋体" w:cs="Times New Roman"/>
                      <w:color w:val="auto"/>
                      <w:szCs w:val="21"/>
                      <w:lang w:eastAsia="zh-CN"/>
                    </w:rPr>
                    <w:t>。</w:t>
                  </w:r>
                </w:p>
                <w:p w14:paraId="402185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eastAsia="宋体"/>
                      <w:color w:val="auto"/>
                      <w:lang w:val="en-US" w:eastAsia="zh-CN"/>
                    </w:rPr>
                  </w:pPr>
                  <w:r>
                    <w:rPr>
                      <w:rFonts w:hint="eastAsia" w:ascii="Times New Roman" w:hAnsi="Times New Roman" w:eastAsia="宋体" w:cs="Times New Roman"/>
                      <w:color w:val="auto"/>
                      <w:szCs w:val="21"/>
                    </w:rPr>
                    <w:t>矿粉罐</w:t>
                  </w:r>
                  <w:r>
                    <w:rPr>
                      <w:rFonts w:hint="eastAsia" w:ascii="Times New Roman" w:hAnsi="Times New Roman" w:eastAsia="宋体" w:cs="Times New Roman"/>
                      <w:color w:val="auto"/>
                      <w:szCs w:val="21"/>
                      <w:lang w:eastAsia="zh-CN"/>
                    </w:rPr>
                    <w:t>仓顶设置</w:t>
                  </w:r>
                  <w:r>
                    <w:rPr>
                      <w:rFonts w:hint="eastAsia" w:cs="Times New Roman"/>
                      <w:color w:val="auto"/>
                      <w:szCs w:val="21"/>
                      <w:lang w:val="en-US" w:eastAsia="zh-CN"/>
                    </w:rPr>
                    <w:t>布袋</w:t>
                  </w:r>
                  <w:r>
                    <w:rPr>
                      <w:rFonts w:hint="eastAsia" w:ascii="Times New Roman" w:hAnsi="Times New Roman" w:eastAsia="宋体" w:cs="Times New Roman"/>
                      <w:color w:val="auto"/>
                      <w:szCs w:val="21"/>
                      <w:lang w:eastAsia="zh-CN"/>
                    </w:rPr>
                    <w:t>除尘器。</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EFB8BD">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改建</w:t>
                  </w:r>
                  <w:r>
                    <w:rPr>
                      <w:rFonts w:hint="eastAsia" w:ascii="Times New Roman" w:hAnsi="Times New Roman" w:eastAsia="宋体" w:cs="Times New Roman"/>
                      <w:color w:val="0000FF"/>
                      <w:sz w:val="21"/>
                      <w:szCs w:val="21"/>
                      <w:lang w:val="en-US" w:eastAsia="zh-CN"/>
                    </w:rPr>
                    <w:t>（拆除坏旧电捕焦油器）</w:t>
                  </w:r>
                </w:p>
              </w:tc>
            </w:tr>
            <w:tr w14:paraId="0924C6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B6E0E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94642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废水</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6DDE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eastAsia="zh-CN"/>
                    </w:rPr>
                    <w:t>本项目</w:t>
                  </w:r>
                  <w:r>
                    <w:rPr>
                      <w:rFonts w:hint="eastAsia" w:cs="Times New Roman"/>
                      <w:color w:val="auto"/>
                      <w:sz w:val="21"/>
                      <w:szCs w:val="21"/>
                      <w:highlight w:val="none"/>
                      <w:lang w:eastAsia="zh-CN"/>
                    </w:rPr>
                    <w:t>不新增生活污水，无生产废水排放</w:t>
                  </w: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厂区</w:t>
                  </w:r>
                  <w:r>
                    <w:rPr>
                      <w:rFonts w:hint="eastAsia" w:ascii="Times New Roman" w:hAnsi="Times New Roman" w:cs="Times New Roman"/>
                      <w:bCs/>
                      <w:color w:val="0000FF"/>
                      <w:kern w:val="0"/>
                      <w:sz w:val="21"/>
                      <w:szCs w:val="21"/>
                      <w:lang w:val="en-US" w:eastAsia="zh-CN" w:bidi="ar-SA"/>
                    </w:rPr>
                    <w:t>现有</w:t>
                  </w:r>
                  <w:r>
                    <w:rPr>
                      <w:rFonts w:hint="eastAsia" w:cs="Times New Roman"/>
                      <w:color w:val="auto"/>
                      <w:sz w:val="21"/>
                      <w:szCs w:val="21"/>
                      <w:highlight w:val="none"/>
                      <w:lang w:val="en-US" w:eastAsia="zh-CN"/>
                    </w:rPr>
                    <w:t>250m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沉淀池1座。</w:t>
                  </w:r>
                  <w:r>
                    <w:rPr>
                      <w:rFonts w:hint="eastAsia" w:eastAsiaTheme="minorEastAsia"/>
                      <w:b w:val="0"/>
                      <w:bCs/>
                      <w:color w:val="auto"/>
                      <w:kern w:val="0"/>
                      <w:szCs w:val="21"/>
                      <w:lang w:val="en-US" w:eastAsia="zh-CN"/>
                    </w:rPr>
                    <w:t>初期雨水、生产废水经沉淀后回用不外排</w:t>
                  </w:r>
                  <w:r>
                    <w:rPr>
                      <w:rFonts w:hint="default"/>
                      <w:b w:val="0"/>
                      <w:bCs/>
                      <w:color w:val="auto"/>
                      <w:szCs w:val="21"/>
                    </w:rPr>
                    <w:t>。</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F3E6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依托现有</w:t>
                  </w:r>
                </w:p>
              </w:tc>
            </w:tr>
            <w:tr w14:paraId="57A0E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465F2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4C71B9">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噪声</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AA11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rPr>
                    <w:t>选用低噪声设备，安装基础减振措施，</w:t>
                  </w:r>
                  <w:r>
                    <w:rPr>
                      <w:rFonts w:hint="eastAsia" w:cs="Times New Roman"/>
                      <w:color w:val="auto"/>
                      <w:szCs w:val="21"/>
                      <w:lang w:val="en-US" w:eastAsia="zh-CN"/>
                    </w:rPr>
                    <w:t>厂房隔声，</w:t>
                  </w:r>
                  <w:r>
                    <w:rPr>
                      <w:rFonts w:hint="eastAsia" w:cs="Times New Roman"/>
                      <w:color w:val="auto"/>
                      <w:szCs w:val="21"/>
                      <w:lang w:eastAsia="zh-CN"/>
                    </w:rPr>
                    <w:t>厂界</w:t>
                  </w:r>
                  <w:r>
                    <w:rPr>
                      <w:rFonts w:hint="default" w:ascii="Times New Roman" w:hAnsi="Times New Roman" w:cs="Times New Roman"/>
                      <w:color w:val="auto"/>
                      <w:szCs w:val="21"/>
                    </w:rPr>
                    <w:t>达到《工业企业厂界环境噪声排放标准》（GB12348-2008）</w:t>
                  </w:r>
                  <w:r>
                    <w:rPr>
                      <w:rFonts w:hint="eastAsia" w:cs="Times New Roman"/>
                      <w:color w:val="auto"/>
                      <w:szCs w:val="21"/>
                      <w:lang w:val="en-US" w:eastAsia="zh-CN"/>
                    </w:rPr>
                    <w:t>2</w:t>
                  </w:r>
                  <w:r>
                    <w:rPr>
                      <w:rFonts w:hint="default" w:ascii="Times New Roman" w:hAnsi="Times New Roman" w:cs="Times New Roman"/>
                      <w:color w:val="auto"/>
                      <w:szCs w:val="21"/>
                    </w:rPr>
                    <w:t>类标准</w:t>
                  </w:r>
                  <w:r>
                    <w:rPr>
                      <w:rFonts w:hint="eastAsia" w:cs="Times New Roman"/>
                      <w:color w:val="auto"/>
                      <w:szCs w:val="21"/>
                      <w:lang w:val="en-US" w:eastAsia="zh-CN"/>
                    </w:rPr>
                    <w:t>要求</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C38D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依托现有</w:t>
                  </w:r>
                </w:p>
              </w:tc>
            </w:tr>
            <w:tr w14:paraId="0777E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0EF8E8">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83B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固废</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BED7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除尘器中收集的原料粉尘均回收利用。</w:t>
                  </w:r>
                </w:p>
                <w:p w14:paraId="219FC9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失效活性炭属于危险废物，暂存在厂内危废暂存间，委托由有资质的单位清运处置。</w:t>
                  </w:r>
                </w:p>
                <w:p w14:paraId="6E3E7F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本项目废导热油委托有资质单位处置。</w:t>
                  </w:r>
                </w:p>
                <w:p w14:paraId="5E08A5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bCs/>
                      <w:color w:val="auto"/>
                      <w:szCs w:val="21"/>
                      <w:highlight w:val="none"/>
                    </w:rPr>
                    <w:t>不合格石料作为路基材料外卖。</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F19C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依托现有</w:t>
                  </w:r>
                </w:p>
              </w:tc>
            </w:tr>
            <w:tr w14:paraId="016083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0C845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bookmarkStart w:id="11" w:name="_Toc7660"/>
                  <w:bookmarkStart w:id="12" w:name="_Toc4750"/>
                  <w:bookmarkStart w:id="13" w:name="_Toc25216"/>
                  <w:bookmarkStart w:id="14" w:name="_Toc25918"/>
                  <w:bookmarkStart w:id="15" w:name="_Toc44234540"/>
                </w:p>
              </w:tc>
              <w:tc>
                <w:tcPr>
                  <w:tcW w:w="8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E57B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地下防渗措施</w:t>
                  </w:r>
                </w:p>
              </w:tc>
              <w:tc>
                <w:tcPr>
                  <w:tcW w:w="27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A06C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color w:val="auto"/>
                      <w:szCs w:val="21"/>
                      <w:highlight w:val="none"/>
                    </w:rPr>
                  </w:pPr>
                  <w:r>
                    <w:rPr>
                      <w:rFonts w:hint="eastAsia" w:ascii="Times New Roman" w:hAnsi="Times New Roman" w:cs="Times New Roman"/>
                      <w:bCs/>
                      <w:color w:val="0000FF"/>
                      <w:kern w:val="0"/>
                      <w:sz w:val="21"/>
                      <w:szCs w:val="21"/>
                      <w:lang w:val="en-US" w:eastAsia="zh-CN" w:bidi="ar-SA"/>
                    </w:rPr>
                    <w:t>现有</w:t>
                  </w:r>
                  <w:r>
                    <w:rPr>
                      <w:rFonts w:hint="eastAsia"/>
                      <w:color w:val="auto"/>
                      <w:szCs w:val="21"/>
                      <w:highlight w:val="none"/>
                    </w:rPr>
                    <w:t>危废暂存间</w:t>
                  </w:r>
                  <w:r>
                    <w:rPr>
                      <w:rFonts w:hint="eastAsia"/>
                      <w:color w:val="auto"/>
                      <w:szCs w:val="21"/>
                      <w:highlight w:val="none"/>
                      <w:lang w:val="en-US" w:eastAsia="zh-CN"/>
                    </w:rPr>
                    <w:t>建筑面积为5m</w:t>
                  </w:r>
                  <w:r>
                    <w:rPr>
                      <w:rFonts w:hint="eastAsia"/>
                      <w:color w:val="auto"/>
                      <w:szCs w:val="21"/>
                      <w:highlight w:val="none"/>
                      <w:vertAlign w:val="superscript"/>
                      <w:lang w:val="en-US" w:eastAsia="zh-CN"/>
                    </w:rPr>
                    <w:t>2</w:t>
                  </w:r>
                  <w:r>
                    <w:rPr>
                      <w:rFonts w:hint="eastAsia"/>
                      <w:color w:val="auto"/>
                      <w:szCs w:val="21"/>
                      <w:highlight w:val="none"/>
                      <w:lang w:val="en-US" w:eastAsia="zh-CN"/>
                    </w:rPr>
                    <w:t>，设置在南侧库房内，需</w:t>
                  </w:r>
                  <w:r>
                    <w:rPr>
                      <w:rFonts w:hint="eastAsia"/>
                      <w:bCs/>
                      <w:color w:val="auto"/>
                      <w:kern w:val="0"/>
                      <w:szCs w:val="21"/>
                      <w:highlight w:val="none"/>
                    </w:rPr>
                    <w:t>设置标识、围堰，基础必须防渗，防渗层为2mm厚高密度</w:t>
                  </w:r>
                  <w:r>
                    <w:rPr>
                      <w:rFonts w:hint="eastAsia"/>
                      <w:bCs/>
                      <w:color w:val="auto"/>
                      <w:kern w:val="0"/>
                      <w:szCs w:val="21"/>
                      <w:highlight w:val="none"/>
                      <w:lang w:eastAsia="zh-CN"/>
                    </w:rPr>
                    <w:t>氯乙烯</w:t>
                  </w:r>
                  <w:r>
                    <w:rPr>
                      <w:rFonts w:hint="eastAsia"/>
                      <w:bCs/>
                      <w:color w:val="auto"/>
                      <w:kern w:val="0"/>
                      <w:szCs w:val="21"/>
                      <w:highlight w:val="none"/>
                    </w:rPr>
                    <w:t>防渗，渗透系数≤1×10</w:t>
                  </w:r>
                  <w:r>
                    <w:rPr>
                      <w:rFonts w:hint="eastAsia"/>
                      <w:bCs/>
                      <w:color w:val="auto"/>
                      <w:kern w:val="0"/>
                      <w:szCs w:val="21"/>
                      <w:highlight w:val="none"/>
                      <w:vertAlign w:val="superscript"/>
                    </w:rPr>
                    <w:t>-10</w:t>
                  </w:r>
                  <w:r>
                    <w:rPr>
                      <w:rFonts w:hint="eastAsia"/>
                      <w:bCs/>
                      <w:color w:val="auto"/>
                      <w:kern w:val="0"/>
                      <w:szCs w:val="21"/>
                      <w:highlight w:val="none"/>
                    </w:rPr>
                    <w:t>cm/s；</w:t>
                  </w:r>
                </w:p>
              </w:tc>
              <w:tc>
                <w:tcPr>
                  <w:tcW w:w="72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B1EF2D">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lang w:val="en-US" w:eastAsia="zh-CN"/>
                    </w:rPr>
                  </w:pPr>
                  <w:r>
                    <w:rPr>
                      <w:rFonts w:hint="eastAsia" w:cs="Times New Roman"/>
                      <w:color w:val="0000FF"/>
                      <w:sz w:val="21"/>
                      <w:szCs w:val="21"/>
                      <w:lang w:val="en-US" w:eastAsia="zh-CN"/>
                    </w:rPr>
                    <w:t>依托现有</w:t>
                  </w:r>
                </w:p>
              </w:tc>
            </w:tr>
          </w:tbl>
          <w:p w14:paraId="6705D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黑体" w:cs="Times New Roman"/>
                <w:b w:val="0"/>
                <w:bCs/>
                <w:color w:val="auto"/>
                <w:sz w:val="28"/>
                <w:szCs w:val="28"/>
                <w:lang w:val="en-US" w:eastAsia="zh-CN"/>
              </w:rPr>
            </w:pPr>
            <w:r>
              <w:rPr>
                <w:rFonts w:hint="eastAsia" w:ascii="Times New Roman" w:hAnsi="Times New Roman" w:eastAsia="黑体" w:cs="Times New Roman"/>
                <w:b w:val="0"/>
                <w:bCs/>
                <w:color w:val="auto"/>
                <w:sz w:val="28"/>
                <w:szCs w:val="28"/>
                <w:lang w:val="en-US" w:eastAsia="zh-CN"/>
              </w:rPr>
              <w:t>二、</w:t>
            </w:r>
            <w:r>
              <w:rPr>
                <w:rFonts w:hint="default" w:ascii="Times New Roman" w:hAnsi="Times New Roman" w:eastAsia="黑体" w:cs="Times New Roman"/>
                <w:b w:val="0"/>
                <w:bCs/>
                <w:color w:val="auto"/>
                <w:sz w:val="28"/>
                <w:szCs w:val="28"/>
                <w:lang w:val="en-US" w:eastAsia="zh-CN"/>
              </w:rPr>
              <w:t>主要原辅材料</w:t>
            </w:r>
            <w:bookmarkEnd w:id="11"/>
            <w:bookmarkEnd w:id="12"/>
            <w:bookmarkEnd w:id="13"/>
            <w:r>
              <w:rPr>
                <w:rFonts w:hint="eastAsia" w:ascii="Times New Roman" w:hAnsi="Times New Roman" w:eastAsia="黑体" w:cs="Times New Roman"/>
                <w:b w:val="0"/>
                <w:bCs/>
                <w:color w:val="auto"/>
                <w:sz w:val="28"/>
                <w:szCs w:val="28"/>
                <w:lang w:val="en-US" w:eastAsia="zh-CN"/>
              </w:rPr>
              <w:t>及产品</w:t>
            </w:r>
            <w:bookmarkEnd w:id="14"/>
          </w:p>
          <w:p w14:paraId="3936ED5B">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bookmarkStart w:id="16" w:name="_Toc5350"/>
            <w:bookmarkStart w:id="17" w:name="_Toc16535"/>
            <w:bookmarkStart w:id="18" w:name="_Toc7391"/>
            <w:bookmarkStart w:id="19" w:name="_Toc8267"/>
            <w:r>
              <w:rPr>
                <w:rFonts w:hint="default" w:cs="Times New Roman"/>
                <w:color w:val="auto"/>
                <w:lang w:val="en-US" w:eastAsia="zh-CN"/>
              </w:rPr>
              <w:t>本项目石料、矿粉、沥青均采用汽车运输方式，物料进厂后，矿粉经气力装置输送进入矿粉筒仓存储，石料卸载至堆场进行存储，沥青卸载至沥青储罐，进行存储。上料时，矿粉经气力输送装置送入搅拌仓，石料经皮带运输设备送至计量、烘干、筛分设备，再经过提升机送入搅拌仓，沥青经加热后，通过密封管道送至搅拌仓。本项目原辅料使用情况详见下表：</w:t>
            </w:r>
          </w:p>
          <w:p w14:paraId="320E6E3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imes New Roman" w:hAnsi="Times New Roman" w:eastAsia="黑体" w:cs="Times New Roman"/>
                <w:b w:val="0"/>
                <w:bCs/>
                <w:color w:val="auto"/>
                <w:sz w:val="24"/>
                <w:lang w:val="en-US" w:eastAsia="zh-CN"/>
              </w:rPr>
            </w:pPr>
            <w:r>
              <w:rPr>
                <w:rFonts w:hint="eastAsia" w:ascii="Times New Roman" w:hAnsi="Times New Roman" w:eastAsia="黑体" w:cs="Times New Roman"/>
                <w:b w:val="0"/>
                <w:bCs/>
                <w:color w:val="auto"/>
                <w:sz w:val="24"/>
                <w:lang w:eastAsia="zh-CN"/>
              </w:rPr>
              <w:t>表</w:t>
            </w:r>
            <w:r>
              <w:rPr>
                <w:rFonts w:hint="eastAsia" w:eastAsia="黑体" w:cs="Times New Roman"/>
                <w:b w:val="0"/>
                <w:bCs/>
                <w:color w:val="auto"/>
                <w:sz w:val="24"/>
                <w:lang w:val="en-US" w:eastAsia="zh-CN"/>
              </w:rPr>
              <w:t>2-2原辅材料一览表（单位t/a）</w:t>
            </w:r>
          </w:p>
          <w:tbl>
            <w:tblPr>
              <w:tblStyle w:val="3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38"/>
              <w:gridCol w:w="1728"/>
              <w:gridCol w:w="1371"/>
              <w:gridCol w:w="1634"/>
              <w:gridCol w:w="1933"/>
            </w:tblGrid>
            <w:tr w14:paraId="111F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72F9094F">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序号</w:t>
                  </w:r>
                </w:p>
              </w:tc>
              <w:tc>
                <w:tcPr>
                  <w:tcW w:w="768" w:type="pct"/>
                  <w:vAlign w:val="center"/>
                </w:tcPr>
                <w:p w14:paraId="0F6608AC">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原料名称</w:t>
                  </w:r>
                </w:p>
              </w:tc>
              <w:tc>
                <w:tcPr>
                  <w:tcW w:w="992" w:type="pct"/>
                  <w:vAlign w:val="center"/>
                </w:tcPr>
                <w:p w14:paraId="48CB6B05">
                  <w:pPr>
                    <w:keepNext w:val="0"/>
                    <w:keepLines w:val="0"/>
                    <w:suppressLineNumbers w:val="0"/>
                    <w:spacing w:before="0" w:beforeAutospacing="0" w:after="0" w:afterAutospacing="0"/>
                    <w:ind w:left="0" w:right="0"/>
                    <w:jc w:val="center"/>
                    <w:rPr>
                      <w:rFonts w:hint="eastAsia"/>
                      <w:color w:val="auto"/>
                      <w:sz w:val="18"/>
                      <w:szCs w:val="18"/>
                      <w:lang w:val="en-US" w:eastAsia="zh-CN"/>
                    </w:rPr>
                  </w:pPr>
                  <w:r>
                    <w:rPr>
                      <w:rFonts w:hint="eastAsia" w:cs="Times New Roman"/>
                      <w:color w:val="auto"/>
                      <w:sz w:val="18"/>
                      <w:szCs w:val="18"/>
                      <w:lang w:val="en-US" w:eastAsia="zh-CN"/>
                    </w:rPr>
                    <w:t>现有</w:t>
                  </w:r>
                  <w:r>
                    <w:rPr>
                      <w:rFonts w:hint="eastAsia"/>
                      <w:color w:val="auto"/>
                      <w:sz w:val="18"/>
                      <w:szCs w:val="18"/>
                      <w:lang w:val="en-US" w:eastAsia="zh-CN"/>
                    </w:rPr>
                    <w:t>用量</w:t>
                  </w:r>
                </w:p>
              </w:tc>
              <w:tc>
                <w:tcPr>
                  <w:tcW w:w="787" w:type="pct"/>
                  <w:vAlign w:val="center"/>
                </w:tcPr>
                <w:p w14:paraId="59E6DB69">
                  <w:pPr>
                    <w:keepNext w:val="0"/>
                    <w:keepLines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本次新增用量</w:t>
                  </w:r>
                </w:p>
              </w:tc>
              <w:tc>
                <w:tcPr>
                  <w:tcW w:w="938" w:type="pct"/>
                  <w:vAlign w:val="center"/>
                </w:tcPr>
                <w:p w14:paraId="63BFB5E6">
                  <w:pPr>
                    <w:keepNext w:val="0"/>
                    <w:keepLines w:val="0"/>
                    <w:suppressLineNumbers w:val="0"/>
                    <w:spacing w:before="0" w:beforeAutospacing="0" w:after="0" w:afterAutospacing="0"/>
                    <w:ind w:left="0" w:right="0"/>
                    <w:jc w:val="center"/>
                    <w:rPr>
                      <w:rFonts w:hint="eastAsia"/>
                      <w:color w:val="auto"/>
                      <w:sz w:val="18"/>
                      <w:szCs w:val="18"/>
                      <w:lang w:val="en-US" w:eastAsia="zh-CN"/>
                    </w:rPr>
                  </w:pPr>
                  <w:r>
                    <w:rPr>
                      <w:rFonts w:hint="eastAsia" w:cs="Times New Roman"/>
                      <w:color w:val="auto"/>
                      <w:sz w:val="18"/>
                      <w:szCs w:val="18"/>
                      <w:lang w:val="en-US" w:eastAsia="zh-CN"/>
                    </w:rPr>
                    <w:t>改扩建后总</w:t>
                  </w:r>
                  <w:r>
                    <w:rPr>
                      <w:rFonts w:hint="eastAsia"/>
                      <w:color w:val="auto"/>
                      <w:sz w:val="18"/>
                      <w:szCs w:val="18"/>
                      <w:lang w:val="en-US" w:eastAsia="zh-CN"/>
                    </w:rPr>
                    <w:t>用量</w:t>
                  </w:r>
                </w:p>
              </w:tc>
              <w:tc>
                <w:tcPr>
                  <w:tcW w:w="1110" w:type="pct"/>
                  <w:vAlign w:val="center"/>
                </w:tcPr>
                <w:p w14:paraId="778C78DB">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备注</w:t>
                  </w:r>
                </w:p>
              </w:tc>
            </w:tr>
            <w:tr w14:paraId="2325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3DB54E61">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1</w:t>
                  </w:r>
                </w:p>
              </w:tc>
              <w:tc>
                <w:tcPr>
                  <w:tcW w:w="768" w:type="pct"/>
                  <w:vAlign w:val="center"/>
                </w:tcPr>
                <w:p w14:paraId="747904C8">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沥青</w:t>
                  </w:r>
                </w:p>
              </w:tc>
              <w:tc>
                <w:tcPr>
                  <w:tcW w:w="992" w:type="pct"/>
                  <w:vAlign w:val="center"/>
                </w:tcPr>
                <w:p w14:paraId="7441D1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790</w:t>
                  </w:r>
                </w:p>
              </w:tc>
              <w:tc>
                <w:tcPr>
                  <w:tcW w:w="1371" w:type="dxa"/>
                  <w:vAlign w:val="center"/>
                </w:tcPr>
                <w:p w14:paraId="2144383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263.3</w:t>
                  </w:r>
                </w:p>
              </w:tc>
              <w:tc>
                <w:tcPr>
                  <w:tcW w:w="1634" w:type="dxa"/>
                  <w:vAlign w:val="center"/>
                </w:tcPr>
                <w:p w14:paraId="7F2387E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1053.3</w:t>
                  </w:r>
                </w:p>
              </w:tc>
              <w:tc>
                <w:tcPr>
                  <w:tcW w:w="1110" w:type="pct"/>
                  <w:vAlign w:val="center"/>
                </w:tcPr>
                <w:p w14:paraId="40F84D44">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外购，罐车运输</w:t>
                  </w:r>
                </w:p>
              </w:tc>
            </w:tr>
            <w:tr w14:paraId="7A02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 w:type="pct"/>
                  <w:vAlign w:val="center"/>
                </w:tcPr>
                <w:p w14:paraId="24E475E5">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2</w:t>
                  </w:r>
                </w:p>
              </w:tc>
              <w:tc>
                <w:tcPr>
                  <w:tcW w:w="768" w:type="pct"/>
                  <w:vAlign w:val="center"/>
                </w:tcPr>
                <w:p w14:paraId="65435AAE">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矿粉</w:t>
                  </w:r>
                </w:p>
              </w:tc>
              <w:tc>
                <w:tcPr>
                  <w:tcW w:w="992" w:type="pct"/>
                  <w:vAlign w:val="center"/>
                </w:tcPr>
                <w:p w14:paraId="311BB7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750</w:t>
                  </w:r>
                </w:p>
              </w:tc>
              <w:tc>
                <w:tcPr>
                  <w:tcW w:w="1371" w:type="dxa"/>
                  <w:vAlign w:val="center"/>
                </w:tcPr>
                <w:p w14:paraId="31C6716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250</w:t>
                  </w:r>
                </w:p>
              </w:tc>
              <w:tc>
                <w:tcPr>
                  <w:tcW w:w="1634" w:type="dxa"/>
                  <w:vAlign w:val="center"/>
                </w:tcPr>
                <w:p w14:paraId="2CFC61B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1000</w:t>
                  </w:r>
                </w:p>
              </w:tc>
              <w:tc>
                <w:tcPr>
                  <w:tcW w:w="1110" w:type="pct"/>
                  <w:vAlign w:val="center"/>
                </w:tcPr>
                <w:p w14:paraId="286DF0C4">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外购，罐车运输</w:t>
                  </w:r>
                </w:p>
              </w:tc>
            </w:tr>
            <w:tr w14:paraId="2764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934C90F">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3</w:t>
                  </w:r>
                </w:p>
              </w:tc>
              <w:tc>
                <w:tcPr>
                  <w:tcW w:w="768" w:type="pct"/>
                  <w:vAlign w:val="center"/>
                </w:tcPr>
                <w:p w14:paraId="2A905B76">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机制砂</w:t>
                  </w:r>
                </w:p>
              </w:tc>
              <w:tc>
                <w:tcPr>
                  <w:tcW w:w="992" w:type="pct"/>
                  <w:vAlign w:val="center"/>
                </w:tcPr>
                <w:p w14:paraId="3DFD4E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7920</w:t>
                  </w:r>
                </w:p>
              </w:tc>
              <w:tc>
                <w:tcPr>
                  <w:tcW w:w="1371" w:type="dxa"/>
                  <w:vAlign w:val="center"/>
                </w:tcPr>
                <w:p w14:paraId="62465BA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2640</w:t>
                  </w:r>
                </w:p>
              </w:tc>
              <w:tc>
                <w:tcPr>
                  <w:tcW w:w="1634" w:type="dxa"/>
                  <w:vAlign w:val="center"/>
                </w:tcPr>
                <w:p w14:paraId="38AF65C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10560</w:t>
                  </w:r>
                </w:p>
              </w:tc>
              <w:tc>
                <w:tcPr>
                  <w:tcW w:w="1110" w:type="pct"/>
                  <w:vAlign w:val="center"/>
                </w:tcPr>
                <w:p w14:paraId="72651BE2">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外购，汽车运输</w:t>
                  </w:r>
                </w:p>
              </w:tc>
            </w:tr>
            <w:tr w14:paraId="7731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BEDE5B5">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4</w:t>
                  </w:r>
                </w:p>
              </w:tc>
              <w:tc>
                <w:tcPr>
                  <w:tcW w:w="768" w:type="pct"/>
                  <w:vAlign w:val="center"/>
                </w:tcPr>
                <w:p w14:paraId="30849723">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碎石</w:t>
                  </w:r>
                </w:p>
              </w:tc>
              <w:tc>
                <w:tcPr>
                  <w:tcW w:w="992" w:type="pct"/>
                  <w:vAlign w:val="center"/>
                </w:tcPr>
                <w:p w14:paraId="0FD2D3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22940</w:t>
                  </w:r>
                </w:p>
              </w:tc>
              <w:tc>
                <w:tcPr>
                  <w:tcW w:w="1371" w:type="dxa"/>
                  <w:vAlign w:val="center"/>
                </w:tcPr>
                <w:p w14:paraId="0BB1935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7646.7</w:t>
                  </w:r>
                </w:p>
              </w:tc>
              <w:tc>
                <w:tcPr>
                  <w:tcW w:w="1634" w:type="dxa"/>
                  <w:vAlign w:val="center"/>
                </w:tcPr>
                <w:p w14:paraId="6417A93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30586.7</w:t>
                  </w:r>
                </w:p>
              </w:tc>
              <w:tc>
                <w:tcPr>
                  <w:tcW w:w="1110" w:type="pct"/>
                  <w:vAlign w:val="center"/>
                </w:tcPr>
                <w:p w14:paraId="679A201B">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外购，汽车运输</w:t>
                  </w:r>
                </w:p>
              </w:tc>
            </w:tr>
            <w:tr w14:paraId="430A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33C3F70C">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5</w:t>
                  </w:r>
                </w:p>
              </w:tc>
              <w:tc>
                <w:tcPr>
                  <w:tcW w:w="768" w:type="pct"/>
                  <w:vAlign w:val="center"/>
                </w:tcPr>
                <w:p w14:paraId="02B0977E">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柴油</w:t>
                  </w:r>
                </w:p>
              </w:tc>
              <w:tc>
                <w:tcPr>
                  <w:tcW w:w="992" w:type="pct"/>
                  <w:vAlign w:val="center"/>
                </w:tcPr>
                <w:p w14:paraId="6B5134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200</w:t>
                  </w:r>
                </w:p>
              </w:tc>
              <w:tc>
                <w:tcPr>
                  <w:tcW w:w="1371" w:type="dxa"/>
                  <w:vAlign w:val="center"/>
                </w:tcPr>
                <w:p w14:paraId="65D894D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66.7</w:t>
                  </w:r>
                </w:p>
              </w:tc>
              <w:tc>
                <w:tcPr>
                  <w:tcW w:w="1634" w:type="dxa"/>
                  <w:vAlign w:val="center"/>
                </w:tcPr>
                <w:p w14:paraId="3F35268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266.7</w:t>
                  </w:r>
                </w:p>
              </w:tc>
              <w:tc>
                <w:tcPr>
                  <w:tcW w:w="1110" w:type="pct"/>
                  <w:vAlign w:val="center"/>
                </w:tcPr>
                <w:p w14:paraId="2A7F4D81">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外购，汽车运输</w:t>
                  </w:r>
                </w:p>
              </w:tc>
            </w:tr>
            <w:tr w14:paraId="0D57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9D1F894">
                  <w:pPr>
                    <w:keepNext w:val="0"/>
                    <w:keepLines w:val="0"/>
                    <w:suppressLineNumbers w:val="0"/>
                    <w:spacing w:before="0" w:beforeAutospacing="0" w:after="0" w:afterAutospacing="0"/>
                    <w:ind w:left="0" w:right="0"/>
                    <w:jc w:val="center"/>
                    <w:rPr>
                      <w:rFonts w:hint="default"/>
                      <w:color w:val="auto"/>
                      <w:sz w:val="20"/>
                      <w:szCs w:val="20"/>
                      <w:lang w:val="en-US" w:eastAsia="zh-CN"/>
                    </w:rPr>
                  </w:pPr>
                  <w:r>
                    <w:rPr>
                      <w:rFonts w:hint="eastAsia"/>
                      <w:color w:val="auto"/>
                      <w:sz w:val="20"/>
                      <w:szCs w:val="20"/>
                      <w:lang w:val="en-US" w:eastAsia="zh-CN"/>
                    </w:rPr>
                    <w:t>6</w:t>
                  </w:r>
                </w:p>
              </w:tc>
              <w:tc>
                <w:tcPr>
                  <w:tcW w:w="768" w:type="pct"/>
                  <w:vAlign w:val="center"/>
                </w:tcPr>
                <w:p w14:paraId="1CE034BF">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重油</w:t>
                  </w:r>
                </w:p>
              </w:tc>
              <w:tc>
                <w:tcPr>
                  <w:tcW w:w="992" w:type="pct"/>
                  <w:vAlign w:val="center"/>
                </w:tcPr>
                <w:p w14:paraId="7CB28F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400</w:t>
                  </w:r>
                </w:p>
              </w:tc>
              <w:tc>
                <w:tcPr>
                  <w:tcW w:w="1371" w:type="dxa"/>
                  <w:vAlign w:val="center"/>
                </w:tcPr>
                <w:p w14:paraId="469DE7A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133.3</w:t>
                  </w:r>
                </w:p>
              </w:tc>
              <w:tc>
                <w:tcPr>
                  <w:tcW w:w="1634" w:type="dxa"/>
                  <w:vAlign w:val="center"/>
                </w:tcPr>
                <w:p w14:paraId="779FF8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533.3</w:t>
                  </w:r>
                </w:p>
              </w:tc>
              <w:tc>
                <w:tcPr>
                  <w:tcW w:w="1110" w:type="pct"/>
                  <w:vAlign w:val="center"/>
                </w:tcPr>
                <w:p w14:paraId="79308180">
                  <w:pPr>
                    <w:keepNext w:val="0"/>
                    <w:keepLines w:val="0"/>
                    <w:suppressLineNumbers w:val="0"/>
                    <w:spacing w:before="0" w:beforeAutospacing="0" w:after="0" w:afterAutospacing="0"/>
                    <w:ind w:left="0" w:right="0"/>
                    <w:jc w:val="center"/>
                    <w:rPr>
                      <w:rFonts w:hint="eastAsia"/>
                      <w:color w:val="auto"/>
                      <w:sz w:val="20"/>
                      <w:szCs w:val="20"/>
                      <w:lang w:val="en-US" w:eastAsia="zh-CN"/>
                    </w:rPr>
                  </w:pPr>
                  <w:r>
                    <w:rPr>
                      <w:rFonts w:hint="eastAsia"/>
                      <w:color w:val="auto"/>
                      <w:sz w:val="20"/>
                      <w:szCs w:val="20"/>
                      <w:lang w:val="en-US" w:eastAsia="zh-CN"/>
                    </w:rPr>
                    <w:t>外购，汽车运输</w:t>
                  </w:r>
                </w:p>
              </w:tc>
            </w:tr>
          </w:tbl>
          <w:p w14:paraId="6E873F8A">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default" w:cs="Times New Roman"/>
                <w:color w:val="auto"/>
                <w:lang w:val="en-US" w:eastAsia="zh-CN"/>
              </w:rPr>
              <w:t>碎石：来源于采石加工场，是不同粒度规格产品，主要成分为石灰岩石质，是沥青的主要骨料。以上产品经采购后直接运进堆场。</w:t>
            </w:r>
          </w:p>
          <w:p w14:paraId="730F5FE8">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default" w:cs="Times New Roman"/>
                <w:color w:val="auto"/>
                <w:lang w:val="en-US" w:eastAsia="zh-CN"/>
              </w:rPr>
              <w:t>矿粉：为石灰石粉末，质白细，罐装，贮放于矿粉储罐内。</w:t>
            </w:r>
          </w:p>
          <w:p w14:paraId="6C639AD7">
            <w:pPr>
              <w:pStyle w:val="75"/>
              <w:keepNext w:val="0"/>
              <w:keepLines w:val="0"/>
              <w:suppressLineNumbers w:val="0"/>
              <w:spacing w:before="0" w:beforeAutospacing="0" w:after="0" w:afterAutospacing="0" w:line="480" w:lineRule="exact"/>
              <w:ind w:left="0" w:right="0"/>
              <w:rPr>
                <w:rFonts w:hint="default" w:eastAsia="宋体"/>
                <w:b w:val="0"/>
                <w:color w:val="auto"/>
                <w:kern w:val="2"/>
                <w:sz w:val="28"/>
                <w:szCs w:val="28"/>
              </w:rPr>
            </w:pPr>
            <w:r>
              <w:rPr>
                <w:rFonts w:hint="default" w:cs="Times New Roman"/>
                <w:color w:val="auto"/>
                <w:lang w:val="en-US" w:eastAsia="zh-CN"/>
              </w:rPr>
              <w:t>沥青：沥青有天然沥青和人造沥青两种，密度一般在1.15-1.25左右，主要成分是沥青质和树脂，本项目采用的沥青为石油沥青，石油沥青是原油加工过程的一种产品，在常温下是黑色或黑褐色的粘稠的液体、半固体或固体，主要含有可溶于氯仿的烃类及非烃类衍生物，其性质和组成随原油来源和生产方法的不同而变化。石油沥青的主要组分是油分、树脂和地沥青质。还含2%~3%的沥青碳和似碳物，还含有蜡。沥青中的油分和树脂能浸润沥青质。沥青的结构以地沥青质为核心，吸附部分树脂和油分，构成胶团。石油沥青是原油蒸馏后的残渣。根据提炼程度的不同，在常温下成液体、半固体或固体。石油沥青色黑而有光泽，具有较高的感温性。由于它在生产过程中曾经蒸馏至400℃以上，因而所含挥发成分甚少，但仍可能有高分子的碳氢化合物未经挥发出来，这些物质或多或少对人体健康是有害的。沥青属于憎水性材料，它不透水，也几乎不溶于水、丙酮、乙醚、稀乙醇，溶于二硫化碳、四氯化碳、氢氧化钠等，沥青质不溶于低沸点烷烃，棕至黑色；树脂溶于低沸点烷烃，为深色半固体或固体物质。沥青有光泽，粘结性抗水性和防腐蚀性良好。软化点低的称为软沥青，软化点中等的称为中沥青，软化点高的称为硬沥青。</w:t>
            </w:r>
          </w:p>
          <w:p w14:paraId="5BCE1F2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eastAsia" w:eastAsia="黑体" w:cs="Times New Roman"/>
                <w:b w:val="0"/>
                <w:bCs/>
                <w:color w:val="auto"/>
                <w:sz w:val="24"/>
                <w:lang w:val="en-US" w:eastAsia="zh-CN"/>
              </w:rPr>
            </w:pPr>
            <w:r>
              <w:rPr>
                <w:rFonts w:hint="eastAsia" w:eastAsia="黑体" w:cs="Times New Roman"/>
                <w:b w:val="0"/>
                <w:bCs/>
                <w:color w:val="auto"/>
                <w:sz w:val="24"/>
                <w:lang w:val="en-US" w:eastAsia="zh-CN"/>
              </w:rPr>
              <w:t>表2-3沥青组分分析表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1713"/>
              <w:gridCol w:w="1713"/>
              <w:gridCol w:w="1714"/>
              <w:gridCol w:w="1714"/>
            </w:tblGrid>
            <w:tr w14:paraId="16153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353AD590">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项目</w:t>
                  </w:r>
                </w:p>
              </w:tc>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3B614AFE">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饱和分</w:t>
                  </w:r>
                </w:p>
              </w:tc>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1F8C465A">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芳香分</w:t>
                  </w:r>
                </w:p>
              </w:tc>
              <w:tc>
                <w:tcPr>
                  <w:tcW w:w="171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5F02BC91">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胶质</w:t>
                  </w:r>
                </w:p>
              </w:tc>
              <w:tc>
                <w:tcPr>
                  <w:tcW w:w="171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77ADB81B">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沥青质</w:t>
                  </w:r>
                </w:p>
              </w:tc>
            </w:tr>
            <w:tr w14:paraId="541BC7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5768B721">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含量</w:t>
                  </w:r>
                </w:p>
              </w:tc>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3D2A0CEA">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18</w:t>
                  </w:r>
                </w:p>
              </w:tc>
              <w:tc>
                <w:tcPr>
                  <w:tcW w:w="1713"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08B498E4">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40%</w:t>
                  </w:r>
                </w:p>
              </w:tc>
              <w:tc>
                <w:tcPr>
                  <w:tcW w:w="171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611DB49B">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22%</w:t>
                  </w:r>
                </w:p>
              </w:tc>
              <w:tc>
                <w:tcPr>
                  <w:tcW w:w="171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75BE4C8D">
                  <w:pPr>
                    <w:keepNext w:val="0"/>
                    <w:keepLines w:val="0"/>
                    <w:suppressLineNumbers w:val="0"/>
                    <w:spacing w:before="0" w:beforeAutospacing="0" w:after="0" w:afterAutospacing="0" w:line="500" w:lineRule="exact"/>
                    <w:ind w:left="0" w:right="0"/>
                    <w:jc w:val="center"/>
                    <w:rPr>
                      <w:rFonts w:hint="default" w:eastAsia="宋体"/>
                      <w:color w:val="auto"/>
                      <w:sz w:val="21"/>
                      <w:szCs w:val="21"/>
                    </w:rPr>
                  </w:pPr>
                  <w:r>
                    <w:rPr>
                      <w:rFonts w:hint="default" w:eastAsia="宋体"/>
                      <w:color w:val="auto"/>
                      <w:sz w:val="21"/>
                      <w:szCs w:val="21"/>
                    </w:rPr>
                    <w:t>0%</w:t>
                  </w:r>
                </w:p>
              </w:tc>
            </w:tr>
          </w:tbl>
          <w:p w14:paraId="3D073C1C">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default" w:cs="Times New Roman"/>
                <w:color w:val="auto"/>
                <w:lang w:val="en-US" w:eastAsia="zh-CN"/>
              </w:rPr>
              <w:t>改性沥青：提高现代公路和道路柔性和弹性，即低温下抗开裂的能力；提高耐磨耗能力和延长使用寿命。改性道路沥青主要用于机场跑道、防水桥面、停车场、运动场、重交通路面、交叉路口和路面转弯处等特殊场合的铺装应用。欧洲将改性沥青应用到公路网的养护和补强，较大地推动了改性道路沥青的普遍应用。本项目使用的改性沥青混合料主要是SBS聚合物改性剂，炼油厂成品。</w:t>
            </w:r>
          </w:p>
          <w:p w14:paraId="50631137">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default" w:cs="Times New Roman"/>
                <w:color w:val="auto"/>
                <w:lang w:val="en-US" w:eastAsia="zh-CN"/>
              </w:rPr>
              <w:t>轻质柴油</w:t>
            </w:r>
            <w:r>
              <w:rPr>
                <w:rFonts w:hint="eastAsia" w:cs="Times New Roman"/>
                <w:color w:val="auto"/>
                <w:lang w:val="en-US" w:eastAsia="zh-CN"/>
              </w:rPr>
              <w:t>：</w:t>
            </w:r>
            <w:r>
              <w:rPr>
                <w:rFonts w:hint="default" w:cs="Times New Roman"/>
                <w:color w:val="auto"/>
                <w:lang w:val="en-US" w:eastAsia="zh-CN"/>
              </w:rPr>
              <w:t>主要是由烷烃、烯烃、环烷烃、芳香烃、多环芳烃与少量硫(每升硫含量不高于10毫克)、氮(&lt;1g/kg)及添加剂组成的混合物。以燃料油为例:白色或淡黄色液体。相对密度0.85。熔点-29.56</w:t>
            </w:r>
            <w:r>
              <w:rPr>
                <w:rFonts w:hint="eastAsia" w:cs="Times New Roman"/>
                <w:color w:val="auto"/>
                <w:lang w:val="en-US" w:eastAsia="zh-CN"/>
              </w:rPr>
              <w:t>℃</w:t>
            </w:r>
            <w:r>
              <w:rPr>
                <w:rFonts w:hint="default" w:cs="Times New Roman"/>
                <w:color w:val="auto"/>
                <w:lang w:val="en-US" w:eastAsia="zh-CN"/>
              </w:rPr>
              <w:t>。沸点180~370</w:t>
            </w:r>
            <w:r>
              <w:rPr>
                <w:rFonts w:hint="eastAsia" w:cs="Times New Roman"/>
                <w:color w:val="auto"/>
                <w:lang w:val="en-US" w:eastAsia="zh-CN"/>
              </w:rPr>
              <w:t>℃</w:t>
            </w:r>
            <w:r>
              <w:rPr>
                <w:rFonts w:hint="default" w:cs="Times New Roman"/>
                <w:color w:val="auto"/>
                <w:lang w:val="en-US" w:eastAsia="zh-CN"/>
              </w:rPr>
              <w:t>。闪点40</w:t>
            </w:r>
            <w:r>
              <w:rPr>
                <w:rFonts w:hint="eastAsia" w:cs="Times New Roman"/>
                <w:color w:val="auto"/>
                <w:lang w:val="en-US" w:eastAsia="zh-CN"/>
              </w:rPr>
              <w:t>℃</w:t>
            </w:r>
            <w:r>
              <w:rPr>
                <w:rFonts w:hint="default" w:cs="Times New Roman"/>
                <w:color w:val="auto"/>
                <w:lang w:val="en-US" w:eastAsia="zh-CN"/>
              </w:rPr>
              <w:t>。蒸气密度4。蒸气压4.0kPa。蒸气与空气混合物可燃限0.7~5.0%。不溶于水。遇热、火花、明火易燃，可蓄积静电，引起电火花。分解和燃烧产物为</w:t>
            </w:r>
            <w:r>
              <w:rPr>
                <w:rFonts w:hint="eastAsia" w:cs="Times New Roman"/>
                <w:color w:val="auto"/>
                <w:lang w:val="en-US" w:eastAsia="zh-CN"/>
              </w:rPr>
              <w:t>一</w:t>
            </w:r>
            <w:r>
              <w:rPr>
                <w:rFonts w:hint="default" w:cs="Times New Roman"/>
                <w:color w:val="auto"/>
                <w:lang w:val="en-US" w:eastAsia="zh-CN"/>
              </w:rPr>
              <w:t>氧化碳、二氧化碳和硫氧化物。</w:t>
            </w:r>
          </w:p>
          <w:p w14:paraId="6295FD34">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eastAsia" w:cs="Times New Roman"/>
                <w:color w:val="auto"/>
                <w:lang w:val="en-US" w:eastAsia="zh-CN"/>
              </w:rPr>
              <w:t>重油：重油又称燃料油，呈暗黑色液体，主要是以原油加工过程中的常压油，减压渣油、裂化渣油、裂化柴油和催化柴油等为原料调合而成。含多芳烃和高级链烃，属于混合物。其特点是分子量大、</w:t>
            </w:r>
            <w:r>
              <w:rPr>
                <w:rFonts w:hint="eastAsia" w:cs="Times New Roman"/>
                <w:color w:val="auto"/>
                <w:lang w:val="en-US" w:eastAsia="zh-CN"/>
              </w:rPr>
              <w:fldChar w:fldCharType="begin"/>
            </w:r>
            <w:r>
              <w:rPr>
                <w:rFonts w:hint="eastAsia" w:cs="Times New Roman"/>
                <w:color w:val="auto"/>
                <w:lang w:val="en-US" w:eastAsia="zh-CN"/>
              </w:rPr>
              <w:instrText xml:space="preserve"> HYPERLINK "https://baike.so.com/doc/5403077-5640765.html" \t "https://baike.so.com/doc/_blank" </w:instrText>
            </w:r>
            <w:r>
              <w:rPr>
                <w:rFonts w:hint="eastAsia" w:cs="Times New Roman"/>
                <w:color w:val="auto"/>
                <w:lang w:val="en-US" w:eastAsia="zh-CN"/>
              </w:rPr>
              <w:fldChar w:fldCharType="separate"/>
            </w:r>
            <w:r>
              <w:rPr>
                <w:rFonts w:hint="eastAsia" w:cs="Times New Roman"/>
                <w:color w:val="auto"/>
                <w:lang w:val="en-US" w:eastAsia="zh-CN"/>
              </w:rPr>
              <w:t>粘度</w:t>
            </w:r>
            <w:r>
              <w:rPr>
                <w:rFonts w:hint="eastAsia" w:cs="Times New Roman"/>
                <w:color w:val="auto"/>
                <w:lang w:val="en-US" w:eastAsia="zh-CN"/>
              </w:rPr>
              <w:fldChar w:fldCharType="end"/>
            </w:r>
            <w:r>
              <w:rPr>
                <w:rFonts w:hint="eastAsia" w:cs="Times New Roman"/>
                <w:color w:val="auto"/>
                <w:lang w:val="en-US" w:eastAsia="zh-CN"/>
              </w:rPr>
              <w:t>高。重油的比重一般在0.82~0.95，比热在10000~11000kcal/kg左右。其成分主要是碳氢化合物，另外含有部分的(约0.1~4%)的硫黄及微量的无机化合物。</w:t>
            </w:r>
          </w:p>
          <w:p w14:paraId="7286C34D">
            <w:pPr>
              <w:pStyle w:val="75"/>
              <w:keepNext w:val="0"/>
              <w:keepLines w:val="0"/>
              <w:suppressLineNumbers w:val="0"/>
              <w:spacing w:before="0" w:beforeAutospacing="0" w:after="0" w:afterAutospacing="0" w:line="480" w:lineRule="exact"/>
              <w:ind w:left="0" w:right="0"/>
              <w:rPr>
                <w:rFonts w:hint="default" w:cs="Times New Roman"/>
                <w:color w:val="auto"/>
                <w:lang w:val="en-US" w:eastAsia="zh-CN"/>
              </w:rPr>
            </w:pPr>
            <w:r>
              <w:rPr>
                <w:rFonts w:hint="default" w:cs="Times New Roman"/>
                <w:color w:val="auto"/>
                <w:lang w:val="en-US" w:eastAsia="zh-CN"/>
              </w:rPr>
              <w:t>导热油：导热油是原油提取汽油、柴油后的剩余重质油，其特点是分子量大、粘度高。导热油的比重一般在0.82～0.95，比热在10000～11000kcal/kg左右。其成分主要是碳水化合物，另外含有部分的（约0</w:t>
            </w:r>
            <w:r>
              <w:rPr>
                <w:rFonts w:hint="eastAsia" w:cs="Times New Roman"/>
                <w:color w:val="auto"/>
                <w:lang w:val="en-US" w:eastAsia="zh-CN"/>
              </w:rPr>
              <w:t>.</w:t>
            </w:r>
            <w:r>
              <w:rPr>
                <w:rFonts w:hint="default" w:cs="Times New Roman"/>
                <w:color w:val="auto"/>
                <w:lang w:val="en-US" w:eastAsia="zh-CN"/>
              </w:rPr>
              <w:t>1～4%）的硫黄及微量的无机化合物。</w:t>
            </w:r>
          </w:p>
          <w:p w14:paraId="2E994A51">
            <w:pPr>
              <w:keepNext w:val="0"/>
              <w:keepLines w:val="0"/>
              <w:pageBreakBefore w:val="0"/>
              <w:widowControl/>
              <w:suppressLineNumbers w:val="0"/>
              <w:kinsoku/>
              <w:wordWrap/>
              <w:overflowPunct/>
              <w:topLinePunct w:val="0"/>
              <w:autoSpaceDE/>
              <w:autoSpaceDN/>
              <w:bidi w:val="0"/>
              <w:adjustRightInd/>
              <w:snapToGrid/>
              <w:spacing w:before="63" w:beforeLines="20" w:beforeAutospacing="0" w:after="0" w:afterAutospacing="0"/>
              <w:ind w:left="0" w:right="0"/>
              <w:jc w:val="center"/>
              <w:textAlignment w:val="auto"/>
              <w:rPr>
                <w:rFonts w:hint="default"/>
                <w:b/>
                <w:bCs/>
                <w:color w:val="auto"/>
                <w:kern w:val="0"/>
                <w:sz w:val="22"/>
                <w:szCs w:val="22"/>
                <w:highlight w:val="none"/>
              </w:rPr>
            </w:pPr>
            <w:r>
              <w:rPr>
                <w:rFonts w:hint="default"/>
                <w:b/>
                <w:bCs/>
                <w:color w:val="auto"/>
                <w:kern w:val="0"/>
                <w:sz w:val="22"/>
                <w:szCs w:val="22"/>
                <w:highlight w:val="none"/>
              </w:rPr>
              <w:t>表</w:t>
            </w:r>
            <w:r>
              <w:rPr>
                <w:rFonts w:hint="eastAsia"/>
                <w:b/>
                <w:bCs/>
                <w:color w:val="auto"/>
                <w:kern w:val="0"/>
                <w:sz w:val="22"/>
                <w:szCs w:val="22"/>
                <w:highlight w:val="none"/>
              </w:rPr>
              <w:t>2-</w:t>
            </w:r>
            <w:r>
              <w:rPr>
                <w:rFonts w:hint="eastAsia"/>
                <w:b/>
                <w:bCs/>
                <w:color w:val="auto"/>
                <w:kern w:val="0"/>
                <w:sz w:val="22"/>
                <w:szCs w:val="22"/>
                <w:highlight w:val="none"/>
                <w:lang w:val="en-US" w:eastAsia="zh-CN"/>
              </w:rPr>
              <w:t>4主要产品及产能</w:t>
            </w:r>
          </w:p>
          <w:tbl>
            <w:tblPr>
              <w:tblStyle w:val="3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1510"/>
              <w:gridCol w:w="1158"/>
              <w:gridCol w:w="1522"/>
              <w:gridCol w:w="1857"/>
              <w:gridCol w:w="1789"/>
            </w:tblGrid>
            <w:tr w14:paraId="6E98B7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5" w:type="pct"/>
                  <w:vAlign w:val="center"/>
                </w:tcPr>
                <w:p w14:paraId="2D4A175A">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hAnsi="宋体"/>
                      <w:color w:val="auto"/>
                      <w:kern w:val="0"/>
                      <w:szCs w:val="21"/>
                      <w:highlight w:val="none"/>
                    </w:rPr>
                    <w:t>序号</w:t>
                  </w:r>
                </w:p>
              </w:tc>
              <w:tc>
                <w:tcPr>
                  <w:tcW w:w="866" w:type="pct"/>
                  <w:vAlign w:val="center"/>
                </w:tcPr>
                <w:p w14:paraId="3114BA64">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eastAsia" w:hAnsi="宋体"/>
                      <w:color w:val="auto"/>
                      <w:kern w:val="0"/>
                      <w:szCs w:val="21"/>
                      <w:highlight w:val="none"/>
                      <w:lang w:val="en-US" w:eastAsia="zh-CN"/>
                    </w:rPr>
                    <w:t>产品</w:t>
                  </w:r>
                  <w:r>
                    <w:rPr>
                      <w:rFonts w:hint="default" w:hAnsi="宋体"/>
                      <w:color w:val="auto"/>
                      <w:kern w:val="0"/>
                      <w:szCs w:val="21"/>
                      <w:highlight w:val="none"/>
                    </w:rPr>
                    <w:t>名称</w:t>
                  </w:r>
                </w:p>
              </w:tc>
              <w:tc>
                <w:tcPr>
                  <w:tcW w:w="664" w:type="pct"/>
                  <w:vAlign w:val="center"/>
                </w:tcPr>
                <w:p w14:paraId="31BF6F4F">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单位</w:t>
                  </w:r>
                </w:p>
              </w:tc>
              <w:tc>
                <w:tcPr>
                  <w:tcW w:w="873" w:type="pct"/>
                  <w:vAlign w:val="center"/>
                </w:tcPr>
                <w:p w14:paraId="4F1391CB">
                  <w:pPr>
                    <w:keepNext w:val="0"/>
                    <w:keepLines w:val="0"/>
                    <w:suppressLineNumbers w:val="0"/>
                    <w:adjustRightInd w:val="0"/>
                    <w:snapToGrid w:val="0"/>
                    <w:spacing w:before="0" w:beforeAutospacing="0" w:after="0" w:afterAutospacing="0"/>
                    <w:ind w:left="0" w:right="0"/>
                    <w:jc w:val="center"/>
                    <w:rPr>
                      <w:rFonts w:hint="eastAsia" w:eastAsia="宋体"/>
                      <w:color w:val="auto"/>
                      <w:kern w:val="0"/>
                      <w:szCs w:val="21"/>
                      <w:highlight w:val="none"/>
                      <w:lang w:eastAsia="zh-CN"/>
                    </w:rPr>
                  </w:pPr>
                  <w:r>
                    <w:rPr>
                      <w:rFonts w:hint="eastAsia" w:cs="Times New Roman"/>
                      <w:color w:val="auto"/>
                      <w:sz w:val="21"/>
                      <w:szCs w:val="21"/>
                      <w:lang w:val="en-US" w:eastAsia="zh-CN"/>
                    </w:rPr>
                    <w:t>现有</w:t>
                  </w:r>
                  <w:r>
                    <w:rPr>
                      <w:rFonts w:hint="eastAsia"/>
                      <w:color w:val="auto"/>
                      <w:sz w:val="20"/>
                      <w:szCs w:val="20"/>
                      <w:lang w:val="en-US" w:eastAsia="zh-CN"/>
                    </w:rPr>
                    <w:t>产能</w:t>
                  </w:r>
                </w:p>
              </w:tc>
              <w:tc>
                <w:tcPr>
                  <w:tcW w:w="1065" w:type="pct"/>
                  <w:vAlign w:val="center"/>
                </w:tcPr>
                <w:p w14:paraId="1DEB97F3">
                  <w:pPr>
                    <w:keepNext w:val="0"/>
                    <w:keepLines w:val="0"/>
                    <w:suppressLineNumbers w:val="0"/>
                    <w:adjustRightInd w:val="0"/>
                    <w:snapToGrid w:val="0"/>
                    <w:spacing w:before="0" w:beforeAutospacing="0" w:after="0" w:afterAutospacing="0"/>
                    <w:ind w:left="0" w:right="0"/>
                    <w:jc w:val="center"/>
                    <w:rPr>
                      <w:rFonts w:hint="eastAsia"/>
                      <w:color w:val="auto"/>
                      <w:szCs w:val="21"/>
                      <w:highlight w:val="none"/>
                      <w:lang w:val="en-US" w:eastAsia="zh-CN"/>
                    </w:rPr>
                  </w:pPr>
                  <w:r>
                    <w:rPr>
                      <w:rFonts w:hint="eastAsia" w:cs="Times New Roman"/>
                      <w:color w:val="auto"/>
                      <w:sz w:val="21"/>
                      <w:szCs w:val="21"/>
                      <w:lang w:val="en-US" w:eastAsia="zh-CN"/>
                    </w:rPr>
                    <w:t>本次新增</w:t>
                  </w:r>
                  <w:r>
                    <w:rPr>
                      <w:rFonts w:hint="eastAsia"/>
                      <w:color w:val="auto"/>
                      <w:sz w:val="20"/>
                      <w:szCs w:val="20"/>
                      <w:lang w:val="en-US" w:eastAsia="zh-CN"/>
                    </w:rPr>
                    <w:t>产能</w:t>
                  </w:r>
                </w:p>
              </w:tc>
              <w:tc>
                <w:tcPr>
                  <w:tcW w:w="1026" w:type="pct"/>
                  <w:vAlign w:val="center"/>
                </w:tcPr>
                <w:p w14:paraId="20F5A3E0">
                  <w:pPr>
                    <w:keepNext w:val="0"/>
                    <w:keepLines w:val="0"/>
                    <w:suppressLineNumbers w:val="0"/>
                    <w:adjustRightInd w:val="0"/>
                    <w:snapToGrid w:val="0"/>
                    <w:spacing w:before="0" w:beforeAutospacing="0" w:after="0" w:afterAutospacing="0"/>
                    <w:ind w:left="0" w:right="0"/>
                    <w:jc w:val="center"/>
                    <w:rPr>
                      <w:rFonts w:hint="default"/>
                      <w:color w:val="auto"/>
                      <w:szCs w:val="21"/>
                      <w:highlight w:val="none"/>
                      <w:lang w:val="en-US" w:eastAsia="zh-CN"/>
                    </w:rPr>
                  </w:pPr>
                  <w:r>
                    <w:rPr>
                      <w:rFonts w:hint="eastAsia" w:cs="Times New Roman"/>
                      <w:color w:val="auto"/>
                      <w:sz w:val="21"/>
                      <w:szCs w:val="21"/>
                      <w:lang w:val="en-US" w:eastAsia="zh-CN"/>
                    </w:rPr>
                    <w:t>改扩建后产能</w:t>
                  </w:r>
                </w:p>
              </w:tc>
            </w:tr>
            <w:tr w14:paraId="7AB4EE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05" w:type="pct"/>
                  <w:vAlign w:val="center"/>
                </w:tcPr>
                <w:p w14:paraId="2BD476DC">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color w:val="auto"/>
                      <w:kern w:val="0"/>
                      <w:szCs w:val="21"/>
                      <w:highlight w:val="none"/>
                    </w:rPr>
                    <w:t>1</w:t>
                  </w:r>
                </w:p>
              </w:tc>
              <w:tc>
                <w:tcPr>
                  <w:tcW w:w="866" w:type="pct"/>
                  <w:vAlign w:val="center"/>
                </w:tcPr>
                <w:p w14:paraId="27213092">
                  <w:pPr>
                    <w:keepNext w:val="0"/>
                    <w:keepLines w:val="0"/>
                    <w:suppressLineNumbers w:val="0"/>
                    <w:spacing w:before="0" w:beforeAutospacing="0" w:after="0" w:afterAutospacing="0"/>
                    <w:ind w:left="0" w:right="0"/>
                    <w:contextualSpacing/>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沥青混凝土</w:t>
                  </w:r>
                </w:p>
              </w:tc>
              <w:tc>
                <w:tcPr>
                  <w:tcW w:w="664" w:type="pct"/>
                  <w:vAlign w:val="center"/>
                </w:tcPr>
                <w:p w14:paraId="0A650E7E">
                  <w:pPr>
                    <w:keepNext w:val="0"/>
                    <w:keepLines w:val="0"/>
                    <w:widowControl/>
                    <w:suppressLineNumbers w:val="0"/>
                    <w:spacing w:before="0" w:beforeAutospacing="0" w:after="0" w:afterAutospacing="0"/>
                    <w:ind w:left="0" w:right="0"/>
                    <w:contextualSpacing/>
                    <w:jc w:val="center"/>
                    <w:rPr>
                      <w:rFonts w:hint="default" w:eastAsia="宋体"/>
                      <w:color w:val="auto"/>
                      <w:kern w:val="0"/>
                      <w:szCs w:val="21"/>
                      <w:highlight w:val="none"/>
                      <w:lang w:val="en-US" w:eastAsia="zh-CN"/>
                    </w:rPr>
                  </w:pPr>
                  <w:r>
                    <w:rPr>
                      <w:rFonts w:hint="eastAsia"/>
                      <w:color w:val="auto"/>
                      <w:szCs w:val="21"/>
                      <w:highlight w:val="none"/>
                      <w:lang w:val="en-US" w:eastAsia="zh-CN"/>
                    </w:rPr>
                    <w:t>t/a</w:t>
                  </w:r>
                </w:p>
              </w:tc>
              <w:tc>
                <w:tcPr>
                  <w:tcW w:w="873" w:type="pct"/>
                  <w:vAlign w:val="center"/>
                </w:tcPr>
                <w:p w14:paraId="01F29251">
                  <w:pPr>
                    <w:keepNext w:val="0"/>
                    <w:keepLines w:val="0"/>
                    <w:suppressLineNumbers w:val="0"/>
                    <w:adjustRightInd w:val="0"/>
                    <w:snapToGrid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szCs w:val="21"/>
                      <w:highlight w:val="none"/>
                      <w:lang w:val="en-US" w:eastAsia="zh-CN"/>
                    </w:rPr>
                    <w:t>32400</w:t>
                  </w:r>
                </w:p>
              </w:tc>
              <w:tc>
                <w:tcPr>
                  <w:tcW w:w="1065" w:type="pct"/>
                  <w:vAlign w:val="center"/>
                </w:tcPr>
                <w:p w14:paraId="30529976">
                  <w:pPr>
                    <w:keepNext w:val="0"/>
                    <w:keepLines w:val="0"/>
                    <w:suppressLineNumbers w:val="0"/>
                    <w:adjustRightInd w:val="0"/>
                    <w:snapToGrid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10800</w:t>
                  </w:r>
                </w:p>
              </w:tc>
              <w:tc>
                <w:tcPr>
                  <w:tcW w:w="1026" w:type="pct"/>
                  <w:vAlign w:val="center"/>
                </w:tcPr>
                <w:p w14:paraId="6B81D057">
                  <w:pPr>
                    <w:keepNext w:val="0"/>
                    <w:keepLines w:val="0"/>
                    <w:suppressLineNumbers w:val="0"/>
                    <w:adjustRightInd w:val="0"/>
                    <w:snapToGrid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43200</w:t>
                  </w:r>
                </w:p>
              </w:tc>
            </w:tr>
            <w:bookmarkEnd w:id="16"/>
            <w:bookmarkEnd w:id="17"/>
            <w:bookmarkEnd w:id="18"/>
            <w:bookmarkEnd w:id="19"/>
          </w:tbl>
          <w:p w14:paraId="791E97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黑体" w:cs="Times New Roman"/>
                <w:b w:val="0"/>
                <w:bCs/>
                <w:color w:val="auto"/>
                <w:sz w:val="28"/>
                <w:szCs w:val="28"/>
                <w:lang w:val="en-US" w:eastAsia="zh-CN"/>
              </w:rPr>
            </w:pPr>
            <w:r>
              <w:rPr>
                <w:rFonts w:hint="eastAsia" w:ascii="Times New Roman" w:hAnsi="Times New Roman" w:eastAsia="黑体" w:cs="Times New Roman"/>
                <w:b w:val="0"/>
                <w:bCs/>
                <w:color w:val="auto"/>
                <w:sz w:val="28"/>
                <w:szCs w:val="28"/>
                <w:lang w:val="en-US" w:eastAsia="zh-CN"/>
              </w:rPr>
              <w:t>三、</w:t>
            </w:r>
            <w:r>
              <w:rPr>
                <w:rFonts w:hint="default" w:ascii="Times New Roman" w:hAnsi="Times New Roman" w:eastAsia="黑体" w:cs="Times New Roman"/>
                <w:b w:val="0"/>
                <w:bCs/>
                <w:color w:val="auto"/>
                <w:sz w:val="28"/>
                <w:szCs w:val="28"/>
                <w:lang w:val="en-US" w:eastAsia="zh-CN"/>
              </w:rPr>
              <w:t>主要运营设备</w:t>
            </w:r>
          </w:p>
          <w:p w14:paraId="52B62A3C">
            <w:pPr>
              <w:keepNext w:val="0"/>
              <w:keepLines w:val="0"/>
              <w:pageBreakBefore w:val="0"/>
              <w:widowControl w:val="0"/>
              <w:suppressLineNumbers w:val="0"/>
              <w:tabs>
                <w:tab w:val="left" w:pos="6480"/>
              </w:tabs>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根据建设单位提供，</w:t>
            </w:r>
            <w:r>
              <w:rPr>
                <w:rFonts w:hint="default" w:ascii="Times New Roman" w:hAnsi="Times New Roman" w:cs="Times New Roman"/>
                <w:color w:val="0000FF"/>
                <w:sz w:val="24"/>
                <w:szCs w:val="24"/>
                <w:lang w:val="en-US" w:eastAsia="zh-CN"/>
              </w:rPr>
              <w:t>本项目</w:t>
            </w:r>
            <w:r>
              <w:rPr>
                <w:rFonts w:hint="eastAsia" w:cs="Times New Roman"/>
                <w:color w:val="0000FF"/>
                <w:sz w:val="24"/>
                <w:szCs w:val="24"/>
                <w:lang w:val="en-US" w:eastAsia="zh-CN"/>
              </w:rPr>
              <w:t>生产设备全部依托现有工程，</w:t>
            </w:r>
            <w:r>
              <w:rPr>
                <w:rFonts w:hint="default" w:ascii="Times New Roman" w:hAnsi="Times New Roman" w:cs="Times New Roman"/>
                <w:color w:val="auto"/>
                <w:sz w:val="24"/>
                <w:szCs w:val="24"/>
                <w:lang w:val="en-US" w:eastAsia="zh-CN"/>
              </w:rPr>
              <w:t>主要设备如下：</w:t>
            </w:r>
          </w:p>
          <w:p w14:paraId="17E9852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imes New Roman" w:hAnsi="Times New Roman" w:eastAsia="黑体" w:cs="Times New Roman"/>
                <w:b w:val="0"/>
                <w:bCs/>
                <w:color w:val="auto"/>
                <w:sz w:val="24"/>
                <w:lang w:eastAsia="zh-CN"/>
              </w:rPr>
            </w:pPr>
            <w:r>
              <w:rPr>
                <w:rFonts w:hint="default" w:ascii="Times New Roman" w:hAnsi="Times New Roman" w:eastAsia="黑体" w:cs="Times New Roman"/>
                <w:b w:val="0"/>
                <w:bCs/>
                <w:color w:val="auto"/>
                <w:sz w:val="24"/>
              </w:rPr>
              <w:t>表</w:t>
            </w:r>
            <w:r>
              <w:rPr>
                <w:rFonts w:hint="default" w:ascii="Times New Roman" w:hAnsi="Times New Roman" w:eastAsia="黑体" w:cs="Times New Roman"/>
                <w:b w:val="0"/>
                <w:bCs/>
                <w:color w:val="auto"/>
                <w:sz w:val="24"/>
                <w:lang w:val="en-US" w:eastAsia="zh-CN"/>
              </w:rPr>
              <w:t>2-</w:t>
            </w:r>
            <w:r>
              <w:rPr>
                <w:rFonts w:hint="eastAsia" w:eastAsia="黑体" w:cs="Times New Roman"/>
                <w:b w:val="0"/>
                <w:bCs/>
                <w:color w:val="auto"/>
                <w:sz w:val="24"/>
                <w:lang w:val="en-US" w:eastAsia="zh-CN"/>
              </w:rPr>
              <w:t>5</w:t>
            </w:r>
            <w:r>
              <w:rPr>
                <w:rFonts w:hint="default" w:ascii="Times New Roman" w:hAnsi="Times New Roman" w:eastAsia="黑体" w:cs="Times New Roman"/>
                <w:b w:val="0"/>
                <w:bCs/>
                <w:color w:val="auto"/>
                <w:sz w:val="24"/>
                <w:lang w:eastAsia="zh-CN"/>
              </w:rPr>
              <w:t>主要生产设备一览表</w:t>
            </w:r>
          </w:p>
          <w:tbl>
            <w:tblPr>
              <w:tblStyle w:val="36"/>
              <w:tblW w:w="844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196"/>
              <w:gridCol w:w="2839"/>
              <w:gridCol w:w="1733"/>
            </w:tblGrid>
            <w:tr w14:paraId="3E05A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1179F1EB">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color w:val="auto"/>
                      <w:kern w:val="0"/>
                      <w:szCs w:val="21"/>
                      <w:highlight w:val="none"/>
                    </w:rPr>
                    <w:t>序号</w:t>
                  </w:r>
                </w:p>
              </w:tc>
              <w:tc>
                <w:tcPr>
                  <w:tcW w:w="3196" w:type="dxa"/>
                  <w:vAlign w:val="center"/>
                </w:tcPr>
                <w:p w14:paraId="2EF65623">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color w:val="auto"/>
                      <w:kern w:val="0"/>
                      <w:szCs w:val="21"/>
                      <w:highlight w:val="none"/>
                    </w:rPr>
                    <w:t>名称</w:t>
                  </w:r>
                </w:p>
              </w:tc>
              <w:tc>
                <w:tcPr>
                  <w:tcW w:w="2839" w:type="dxa"/>
                  <w:vAlign w:val="center"/>
                </w:tcPr>
                <w:p w14:paraId="7CECE094">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color w:val="auto"/>
                      <w:kern w:val="0"/>
                      <w:szCs w:val="21"/>
                      <w:highlight w:val="none"/>
                    </w:rPr>
                    <w:t>型号</w:t>
                  </w:r>
                </w:p>
              </w:tc>
              <w:tc>
                <w:tcPr>
                  <w:tcW w:w="1733" w:type="dxa"/>
                  <w:vAlign w:val="center"/>
                </w:tcPr>
                <w:p w14:paraId="20A92A5F">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default"/>
                      <w:color w:val="auto"/>
                      <w:kern w:val="0"/>
                      <w:szCs w:val="21"/>
                      <w:highlight w:val="none"/>
                    </w:rPr>
                    <w:t>数量/台</w:t>
                  </w:r>
                </w:p>
              </w:tc>
            </w:tr>
            <w:tr w14:paraId="3635D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1A2D8B63">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1</w:t>
                  </w:r>
                </w:p>
              </w:tc>
              <w:tc>
                <w:tcPr>
                  <w:tcW w:w="3196" w:type="dxa"/>
                  <w:vAlign w:val="center"/>
                </w:tcPr>
                <w:p w14:paraId="1DCDEC8A">
                  <w:pPr>
                    <w:keepNext w:val="0"/>
                    <w:keepLines w:val="0"/>
                    <w:suppressLineNumbers w:val="0"/>
                    <w:spacing w:before="0" w:beforeAutospacing="0" w:after="0" w:afterAutospacing="0"/>
                    <w:ind w:left="0" w:right="0"/>
                    <w:jc w:val="center"/>
                    <w:rPr>
                      <w:rFonts w:hint="default" w:hAnsi="宋体"/>
                      <w:color w:val="auto"/>
                      <w:szCs w:val="21"/>
                      <w:highlight w:val="none"/>
                    </w:rPr>
                  </w:pPr>
                  <w:r>
                    <w:rPr>
                      <w:rFonts w:hint="eastAsia" w:hAnsi="宋体"/>
                      <w:color w:val="auto"/>
                      <w:szCs w:val="21"/>
                      <w:highlight w:val="none"/>
                      <w:lang w:val="en-US" w:eastAsia="zh-CN"/>
                    </w:rPr>
                    <w:t>沥青混凝土生产线</w:t>
                  </w:r>
                </w:p>
              </w:tc>
              <w:tc>
                <w:tcPr>
                  <w:tcW w:w="2839" w:type="dxa"/>
                </w:tcPr>
                <w:p w14:paraId="40E07DEF">
                  <w:pPr>
                    <w:keepNext w:val="0"/>
                    <w:keepLines w:val="0"/>
                    <w:suppressLineNumbers w:val="0"/>
                    <w:spacing w:before="0" w:beforeAutospacing="0" w:after="0" w:afterAutospacing="0"/>
                    <w:ind w:left="0" w:right="0"/>
                    <w:jc w:val="center"/>
                    <w:rPr>
                      <w:rFonts w:hint="eastAsia" w:hAnsi="宋体" w:eastAsia="宋体"/>
                      <w:color w:val="auto"/>
                      <w:szCs w:val="21"/>
                      <w:highlight w:val="none"/>
                      <w:lang w:eastAsia="zh-CN"/>
                    </w:rPr>
                  </w:pPr>
                  <w:r>
                    <w:rPr>
                      <w:rFonts w:hint="eastAsia" w:hAnsi="宋体" w:eastAsia="宋体"/>
                      <w:color w:val="auto"/>
                      <w:szCs w:val="21"/>
                      <w:highlight w:val="none"/>
                      <w:lang w:eastAsia="zh-CN"/>
                    </w:rPr>
                    <w:t>设备型号：SLB2000C8</w:t>
                  </w:r>
                </w:p>
              </w:tc>
              <w:tc>
                <w:tcPr>
                  <w:tcW w:w="1733" w:type="dxa"/>
                  <w:vAlign w:val="center"/>
                </w:tcPr>
                <w:p w14:paraId="6E711A3F">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1条</w:t>
                  </w:r>
                </w:p>
              </w:tc>
            </w:tr>
            <w:tr w14:paraId="49CBC3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60B03859">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2</w:t>
                  </w:r>
                </w:p>
              </w:tc>
              <w:tc>
                <w:tcPr>
                  <w:tcW w:w="3196" w:type="dxa"/>
                  <w:vAlign w:val="center"/>
                </w:tcPr>
                <w:p w14:paraId="42F2B989">
                  <w:pPr>
                    <w:keepNext w:val="0"/>
                    <w:keepLines w:val="0"/>
                    <w:suppressLineNumbers w:val="0"/>
                    <w:spacing w:before="0" w:beforeAutospacing="0" w:after="0" w:afterAutospacing="0"/>
                    <w:ind w:left="0" w:right="0"/>
                    <w:jc w:val="center"/>
                    <w:rPr>
                      <w:rFonts w:hint="eastAsia" w:hAnsi="宋体" w:eastAsia="宋体"/>
                      <w:color w:val="auto"/>
                      <w:szCs w:val="21"/>
                      <w:highlight w:val="none"/>
                      <w:lang w:eastAsia="zh-CN"/>
                    </w:rPr>
                  </w:pPr>
                  <w:r>
                    <w:rPr>
                      <w:rFonts w:hint="eastAsia" w:hAnsi="宋体"/>
                      <w:color w:val="auto"/>
                      <w:szCs w:val="21"/>
                      <w:highlight w:val="none"/>
                      <w:lang w:eastAsia="zh-CN"/>
                    </w:rPr>
                    <w:t>装载机</w:t>
                  </w:r>
                </w:p>
              </w:tc>
              <w:tc>
                <w:tcPr>
                  <w:tcW w:w="2839" w:type="dxa"/>
                </w:tcPr>
                <w:p w14:paraId="6B58E896">
                  <w:pPr>
                    <w:keepNext w:val="0"/>
                    <w:keepLines w:val="0"/>
                    <w:suppressLineNumbers w:val="0"/>
                    <w:spacing w:before="0" w:beforeAutospacing="0" w:after="0" w:afterAutospacing="0"/>
                    <w:ind w:left="0" w:right="0"/>
                    <w:jc w:val="center"/>
                    <w:rPr>
                      <w:rFonts w:hint="eastAsia" w:hAnsi="宋体" w:eastAsia="宋体"/>
                      <w:color w:val="auto"/>
                      <w:szCs w:val="21"/>
                      <w:highlight w:val="none"/>
                      <w:lang w:eastAsia="zh-CN"/>
                    </w:rPr>
                  </w:pPr>
                  <w:r>
                    <w:rPr>
                      <w:rFonts w:hint="eastAsia"/>
                      <w:color w:val="auto"/>
                      <w:szCs w:val="21"/>
                      <w:lang w:val="en-US" w:eastAsia="zh-CN"/>
                    </w:rPr>
                    <w:t>ZL50</w:t>
                  </w:r>
                </w:p>
              </w:tc>
              <w:tc>
                <w:tcPr>
                  <w:tcW w:w="1733" w:type="dxa"/>
                  <w:vAlign w:val="center"/>
                </w:tcPr>
                <w:p w14:paraId="4E53DAD8">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2台</w:t>
                  </w:r>
                </w:p>
              </w:tc>
            </w:tr>
            <w:tr w14:paraId="0C0DB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5BCF3E06">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eastAsia="zh-CN"/>
                    </w:rPr>
                  </w:pPr>
                  <w:r>
                    <w:rPr>
                      <w:rFonts w:hint="eastAsia"/>
                      <w:color w:val="auto"/>
                      <w:kern w:val="0"/>
                      <w:szCs w:val="21"/>
                      <w:highlight w:val="none"/>
                      <w:lang w:val="en-US" w:eastAsia="zh-CN"/>
                    </w:rPr>
                    <w:t>3</w:t>
                  </w:r>
                </w:p>
              </w:tc>
              <w:tc>
                <w:tcPr>
                  <w:tcW w:w="3196" w:type="dxa"/>
                  <w:vAlign w:val="center"/>
                </w:tcPr>
                <w:p w14:paraId="0FE9B4BB">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hAnsi="宋体"/>
                      <w:color w:val="auto"/>
                      <w:szCs w:val="21"/>
                      <w:highlight w:val="none"/>
                      <w:lang w:val="en-US" w:eastAsia="zh-CN"/>
                    </w:rPr>
                    <w:t>导热油炉</w:t>
                  </w:r>
                </w:p>
              </w:tc>
              <w:tc>
                <w:tcPr>
                  <w:tcW w:w="2839" w:type="dxa"/>
                </w:tcPr>
                <w:p w14:paraId="0C61E95A">
                  <w:pPr>
                    <w:keepNext w:val="0"/>
                    <w:keepLines w:val="0"/>
                    <w:suppressLineNumbers w:val="0"/>
                    <w:spacing w:before="0" w:beforeAutospacing="0" w:after="0" w:afterAutospacing="0"/>
                    <w:ind w:left="0" w:right="0"/>
                    <w:jc w:val="center"/>
                    <w:rPr>
                      <w:rFonts w:hint="eastAsia" w:hAnsi="宋体" w:eastAsia="宋体"/>
                      <w:color w:val="auto"/>
                      <w:szCs w:val="21"/>
                      <w:highlight w:val="none"/>
                      <w:lang w:val="en-US" w:eastAsia="zh-CN"/>
                    </w:rPr>
                  </w:pPr>
                  <w:r>
                    <w:rPr>
                      <w:rFonts w:hint="eastAsia" w:hAnsi="宋体" w:eastAsia="宋体"/>
                      <w:color w:val="auto"/>
                      <w:szCs w:val="21"/>
                      <w:highlight w:val="none"/>
                      <w:lang w:val="en-US" w:eastAsia="zh-CN"/>
                    </w:rPr>
                    <w:t>1吨（60万大卡）</w:t>
                  </w:r>
                </w:p>
              </w:tc>
              <w:tc>
                <w:tcPr>
                  <w:tcW w:w="1733" w:type="dxa"/>
                  <w:vAlign w:val="center"/>
                </w:tcPr>
                <w:p w14:paraId="3B2AA6FE">
                  <w:pPr>
                    <w:keepNext w:val="0"/>
                    <w:keepLines w:val="0"/>
                    <w:suppressLineNumbers w:val="0"/>
                    <w:spacing w:before="0" w:beforeAutospacing="0" w:after="0" w:afterAutospacing="0"/>
                    <w:ind w:left="0" w:right="0"/>
                    <w:contextualSpacing/>
                    <w:jc w:val="center"/>
                    <w:rPr>
                      <w:rFonts w:hint="default"/>
                      <w:color w:val="auto"/>
                      <w:kern w:val="0"/>
                      <w:szCs w:val="21"/>
                      <w:highlight w:val="none"/>
                    </w:rPr>
                  </w:pPr>
                  <w:r>
                    <w:rPr>
                      <w:rFonts w:hint="eastAsia"/>
                      <w:color w:val="auto"/>
                      <w:kern w:val="0"/>
                      <w:szCs w:val="21"/>
                      <w:highlight w:val="none"/>
                      <w:lang w:val="en-US" w:eastAsia="zh-CN"/>
                    </w:rPr>
                    <w:t>1台</w:t>
                  </w:r>
                </w:p>
              </w:tc>
            </w:tr>
            <w:tr w14:paraId="4610B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46DFF13C">
                  <w:pPr>
                    <w:keepNext w:val="0"/>
                    <w:keepLines w:val="0"/>
                    <w:suppressLineNumbers w:val="0"/>
                    <w:spacing w:before="0" w:beforeAutospacing="0" w:after="0" w:afterAutospacing="0"/>
                    <w:ind w:left="0" w:right="0"/>
                    <w:contextualSpacing/>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4</w:t>
                  </w:r>
                </w:p>
              </w:tc>
              <w:tc>
                <w:tcPr>
                  <w:tcW w:w="3196" w:type="dxa"/>
                  <w:vAlign w:val="center"/>
                </w:tcPr>
                <w:p w14:paraId="2A3B96A5">
                  <w:pPr>
                    <w:keepNext w:val="0"/>
                    <w:keepLines w:val="0"/>
                    <w:suppressLineNumbers w:val="0"/>
                    <w:spacing w:before="0" w:beforeAutospacing="0" w:after="0" w:afterAutospacing="0"/>
                    <w:ind w:left="0" w:right="0"/>
                    <w:jc w:val="center"/>
                    <w:rPr>
                      <w:rFonts w:hint="default" w:hAnsi="宋体"/>
                      <w:color w:val="auto"/>
                      <w:szCs w:val="21"/>
                      <w:highlight w:val="none"/>
                      <w:lang w:val="en-US" w:eastAsia="zh-CN"/>
                    </w:rPr>
                  </w:pPr>
                  <w:r>
                    <w:rPr>
                      <w:rFonts w:hint="eastAsia" w:hAnsi="宋体"/>
                      <w:color w:val="auto"/>
                      <w:szCs w:val="21"/>
                      <w:highlight w:val="none"/>
                      <w:lang w:val="en-US" w:eastAsia="zh-CN"/>
                    </w:rPr>
                    <w:t>柴油储罐</w:t>
                  </w:r>
                </w:p>
              </w:tc>
              <w:tc>
                <w:tcPr>
                  <w:tcW w:w="2839" w:type="dxa"/>
                </w:tcPr>
                <w:p w14:paraId="495ACDD7">
                  <w:pPr>
                    <w:keepNext w:val="0"/>
                    <w:keepLines w:val="0"/>
                    <w:suppressLineNumbers w:val="0"/>
                    <w:spacing w:before="0" w:beforeAutospacing="0" w:after="0" w:afterAutospacing="0"/>
                    <w:ind w:left="0" w:right="0"/>
                    <w:jc w:val="center"/>
                    <w:rPr>
                      <w:rFonts w:hint="default"/>
                      <w:bCs/>
                      <w:color w:val="auto"/>
                      <w:szCs w:val="21"/>
                      <w:highlight w:val="none"/>
                      <w:vertAlign w:val="superscript"/>
                      <w:lang w:val="en-US" w:eastAsia="zh-CN"/>
                    </w:rPr>
                  </w:pPr>
                  <w:r>
                    <w:rPr>
                      <w:rFonts w:hint="eastAsia"/>
                      <w:bCs/>
                      <w:color w:val="auto"/>
                      <w:szCs w:val="21"/>
                      <w:highlight w:val="none"/>
                      <w:lang w:val="en-US" w:eastAsia="zh-CN"/>
                    </w:rPr>
                    <w:t>10m</w:t>
                  </w:r>
                  <w:r>
                    <w:rPr>
                      <w:rFonts w:hint="eastAsia"/>
                      <w:bCs/>
                      <w:color w:val="auto"/>
                      <w:szCs w:val="21"/>
                      <w:highlight w:val="none"/>
                      <w:vertAlign w:val="superscript"/>
                      <w:lang w:val="en-US" w:eastAsia="zh-CN"/>
                    </w:rPr>
                    <w:t>3</w:t>
                  </w:r>
                </w:p>
              </w:tc>
              <w:tc>
                <w:tcPr>
                  <w:tcW w:w="1733" w:type="dxa"/>
                  <w:vAlign w:val="center"/>
                </w:tcPr>
                <w:p w14:paraId="18B5C044">
                  <w:pPr>
                    <w:keepNext w:val="0"/>
                    <w:keepLines w:val="0"/>
                    <w:suppressLineNumbers w:val="0"/>
                    <w:spacing w:before="0" w:beforeAutospacing="0" w:after="0" w:afterAutospacing="0"/>
                    <w:ind w:left="0" w:right="0"/>
                    <w:contextualSpacing/>
                    <w:jc w:val="center"/>
                    <w:rPr>
                      <w:rFonts w:hint="default"/>
                      <w:color w:val="auto"/>
                      <w:kern w:val="0"/>
                      <w:szCs w:val="21"/>
                      <w:highlight w:val="none"/>
                      <w:lang w:val="en-US" w:eastAsia="zh-CN"/>
                    </w:rPr>
                  </w:pPr>
                  <w:r>
                    <w:rPr>
                      <w:rFonts w:hint="eastAsia"/>
                      <w:color w:val="auto"/>
                      <w:kern w:val="0"/>
                      <w:szCs w:val="21"/>
                      <w:highlight w:val="none"/>
                      <w:lang w:val="en-US" w:eastAsia="zh-CN"/>
                    </w:rPr>
                    <w:t>1台</w:t>
                  </w:r>
                </w:p>
              </w:tc>
            </w:tr>
            <w:tr w14:paraId="277F7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4DC5E521">
                  <w:pPr>
                    <w:keepNext w:val="0"/>
                    <w:keepLines w:val="0"/>
                    <w:suppressLineNumbers w:val="0"/>
                    <w:spacing w:before="0" w:beforeAutospacing="0" w:after="0" w:afterAutospacing="0"/>
                    <w:ind w:left="0" w:right="0"/>
                    <w:contextualSpacing/>
                    <w:jc w:val="center"/>
                    <w:rPr>
                      <w:rFonts w:hint="default"/>
                      <w:color w:val="auto"/>
                      <w:kern w:val="0"/>
                      <w:szCs w:val="21"/>
                      <w:highlight w:val="none"/>
                      <w:lang w:val="en-US" w:eastAsia="zh-CN"/>
                    </w:rPr>
                  </w:pPr>
                  <w:r>
                    <w:rPr>
                      <w:rFonts w:hint="eastAsia"/>
                      <w:color w:val="auto"/>
                      <w:kern w:val="0"/>
                      <w:szCs w:val="21"/>
                      <w:highlight w:val="none"/>
                      <w:lang w:val="en-US" w:eastAsia="zh-CN"/>
                    </w:rPr>
                    <w:t>5</w:t>
                  </w:r>
                </w:p>
              </w:tc>
              <w:tc>
                <w:tcPr>
                  <w:tcW w:w="3196" w:type="dxa"/>
                  <w:vAlign w:val="center"/>
                </w:tcPr>
                <w:p w14:paraId="624846E3">
                  <w:pPr>
                    <w:keepNext w:val="0"/>
                    <w:keepLines w:val="0"/>
                    <w:suppressLineNumbers w:val="0"/>
                    <w:spacing w:before="0" w:beforeAutospacing="0" w:after="0" w:afterAutospacing="0"/>
                    <w:ind w:left="0" w:right="0"/>
                    <w:jc w:val="center"/>
                    <w:rPr>
                      <w:rFonts w:hint="eastAsia" w:hAnsi="宋体"/>
                      <w:color w:val="auto"/>
                      <w:szCs w:val="21"/>
                      <w:highlight w:val="none"/>
                      <w:lang w:val="en-US" w:eastAsia="zh-CN"/>
                    </w:rPr>
                  </w:pPr>
                  <w:r>
                    <w:rPr>
                      <w:rFonts w:hint="eastAsia" w:hAnsi="宋体"/>
                      <w:color w:val="auto"/>
                      <w:szCs w:val="21"/>
                      <w:highlight w:val="none"/>
                      <w:lang w:val="en-US" w:eastAsia="zh-CN"/>
                    </w:rPr>
                    <w:t>重油储罐</w:t>
                  </w:r>
                </w:p>
              </w:tc>
              <w:tc>
                <w:tcPr>
                  <w:tcW w:w="2839" w:type="dxa"/>
                </w:tcPr>
                <w:p w14:paraId="64C89925">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50m</w:t>
                  </w:r>
                  <w:r>
                    <w:rPr>
                      <w:rFonts w:hint="eastAsia"/>
                      <w:bCs/>
                      <w:color w:val="auto"/>
                      <w:szCs w:val="21"/>
                      <w:highlight w:val="none"/>
                      <w:vertAlign w:val="superscript"/>
                      <w:lang w:val="en-US" w:eastAsia="zh-CN"/>
                    </w:rPr>
                    <w:t>3</w:t>
                  </w:r>
                </w:p>
              </w:tc>
              <w:tc>
                <w:tcPr>
                  <w:tcW w:w="1733" w:type="dxa"/>
                  <w:vAlign w:val="center"/>
                </w:tcPr>
                <w:p w14:paraId="6A7C058C">
                  <w:pPr>
                    <w:keepNext w:val="0"/>
                    <w:keepLines w:val="0"/>
                    <w:suppressLineNumbers w:val="0"/>
                    <w:spacing w:before="0" w:beforeAutospacing="0" w:after="0" w:afterAutospacing="0"/>
                    <w:ind w:left="0" w:right="0"/>
                    <w:contextualSpacing/>
                    <w:jc w:val="center"/>
                    <w:rPr>
                      <w:rFonts w:hint="eastAsia"/>
                      <w:color w:val="auto"/>
                      <w:kern w:val="0"/>
                      <w:szCs w:val="21"/>
                      <w:highlight w:val="none"/>
                      <w:lang w:val="en-US" w:eastAsia="zh-CN"/>
                    </w:rPr>
                  </w:pPr>
                  <w:r>
                    <w:rPr>
                      <w:rFonts w:hint="eastAsia"/>
                      <w:color w:val="auto"/>
                      <w:kern w:val="0"/>
                      <w:szCs w:val="21"/>
                      <w:highlight w:val="none"/>
                      <w:lang w:val="en-US" w:eastAsia="zh-CN"/>
                    </w:rPr>
                    <w:t>1台</w:t>
                  </w:r>
                </w:p>
              </w:tc>
            </w:tr>
            <w:tr w14:paraId="1BFDB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4" w:type="dxa"/>
                  <w:vAlign w:val="center"/>
                </w:tcPr>
                <w:p w14:paraId="15686F0C">
                  <w:pPr>
                    <w:keepNext w:val="0"/>
                    <w:keepLines w:val="0"/>
                    <w:suppressLineNumbers w:val="0"/>
                    <w:spacing w:before="0" w:beforeAutospacing="0" w:after="0" w:afterAutospacing="0"/>
                    <w:ind w:left="0" w:right="0"/>
                    <w:contextualSpacing/>
                    <w:jc w:val="center"/>
                    <w:rPr>
                      <w:rFonts w:hint="default"/>
                      <w:color w:val="auto"/>
                      <w:kern w:val="0"/>
                      <w:szCs w:val="21"/>
                      <w:highlight w:val="none"/>
                      <w:lang w:val="en-US" w:eastAsia="zh-CN"/>
                    </w:rPr>
                  </w:pPr>
                  <w:r>
                    <w:rPr>
                      <w:rFonts w:hint="eastAsia"/>
                      <w:color w:val="auto"/>
                      <w:kern w:val="0"/>
                      <w:szCs w:val="21"/>
                      <w:highlight w:val="none"/>
                      <w:lang w:val="en-US" w:eastAsia="zh-CN"/>
                    </w:rPr>
                    <w:t>6</w:t>
                  </w:r>
                </w:p>
              </w:tc>
              <w:tc>
                <w:tcPr>
                  <w:tcW w:w="3196" w:type="dxa"/>
                  <w:vAlign w:val="center"/>
                </w:tcPr>
                <w:p w14:paraId="1962CFB2">
                  <w:pPr>
                    <w:keepNext w:val="0"/>
                    <w:keepLines w:val="0"/>
                    <w:suppressLineNumbers w:val="0"/>
                    <w:spacing w:before="0" w:beforeAutospacing="0" w:after="0" w:afterAutospacing="0"/>
                    <w:ind w:left="0" w:right="0"/>
                    <w:jc w:val="center"/>
                    <w:rPr>
                      <w:rFonts w:hint="eastAsia" w:hAnsi="宋体"/>
                      <w:color w:val="auto"/>
                      <w:szCs w:val="21"/>
                      <w:highlight w:val="none"/>
                      <w:lang w:val="en-US" w:eastAsia="zh-CN"/>
                    </w:rPr>
                  </w:pPr>
                  <w:r>
                    <w:rPr>
                      <w:rFonts w:hint="eastAsia" w:hAnsi="宋体"/>
                      <w:color w:val="auto"/>
                      <w:szCs w:val="21"/>
                      <w:highlight w:val="none"/>
                      <w:lang w:val="en-US" w:eastAsia="zh-CN"/>
                    </w:rPr>
                    <w:t>沥青储罐</w:t>
                  </w:r>
                </w:p>
              </w:tc>
              <w:tc>
                <w:tcPr>
                  <w:tcW w:w="2839" w:type="dxa"/>
                </w:tcPr>
                <w:p w14:paraId="4C208D5D">
                  <w:pPr>
                    <w:keepNext w:val="0"/>
                    <w:keepLines w:val="0"/>
                    <w:suppressLineNumbers w:val="0"/>
                    <w:spacing w:before="0" w:beforeAutospacing="0" w:after="0" w:afterAutospacing="0"/>
                    <w:ind w:left="0" w:right="0"/>
                    <w:jc w:val="center"/>
                    <w:rPr>
                      <w:rFonts w:hint="eastAsia"/>
                      <w:bCs/>
                      <w:color w:val="auto"/>
                      <w:szCs w:val="21"/>
                      <w:highlight w:val="none"/>
                      <w:lang w:val="en-US" w:eastAsia="zh-CN"/>
                    </w:rPr>
                  </w:pPr>
                  <w:r>
                    <w:rPr>
                      <w:rFonts w:hint="eastAsia"/>
                      <w:bCs/>
                      <w:color w:val="auto"/>
                      <w:szCs w:val="21"/>
                      <w:highlight w:val="none"/>
                      <w:lang w:val="en-US" w:eastAsia="zh-CN"/>
                    </w:rPr>
                    <w:t>50m</w:t>
                  </w:r>
                  <w:r>
                    <w:rPr>
                      <w:rFonts w:hint="eastAsia"/>
                      <w:bCs/>
                      <w:color w:val="auto"/>
                      <w:szCs w:val="21"/>
                      <w:highlight w:val="none"/>
                      <w:vertAlign w:val="superscript"/>
                      <w:lang w:val="en-US" w:eastAsia="zh-CN"/>
                    </w:rPr>
                    <w:t>3</w:t>
                  </w:r>
                </w:p>
              </w:tc>
              <w:tc>
                <w:tcPr>
                  <w:tcW w:w="1733" w:type="dxa"/>
                  <w:vAlign w:val="center"/>
                </w:tcPr>
                <w:p w14:paraId="669F4546">
                  <w:pPr>
                    <w:keepNext w:val="0"/>
                    <w:keepLines w:val="0"/>
                    <w:suppressLineNumbers w:val="0"/>
                    <w:spacing w:before="0" w:beforeAutospacing="0" w:after="0" w:afterAutospacing="0"/>
                    <w:ind w:left="0" w:right="0"/>
                    <w:contextualSpacing/>
                    <w:jc w:val="center"/>
                    <w:rPr>
                      <w:rFonts w:hint="eastAsia"/>
                      <w:color w:val="auto"/>
                      <w:kern w:val="0"/>
                      <w:szCs w:val="21"/>
                      <w:highlight w:val="none"/>
                      <w:lang w:val="en-US" w:eastAsia="zh-CN"/>
                    </w:rPr>
                  </w:pPr>
                  <w:r>
                    <w:rPr>
                      <w:rFonts w:hint="eastAsia"/>
                      <w:color w:val="auto"/>
                      <w:kern w:val="0"/>
                      <w:szCs w:val="21"/>
                      <w:highlight w:val="none"/>
                      <w:lang w:val="en-US" w:eastAsia="zh-CN"/>
                    </w:rPr>
                    <w:t>1台</w:t>
                  </w:r>
                </w:p>
              </w:tc>
            </w:tr>
            <w:bookmarkEnd w:id="15"/>
          </w:tbl>
          <w:p w14:paraId="41E8E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黑体" w:cs="Times New Roman"/>
                <w:b w:val="0"/>
                <w:bCs/>
                <w:color w:val="auto"/>
                <w:sz w:val="28"/>
                <w:szCs w:val="28"/>
              </w:rPr>
            </w:pPr>
            <w:r>
              <w:rPr>
                <w:rFonts w:hint="eastAsia" w:ascii="Times New Roman" w:hAnsi="Times New Roman" w:eastAsia="黑体" w:cs="Times New Roman"/>
                <w:b w:val="0"/>
                <w:bCs/>
                <w:color w:val="auto"/>
                <w:sz w:val="28"/>
                <w:szCs w:val="28"/>
                <w:lang w:eastAsia="zh-CN"/>
              </w:rPr>
              <w:t>四、</w:t>
            </w:r>
            <w:r>
              <w:rPr>
                <w:rFonts w:hint="default" w:ascii="Times New Roman" w:hAnsi="Times New Roman" w:eastAsia="黑体" w:cs="Times New Roman"/>
                <w:b w:val="0"/>
                <w:bCs/>
                <w:color w:val="auto"/>
                <w:sz w:val="28"/>
                <w:szCs w:val="28"/>
              </w:rPr>
              <w:t>公用工程</w:t>
            </w:r>
          </w:p>
          <w:p w14:paraId="121822FA">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（1）给水</w:t>
            </w:r>
          </w:p>
          <w:p w14:paraId="33BC2A00">
            <w:pPr>
              <w:keepNext w:val="0"/>
              <w:keepLines w:val="0"/>
              <w:suppressLineNumbers w:val="0"/>
              <w:adjustRightInd w:val="0"/>
              <w:snapToGrid w:val="0"/>
              <w:spacing w:before="0" w:beforeAutospacing="0" w:after="0" w:afterAutospacing="0" w:line="360" w:lineRule="auto"/>
              <w:ind w:left="0" w:right="0" w:firstLine="480" w:firstLineChars="200"/>
              <w:rPr>
                <w:rFonts w:hint="eastAsia" w:eastAsia="宋体"/>
                <w:color w:val="auto"/>
                <w:sz w:val="24"/>
                <w:highlight w:val="none"/>
                <w:lang w:eastAsia="zh-CN"/>
              </w:rPr>
            </w:pPr>
            <w:r>
              <w:rPr>
                <w:rFonts w:hint="eastAsia"/>
                <w:color w:val="auto"/>
                <w:sz w:val="24"/>
                <w:highlight w:val="none"/>
                <w:lang w:eastAsia="zh-CN"/>
              </w:rPr>
              <w:t>本项目利用现有自打水井供水。</w:t>
            </w:r>
          </w:p>
          <w:p w14:paraId="05EC452D">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生活用水</w:t>
            </w:r>
            <w:r>
              <w:rPr>
                <w:rFonts w:hint="eastAsia"/>
                <w:color w:val="auto"/>
                <w:sz w:val="24"/>
                <w:highlight w:val="none"/>
                <w:lang w:eastAsia="zh-CN"/>
              </w:rPr>
              <w:t>：本项目不新增劳动定员，因此不新增生活用水</w:t>
            </w:r>
            <w:r>
              <w:rPr>
                <w:rFonts w:hint="eastAsia"/>
                <w:color w:val="auto"/>
                <w:sz w:val="24"/>
                <w:highlight w:val="none"/>
              </w:rPr>
              <w:t>。</w:t>
            </w:r>
          </w:p>
          <w:p w14:paraId="69BF3388">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rPr>
              <w:t>降尘喷洒水</w:t>
            </w:r>
            <w:r>
              <w:rPr>
                <w:rFonts w:hint="eastAsia"/>
                <w:color w:val="auto"/>
                <w:sz w:val="24"/>
                <w:highlight w:val="none"/>
                <w:lang w:eastAsia="zh-CN"/>
              </w:rPr>
              <w:t>：</w:t>
            </w:r>
            <w:r>
              <w:rPr>
                <w:rFonts w:hint="eastAsia"/>
                <w:color w:val="auto"/>
                <w:sz w:val="24"/>
                <w:highlight w:val="none"/>
              </w:rPr>
              <w:t>本项目碎石堆场需保持湿度，定期洒水，根据企业提供资料，碎石场喷洒水用水量</w:t>
            </w:r>
            <w:r>
              <w:rPr>
                <w:rFonts w:hint="eastAsia"/>
                <w:color w:val="auto"/>
                <w:sz w:val="24"/>
                <w:highlight w:val="none"/>
                <w:lang w:val="en-US" w:eastAsia="zh-CN"/>
              </w:rPr>
              <w:t>2m</w:t>
            </w:r>
            <w:r>
              <w:rPr>
                <w:rFonts w:hint="eastAsia"/>
                <w:color w:val="auto"/>
                <w:sz w:val="24"/>
                <w:highlight w:val="none"/>
                <w:vertAlign w:val="superscript"/>
                <w:lang w:val="en-US" w:eastAsia="zh-CN"/>
              </w:rPr>
              <w:t>3</w:t>
            </w:r>
            <w:r>
              <w:rPr>
                <w:rFonts w:hint="eastAsia"/>
                <w:color w:val="auto"/>
                <w:sz w:val="24"/>
                <w:highlight w:val="none"/>
              </w:rPr>
              <w:t>/d（</w:t>
            </w:r>
            <w:r>
              <w:rPr>
                <w:rFonts w:hint="eastAsia"/>
                <w:color w:val="auto"/>
                <w:sz w:val="24"/>
                <w:highlight w:val="none"/>
                <w:lang w:val="en-US" w:eastAsia="zh-CN"/>
              </w:rPr>
              <w:t>480m</w:t>
            </w:r>
            <w:r>
              <w:rPr>
                <w:rFonts w:hint="eastAsia"/>
                <w:color w:val="auto"/>
                <w:sz w:val="24"/>
                <w:highlight w:val="none"/>
                <w:vertAlign w:val="superscript"/>
                <w:lang w:val="en-US" w:eastAsia="zh-CN"/>
              </w:rPr>
              <w:t>3</w:t>
            </w:r>
            <w:r>
              <w:rPr>
                <w:rFonts w:hint="eastAsia"/>
                <w:color w:val="auto"/>
                <w:sz w:val="24"/>
                <w:highlight w:val="none"/>
              </w:rPr>
              <w:t>/a）。</w:t>
            </w:r>
            <w:r>
              <w:rPr>
                <w:rFonts w:hint="eastAsia"/>
                <w:color w:val="auto"/>
                <w:sz w:val="24"/>
                <w:highlight w:val="none"/>
                <w:lang w:eastAsia="zh-CN"/>
              </w:rPr>
              <w:t>厂区洒水降尘用水量为</w:t>
            </w:r>
            <w:r>
              <w:rPr>
                <w:rFonts w:hint="eastAsia"/>
                <w:color w:val="auto"/>
                <w:sz w:val="24"/>
                <w:highlight w:val="none"/>
                <w:lang w:val="en-US" w:eastAsia="zh-CN"/>
              </w:rPr>
              <w:t>3.2m</w:t>
            </w:r>
            <w:r>
              <w:rPr>
                <w:rFonts w:hint="eastAsia"/>
                <w:color w:val="auto"/>
                <w:sz w:val="24"/>
                <w:highlight w:val="none"/>
                <w:vertAlign w:val="superscript"/>
                <w:lang w:val="en-US" w:eastAsia="zh-CN"/>
              </w:rPr>
              <w:t>3</w:t>
            </w:r>
            <w:r>
              <w:rPr>
                <w:rFonts w:hint="eastAsia"/>
                <w:color w:val="auto"/>
                <w:sz w:val="24"/>
                <w:highlight w:val="none"/>
                <w:lang w:val="en-US" w:eastAsia="zh-CN"/>
              </w:rPr>
              <w:t>/d</w:t>
            </w:r>
            <w:r>
              <w:rPr>
                <w:rFonts w:hint="eastAsia"/>
                <w:color w:val="auto"/>
                <w:sz w:val="24"/>
                <w:highlight w:val="none"/>
              </w:rPr>
              <w:t>（</w:t>
            </w:r>
            <w:r>
              <w:rPr>
                <w:rFonts w:hint="eastAsia"/>
                <w:color w:val="auto"/>
                <w:sz w:val="24"/>
                <w:highlight w:val="none"/>
                <w:lang w:val="en-US" w:eastAsia="zh-CN"/>
              </w:rPr>
              <w:t>768m</w:t>
            </w:r>
            <w:r>
              <w:rPr>
                <w:rFonts w:hint="eastAsia"/>
                <w:color w:val="auto"/>
                <w:sz w:val="24"/>
                <w:highlight w:val="none"/>
                <w:vertAlign w:val="superscript"/>
                <w:lang w:val="en-US" w:eastAsia="zh-CN"/>
              </w:rPr>
              <w:t>3</w:t>
            </w:r>
            <w:r>
              <w:rPr>
                <w:rFonts w:hint="eastAsia"/>
                <w:color w:val="auto"/>
                <w:sz w:val="24"/>
                <w:highlight w:val="none"/>
              </w:rPr>
              <w:t>/a）</w:t>
            </w:r>
            <w:r>
              <w:rPr>
                <w:rFonts w:hint="eastAsia"/>
                <w:color w:val="auto"/>
                <w:sz w:val="24"/>
                <w:highlight w:val="none"/>
                <w:lang w:eastAsia="zh-CN"/>
              </w:rPr>
              <w:t>，综上洒水降尘用水量为</w:t>
            </w:r>
            <w:r>
              <w:rPr>
                <w:rFonts w:hint="eastAsia"/>
                <w:color w:val="auto"/>
                <w:sz w:val="24"/>
                <w:highlight w:val="none"/>
                <w:lang w:val="en-US" w:eastAsia="zh-CN"/>
              </w:rPr>
              <w:t>5.2m</w:t>
            </w:r>
            <w:r>
              <w:rPr>
                <w:rFonts w:hint="eastAsia"/>
                <w:color w:val="auto"/>
                <w:sz w:val="24"/>
                <w:highlight w:val="none"/>
                <w:vertAlign w:val="superscript"/>
                <w:lang w:val="en-US" w:eastAsia="zh-CN"/>
              </w:rPr>
              <w:t>3</w:t>
            </w:r>
            <w:r>
              <w:rPr>
                <w:rFonts w:hint="eastAsia"/>
                <w:color w:val="auto"/>
                <w:sz w:val="24"/>
                <w:highlight w:val="none"/>
                <w:lang w:val="en-US" w:eastAsia="zh-CN"/>
              </w:rPr>
              <w:t>/d（1248m</w:t>
            </w:r>
            <w:r>
              <w:rPr>
                <w:rFonts w:hint="eastAsia"/>
                <w:color w:val="auto"/>
                <w:sz w:val="24"/>
                <w:highlight w:val="none"/>
                <w:vertAlign w:val="superscript"/>
                <w:lang w:val="en-US" w:eastAsia="zh-CN"/>
              </w:rPr>
              <w:t>3</w:t>
            </w:r>
            <w:r>
              <w:rPr>
                <w:rFonts w:hint="eastAsia"/>
                <w:color w:val="auto"/>
                <w:sz w:val="24"/>
                <w:highlight w:val="none"/>
                <w:lang w:val="en-US" w:eastAsia="zh-CN"/>
              </w:rPr>
              <w:t>/a）。</w:t>
            </w:r>
          </w:p>
          <w:p w14:paraId="47E305AE">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lang w:val="en-US" w:eastAsia="zh-CN"/>
              </w:rPr>
              <w:t>设备冲洗水：搅拌机为本项目主要生产设备，搅拌机在暂时停止生产时必须冲洗干净，按搅拌机主机每天冲洗一次，冲洗水按1m</w:t>
            </w:r>
            <w:r>
              <w:rPr>
                <w:rFonts w:hint="eastAsia"/>
                <w:color w:val="auto"/>
                <w:sz w:val="24"/>
                <w:highlight w:val="none"/>
                <w:vertAlign w:val="superscript"/>
                <w:lang w:val="en-US" w:eastAsia="zh-CN"/>
              </w:rPr>
              <w:t>3</w:t>
            </w:r>
            <w:r>
              <w:rPr>
                <w:rFonts w:hint="eastAsia"/>
                <w:color w:val="auto"/>
                <w:sz w:val="24"/>
                <w:highlight w:val="none"/>
                <w:lang w:val="en-US" w:eastAsia="zh-CN"/>
              </w:rPr>
              <w:t>/d，主机冲洗水用水量为240m</w:t>
            </w:r>
            <w:r>
              <w:rPr>
                <w:rFonts w:hint="eastAsia"/>
                <w:color w:val="auto"/>
                <w:sz w:val="24"/>
                <w:highlight w:val="none"/>
                <w:vertAlign w:val="superscript"/>
                <w:lang w:val="en-US" w:eastAsia="zh-CN"/>
              </w:rPr>
              <w:t>3</w:t>
            </w:r>
            <w:r>
              <w:rPr>
                <w:rFonts w:hint="eastAsia"/>
                <w:color w:val="auto"/>
                <w:sz w:val="24"/>
                <w:highlight w:val="none"/>
                <w:lang w:val="en-US" w:eastAsia="zh-CN"/>
              </w:rPr>
              <w:t>/a。</w:t>
            </w:r>
          </w:p>
          <w:p w14:paraId="4822C102">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highlight w:val="none"/>
                <w:vertAlign w:val="baseline"/>
                <w:lang w:val="en-US" w:eastAsia="zh-CN"/>
              </w:rPr>
            </w:pPr>
            <w:r>
              <w:rPr>
                <w:rFonts w:hint="eastAsia"/>
                <w:color w:val="auto"/>
                <w:sz w:val="24"/>
                <w:highlight w:val="none"/>
                <w:lang w:eastAsia="zh-CN"/>
              </w:rPr>
              <w:t>运输车辆清洗水：本项目混凝土生产规模为</w:t>
            </w:r>
            <w:r>
              <w:rPr>
                <w:rFonts w:hint="eastAsia"/>
                <w:color w:val="auto"/>
                <w:sz w:val="24"/>
                <w:szCs w:val="24"/>
                <w:highlight w:val="none"/>
                <w:lang w:val="en-US" w:eastAsia="zh-CN"/>
              </w:rPr>
              <w:t>43200</w:t>
            </w:r>
            <w:r>
              <w:rPr>
                <w:rFonts w:hint="eastAsia"/>
                <w:color w:val="auto"/>
                <w:sz w:val="24"/>
                <w:highlight w:val="none"/>
                <w:lang w:val="en-US" w:eastAsia="zh-CN"/>
              </w:rPr>
              <w:t>t/a，混凝土平均运输量为180t/d，按单车1次运输量最大为14t计算，每天约需运输13辆次，每次对运输车辆清洗，清洗水量大致为0.4m</w:t>
            </w:r>
            <w:r>
              <w:rPr>
                <w:rFonts w:hint="eastAsia"/>
                <w:color w:val="auto"/>
                <w:sz w:val="24"/>
                <w:highlight w:val="none"/>
                <w:vertAlign w:val="superscript"/>
                <w:lang w:val="en-US" w:eastAsia="zh-CN"/>
              </w:rPr>
              <w:t>3</w:t>
            </w:r>
            <w:r>
              <w:rPr>
                <w:rFonts w:hint="eastAsia"/>
                <w:color w:val="auto"/>
                <w:sz w:val="24"/>
                <w:highlight w:val="none"/>
                <w:vertAlign w:val="baseline"/>
                <w:lang w:val="en-US" w:eastAsia="zh-CN"/>
              </w:rPr>
              <w:t>/辆次，因此车辆清洗水每天用水量为5.2</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color w:val="auto"/>
                <w:sz w:val="24"/>
                <w:highlight w:val="none"/>
                <w:vertAlign w:val="baseline"/>
                <w:lang w:val="en-US" w:eastAsia="zh-CN"/>
              </w:rPr>
              <w:t>。年用水量为1248</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color w:val="auto"/>
                <w:sz w:val="24"/>
                <w:highlight w:val="none"/>
                <w:vertAlign w:val="baseline"/>
                <w:lang w:val="en-US" w:eastAsia="zh-CN"/>
              </w:rPr>
              <w:t>/a。</w:t>
            </w:r>
          </w:p>
          <w:p w14:paraId="4325EDCE">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）排水</w:t>
            </w:r>
          </w:p>
          <w:p w14:paraId="10318D60">
            <w:pPr>
              <w:keepNext w:val="0"/>
              <w:keepLines w:val="0"/>
              <w:suppressLineNumbers w:val="0"/>
              <w:adjustRightInd w:val="0"/>
              <w:snapToGrid w:val="0"/>
              <w:spacing w:before="0" w:beforeAutospacing="0" w:after="0" w:afterAutospacing="0" w:line="360" w:lineRule="auto"/>
              <w:ind w:left="0" w:right="0" w:firstLine="480" w:firstLineChars="200"/>
              <w:rPr>
                <w:rFonts w:hint="eastAsia" w:eastAsia="宋体"/>
                <w:color w:val="auto"/>
                <w:sz w:val="24"/>
                <w:highlight w:val="none"/>
                <w:lang w:eastAsia="zh-CN"/>
              </w:rPr>
            </w:pPr>
            <w:r>
              <w:rPr>
                <w:rFonts w:hint="eastAsia"/>
                <w:color w:val="auto"/>
                <w:sz w:val="24"/>
                <w:highlight w:val="none"/>
                <w:lang w:eastAsia="zh-CN"/>
              </w:rPr>
              <w:t>本项目不新增生活排污水，现有生活污水排入防渗化粪池，定期抽排至市政排水管网，排入伊春市城市生活污水处理厂处理。</w:t>
            </w:r>
          </w:p>
          <w:p w14:paraId="38267CE5">
            <w:pPr>
              <w:keepNext w:val="0"/>
              <w:keepLines w:val="0"/>
              <w:suppressLineNumbers w:val="0"/>
              <w:adjustRightInd w:val="0"/>
              <w:snapToGrid w:val="0"/>
              <w:spacing w:before="0" w:beforeAutospacing="0" w:after="0" w:afterAutospacing="0" w:line="360" w:lineRule="auto"/>
              <w:ind w:left="0" w:right="0" w:firstLine="480" w:firstLineChars="200"/>
              <w:rPr>
                <w:rFonts w:hint="eastAsia" w:eastAsia="宋体"/>
                <w:color w:val="auto"/>
                <w:sz w:val="24"/>
                <w:highlight w:val="none"/>
                <w:lang w:eastAsia="zh-CN"/>
              </w:rPr>
            </w:pPr>
            <w:r>
              <w:rPr>
                <w:rFonts w:hint="eastAsia"/>
                <w:color w:val="auto"/>
                <w:sz w:val="24"/>
                <w:highlight w:val="none"/>
              </w:rPr>
              <w:t>本项目喷洒水自然蒸发不外排</w:t>
            </w:r>
            <w:r>
              <w:rPr>
                <w:rFonts w:hint="eastAsia"/>
                <w:color w:val="auto"/>
                <w:sz w:val="24"/>
                <w:highlight w:val="none"/>
                <w:lang w:eastAsia="zh-CN"/>
              </w:rPr>
              <w:t>。</w:t>
            </w:r>
          </w:p>
          <w:p w14:paraId="151AE5E4">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bCs/>
                <w:color w:val="auto"/>
                <w:sz w:val="24"/>
                <w:highlight w:val="none"/>
                <w:lang w:val="en-US" w:eastAsia="zh-CN"/>
              </w:rPr>
            </w:pPr>
            <w:r>
              <w:rPr>
                <w:rFonts w:hint="eastAsia"/>
                <w:bCs/>
                <w:color w:val="auto"/>
                <w:sz w:val="24"/>
                <w:highlight w:val="none"/>
                <w:lang w:eastAsia="zh-CN"/>
              </w:rPr>
              <w:t>设备清洗废水：设备清洗水按用水量的</w:t>
            </w:r>
            <w:r>
              <w:rPr>
                <w:rFonts w:hint="eastAsia"/>
                <w:bCs/>
                <w:color w:val="auto"/>
                <w:sz w:val="24"/>
                <w:highlight w:val="none"/>
                <w:lang w:val="en-US" w:eastAsia="zh-CN"/>
              </w:rPr>
              <w:t>80%计，则废水排放量为192</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/a，0.8</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/d，其主要水质污染因子为SS和石油类。</w:t>
            </w:r>
          </w:p>
          <w:p w14:paraId="72690FB9">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bCs/>
                <w:color w:val="auto"/>
                <w:sz w:val="24"/>
                <w:highlight w:val="none"/>
                <w:lang w:val="en-US" w:eastAsia="zh-CN"/>
              </w:rPr>
            </w:pPr>
            <w:r>
              <w:rPr>
                <w:rFonts w:hint="eastAsia"/>
                <w:bCs/>
                <w:color w:val="auto"/>
                <w:sz w:val="24"/>
                <w:highlight w:val="none"/>
                <w:lang w:eastAsia="zh-CN"/>
              </w:rPr>
              <w:t>车辆冲洗废水：车辆冲洗废水按用水量的</w:t>
            </w:r>
            <w:r>
              <w:rPr>
                <w:rFonts w:hint="eastAsia"/>
                <w:bCs/>
                <w:color w:val="auto"/>
                <w:sz w:val="24"/>
                <w:highlight w:val="none"/>
                <w:lang w:val="en-US" w:eastAsia="zh-CN"/>
              </w:rPr>
              <w:t>80%计，则废水排放量998.4</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/a，4.2</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/d，其主要水质污染因子为SS和石油类。</w:t>
            </w:r>
          </w:p>
          <w:p w14:paraId="14040F2F">
            <w:pPr>
              <w:keepNext w:val="0"/>
              <w:keepLines w:val="0"/>
              <w:suppressLineNumbers w:val="0"/>
              <w:adjustRightInd w:val="0"/>
              <w:snapToGrid w:val="0"/>
              <w:spacing w:before="0" w:beforeAutospacing="0" w:after="0" w:afterAutospacing="0" w:line="360" w:lineRule="auto"/>
              <w:ind w:left="0" w:right="0" w:firstLine="480" w:firstLineChars="200"/>
              <w:rPr>
                <w:rFonts w:hint="eastAsia"/>
                <w:bCs/>
                <w:color w:val="auto"/>
                <w:sz w:val="24"/>
                <w:highlight w:val="none"/>
                <w:lang w:eastAsia="zh-CN"/>
              </w:rPr>
            </w:pPr>
            <w:r>
              <w:rPr>
                <w:rFonts w:hint="eastAsia"/>
                <w:bCs/>
                <w:color w:val="auto"/>
                <w:sz w:val="24"/>
                <w:highlight w:val="none"/>
                <w:lang w:val="en-US" w:eastAsia="zh-CN"/>
              </w:rPr>
              <w:t>依托现有</w:t>
            </w:r>
            <w:r>
              <w:rPr>
                <w:rFonts w:hint="eastAsia"/>
                <w:bCs/>
                <w:color w:val="auto"/>
                <w:sz w:val="24"/>
                <w:highlight w:val="none"/>
                <w:lang w:eastAsia="zh-CN"/>
              </w:rPr>
              <w:t>隔油沉淀池，用于处理设备及车辆清洗水，处理后的废水回用于设备和车辆冲洗。</w:t>
            </w:r>
          </w:p>
          <w:p w14:paraId="11B4D8C8">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初期雨水的估算方法，以暴雨量的前15min雨量作为初期雨水量。本评价采用暴雨强度及雨水流量计算公式进行估算，计算公式如下：</w:t>
            </w:r>
          </w:p>
          <w:p w14:paraId="7E827114">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V=q×ψ×F×t×60/1000</w:t>
            </w:r>
          </w:p>
          <w:p w14:paraId="248E59B8">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式中：</w:t>
            </w:r>
          </w:p>
          <w:p w14:paraId="75BD7B6E">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t——降雨历时，min，取15；</w:t>
            </w:r>
          </w:p>
          <w:p w14:paraId="5DE72E35">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F——汇水面积，hm</w:t>
            </w:r>
            <w:r>
              <w:rPr>
                <w:rFonts w:hint="default"/>
                <w:b w:val="0"/>
                <w:bCs/>
                <w:color w:val="auto"/>
                <w:sz w:val="24"/>
                <w:vertAlign w:val="superscript"/>
              </w:rPr>
              <w:t>2</w:t>
            </w:r>
            <w:r>
              <w:rPr>
                <w:rFonts w:hint="default"/>
                <w:b w:val="0"/>
                <w:bCs/>
                <w:color w:val="auto"/>
                <w:sz w:val="24"/>
              </w:rPr>
              <w:t>，本项目汇水面积取</w:t>
            </w:r>
            <w:r>
              <w:rPr>
                <w:rFonts w:hint="eastAsia"/>
                <w:b w:val="0"/>
                <w:bCs/>
                <w:color w:val="auto"/>
                <w:sz w:val="24"/>
                <w:lang w:val="en-US" w:eastAsia="zh-CN"/>
              </w:rPr>
              <w:t>3.7</w:t>
            </w:r>
            <w:r>
              <w:rPr>
                <w:rFonts w:hint="default"/>
                <w:b w:val="0"/>
                <w:bCs/>
                <w:color w:val="auto"/>
                <w:sz w:val="24"/>
              </w:rPr>
              <w:t>；</w:t>
            </w:r>
          </w:p>
          <w:p w14:paraId="08DABF1B">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ψ——径流系数，取0.3；</w:t>
            </w:r>
          </w:p>
          <w:p w14:paraId="73C92CA2">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q——设计暴雨强度，L/(s•hm</w:t>
            </w:r>
            <w:r>
              <w:rPr>
                <w:rFonts w:hint="default"/>
                <w:b w:val="0"/>
                <w:bCs/>
                <w:color w:val="auto"/>
                <w:sz w:val="24"/>
                <w:vertAlign w:val="superscript"/>
              </w:rPr>
              <w:t>2</w:t>
            </w:r>
            <w:r>
              <w:rPr>
                <w:rFonts w:hint="default"/>
                <w:b w:val="0"/>
                <w:bCs/>
                <w:color w:val="auto"/>
                <w:sz w:val="24"/>
              </w:rPr>
              <w:t>)，</w:t>
            </w:r>
          </w:p>
          <w:p w14:paraId="5CC45716">
            <w:pPr>
              <w:keepNext w:val="0"/>
              <w:keepLines w:val="0"/>
              <w:suppressLineNumbers w:val="0"/>
              <w:spacing w:before="0" w:beforeAutospacing="0" w:after="0" w:afterAutospacing="0" w:line="360" w:lineRule="auto"/>
              <w:ind w:left="0" w:right="0" w:firstLine="480" w:firstLineChars="200"/>
              <w:rPr>
                <w:rFonts w:hint="default"/>
                <w:b w:val="0"/>
                <w:bCs/>
                <w:color w:val="auto"/>
                <w:sz w:val="24"/>
              </w:rPr>
            </w:pPr>
            <w:r>
              <w:rPr>
                <w:rFonts w:hint="default"/>
                <w:b w:val="0"/>
                <w:bCs/>
                <w:color w:val="auto"/>
                <w:sz w:val="24"/>
              </w:rPr>
              <w:t>暴雨强度</w:t>
            </w:r>
            <w:r>
              <w:rPr>
                <w:rFonts w:hint="eastAsia"/>
                <w:b w:val="0"/>
                <w:bCs/>
                <w:color w:val="auto"/>
                <w:sz w:val="24"/>
              </w:rPr>
              <w:t>q</w:t>
            </w:r>
            <w:r>
              <w:rPr>
                <w:rFonts w:hint="default"/>
                <w:b w:val="0"/>
                <w:bCs/>
                <w:color w:val="auto"/>
                <w:sz w:val="24"/>
              </w:rPr>
              <w:t>采取</w:t>
            </w:r>
            <w:r>
              <w:rPr>
                <w:rFonts w:hint="eastAsia"/>
                <w:b w:val="0"/>
                <w:bCs/>
                <w:color w:val="auto"/>
                <w:sz w:val="24"/>
                <w:lang w:val="en-US" w:eastAsia="zh-CN"/>
              </w:rPr>
              <w:t>伊春</w:t>
            </w:r>
            <w:r>
              <w:rPr>
                <w:rFonts w:hint="default"/>
                <w:b w:val="0"/>
                <w:bCs/>
                <w:color w:val="auto"/>
                <w:sz w:val="24"/>
              </w:rPr>
              <w:t>市暴雨强度计算公式：</w:t>
            </w:r>
          </w:p>
          <w:p w14:paraId="01B24B37">
            <w:pPr>
              <w:keepNext w:val="0"/>
              <w:keepLines w:val="0"/>
              <w:suppressLineNumbers w:val="0"/>
              <w:spacing w:before="0" w:beforeAutospacing="0" w:after="0" w:afterAutospacing="0" w:line="360" w:lineRule="auto"/>
              <w:ind w:left="0" w:right="0" w:firstLine="480" w:firstLineChars="200"/>
              <w:jc w:val="center"/>
              <w:rPr>
                <w:rFonts w:hint="default"/>
                <w:b w:val="0"/>
                <w:bCs/>
                <w:color w:val="auto"/>
                <w:sz w:val="24"/>
              </w:rPr>
            </w:pPr>
            <w:r>
              <w:rPr>
                <w:rFonts w:hint="default"/>
                <w:b w:val="0"/>
                <w:bCs/>
                <w:color w:val="auto"/>
                <w:sz w:val="24"/>
              </w:rPr>
              <w:object>
                <v:shape id="_x0000_i1025" o:spt="75" type="#_x0000_t75" style="height:32.65pt;width:106.35pt;" o:ole="t" filled="f" coordsize="21600,21600">
                  <v:path/>
                  <v:fill on="f" focussize="0,0"/>
                  <v:stroke/>
                  <v:imagedata r:id="rId22" o:title=""/>
                  <o:lock v:ext="edit" aspectratio="t"/>
                  <w10:wrap type="none"/>
                  <w10:anchorlock/>
                </v:shape>
                <o:OLEObject Type="Embed" ProgID="Equation.3" ShapeID="_x0000_i1025" DrawAspect="Content" ObjectID="_1468075725" r:id="rId21">
                  <o:LockedField>false</o:LockedField>
                </o:OLEObject>
              </w:object>
            </w:r>
          </w:p>
          <w:p w14:paraId="7FDB357F">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b w:val="0"/>
                <w:bCs/>
                <w:color w:val="auto"/>
                <w:sz w:val="24"/>
              </w:rPr>
              <w:t>其中P为设计重现期，取2a，t为降雨历时，取15min，径流系数取0.3，厂区汇水面积</w:t>
            </w:r>
            <w:r>
              <w:rPr>
                <w:rFonts w:hint="eastAsia"/>
                <w:b w:val="0"/>
                <w:bCs/>
                <w:color w:val="auto"/>
                <w:sz w:val="24"/>
                <w:lang w:val="en-US" w:eastAsia="zh-CN"/>
              </w:rPr>
              <w:t>约</w:t>
            </w:r>
            <w:r>
              <w:rPr>
                <w:rFonts w:hint="default"/>
                <w:b w:val="0"/>
                <w:bCs/>
                <w:color w:val="auto"/>
                <w:sz w:val="24"/>
              </w:rPr>
              <w:t>为</w:t>
            </w:r>
            <w:r>
              <w:rPr>
                <w:rFonts w:hint="eastAsia"/>
                <w:b w:val="0"/>
                <w:bCs/>
                <w:color w:val="auto"/>
                <w:sz w:val="24"/>
                <w:lang w:val="en-US" w:eastAsia="zh-CN"/>
              </w:rPr>
              <w:t>3.0</w:t>
            </w:r>
            <w:r>
              <w:rPr>
                <w:rFonts w:hint="default"/>
                <w:b w:val="0"/>
                <w:bCs/>
                <w:color w:val="auto"/>
                <w:sz w:val="24"/>
              </w:rPr>
              <w:t>hm</w:t>
            </w:r>
            <w:r>
              <w:rPr>
                <w:rFonts w:hint="default"/>
                <w:b w:val="0"/>
                <w:bCs/>
                <w:color w:val="auto"/>
                <w:sz w:val="24"/>
                <w:vertAlign w:val="superscript"/>
              </w:rPr>
              <w:t>2</w:t>
            </w:r>
            <w:r>
              <w:rPr>
                <w:rFonts w:hint="default"/>
                <w:b w:val="0"/>
                <w:bCs/>
                <w:color w:val="auto"/>
                <w:sz w:val="24"/>
              </w:rPr>
              <w:t>，经计算，暴雨强度q值为</w:t>
            </w:r>
            <w:r>
              <w:rPr>
                <w:rFonts w:hint="eastAsia"/>
                <w:b w:val="0"/>
                <w:bCs/>
                <w:color w:val="auto"/>
                <w:sz w:val="24"/>
              </w:rPr>
              <w:t>217</w:t>
            </w:r>
            <w:r>
              <w:rPr>
                <w:rFonts w:hint="default"/>
                <w:b w:val="0"/>
                <w:bCs/>
                <w:color w:val="auto"/>
                <w:sz w:val="24"/>
              </w:rPr>
              <w:t>L/(s•hm</w:t>
            </w:r>
            <w:r>
              <w:rPr>
                <w:rFonts w:hint="default"/>
                <w:b w:val="0"/>
                <w:bCs/>
                <w:color w:val="auto"/>
                <w:sz w:val="24"/>
                <w:vertAlign w:val="superscript"/>
              </w:rPr>
              <w:t>2</w:t>
            </w:r>
            <w:r>
              <w:rPr>
                <w:rFonts w:hint="default"/>
                <w:b w:val="0"/>
                <w:bCs/>
                <w:color w:val="auto"/>
                <w:sz w:val="24"/>
              </w:rPr>
              <w:t>)，则初期雨水量为2</w:t>
            </w:r>
            <w:r>
              <w:rPr>
                <w:rFonts w:hint="eastAsia"/>
                <w:b w:val="0"/>
                <w:bCs/>
                <w:color w:val="auto"/>
                <w:sz w:val="24"/>
              </w:rPr>
              <w:t>17</w:t>
            </w:r>
            <w:r>
              <w:rPr>
                <w:rFonts w:hint="default"/>
                <w:b w:val="0"/>
                <w:bCs/>
                <w:color w:val="auto"/>
                <w:sz w:val="24"/>
              </w:rPr>
              <w:t>×0.3×</w:t>
            </w:r>
            <w:r>
              <w:rPr>
                <w:rFonts w:hint="eastAsia"/>
                <w:b w:val="0"/>
                <w:bCs/>
                <w:color w:val="auto"/>
                <w:sz w:val="24"/>
                <w:lang w:val="en-US" w:eastAsia="zh-CN"/>
              </w:rPr>
              <w:t>3.7</w:t>
            </w:r>
            <w:r>
              <w:rPr>
                <w:rFonts w:hint="default"/>
                <w:b w:val="0"/>
                <w:bCs/>
                <w:color w:val="auto"/>
                <w:sz w:val="24"/>
              </w:rPr>
              <w:t>×15×60÷1000=</w:t>
            </w:r>
            <w:r>
              <w:rPr>
                <w:rFonts w:hint="eastAsia"/>
                <w:b w:val="0"/>
                <w:bCs/>
                <w:color w:val="auto"/>
                <w:sz w:val="24"/>
                <w:lang w:val="en-US" w:eastAsia="zh-CN"/>
              </w:rPr>
              <w:t>216.8</w:t>
            </w:r>
            <w:r>
              <w:rPr>
                <w:rFonts w:hint="default"/>
                <w:b w:val="0"/>
                <w:bCs/>
                <w:color w:val="auto"/>
                <w:sz w:val="24"/>
              </w:rPr>
              <w:t>m</w:t>
            </w:r>
            <w:r>
              <w:rPr>
                <w:rFonts w:hint="default"/>
                <w:b w:val="0"/>
                <w:bCs/>
                <w:color w:val="auto"/>
                <w:sz w:val="24"/>
                <w:vertAlign w:val="superscript"/>
              </w:rPr>
              <w:t>3</w:t>
            </w:r>
            <w:r>
              <w:rPr>
                <w:rFonts w:hint="default"/>
                <w:b w:val="0"/>
                <w:bCs/>
                <w:color w:val="auto"/>
                <w:sz w:val="24"/>
              </w:rPr>
              <w:t>/次。初期雨水经厂区四周排水沟汇入</w:t>
            </w:r>
            <w:r>
              <w:rPr>
                <w:rFonts w:hint="eastAsia"/>
                <w:b w:val="0"/>
                <w:bCs/>
                <w:color w:val="auto"/>
                <w:sz w:val="24"/>
              </w:rPr>
              <w:t>厂区</w:t>
            </w:r>
            <w:r>
              <w:rPr>
                <w:rFonts w:hint="default"/>
                <w:b w:val="0"/>
                <w:bCs/>
                <w:color w:val="auto"/>
                <w:sz w:val="24"/>
              </w:rPr>
              <w:t>初期雨水池隔油沉淀后，用于</w:t>
            </w:r>
            <w:r>
              <w:rPr>
                <w:rFonts w:hint="eastAsia"/>
                <w:b w:val="0"/>
                <w:bCs/>
                <w:color w:val="auto"/>
                <w:sz w:val="24"/>
              </w:rPr>
              <w:t>洒水降尘</w:t>
            </w:r>
            <w:r>
              <w:rPr>
                <w:rFonts w:hint="default"/>
                <w:b w:val="0"/>
                <w:bCs/>
                <w:color w:val="auto"/>
                <w:sz w:val="24"/>
              </w:rPr>
              <w:t>，不外排。每年</w:t>
            </w:r>
            <w:r>
              <w:rPr>
                <w:rFonts w:hint="eastAsia"/>
                <w:b w:val="0"/>
                <w:bCs/>
                <w:color w:val="auto"/>
                <w:sz w:val="24"/>
                <w:lang w:val="en-US" w:eastAsia="zh-CN"/>
              </w:rPr>
              <w:t>6</w:t>
            </w:r>
            <w:r>
              <w:rPr>
                <w:rFonts w:hint="eastAsia"/>
                <w:b w:val="0"/>
                <w:bCs/>
                <w:color w:val="auto"/>
                <w:sz w:val="24"/>
              </w:rPr>
              <w:t>月到</w:t>
            </w:r>
            <w:r>
              <w:rPr>
                <w:rFonts w:hint="eastAsia"/>
                <w:b w:val="0"/>
                <w:bCs/>
                <w:color w:val="auto"/>
                <w:sz w:val="24"/>
                <w:lang w:val="en-US" w:eastAsia="zh-CN"/>
              </w:rPr>
              <w:t>8</w:t>
            </w:r>
            <w:r>
              <w:rPr>
                <w:rFonts w:hint="eastAsia"/>
                <w:b w:val="0"/>
                <w:bCs/>
                <w:color w:val="auto"/>
                <w:sz w:val="24"/>
              </w:rPr>
              <w:t>月降雨，平均每月收集2次初期雨水，初期雨水量为</w:t>
            </w:r>
            <w:r>
              <w:rPr>
                <w:rFonts w:hint="eastAsia"/>
                <w:b w:val="0"/>
                <w:bCs/>
                <w:color w:val="auto"/>
                <w:sz w:val="24"/>
                <w:lang w:val="en-US" w:eastAsia="zh-CN"/>
              </w:rPr>
              <w:t>1300</w:t>
            </w:r>
            <w:r>
              <w:rPr>
                <w:rFonts w:hint="default"/>
                <w:b w:val="0"/>
                <w:bCs/>
                <w:color w:val="auto"/>
                <w:sz w:val="24"/>
              </w:rPr>
              <w:t>m</w:t>
            </w:r>
            <w:r>
              <w:rPr>
                <w:rFonts w:hint="default"/>
                <w:b w:val="0"/>
                <w:bCs/>
                <w:color w:val="auto"/>
                <w:sz w:val="24"/>
                <w:vertAlign w:val="superscript"/>
              </w:rPr>
              <w:t>3</w:t>
            </w:r>
            <w:r>
              <w:rPr>
                <w:rFonts w:hint="default"/>
                <w:b w:val="0"/>
                <w:bCs/>
                <w:color w:val="auto"/>
                <w:sz w:val="24"/>
              </w:rPr>
              <w:t>/</w:t>
            </w:r>
            <w:r>
              <w:rPr>
                <w:rFonts w:hint="eastAsia"/>
                <w:b w:val="0"/>
                <w:bCs/>
                <w:color w:val="auto"/>
                <w:sz w:val="24"/>
              </w:rPr>
              <w:t>a</w:t>
            </w:r>
            <w:r>
              <w:rPr>
                <w:rFonts w:hint="default"/>
                <w:b w:val="0"/>
                <w:bCs/>
                <w:color w:val="auto"/>
                <w:sz w:val="24"/>
              </w:rPr>
              <w:t>。</w:t>
            </w:r>
          </w:p>
          <w:p w14:paraId="30C2C541">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p>
          <w:p w14:paraId="3B78DDA5">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p>
          <w:p w14:paraId="6B15A797">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82816" behindDoc="0" locked="0" layoutInCell="1" allowOverlap="1">
                      <wp:simplePos x="0" y="0"/>
                      <wp:positionH relativeFrom="column">
                        <wp:posOffset>2312670</wp:posOffset>
                      </wp:positionH>
                      <wp:positionV relativeFrom="paragraph">
                        <wp:posOffset>137160</wp:posOffset>
                      </wp:positionV>
                      <wp:extent cx="702310" cy="28575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C9C68">
                                  <w:pPr>
                                    <w:rPr>
                                      <w:rFonts w:hint="default" w:eastAsia="宋体"/>
                                      <w:lang w:val="en-US" w:eastAsia="zh-CN"/>
                                    </w:rPr>
                                  </w:pPr>
                                  <w:r>
                                    <w:rPr>
                                      <w:rFonts w:hint="eastAsia"/>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1pt;margin-top:10.8pt;height:22.5pt;width:55.3pt;z-index:251682816;mso-width-relative:page;mso-height-relative:page;" filled="f" stroked="f" coordsize="21600,21600" o:gfxdata="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PKYjtoAAAAJAQAADwAAAAAAAAABACAAAAAiAAAAZHJz&#10;L2Rvd25yZXYueG1sUEsBAhQAFAAAAAgAh07iQNC/pBE7AgAAZwQAAA4AAAAAAAAAAQAgAAAAKQEA&#10;AGRycy9lMm9Eb2MueG1sUEsFBgAAAAAGAAYAWQEAANYFAAAAAA==&#10;">
                      <v:fill on="f" focussize="0,0"/>
                      <v:stroke on="f" weight="0.5pt"/>
                      <v:imagedata o:title=""/>
                      <o:lock v:ext="edit" aspectratio="f"/>
                      <v:textbox>
                        <w:txbxContent>
                          <w:p w14:paraId="28EC9C68">
                            <w:pPr>
                              <w:rPr>
                                <w:rFonts w:hint="default" w:eastAsia="宋体"/>
                                <w:lang w:val="en-US" w:eastAsia="zh-CN"/>
                              </w:rPr>
                            </w:pPr>
                            <w:r>
                              <w:rPr>
                                <w:rFonts w:hint="eastAsia"/>
                                <w:lang w:val="en-US" w:eastAsia="zh-CN"/>
                              </w:rPr>
                              <w:t>1.2</w:t>
                            </w:r>
                          </w:p>
                        </w:txbxContent>
                      </v:textbox>
                    </v:shape>
                  </w:pict>
                </mc:Fallback>
              </mc:AlternateContent>
            </w:r>
            <w:r>
              <w:rPr>
                <w:rFonts w:hint="default"/>
                <w:color w:val="auto"/>
                <w:sz w:val="24"/>
              </w:rPr>
              <mc:AlternateContent>
                <mc:Choice Requires="wps">
                  <w:drawing>
                    <wp:anchor distT="0" distB="0" distL="114300" distR="114300" simplePos="0" relativeHeight="251681792" behindDoc="0" locked="0" layoutInCell="1" allowOverlap="1">
                      <wp:simplePos x="0" y="0"/>
                      <wp:positionH relativeFrom="column">
                        <wp:posOffset>2033905</wp:posOffset>
                      </wp:positionH>
                      <wp:positionV relativeFrom="paragraph">
                        <wp:posOffset>186055</wp:posOffset>
                      </wp:positionV>
                      <wp:extent cx="398145" cy="242570"/>
                      <wp:effectExtent l="2540" t="0" r="18415" b="5080"/>
                      <wp:wrapNone/>
                      <wp:docPr id="74" name="直接箭头连接符 74"/>
                      <wp:cNvGraphicFramePr/>
                      <a:graphic xmlns:a="http://schemas.openxmlformats.org/drawingml/2006/main">
                        <a:graphicData uri="http://schemas.microsoft.com/office/word/2010/wordprocessingShape">
                          <wps:wsp>
                            <wps:cNvCnPr/>
                            <wps:spPr>
                              <a:xfrm flipV="1">
                                <a:off x="0" y="0"/>
                                <a:ext cx="398145" cy="24257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60.15pt;margin-top:14.65pt;height:19.1pt;width:31.35pt;z-index:251681792;mso-width-relative:page;mso-height-relative:page;" filled="f" stroked="t" coordsize="21600,21600" o:gfxdata="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&#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mgKP2QAAAAkBAAAPAAAAAAAAAAEAIAAAACIAAABk&#10;cnMvZG93bnJldi54bWxQSwECFAAUAAAACACHTuJAyON6XgUCAADWAwAADgAAAAAAAAABACAAAAAo&#10;AQAAZHJzL2Uyb0RvYy54bWxQSwUGAAAAAAYABgBZAQAAnwUAAAAA&#10;">
                      <v:fill on="f" focussize="0,0"/>
                      <v:stroke color="#000000 [3213]" joinstyle="round" dashstyle="dash" endarrow="open"/>
                      <v:imagedata o:title=""/>
                      <o:lock v:ext="edit" aspectratio="f"/>
                    </v:shape>
                  </w:pict>
                </mc:Fallback>
              </mc:AlternateContent>
            </w:r>
          </w:p>
          <w:p w14:paraId="690E5243">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94080" behindDoc="0" locked="0" layoutInCell="1" allowOverlap="1">
                      <wp:simplePos x="0" y="0"/>
                      <wp:positionH relativeFrom="column">
                        <wp:posOffset>412115</wp:posOffset>
                      </wp:positionH>
                      <wp:positionV relativeFrom="paragraph">
                        <wp:posOffset>157480</wp:posOffset>
                      </wp:positionV>
                      <wp:extent cx="1003935" cy="285750"/>
                      <wp:effectExtent l="4445" t="4445" r="20320" b="14605"/>
                      <wp:wrapNone/>
                      <wp:docPr id="2" name="文本框 2"/>
                      <wp:cNvGraphicFramePr/>
                      <a:graphic xmlns:a="http://schemas.openxmlformats.org/drawingml/2006/main">
                        <a:graphicData uri="http://schemas.microsoft.com/office/word/2010/wordprocessingShape">
                          <wps:wsp>
                            <wps:cNvSpPr txBox="1"/>
                            <wps:spPr>
                              <a:xfrm>
                                <a:off x="0" y="0"/>
                                <a:ext cx="100393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B57A7A">
                                  <w:pPr>
                                    <w:rPr>
                                      <w:rFonts w:hint="default" w:eastAsia="宋体"/>
                                      <w:lang w:val="en-US" w:eastAsia="zh-CN"/>
                                    </w:rPr>
                                  </w:pPr>
                                  <w:r>
                                    <w:rPr>
                                      <w:rFonts w:hint="eastAsia"/>
                                      <w:lang w:val="en-US" w:eastAsia="zh-CN"/>
                                    </w:rPr>
                                    <w:t>新水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5pt;margin-top:12.4pt;height:22.5pt;width:79.05pt;z-index:251694080;mso-width-relative:page;mso-height-relative:page;" fillcolor="#FFFFFF [3201]" filled="t" stroked="t" coordsize="21600,21600" o:gfxdata="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tc/ltQAAAAI&#10;AQAADwAAAAAAAAABACAAAAAiAAAAZHJzL2Rvd25yZXYueG1sUEsBAhQAFAAAAAgAh07iQLtYUX1Z&#10;AgAAtwQAAA4AAAAAAAAAAQAgAAAAIwEAAGRycy9lMm9Eb2MueG1sUEsFBgAAAAAGAAYAWQEAAO4F&#10;AAAAAA==&#10;">
                      <v:fill on="t" focussize="0,0"/>
                      <v:stroke weight="0.5pt" color="#000000 [3204]" joinstyle="round"/>
                      <v:imagedata o:title=""/>
                      <o:lock v:ext="edit" aspectratio="f"/>
                      <v:textbox>
                        <w:txbxContent>
                          <w:p w14:paraId="7EB57A7A">
                            <w:pPr>
                              <w:rPr>
                                <w:rFonts w:hint="default" w:eastAsia="宋体"/>
                                <w:lang w:val="en-US" w:eastAsia="zh-CN"/>
                              </w:rPr>
                            </w:pPr>
                            <w:r>
                              <w:rPr>
                                <w:rFonts w:hint="eastAsia"/>
                                <w:lang w:val="en-US" w:eastAsia="zh-CN"/>
                              </w:rPr>
                              <w:t>新水</w:t>
                            </w:r>
                          </w:p>
                        </w:txbxContent>
                      </v:textbox>
                    </v:shape>
                  </w:pict>
                </mc:Fallback>
              </mc:AlternateContent>
            </w:r>
            <w:r>
              <w:rPr>
                <w:rFonts w:hint="default"/>
                <w:color w:val="auto"/>
                <w:sz w:val="24"/>
              </w:rPr>
              <mc:AlternateContent>
                <mc:Choice Requires="wps">
                  <w:drawing>
                    <wp:anchor distT="0" distB="0" distL="114300" distR="114300" simplePos="0" relativeHeight="251687936" behindDoc="0" locked="0" layoutInCell="1" allowOverlap="1">
                      <wp:simplePos x="0" y="0"/>
                      <wp:positionH relativeFrom="column">
                        <wp:posOffset>3248660</wp:posOffset>
                      </wp:positionH>
                      <wp:positionV relativeFrom="paragraph">
                        <wp:posOffset>20955</wp:posOffset>
                      </wp:positionV>
                      <wp:extent cx="702310" cy="28575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D43A8">
                                  <w:pPr>
                                    <w:rPr>
                                      <w:rFonts w:hint="default" w:eastAsia="宋体"/>
                                      <w:lang w:val="en-US" w:eastAsia="zh-CN"/>
                                    </w:rPr>
                                  </w:pPr>
                                  <w:r>
                                    <w:rPr>
                                      <w:rFonts w:hint="eastAsia"/>
                                      <w:lang w:val="en-US" w:eastAsia="zh-CN"/>
                                    </w:rPr>
                                    <w:t>5.2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8pt;margin-top:1.65pt;height:22.5pt;width:55.3pt;z-index:251687936;mso-width-relative:page;mso-height-relative:page;" filled="f" stroked="f" coordsize="21600,21600" o:gfxdata="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52rNNoAAAAIAQAADwAAAAAAAAABACAAAAAiAAAAZHJz&#10;L2Rvd25yZXYueG1sUEsBAhQAFAAAAAgAh07iQH3pn4M7AgAAZwQAAA4AAAAAAAAAAQAgAAAAKQEA&#10;AGRycy9lMm9Eb2MueG1sUEsFBgAAAAAGAAYAWQEAANYFAAAAAA==&#10;">
                      <v:fill on="f" focussize="0,0"/>
                      <v:stroke on="f" weight="0.5pt"/>
                      <v:imagedata o:title=""/>
                      <o:lock v:ext="edit" aspectratio="f"/>
                      <v:textbox>
                        <w:txbxContent>
                          <w:p w14:paraId="5F9D43A8">
                            <w:pPr>
                              <w:rPr>
                                <w:rFonts w:hint="default" w:eastAsia="宋体"/>
                                <w:lang w:val="en-US" w:eastAsia="zh-CN"/>
                              </w:rPr>
                            </w:pPr>
                            <w:r>
                              <w:rPr>
                                <w:rFonts w:hint="eastAsia"/>
                                <w:lang w:val="en-US" w:eastAsia="zh-CN"/>
                              </w:rPr>
                              <w:t>5.2</w:t>
                            </w:r>
                          </w:p>
                        </w:txbxContent>
                      </v:textbox>
                    </v:shape>
                  </w:pict>
                </mc:Fallback>
              </mc:AlternateContent>
            </w:r>
            <w:r>
              <w:rPr>
                <w:rFonts w:hint="default"/>
                <w:color w:val="auto"/>
                <w:sz w:val="24"/>
              </w:rPr>
              <mc:AlternateContent>
                <mc:Choice Requires="wps">
                  <w:drawing>
                    <wp:anchor distT="0" distB="0" distL="114300" distR="114300" simplePos="0" relativeHeight="251679744" behindDoc="0" locked="0" layoutInCell="1" allowOverlap="1">
                      <wp:simplePos x="0" y="0"/>
                      <wp:positionH relativeFrom="column">
                        <wp:posOffset>1489710</wp:posOffset>
                      </wp:positionH>
                      <wp:positionV relativeFrom="paragraph">
                        <wp:posOffset>56515</wp:posOffset>
                      </wp:positionV>
                      <wp:extent cx="702310" cy="28575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A8DDB">
                                  <w:pPr>
                                    <w:rPr>
                                      <w:rFonts w:hint="default" w:eastAsia="宋体"/>
                                      <w:lang w:val="en-US" w:eastAsia="zh-CN"/>
                                    </w:rPr>
                                  </w:pPr>
                                  <w:r>
                                    <w:rPr>
                                      <w:rFonts w:hint="eastAsia"/>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3pt;margin-top:4.45pt;height:22.5pt;width:55.3pt;z-index:251679744;mso-width-relative:page;mso-height-relative:page;" filled="f" stroked="f" coordsize="21600,21600" o:gfxdata="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xWyAdoAAAAIAQAADwAAAAAAAAABACAAAAAiAAAAZHJz&#10;L2Rvd25yZXYueG1sUEsBAhQAFAAAAAgAh07iQDpOSwQ7AgAAZwQAAA4AAAAAAAAAAQAgAAAAKQEA&#10;AGRycy9lMm9Eb2MueG1sUEsFBgAAAAAGAAYAWQEAANYFAAAAAA==&#10;">
                      <v:fill on="f" focussize="0,0"/>
                      <v:stroke on="f" weight="0.5pt"/>
                      <v:imagedata o:title=""/>
                      <o:lock v:ext="edit" aspectratio="f"/>
                      <v:textbox>
                        <w:txbxContent>
                          <w:p w14:paraId="295A8DDB">
                            <w:pPr>
                              <w:rPr>
                                <w:rFonts w:hint="default" w:eastAsia="宋体"/>
                                <w:lang w:val="en-US" w:eastAsia="zh-CN"/>
                              </w:rPr>
                            </w:pPr>
                            <w:r>
                              <w:rPr>
                                <w:rFonts w:hint="eastAsia"/>
                                <w:lang w:val="en-US" w:eastAsia="zh-CN"/>
                              </w:rPr>
                              <w:t>1</w:t>
                            </w:r>
                          </w:p>
                        </w:txbxContent>
                      </v:textbox>
                    </v:shape>
                  </w:pict>
                </mc:Fallback>
              </mc:AlternateContent>
            </w:r>
            <w:r>
              <w:rPr>
                <w:rFonts w:hint="default"/>
                <w:color w:val="auto"/>
                <w:sz w:val="24"/>
              </w:rPr>
              <mc:AlternateContent>
                <mc:Choice Requires="wps">
                  <w:drawing>
                    <wp:anchor distT="0" distB="0" distL="114300" distR="114300" simplePos="0" relativeHeight="251676672" behindDoc="0" locked="0" layoutInCell="1" allowOverlap="1">
                      <wp:simplePos x="0" y="0"/>
                      <wp:positionH relativeFrom="column">
                        <wp:posOffset>2960370</wp:posOffset>
                      </wp:positionH>
                      <wp:positionV relativeFrom="paragraph">
                        <wp:posOffset>255905</wp:posOffset>
                      </wp:positionV>
                      <wp:extent cx="995680" cy="0"/>
                      <wp:effectExtent l="0" t="48895" r="13970" b="65405"/>
                      <wp:wrapNone/>
                      <wp:docPr id="38" name="直接箭头连接符 38"/>
                      <wp:cNvGraphicFramePr/>
                      <a:graphic xmlns:a="http://schemas.openxmlformats.org/drawingml/2006/main">
                        <a:graphicData uri="http://schemas.microsoft.com/office/word/2010/wordprocessingShape">
                          <wps:wsp>
                            <wps:cNvCnPr/>
                            <wps:spPr>
                              <a:xfrm flipH="1">
                                <a:off x="0" y="0"/>
                                <a:ext cx="99568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33.1pt;margin-top:20.15pt;height:0pt;width:78.4pt;z-index:251676672;mso-width-relative:page;mso-height-relative:page;" filled="f" stroked="t" coordsize="21600,21600" o:gfxdata="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9hPo11wAAAAkBAAAPAAAAAAAAAAEAIAAAACIAAABkcnMvZG93bnJl&#10;di54bWxQSwECFAAUAAAACACHTuJAMWsSJf4BAADSAwAADgAAAAAAAAABACAAAAAmAQAAZHJzL2Uy&#10;b0RvYy54bWxQSwUGAAAAAAYABgBZAQAAlgUAAAAA&#10;">
                      <v:fill on="f" focussize="0,0"/>
                      <v:stroke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68480" behindDoc="0" locked="0" layoutInCell="1" allowOverlap="1">
                      <wp:simplePos x="0" y="0"/>
                      <wp:positionH relativeFrom="column">
                        <wp:posOffset>1947545</wp:posOffset>
                      </wp:positionH>
                      <wp:positionV relativeFrom="paragraph">
                        <wp:posOffset>169545</wp:posOffset>
                      </wp:positionV>
                      <wp:extent cx="1003935" cy="476250"/>
                      <wp:effectExtent l="4445" t="4445" r="20320" b="14605"/>
                      <wp:wrapNone/>
                      <wp:docPr id="16" name="文本框 16"/>
                      <wp:cNvGraphicFramePr/>
                      <a:graphic xmlns:a="http://schemas.openxmlformats.org/drawingml/2006/main">
                        <a:graphicData uri="http://schemas.microsoft.com/office/word/2010/wordprocessingShape">
                          <wps:wsp>
                            <wps:cNvSpPr txBox="1"/>
                            <wps:spPr>
                              <a:xfrm>
                                <a:off x="3251835" y="5019040"/>
                                <a:ext cx="1003935"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A0E808">
                                  <w:pPr>
                                    <w:rPr>
                                      <w:rFonts w:hint="eastAsia" w:eastAsia="宋体"/>
                                      <w:lang w:eastAsia="zh-CN"/>
                                    </w:rPr>
                                  </w:pPr>
                                  <w:r>
                                    <w:rPr>
                                      <w:rFonts w:hint="eastAsia"/>
                                      <w:lang w:eastAsia="zh-CN"/>
                                    </w:rPr>
                                    <w:t>设备、</w:t>
                                  </w:r>
                                  <w:r>
                                    <w:rPr>
                                      <w:rFonts w:hint="eastAsia"/>
                                      <w:lang w:val="en-US" w:eastAsia="zh-CN"/>
                                    </w:rPr>
                                    <w:t>车辆</w:t>
                                  </w:r>
                                  <w:r>
                                    <w:rPr>
                                      <w:rFonts w:hint="eastAsia"/>
                                      <w:lang w:eastAsia="zh-CN"/>
                                    </w:rPr>
                                    <w:t>清洗水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35pt;margin-top:13.35pt;height:37.5pt;width:79.05pt;z-index:251668480;mso-width-relative:page;mso-height-relative:page;" fillcolor="#FFFFFF [3201]" filled="t" stroked="t" coordsize="21600,21600" o:gfxdata="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WYDojWAAAACgEAAA8AAAAAAAAAAQAgAAAAIgAAAGRycy9kb3ducmV2LnhtbFBLAQIUABQA&#10;AAAIAIdO4kDv6zoPZAIAAMUEAAAOAAAAAAAAAAEAIAAAACUBAABkcnMvZTJvRG9jLnhtbFBLBQYA&#10;AAAABgAGAFkBAAD7BQAAAAA=&#10;">
                      <v:fill on="t" focussize="0,0"/>
                      <v:stroke weight="0.5pt" color="#000000 [3204]" joinstyle="round"/>
                      <v:imagedata o:title=""/>
                      <o:lock v:ext="edit" aspectratio="f"/>
                      <v:textbox>
                        <w:txbxContent>
                          <w:p w14:paraId="7BA0E808">
                            <w:pPr>
                              <w:rPr>
                                <w:rFonts w:hint="eastAsia" w:eastAsia="宋体"/>
                                <w:lang w:eastAsia="zh-CN"/>
                              </w:rPr>
                            </w:pPr>
                            <w:r>
                              <w:rPr>
                                <w:rFonts w:hint="eastAsia"/>
                                <w:lang w:eastAsia="zh-CN"/>
                              </w:rPr>
                              <w:t>设备、</w:t>
                            </w:r>
                            <w:r>
                              <w:rPr>
                                <w:rFonts w:hint="eastAsia"/>
                                <w:lang w:val="en-US" w:eastAsia="zh-CN"/>
                              </w:rPr>
                              <w:t>车辆</w:t>
                            </w:r>
                            <w:r>
                              <w:rPr>
                                <w:rFonts w:hint="eastAsia"/>
                                <w:lang w:eastAsia="zh-CN"/>
                              </w:rPr>
                              <w:t>清洗水</w:t>
                            </w:r>
                          </w:p>
                        </w:txbxContent>
                      </v:textbox>
                    </v:shape>
                  </w:pict>
                </mc:Fallback>
              </mc:AlternateContent>
            </w:r>
          </w:p>
          <w:p w14:paraId="0A77D231">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85888" behindDoc="0" locked="0" layoutInCell="1" allowOverlap="1">
                      <wp:simplePos x="0" y="0"/>
                      <wp:positionH relativeFrom="column">
                        <wp:posOffset>2849880</wp:posOffset>
                      </wp:positionH>
                      <wp:positionV relativeFrom="paragraph">
                        <wp:posOffset>130810</wp:posOffset>
                      </wp:positionV>
                      <wp:extent cx="702310" cy="28575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6B0C3">
                                  <w:pPr>
                                    <w:rPr>
                                      <w:rFonts w:hint="default" w:eastAsia="宋体"/>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4pt;margin-top:10.3pt;height:22.5pt;width:55.3pt;z-index:251685888;mso-width-relative:page;mso-height-relative:page;" filled="f" stroked="f" coordsize="21600,21600" o:gfxdata="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utg6doAAAAJAQAADwAAAAAAAAABACAAAAAiAAAAZHJz&#10;L2Rvd25yZXYueG1sUEsBAhQAFAAAAAgAh07iQCeWXGs7AgAAZwQAAA4AAAAAAAAAAQAgAAAAKQEA&#10;AGRycy9lMm9Eb2MueG1sUEsFBgAAAAAGAAYAWQEAANYFAAAAAA==&#10;">
                      <v:fill on="f" focussize="0,0"/>
                      <v:stroke on="f" weight="0.5pt"/>
                      <v:imagedata o:title=""/>
                      <o:lock v:ext="edit" aspectratio="f"/>
                      <v:textbox>
                        <w:txbxContent>
                          <w:p w14:paraId="79C6B0C3">
                            <w:pPr>
                              <w:rPr>
                                <w:rFonts w:hint="default" w:eastAsia="宋体"/>
                                <w:lang w:val="en-US" w:eastAsia="zh-CN"/>
                              </w:rPr>
                            </w:pPr>
                            <w:r>
                              <w:rPr>
                                <w:rFonts w:hint="eastAsia"/>
                                <w:lang w:val="en-US" w:eastAsia="zh-CN"/>
                              </w:rPr>
                              <w:t>5</w:t>
                            </w:r>
                          </w:p>
                        </w:txbxContent>
                      </v:textbox>
                    </v:shape>
                  </w:pict>
                </mc:Fallback>
              </mc:AlternateContent>
            </w:r>
            <w:r>
              <w:rPr>
                <w:rFonts w:hint="default"/>
                <w:color w:val="auto"/>
                <w:sz w:val="24"/>
              </w:rPr>
              <mc:AlternateContent>
                <mc:Choice Requires="wps">
                  <w:drawing>
                    <wp:anchor distT="0" distB="0" distL="114300" distR="114300" simplePos="0" relativeHeight="251677696" behindDoc="0" locked="0" layoutInCell="1" allowOverlap="1">
                      <wp:simplePos x="0" y="0"/>
                      <wp:positionH relativeFrom="column">
                        <wp:posOffset>1445260</wp:posOffset>
                      </wp:positionH>
                      <wp:positionV relativeFrom="paragraph">
                        <wp:posOffset>36195</wp:posOffset>
                      </wp:positionV>
                      <wp:extent cx="519430" cy="0"/>
                      <wp:effectExtent l="0" t="48895" r="13970" b="65405"/>
                      <wp:wrapNone/>
                      <wp:docPr id="52" name="直接箭头连接符 52"/>
                      <wp:cNvGraphicFramePr/>
                      <a:graphic xmlns:a="http://schemas.openxmlformats.org/drawingml/2006/main">
                        <a:graphicData uri="http://schemas.microsoft.com/office/word/2010/wordprocessingShape">
                          <wps:wsp>
                            <wps:cNvCnPr/>
                            <wps:spPr>
                              <a:xfrm>
                                <a:off x="0" y="0"/>
                                <a:ext cx="51943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3.8pt;margin-top:2.85pt;height:0pt;width:40.9pt;z-index:251677696;mso-width-relative:page;mso-height-relative:page;" filled="f" stroked="t" coordsize="21600,21600" o:gfxdata="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6YGla1AAAAAcBAAAPAAAAAAAAAAEAIAAAACIAAABkcnMvZG93bnJldi54bWxQSwEC&#10;FAAUAAAACACHTuJA/RvsVvgBAADIAwAADgAAAAAAAAABACAAAAAjAQAAZHJzL2Uyb0RvYy54bWxQ&#10;SwUGAAAAAAYABgBZAQAAjQUAAAAA&#10;">
                      <v:fill on="f" focussize="0,0"/>
                      <v:stroke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71552" behindDoc="0" locked="0" layoutInCell="1" allowOverlap="1">
                      <wp:simplePos x="0" y="0"/>
                      <wp:positionH relativeFrom="column">
                        <wp:posOffset>2942590</wp:posOffset>
                      </wp:positionH>
                      <wp:positionV relativeFrom="paragraph">
                        <wp:posOffset>148590</wp:posOffset>
                      </wp:positionV>
                      <wp:extent cx="303530" cy="4445"/>
                      <wp:effectExtent l="0" t="47625" r="1270" b="62230"/>
                      <wp:wrapNone/>
                      <wp:docPr id="21" name="直接箭头连接符 21"/>
                      <wp:cNvGraphicFramePr/>
                      <a:graphic xmlns:a="http://schemas.openxmlformats.org/drawingml/2006/main">
                        <a:graphicData uri="http://schemas.microsoft.com/office/word/2010/wordprocessingShape">
                          <wps:wsp>
                            <wps:cNvCnPr/>
                            <wps:spPr>
                              <a:xfrm flipV="1">
                                <a:off x="4255770" y="5157470"/>
                                <a:ext cx="303530" cy="44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1.7pt;margin-top:11.7pt;height:0.35pt;width:23.9pt;z-index:251671552;mso-width-relative:page;mso-height-relative:page;" filled="f" stroked="t" coordsize="21600,21600" o:gfxdata="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vg6OfXAAAACQEAAA8AAAAAAAAAAQAgAAAA&#10;IgAAAGRycy9kb3ducmV2LnhtbFBLAQIUABQAAAAIAIdO4kBfAnSaDAIAAOEDAAAOAAAAAAAAAAEA&#10;IAAAACYBAABkcnMvZTJvRG9jLnhtbFBLBQYAAAAABgAGAFkBAACkBQAAAAA=&#10;">
                      <v:fill on="f" focussize="0,0"/>
                      <v:stroke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73600" behindDoc="0" locked="0" layoutInCell="1" allowOverlap="1">
                      <wp:simplePos x="0" y="0"/>
                      <wp:positionH relativeFrom="column">
                        <wp:posOffset>3220085</wp:posOffset>
                      </wp:positionH>
                      <wp:positionV relativeFrom="paragraph">
                        <wp:posOffset>157480</wp:posOffset>
                      </wp:positionV>
                      <wp:extent cx="8890" cy="840105"/>
                      <wp:effectExtent l="4445" t="0" r="5715" b="17145"/>
                      <wp:wrapNone/>
                      <wp:docPr id="32" name="直接连接符 32"/>
                      <wp:cNvGraphicFramePr/>
                      <a:graphic xmlns:a="http://schemas.openxmlformats.org/drawingml/2006/main">
                        <a:graphicData uri="http://schemas.microsoft.com/office/word/2010/wordprocessingShape">
                          <wps:wsp>
                            <wps:cNvCnPr/>
                            <wps:spPr>
                              <a:xfrm flipH="1">
                                <a:off x="4541520" y="5166360"/>
                                <a:ext cx="8890" cy="8401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53.55pt;margin-top:12.4pt;height:66.15pt;width:0.7pt;z-index:251673600;mso-width-relative:page;mso-height-relative:page;" filled="f" stroked="t" coordsize="21600,21600" o:gfxdata="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vX8xzWAAAACgEAAA8AAAAAAAAAAQAgAAAAIgAAAGRycy9kb3ducmV2LnhtbFBLAQIUABQAAAAI&#10;AIdO4kDcGCJC7wEAALQDAAAOAAAAAAAAAAEAIAAAACUBAABkcnMvZTJvRG9jLnhtbFBLBQYAAAAA&#10;BgAGAFkBAACGBQAAAAA=&#10;">
                      <v:fill on="f" focussize="0,0"/>
                      <v:stroke color="#000000 [3213]" joinstyle="round"/>
                      <v:imagedata o:title=""/>
                      <o:lock v:ext="edit" aspectratio="f"/>
                    </v:line>
                  </w:pict>
                </mc:Fallback>
              </mc:AlternateContent>
            </w:r>
          </w:p>
          <w:p w14:paraId="7013BE93">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70528" behindDoc="0" locked="0" layoutInCell="1" allowOverlap="1">
                      <wp:simplePos x="0" y="0"/>
                      <wp:positionH relativeFrom="column">
                        <wp:posOffset>3549015</wp:posOffset>
                      </wp:positionH>
                      <wp:positionV relativeFrom="paragraph">
                        <wp:posOffset>189230</wp:posOffset>
                      </wp:positionV>
                      <wp:extent cx="927100" cy="285750"/>
                      <wp:effectExtent l="4445" t="4445" r="20955" b="14605"/>
                      <wp:wrapNone/>
                      <wp:docPr id="20" name="文本框 20"/>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C72700">
                                  <w:pPr>
                                    <w:ind w:firstLine="420" w:firstLineChars="200"/>
                                    <w:rPr>
                                      <w:rFonts w:hint="eastAsia" w:eastAsia="宋体"/>
                                      <w:lang w:eastAsia="zh-CN"/>
                                    </w:rPr>
                                  </w:pPr>
                                  <w:r>
                                    <w:rPr>
                                      <w:rFonts w:hint="eastAsia"/>
                                      <w:lang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45pt;margin-top:14.9pt;height:22.5pt;width:73pt;z-index:251670528;mso-width-relative:page;mso-height-relative:page;" fillcolor="#FFFFFF [3201]" filled="t" stroked="t" coordsize="21600,21600" o:gfxdata="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7xS/TXAAAA&#10;CQEAAA8AAAAAAAAAAQAgAAAAIgAAAGRycy9kb3ducmV2LnhtbFBLAQIUABQAAAAIAIdO4kB7eVhl&#10;VwIAALgEAAAOAAAAAAAAAAEAIAAAACYBAABkcnMvZTJvRG9jLnhtbFBLBQYAAAAABgAGAFkBAADv&#10;BQAAAAA=&#10;">
                      <v:fill on="t" focussize="0,0"/>
                      <v:stroke weight="0.5pt" color="#000000 [3204]" joinstyle="round"/>
                      <v:imagedata o:title=""/>
                      <o:lock v:ext="edit" aspectratio="f"/>
                      <v:textbox>
                        <w:txbxContent>
                          <w:p w14:paraId="2DC72700">
                            <w:pPr>
                              <w:ind w:firstLine="420" w:firstLineChars="200"/>
                              <w:rPr>
                                <w:rFonts w:hint="eastAsia" w:eastAsia="宋体"/>
                                <w:lang w:eastAsia="zh-CN"/>
                              </w:rPr>
                            </w:pPr>
                            <w:r>
                              <w:rPr>
                                <w:rFonts w:hint="eastAsia"/>
                                <w:lang w:eastAsia="zh-CN"/>
                              </w:rPr>
                              <w:t>沉淀池</w:t>
                            </w:r>
                          </w:p>
                        </w:txbxContent>
                      </v:textbox>
                    </v:shape>
                  </w:pict>
                </mc:Fallback>
              </mc:AlternateContent>
            </w:r>
            <w:r>
              <w:rPr>
                <w:rFonts w:hint="default"/>
                <w:color w:val="auto"/>
                <w:sz w:val="24"/>
              </w:rPr>
              <mc:AlternateContent>
                <mc:Choice Requires="wps">
                  <w:drawing>
                    <wp:anchor distT="0" distB="0" distL="114300" distR="114300" simplePos="0" relativeHeight="251686912" behindDoc="0" locked="0" layoutInCell="1" allowOverlap="1">
                      <wp:simplePos x="0" y="0"/>
                      <wp:positionH relativeFrom="column">
                        <wp:posOffset>3161665</wp:posOffset>
                      </wp:positionH>
                      <wp:positionV relativeFrom="paragraph">
                        <wp:posOffset>136525</wp:posOffset>
                      </wp:positionV>
                      <wp:extent cx="702310" cy="28575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80DF1">
                                  <w:pPr>
                                    <w:rPr>
                                      <w:rFonts w:hint="default" w:eastAsia="宋体"/>
                                      <w:lang w:val="en-US" w:eastAsia="zh-CN"/>
                                    </w:rPr>
                                  </w:pPr>
                                  <w:r>
                                    <w:rPr>
                                      <w:rFonts w:hint="eastAsia"/>
                                      <w:lang w:val="en-US" w:eastAsia="zh-CN"/>
                                    </w:rPr>
                                    <w:t>10.4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8.95pt;margin-top:10.75pt;height:22.5pt;width:55.3pt;z-index:251686912;mso-width-relative:page;mso-height-relative:page;" filled="f" stroked="f" coordsize="21600,21600" o:gfxdata="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6rgOfaAAAACQEAAA8AAAAAAAAAAQAgAAAAIgAAAGRy&#10;cy9kb3ducmV2LnhtbFBLAQIUABQAAAAIAIdO4kDNZ7N+PAIAAGcEAAAOAAAAAAAAAAEAIAAAACkB&#10;AABkcnMvZTJvRG9jLnhtbFBLBQYAAAAABgAGAFkBAADXBQAAAAA=&#10;">
                      <v:fill on="f" focussize="0,0"/>
                      <v:stroke on="f" weight="0.5pt"/>
                      <v:imagedata o:title=""/>
                      <o:lock v:ext="edit" aspectratio="f"/>
                      <v:textbox>
                        <w:txbxContent>
                          <w:p w14:paraId="6F480DF1">
                            <w:pPr>
                              <w:rPr>
                                <w:rFonts w:hint="default" w:eastAsia="宋体"/>
                                <w:lang w:val="en-US" w:eastAsia="zh-CN"/>
                              </w:rPr>
                            </w:pPr>
                            <w:r>
                              <w:rPr>
                                <w:rFonts w:hint="eastAsia"/>
                                <w:lang w:val="en-US" w:eastAsia="zh-CN"/>
                              </w:rPr>
                              <w:t>10.4</w:t>
                            </w:r>
                          </w:p>
                        </w:txbxContent>
                      </v:textbox>
                    </v:shape>
                  </w:pict>
                </mc:Fallback>
              </mc:AlternateContent>
            </w:r>
            <w:r>
              <w:rPr>
                <w:rFonts w:hint="default"/>
                <w:color w:val="auto"/>
                <w:sz w:val="24"/>
              </w:rPr>
              <mc:AlternateContent>
                <mc:Choice Requires="wps">
                  <w:drawing>
                    <wp:anchor distT="0" distB="0" distL="114300" distR="114300" simplePos="0" relativeHeight="251675648" behindDoc="0" locked="0" layoutInCell="1" allowOverlap="1">
                      <wp:simplePos x="0" y="0"/>
                      <wp:positionH relativeFrom="column">
                        <wp:posOffset>3964940</wp:posOffset>
                      </wp:positionH>
                      <wp:positionV relativeFrom="paragraph">
                        <wp:posOffset>-287020</wp:posOffset>
                      </wp:positionV>
                      <wp:extent cx="8255" cy="473075"/>
                      <wp:effectExtent l="47625" t="0" r="58420" b="3175"/>
                      <wp:wrapNone/>
                      <wp:docPr id="34" name="直接箭头连接符 34"/>
                      <wp:cNvGraphicFramePr/>
                      <a:graphic xmlns:a="http://schemas.openxmlformats.org/drawingml/2006/main">
                        <a:graphicData uri="http://schemas.microsoft.com/office/word/2010/wordprocessingShape">
                          <wps:wsp>
                            <wps:cNvCnPr/>
                            <wps:spPr>
                              <a:xfrm flipH="1" flipV="1">
                                <a:off x="0" y="0"/>
                                <a:ext cx="8255" cy="47307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312.2pt;margin-top:-22.6pt;height:37.25pt;width:0.65pt;z-index:251675648;mso-width-relative:page;mso-height-relative:page;" filled="f" stroked="t" coordsize="21600,21600" o:gfxdata="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FMIIrYAAAACgEAAA8AAAAAAAAAAQAgAAAAIgAAAGRycy9kb3ducmV2LnhtbFBLAQIUABQA&#10;AAAIAIdO4kBX+UGVKQIAACoEAAAOAAAAAAAAAAEAIAAAACcBAABkcnMvZTJvRG9jLnhtbFBLBQYA&#10;AAAABgAGAFkBAADCBQAAAAA=&#10;">
                      <v:fill on="f" focussize="0,0"/>
                      <v:stroke color="#000000 [3200]" joinstyle="round" endarrow="open"/>
                      <v:imagedata o:title=""/>
                      <o:lock v:ext="edit" aspectratio="f"/>
                    </v:shape>
                  </w:pict>
                </mc:Fallback>
              </mc:AlternateContent>
            </w:r>
          </w:p>
          <w:p w14:paraId="479BD81B">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95104" behindDoc="0" locked="0" layoutInCell="1" allowOverlap="1">
                      <wp:simplePos x="0" y="0"/>
                      <wp:positionH relativeFrom="column">
                        <wp:posOffset>4012565</wp:posOffset>
                      </wp:positionH>
                      <wp:positionV relativeFrom="paragraph">
                        <wp:posOffset>212090</wp:posOffset>
                      </wp:positionV>
                      <wp:extent cx="4445" cy="1365250"/>
                      <wp:effectExtent l="45085" t="0" r="64770" b="6350"/>
                      <wp:wrapNone/>
                      <wp:docPr id="3" name="直接箭头连接符 3"/>
                      <wp:cNvGraphicFramePr/>
                      <a:graphic xmlns:a="http://schemas.openxmlformats.org/drawingml/2006/main">
                        <a:graphicData uri="http://schemas.microsoft.com/office/word/2010/wordprocessingShape">
                          <wps:wsp>
                            <wps:cNvCnPr>
                              <a:stCxn id="20" idx="2"/>
                            </wps:cNvCnPr>
                            <wps:spPr>
                              <a:xfrm>
                                <a:off x="5316855" y="2258695"/>
                                <a:ext cx="4445" cy="1365250"/>
                              </a:xfrm>
                              <a:prstGeom prst="straightConnector1">
                                <a:avLst/>
                              </a:prstGeom>
                              <a:ln w="9525">
                                <a:solidFill>
                                  <a:schemeClr val="tx1"/>
                                </a:solidFill>
                                <a:tailEnd type="arrow"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15.95pt;margin-top:16.7pt;height:107.5pt;width:0.35pt;z-index:251695104;mso-width-relative:page;mso-height-relative:page;" filled="f" stroked="t" coordsize="21600,21600" o:gfxdata="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pv1M2AAAAAoBAAAPAAAAAAAAAAEAIAAAACIAAABkcnMvZG93bnJldi54bWxQSwECFAAUAAAACACH&#10;TuJAOI9TrCQCAAAPBAAADgAAAAAAAAABACAAAAAnAQAAZHJzL2Uyb0RvYy54bWxQSwUGAAAAAAYA&#10;BgBZAQAAvQUAAAAA&#10;">
                      <v:fill on="f" focussize="0,0"/>
                      <v:stroke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88960" behindDoc="0" locked="0" layoutInCell="1" allowOverlap="1">
                      <wp:simplePos x="0" y="0"/>
                      <wp:positionH relativeFrom="column">
                        <wp:posOffset>2867025</wp:posOffset>
                      </wp:positionH>
                      <wp:positionV relativeFrom="paragraph">
                        <wp:posOffset>254635</wp:posOffset>
                      </wp:positionV>
                      <wp:extent cx="702310" cy="28575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D2A58">
                                  <w:pPr>
                                    <w:rPr>
                                      <w:rFonts w:hint="default" w:eastAsia="宋体"/>
                                      <w:lang w:val="en-US" w:eastAsia="zh-CN"/>
                                    </w:rPr>
                                  </w:pPr>
                                  <w:r>
                                    <w:rPr>
                                      <w:rFonts w:hint="eastAsia"/>
                                      <w:lang w:val="en-US" w:eastAsia="zh-CN"/>
                                    </w:rPr>
                                    <w:t>5.4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75pt;margin-top:20.05pt;height:22.5pt;width:55.3pt;z-index:251688960;mso-width-relative:page;mso-height-relative:page;" filled="f" stroked="f" coordsize="21600,21600" o:gfxdata="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VE2tkAAAAJAQAADwAAAAAAAAABACAAAAAiAAAAZHJz&#10;L2Rvd25yZXYueG1sUEsBAhQAFAAAAAgAh07iQNJuq2E8AgAAZwQAAA4AAAAAAAAAAQAgAAAAKAEA&#10;AGRycy9lMm9Eb2MueG1sUEsFBgAAAAAGAAYAWQEAANYFAAAAAA==&#10;">
                      <v:fill on="f" focussize="0,0"/>
                      <v:stroke on="f" weight="0.5pt"/>
                      <v:imagedata o:title=""/>
                      <o:lock v:ext="edit" aspectratio="f"/>
                      <v:textbox>
                        <w:txbxContent>
                          <w:p w14:paraId="2C3D2A58">
                            <w:pPr>
                              <w:rPr>
                                <w:rFonts w:hint="default" w:eastAsia="宋体"/>
                                <w:lang w:val="en-US" w:eastAsia="zh-CN"/>
                              </w:rPr>
                            </w:pPr>
                            <w:r>
                              <w:rPr>
                                <w:rFonts w:hint="eastAsia"/>
                                <w:lang w:val="en-US" w:eastAsia="zh-CN"/>
                              </w:rPr>
                              <w:t>5.4</w:t>
                            </w:r>
                          </w:p>
                        </w:txbxContent>
                      </v:textbox>
                    </v:shape>
                  </w:pict>
                </mc:Fallback>
              </mc:AlternateContent>
            </w:r>
            <w:r>
              <w:rPr>
                <w:rFonts w:hint="default"/>
                <w:color w:val="auto"/>
                <w:sz w:val="24"/>
              </w:rPr>
              <mc:AlternateContent>
                <mc:Choice Requires="wps">
                  <w:drawing>
                    <wp:anchor distT="0" distB="0" distL="114300" distR="114300" simplePos="0" relativeHeight="251674624" behindDoc="0" locked="0" layoutInCell="1" allowOverlap="1">
                      <wp:simplePos x="0" y="0"/>
                      <wp:positionH relativeFrom="column">
                        <wp:posOffset>3228975</wp:posOffset>
                      </wp:positionH>
                      <wp:positionV relativeFrom="paragraph">
                        <wp:posOffset>90805</wp:posOffset>
                      </wp:positionV>
                      <wp:extent cx="259715" cy="5080"/>
                      <wp:effectExtent l="0" t="47625" r="6985" b="61595"/>
                      <wp:wrapNone/>
                      <wp:docPr id="33" name="直接箭头连接符 33"/>
                      <wp:cNvGraphicFramePr/>
                      <a:graphic xmlns:a="http://schemas.openxmlformats.org/drawingml/2006/main">
                        <a:graphicData uri="http://schemas.microsoft.com/office/word/2010/wordprocessingShape">
                          <wps:wsp>
                            <wps:cNvCnPr/>
                            <wps:spPr>
                              <a:xfrm flipV="1">
                                <a:off x="0" y="0"/>
                                <a:ext cx="259715" cy="5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4.25pt;margin-top:7.15pt;height:0.4pt;width:20.45pt;z-index:251674624;mso-width-relative:page;mso-height-relative:page;" filled="f" stroked="t" coordsize="21600,21600" o:gfxdata="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17c4tcAAAAJAQAADwAAAAAAAAABACAAAAAiAAAAZHJzL2Rv&#10;d25yZXYueG1sUEsBAhQAFAAAAAgAh07iQECJgeQCAgAA1QMAAA4AAAAAAAAAAQAgAAAAJgEAAGRy&#10;cy9lMm9Eb2MueG1sUEsFBgAAAAAGAAYAWQEAAJoFAAAAAA==&#10;">
                      <v:fill on="f" focussize="0,0"/>
                      <v:stroke color="#000000 [3213]" joinstyle="round" endarrow="open"/>
                      <v:imagedata o:title=""/>
                      <o:lock v:ext="edit" aspectratio="f"/>
                    </v:shape>
                  </w:pict>
                </mc:Fallback>
              </mc:AlternateContent>
            </w:r>
          </w:p>
          <w:p w14:paraId="74A8232C">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72576" behindDoc="0" locked="0" layoutInCell="1" allowOverlap="1">
                      <wp:simplePos x="0" y="0"/>
                      <wp:positionH relativeFrom="column">
                        <wp:posOffset>2961005</wp:posOffset>
                      </wp:positionH>
                      <wp:positionV relativeFrom="paragraph">
                        <wp:posOffset>217170</wp:posOffset>
                      </wp:positionV>
                      <wp:extent cx="259715" cy="5080"/>
                      <wp:effectExtent l="0" t="47625" r="6985" b="61595"/>
                      <wp:wrapNone/>
                      <wp:docPr id="23" name="直接箭头连接符 23"/>
                      <wp:cNvGraphicFramePr/>
                      <a:graphic xmlns:a="http://schemas.openxmlformats.org/drawingml/2006/main">
                        <a:graphicData uri="http://schemas.microsoft.com/office/word/2010/wordprocessingShape">
                          <wps:wsp>
                            <wps:cNvCnPr/>
                            <wps:spPr>
                              <a:xfrm flipV="1">
                                <a:off x="0" y="0"/>
                                <a:ext cx="259715" cy="5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3.15pt;margin-top:17.1pt;height:0.4pt;width:20.45pt;z-index:251672576;mso-width-relative:page;mso-height-relative:page;" filled="f" stroked="t" coordsize="21600,21600" o:gfxdata="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UbzStcAAAAJAQAADwAAAAAAAAABACAAAAAiAAAAZHJzL2Rv&#10;d25yZXYueG1sUEsBAhQAFAAAAAgAh07iQGi9DJkCAgAA1QMAAA4AAAAAAAAAAQAgAAAAJgEAAGRy&#10;cy9lMm9Eb2MueG1sUEsFBgAAAAAGAAYAWQEAAJoFAAAAAA==&#10;">
                      <v:fill on="f" focussize="0,0"/>
                      <v:stroke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69504" behindDoc="0" locked="0" layoutInCell="1" allowOverlap="1">
                      <wp:simplePos x="0" y="0"/>
                      <wp:positionH relativeFrom="column">
                        <wp:posOffset>1965325</wp:posOffset>
                      </wp:positionH>
                      <wp:positionV relativeFrom="paragraph">
                        <wp:posOffset>148590</wp:posOffset>
                      </wp:positionV>
                      <wp:extent cx="1003935" cy="285750"/>
                      <wp:effectExtent l="4445" t="4445" r="20320" b="14605"/>
                      <wp:wrapNone/>
                      <wp:docPr id="19" name="文本框 19"/>
                      <wp:cNvGraphicFramePr/>
                      <a:graphic xmlns:a="http://schemas.openxmlformats.org/drawingml/2006/main">
                        <a:graphicData uri="http://schemas.microsoft.com/office/word/2010/wordprocessingShape">
                          <wps:wsp>
                            <wps:cNvSpPr txBox="1"/>
                            <wps:spPr>
                              <a:xfrm>
                                <a:off x="0" y="0"/>
                                <a:ext cx="100393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567344">
                                  <w:pPr>
                                    <w:rPr>
                                      <w:rFonts w:hint="default" w:eastAsia="宋体"/>
                                      <w:lang w:val="en-US" w:eastAsia="zh-CN"/>
                                    </w:rPr>
                                  </w:pPr>
                                  <w:r>
                                    <w:rPr>
                                      <w:rFonts w:hint="eastAsia"/>
                                      <w:lang w:val="en-US" w:eastAsia="zh-CN"/>
                                    </w:rPr>
                                    <w:t>初期雨水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75pt;margin-top:11.7pt;height:22.5pt;width:79.05pt;z-index:251669504;mso-width-relative:page;mso-height-relative:page;" fillcolor="#FFFFFF [3201]" filled="t" stroked="t" coordsize="21600,21600" o:gfxdata="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qTH6fX&#10;AAAACQEAAA8AAAAAAAAAAQAgAAAAIgAAAGRycy9kb3ducmV2LnhtbFBLAQIUABQAAAAIAIdO4kA2&#10;uXTzWgIAALkEAAAOAAAAAAAAAAEAIAAAACYBAABkcnMvZTJvRG9jLnhtbFBLBQYAAAAABgAGAFkB&#10;AADyBQAAAAA=&#10;">
                      <v:fill on="t" focussize="0,0"/>
                      <v:stroke weight="0.5pt" color="#000000 [3204]" joinstyle="round"/>
                      <v:imagedata o:title=""/>
                      <o:lock v:ext="edit" aspectratio="f"/>
                      <v:textbox>
                        <w:txbxContent>
                          <w:p w14:paraId="71567344">
                            <w:pPr>
                              <w:rPr>
                                <w:rFonts w:hint="default" w:eastAsia="宋体"/>
                                <w:lang w:val="en-US" w:eastAsia="zh-CN"/>
                              </w:rPr>
                            </w:pPr>
                            <w:r>
                              <w:rPr>
                                <w:rFonts w:hint="eastAsia"/>
                                <w:lang w:val="en-US" w:eastAsia="zh-CN"/>
                              </w:rPr>
                              <w:t>初期雨水</w:t>
                            </w:r>
                          </w:p>
                        </w:txbxContent>
                      </v:textbox>
                    </v:shape>
                  </w:pict>
                </mc:Fallback>
              </mc:AlternateContent>
            </w:r>
          </w:p>
          <w:p w14:paraId="2D3A7332">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p>
          <w:p w14:paraId="2ADBE7ED">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84864" behindDoc="0" locked="0" layoutInCell="1" allowOverlap="1">
                      <wp:simplePos x="0" y="0"/>
                      <wp:positionH relativeFrom="column">
                        <wp:posOffset>2416175</wp:posOffset>
                      </wp:positionH>
                      <wp:positionV relativeFrom="paragraph">
                        <wp:posOffset>193675</wp:posOffset>
                      </wp:positionV>
                      <wp:extent cx="702310" cy="28575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9CE0">
                                  <w:pPr>
                                    <w:rPr>
                                      <w:rFonts w:hint="default" w:eastAsia="宋体"/>
                                      <w:lang w:val="en-US" w:eastAsia="zh-CN"/>
                                    </w:rPr>
                                  </w:pPr>
                                  <w:r>
                                    <w:rPr>
                                      <w:rFonts w:hint="eastAsia"/>
                                      <w:lang w:val="en-US" w:eastAsia="zh-CN"/>
                                    </w:rPr>
                                    <w:t>5.2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25pt;margin-top:15.25pt;height:22.5pt;width:55.3pt;z-index:251684864;mso-width-relative:page;mso-height-relative:page;" filled="f" stroked="f" coordsize="21600,21600" o:gfxdata="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3eNRtkAAAAJAQAADwAAAAAAAAABACAAAAAiAAAAZHJz&#10;L2Rvd25yZXYueG1sUEsBAhQAFAAAAAgAh07iQO6tlC88AgAAZwQAAA4AAAAAAAAAAQAgAAAAKAEA&#10;AGRycy9lMm9Eb2MueG1sUEsFBgAAAAAGAAYAWQEAANYFAAAAAA==&#10;">
                      <v:fill on="f" focussize="0,0"/>
                      <v:stroke on="f" weight="0.5pt"/>
                      <v:imagedata o:title=""/>
                      <o:lock v:ext="edit" aspectratio="f"/>
                      <v:textbox>
                        <w:txbxContent>
                          <w:p w14:paraId="06BC9CE0">
                            <w:pPr>
                              <w:rPr>
                                <w:rFonts w:hint="default" w:eastAsia="宋体"/>
                                <w:lang w:val="en-US" w:eastAsia="zh-CN"/>
                              </w:rPr>
                            </w:pPr>
                            <w:r>
                              <w:rPr>
                                <w:rFonts w:hint="eastAsia"/>
                                <w:lang w:val="en-US" w:eastAsia="zh-CN"/>
                              </w:rPr>
                              <w:t>5.2</w:t>
                            </w:r>
                          </w:p>
                        </w:txbxContent>
                      </v:textbox>
                    </v:shape>
                  </w:pict>
                </mc:Fallback>
              </mc:AlternateContent>
            </w:r>
          </w:p>
          <w:p w14:paraId="74E18C85">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80768" behindDoc="0" locked="0" layoutInCell="1" allowOverlap="1">
                      <wp:simplePos x="0" y="0"/>
                      <wp:positionH relativeFrom="column">
                        <wp:posOffset>3108325</wp:posOffset>
                      </wp:positionH>
                      <wp:positionV relativeFrom="paragraph">
                        <wp:posOffset>173355</wp:posOffset>
                      </wp:positionV>
                      <wp:extent cx="702310" cy="28575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7023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AD82A">
                                  <w:pPr>
                                    <w:rPr>
                                      <w:rFonts w:hint="default" w:eastAsia="宋体"/>
                                      <w:lang w:val="en-US" w:eastAsia="zh-CN"/>
                                    </w:rPr>
                                  </w:pPr>
                                  <w:r>
                                    <w:rPr>
                                      <w:rFonts w:hint="eastAsia"/>
                                      <w:lang w:val="en-US" w:eastAsia="zh-CN"/>
                                    </w:rPr>
                                    <w:t>5.2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75pt;margin-top:13.65pt;height:22.5pt;width:55.3pt;z-index:251680768;mso-width-relative:page;mso-height-relative:page;" filled="f" stroked="f" coordsize="21600,21600" o:gfxdata="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&#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M0a6E2wAAAAkBAAAPAAAAAAAAAAEAIAAAACIAAABk&#10;cnMvZG93bnJldi54bWxQSwECFAAUAAAACACHTuJAz7a8DjwCAABnBAAADgAAAAAAAAABACAAAAAq&#10;AQAAZHJzL2Uyb0RvYy54bWxQSwUGAAAAAAYABgBZAQAA2AUAAAAA&#10;">
                      <v:fill on="f" focussize="0,0"/>
                      <v:stroke on="f" weight="0.5pt"/>
                      <v:imagedata o:title=""/>
                      <o:lock v:ext="edit" aspectratio="f"/>
                      <v:textbox>
                        <w:txbxContent>
                          <w:p w14:paraId="17CAD82A">
                            <w:pPr>
                              <w:rPr>
                                <w:rFonts w:hint="default" w:eastAsia="宋体"/>
                                <w:lang w:val="en-US" w:eastAsia="zh-CN"/>
                              </w:rPr>
                            </w:pPr>
                            <w:r>
                              <w:rPr>
                                <w:rFonts w:hint="eastAsia"/>
                                <w:lang w:val="en-US" w:eastAsia="zh-CN"/>
                              </w:rPr>
                              <w:t>5.2</w:t>
                            </w:r>
                          </w:p>
                        </w:txbxContent>
                      </v:textbox>
                    </v:shape>
                  </w:pict>
                </mc:Fallback>
              </mc:AlternateContent>
            </w:r>
            <w:r>
              <w:rPr>
                <w:rFonts w:hint="default"/>
                <w:color w:val="auto"/>
                <w:sz w:val="24"/>
              </w:rPr>
              <mc:AlternateContent>
                <mc:Choice Requires="wps">
                  <w:drawing>
                    <wp:anchor distT="0" distB="0" distL="114300" distR="114300" simplePos="0" relativeHeight="251683840" behindDoc="0" locked="0" layoutInCell="1" allowOverlap="1">
                      <wp:simplePos x="0" y="0"/>
                      <wp:positionH relativeFrom="column">
                        <wp:posOffset>2164080</wp:posOffset>
                      </wp:positionH>
                      <wp:positionV relativeFrom="paragraph">
                        <wp:posOffset>22225</wp:posOffset>
                      </wp:positionV>
                      <wp:extent cx="320040" cy="260985"/>
                      <wp:effectExtent l="3175" t="0" r="635" b="5715"/>
                      <wp:wrapNone/>
                      <wp:docPr id="78" name="直接箭头连接符 78"/>
                      <wp:cNvGraphicFramePr/>
                      <a:graphic xmlns:a="http://schemas.openxmlformats.org/drawingml/2006/main">
                        <a:graphicData uri="http://schemas.microsoft.com/office/word/2010/wordprocessingShape">
                          <wps:wsp>
                            <wps:cNvCnPr/>
                            <wps:spPr>
                              <a:xfrm flipV="1">
                                <a:off x="0" y="0"/>
                                <a:ext cx="320040" cy="260985"/>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0.4pt;margin-top:1.75pt;height:20.55pt;width:25.2pt;z-index:251683840;mso-width-relative:page;mso-height-relative:page;" filled="f" stroked="t" coordsize="21600,21600" o:gfxdata="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q4HQtcAAAAIAQAADwAAAAAAAAABACAAAAAiAAAAZHJz&#10;L2Rvd25yZXYueG1sUEsBAhQAFAAAAAgAh07iQI1LNdgFAgAA1gMAAA4AAAAAAAAAAQAgAAAAJgEA&#10;AGRycy9lMm9Eb2MueG1sUEsFBgAAAAAGAAYAWQEAAJ0FAAAAAA==&#10;">
                      <v:fill on="f" focussize="0,0"/>
                      <v:stroke color="#000000 [3213]" joinstyle="round" dashstyle="dash" endarrow="open"/>
                      <v:imagedata o:title=""/>
                      <o:lock v:ext="edit" aspectratio="f"/>
                    </v:shape>
                  </w:pict>
                </mc:Fallback>
              </mc:AlternateContent>
            </w:r>
          </w:p>
          <w:p w14:paraId="328B2796">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color w:val="auto"/>
                <w:sz w:val="24"/>
              </w:rPr>
              <mc:AlternateContent>
                <mc:Choice Requires="wps">
                  <w:drawing>
                    <wp:anchor distT="0" distB="0" distL="114300" distR="114300" simplePos="0" relativeHeight="251696128" behindDoc="0" locked="0" layoutInCell="1" allowOverlap="1">
                      <wp:simplePos x="0" y="0"/>
                      <wp:positionH relativeFrom="column">
                        <wp:posOffset>3055620</wp:posOffset>
                      </wp:positionH>
                      <wp:positionV relativeFrom="paragraph">
                        <wp:posOffset>253365</wp:posOffset>
                      </wp:positionV>
                      <wp:extent cx="944245" cy="0"/>
                      <wp:effectExtent l="0" t="48895" r="8255" b="65405"/>
                      <wp:wrapNone/>
                      <wp:docPr id="5" name="直接箭头连接符 5"/>
                      <wp:cNvGraphicFramePr/>
                      <a:graphic xmlns:a="http://schemas.openxmlformats.org/drawingml/2006/main">
                        <a:graphicData uri="http://schemas.microsoft.com/office/word/2010/wordprocessingShape">
                          <wps:wsp>
                            <wps:cNvCnPr/>
                            <wps:spPr>
                              <a:xfrm flipH="1">
                                <a:off x="4359910" y="3589655"/>
                                <a:ext cx="944245" cy="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40.6pt;margin-top:19.95pt;height:0pt;width:74.35pt;z-index:251696128;mso-width-relative:page;mso-height-relative:page;" filled="f" stroked="t" coordsize="21600,21600" o:gfxdata="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wC1FbYAAAACQEAAA8AAAAAAAAAAQAg&#10;AAAAIgAAAGRycy9kb3ducmV2LnhtbFBLAQIUABQAAAAIAIdO4kAQoMfXDgIAANwDAAAOAAAAAAAA&#10;AAEAIAAAACcBAABkcnMvZTJvRG9jLnhtbFBLBQYAAAAABgAGAFkBAACnBQAAAAA=&#10;">
                      <v:fill on="f" focussize="0,0"/>
                      <v:stroke weight="0.5pt" color="#000000 [3213]" joinstyle="round" endarrow="open"/>
                      <v:imagedata o:title=""/>
                      <o:lock v:ext="edit" aspectratio="f"/>
                    </v:shape>
                  </w:pict>
                </mc:Fallback>
              </mc:AlternateContent>
            </w:r>
            <w:r>
              <w:rPr>
                <w:rFonts w:hint="default"/>
                <w:color w:val="auto"/>
                <w:sz w:val="24"/>
              </w:rPr>
              <mc:AlternateContent>
                <mc:Choice Requires="wps">
                  <w:drawing>
                    <wp:anchor distT="0" distB="0" distL="114300" distR="114300" simplePos="0" relativeHeight="251678720" behindDoc="0" locked="0" layoutInCell="1" allowOverlap="1">
                      <wp:simplePos x="0" y="0"/>
                      <wp:positionH relativeFrom="column">
                        <wp:posOffset>1965325</wp:posOffset>
                      </wp:positionH>
                      <wp:positionV relativeFrom="paragraph">
                        <wp:posOffset>58420</wp:posOffset>
                      </wp:positionV>
                      <wp:extent cx="1003935" cy="285750"/>
                      <wp:effectExtent l="4445" t="4445" r="20320" b="14605"/>
                      <wp:wrapNone/>
                      <wp:docPr id="55" name="文本框 55"/>
                      <wp:cNvGraphicFramePr/>
                      <a:graphic xmlns:a="http://schemas.openxmlformats.org/drawingml/2006/main">
                        <a:graphicData uri="http://schemas.microsoft.com/office/word/2010/wordprocessingShape">
                          <wps:wsp>
                            <wps:cNvSpPr txBox="1"/>
                            <wps:spPr>
                              <a:xfrm>
                                <a:off x="0" y="0"/>
                                <a:ext cx="100393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9B8E7AA">
                                  <w:pPr>
                                    <w:rPr>
                                      <w:rFonts w:hint="eastAsia" w:eastAsia="宋体"/>
                                      <w:lang w:eastAsia="zh-CN"/>
                                    </w:rPr>
                                  </w:pPr>
                                  <w:r>
                                    <w:rPr>
                                      <w:rFonts w:hint="eastAsia"/>
                                      <w:lang w:eastAsia="zh-CN"/>
                                    </w:rPr>
                                    <w:t>抑尘用水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75pt;margin-top:4.6pt;height:22.5pt;width:79.05pt;z-index:251678720;mso-width-relative:page;mso-height-relative:page;" fillcolor="#FFFFFF [3201]" filled="t" stroked="t" coordsize="21600,21600" o:gfxdata="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4G8WldYA&#10;AAAIAQAADwAAAAAAAAABACAAAAAiAAAAZHJzL2Rvd25yZXYueG1sUEsBAhQAFAAAAAgAh07iQMiW&#10;2C1aAgAAuQQAAA4AAAAAAAAAAQAgAAAAJQEAAGRycy9lMm9Eb2MueG1sUEsFBgAAAAAGAAYAWQEA&#10;APEFAAAAAA==&#10;">
                      <v:fill on="t" focussize="0,0"/>
                      <v:stroke weight="0.5pt" color="#000000 [3204]" joinstyle="round"/>
                      <v:imagedata o:title=""/>
                      <o:lock v:ext="edit" aspectratio="f"/>
                      <v:textbox>
                        <w:txbxContent>
                          <w:p w14:paraId="19B8E7AA">
                            <w:pPr>
                              <w:rPr>
                                <w:rFonts w:hint="eastAsia" w:eastAsia="宋体"/>
                                <w:lang w:eastAsia="zh-CN"/>
                              </w:rPr>
                            </w:pPr>
                            <w:r>
                              <w:rPr>
                                <w:rFonts w:hint="eastAsia"/>
                                <w:lang w:eastAsia="zh-CN"/>
                              </w:rPr>
                              <w:t>抑尘用水</w:t>
                            </w:r>
                          </w:p>
                        </w:txbxContent>
                      </v:textbox>
                    </v:shape>
                  </w:pict>
                </mc:Fallback>
              </mc:AlternateContent>
            </w:r>
          </w:p>
          <w:p w14:paraId="138E2290">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p>
          <w:p w14:paraId="3E297FE6">
            <w:pPr>
              <w:pStyle w:val="10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eastAsia="zh-CN"/>
              </w:rPr>
              <w:t>图</w:t>
            </w:r>
            <w:r>
              <w:rPr>
                <w:rFonts w:hint="eastAsia"/>
                <w:color w:val="auto"/>
                <w:lang w:val="en-US" w:eastAsia="zh-CN"/>
              </w:rPr>
              <w:t>2-1本项目投产后全厂水平衡图（t/d）</w:t>
            </w:r>
          </w:p>
          <w:p w14:paraId="43D11EE2">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bCs/>
                <w:color w:val="auto"/>
                <w:sz w:val="24"/>
                <w:highlight w:val="none"/>
              </w:rPr>
              <w:t>（2）供电</w:t>
            </w:r>
          </w:p>
          <w:p w14:paraId="0B88CC92">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eastAsia"/>
                <w:bCs/>
                <w:color w:val="auto"/>
                <w:sz w:val="24"/>
                <w:highlight w:val="none"/>
                <w:lang w:val="en-US" w:eastAsia="zh-CN"/>
              </w:rPr>
              <w:t>采用市政供电</w:t>
            </w:r>
            <w:r>
              <w:rPr>
                <w:rFonts w:hint="default"/>
                <w:bCs/>
                <w:color w:val="auto"/>
                <w:sz w:val="24"/>
                <w:highlight w:val="none"/>
              </w:rPr>
              <w:t>。</w:t>
            </w:r>
          </w:p>
          <w:p w14:paraId="2D6F4B8C">
            <w:pPr>
              <w:keepNext w:val="0"/>
              <w:keepLines w:val="0"/>
              <w:suppressLineNumbers w:val="0"/>
              <w:adjustRightInd w:val="0"/>
              <w:snapToGrid w:val="0"/>
              <w:spacing w:before="0" w:beforeAutospacing="0" w:after="0" w:afterAutospacing="0" w:line="360" w:lineRule="auto"/>
              <w:ind w:left="0" w:right="0" w:firstLine="480" w:firstLineChars="200"/>
              <w:rPr>
                <w:rFonts w:hint="default"/>
                <w:bCs/>
                <w:color w:val="auto"/>
                <w:sz w:val="24"/>
                <w:highlight w:val="none"/>
              </w:rPr>
            </w:pPr>
            <w:r>
              <w:rPr>
                <w:rFonts w:hint="default"/>
                <w:bCs/>
                <w:color w:val="auto"/>
                <w:sz w:val="24"/>
                <w:highlight w:val="none"/>
              </w:rPr>
              <w:t>（3）采暖</w:t>
            </w:r>
          </w:p>
          <w:p w14:paraId="22567575">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highlight w:val="none"/>
                <w:vertAlign w:val="baseline"/>
                <w:lang w:val="en-US" w:eastAsia="zh-CN"/>
              </w:rPr>
            </w:pPr>
            <w:r>
              <w:rPr>
                <w:rFonts w:hint="eastAsia"/>
                <w:bCs/>
                <w:color w:val="auto"/>
                <w:sz w:val="24"/>
                <w:highlight w:val="none"/>
              </w:rPr>
              <w:t>本项目</w:t>
            </w:r>
            <w:r>
              <w:rPr>
                <w:rFonts w:hint="eastAsia"/>
                <w:bCs/>
                <w:color w:val="auto"/>
                <w:sz w:val="24"/>
                <w:highlight w:val="none"/>
                <w:lang w:val="en-US" w:eastAsia="zh-CN"/>
              </w:rPr>
              <w:t>冬季不生产，不需采暖供热</w:t>
            </w:r>
            <w:r>
              <w:rPr>
                <w:rFonts w:hint="eastAsia"/>
                <w:bCs/>
                <w:color w:val="auto"/>
                <w:sz w:val="24"/>
                <w:highlight w:val="none"/>
              </w:rPr>
              <w:t>，生产用热</w:t>
            </w:r>
            <w:r>
              <w:rPr>
                <w:rFonts w:hint="eastAsia"/>
                <w:bCs/>
                <w:color w:val="auto"/>
                <w:sz w:val="24"/>
                <w:highlight w:val="none"/>
                <w:lang w:eastAsia="zh-CN"/>
              </w:rPr>
              <w:t>采用导热油炉，厂区建设</w:t>
            </w:r>
            <w:r>
              <w:rPr>
                <w:rFonts w:hint="eastAsia"/>
                <w:bCs/>
                <w:color w:val="auto"/>
                <w:sz w:val="24"/>
                <w:highlight w:val="none"/>
                <w:lang w:val="en-US" w:eastAsia="zh-CN"/>
              </w:rPr>
              <w:t>1座柴油储罐，容积为10m</w:t>
            </w:r>
            <w:r>
              <w:rPr>
                <w:rFonts w:hint="eastAsia"/>
                <w:bCs/>
                <w:color w:val="auto"/>
                <w:sz w:val="24"/>
                <w:highlight w:val="none"/>
                <w:vertAlign w:val="superscript"/>
                <w:lang w:val="en-US" w:eastAsia="zh-CN"/>
              </w:rPr>
              <w:t>3</w:t>
            </w:r>
            <w:r>
              <w:rPr>
                <w:rFonts w:hint="eastAsia"/>
                <w:bCs/>
                <w:color w:val="auto"/>
                <w:sz w:val="24"/>
                <w:highlight w:val="none"/>
                <w:vertAlign w:val="baseline"/>
                <w:lang w:val="en-US" w:eastAsia="zh-CN"/>
              </w:rPr>
              <w:t>。燃烧器采用重油，</w:t>
            </w:r>
            <w:r>
              <w:rPr>
                <w:rFonts w:hint="eastAsia"/>
                <w:bCs/>
                <w:color w:val="auto"/>
                <w:sz w:val="24"/>
                <w:highlight w:val="none"/>
                <w:lang w:eastAsia="zh-CN"/>
              </w:rPr>
              <w:t>厂区建设</w:t>
            </w:r>
            <w:r>
              <w:rPr>
                <w:rFonts w:hint="eastAsia"/>
                <w:bCs/>
                <w:color w:val="auto"/>
                <w:sz w:val="24"/>
                <w:highlight w:val="none"/>
                <w:lang w:val="en-US" w:eastAsia="zh-CN"/>
              </w:rPr>
              <w:t>1座重油储罐，容积为50m</w:t>
            </w:r>
            <w:r>
              <w:rPr>
                <w:rFonts w:hint="eastAsia"/>
                <w:bCs/>
                <w:color w:val="auto"/>
                <w:sz w:val="24"/>
                <w:highlight w:val="none"/>
                <w:vertAlign w:val="superscript"/>
                <w:lang w:val="en-US" w:eastAsia="zh-CN"/>
              </w:rPr>
              <w:t>3</w:t>
            </w:r>
            <w:r>
              <w:rPr>
                <w:rFonts w:hint="eastAsia"/>
                <w:bCs/>
                <w:color w:val="auto"/>
                <w:sz w:val="24"/>
                <w:highlight w:val="none"/>
                <w:vertAlign w:val="baseline"/>
                <w:lang w:val="en-US" w:eastAsia="zh-CN"/>
              </w:rPr>
              <w:t>。柴油、重油及沥青储罐四周均设置围堰。</w:t>
            </w:r>
          </w:p>
          <w:p w14:paraId="37381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黑体" w:cs="Times New Roman"/>
                <w:b w:val="0"/>
                <w:bCs/>
                <w:color w:val="auto"/>
                <w:sz w:val="28"/>
                <w:szCs w:val="28"/>
              </w:rPr>
            </w:pPr>
            <w:bookmarkStart w:id="20" w:name="_Toc44234542"/>
            <w:r>
              <w:rPr>
                <w:rFonts w:hint="eastAsia" w:eastAsia="黑体" w:cs="Times New Roman"/>
                <w:b w:val="0"/>
                <w:bCs/>
                <w:color w:val="auto"/>
                <w:sz w:val="28"/>
                <w:szCs w:val="28"/>
                <w:lang w:val="en-US" w:eastAsia="zh-CN"/>
              </w:rPr>
              <w:t>五</w:t>
            </w:r>
            <w:r>
              <w:rPr>
                <w:rFonts w:hint="default" w:ascii="Times New Roman" w:hAnsi="Times New Roman" w:eastAsia="黑体" w:cs="Times New Roman"/>
                <w:b w:val="0"/>
                <w:bCs/>
                <w:color w:val="auto"/>
                <w:sz w:val="28"/>
                <w:szCs w:val="28"/>
                <w:lang w:val="en-US" w:eastAsia="zh-CN"/>
              </w:rPr>
              <w:t>、</w:t>
            </w:r>
            <w:r>
              <w:rPr>
                <w:rFonts w:hint="default" w:ascii="Times New Roman" w:hAnsi="Times New Roman" w:eastAsia="黑体" w:cs="Times New Roman"/>
                <w:b w:val="0"/>
                <w:bCs/>
                <w:color w:val="auto"/>
                <w:sz w:val="28"/>
                <w:szCs w:val="28"/>
              </w:rPr>
              <w:t>总图布置</w:t>
            </w:r>
            <w:bookmarkEnd w:id="20"/>
          </w:p>
          <w:p w14:paraId="154608FE">
            <w:pPr>
              <w:keepNext w:val="0"/>
              <w:keepLines w:val="0"/>
              <w:suppressLineNumbers w:val="0"/>
              <w:spacing w:before="0" w:beforeAutospacing="0" w:after="0" w:afterAutospacing="0" w:line="360" w:lineRule="auto"/>
              <w:ind w:left="0" w:right="0" w:firstLine="476" w:firstLineChars="200"/>
              <w:rPr>
                <w:rFonts w:hint="eastAsia" w:cs="Times New Roman"/>
                <w:color w:val="auto"/>
                <w:sz w:val="24"/>
                <w:highlight w:val="none"/>
                <w:lang w:eastAsia="zh-CN"/>
              </w:rPr>
            </w:pPr>
            <w:r>
              <w:rPr>
                <w:rFonts w:hint="default" w:ascii="宋体" w:hAnsi="宋体" w:eastAsia="宋体" w:cs="宋体"/>
                <w:color w:val="auto"/>
                <w:spacing w:val="-1"/>
                <w:sz w:val="24"/>
                <w:szCs w:val="24"/>
              </w:rPr>
              <w:t>项目厂区平面布置按照满足生产</w:t>
            </w:r>
            <w:r>
              <w:rPr>
                <w:rFonts w:hint="default" w:ascii="宋体" w:hAnsi="宋体" w:eastAsia="宋体" w:cs="宋体"/>
                <w:color w:val="auto"/>
                <w:sz w:val="24"/>
                <w:szCs w:val="24"/>
              </w:rPr>
              <w:t>工艺要求，考虑合理的功能分区，结合地形</w:t>
            </w:r>
            <w:r>
              <w:rPr>
                <w:rFonts w:hint="default" w:ascii="宋体" w:hAnsi="宋体" w:eastAsia="宋体" w:cs="宋体"/>
                <w:color w:val="auto"/>
                <w:spacing w:val="-10"/>
                <w:sz w:val="24"/>
                <w:szCs w:val="24"/>
              </w:rPr>
              <w:t>地貌布置</w:t>
            </w:r>
            <w:r>
              <w:rPr>
                <w:rFonts w:hint="default" w:ascii="宋体" w:hAnsi="宋体" w:eastAsia="宋体" w:cs="宋体"/>
                <w:color w:val="auto"/>
                <w:spacing w:val="-5"/>
                <w:sz w:val="24"/>
                <w:szCs w:val="24"/>
              </w:rPr>
              <w:t>紧凑、节约用地，并符合环保、防火、卫生规范及各种安全规定和要求。</w:t>
            </w:r>
            <w:r>
              <w:rPr>
                <w:rFonts w:hint="default" w:ascii="宋体" w:hAnsi="宋体" w:eastAsia="宋体" w:cs="宋体"/>
                <w:color w:val="auto"/>
                <w:spacing w:val="-1"/>
                <w:sz w:val="24"/>
                <w:szCs w:val="24"/>
              </w:rPr>
              <w:t>鉴于项目选址的情况，</w:t>
            </w:r>
            <w:r>
              <w:rPr>
                <w:rFonts w:hint="default" w:ascii="宋体" w:hAnsi="宋体" w:eastAsia="宋体" w:cs="宋体"/>
                <w:color w:val="auto"/>
                <w:sz w:val="24"/>
                <w:szCs w:val="24"/>
              </w:rPr>
              <w:t>将厂区大门布置在</w:t>
            </w:r>
            <w:r>
              <w:rPr>
                <w:rFonts w:hint="eastAsia" w:ascii="宋体" w:hAnsi="宋体" w:eastAsia="宋体" w:cs="宋体"/>
                <w:color w:val="auto"/>
                <w:sz w:val="24"/>
                <w:szCs w:val="24"/>
                <w:lang w:eastAsia="zh-CN"/>
              </w:rPr>
              <w:t>东侧</w:t>
            </w:r>
            <w:r>
              <w:rPr>
                <w:rFonts w:hint="default" w:ascii="宋体" w:hAnsi="宋体" w:eastAsia="宋体" w:cs="宋体"/>
                <w:color w:val="auto"/>
                <w:sz w:val="24"/>
                <w:szCs w:val="24"/>
              </w:rPr>
              <w:t>，</w:t>
            </w:r>
            <w:r>
              <w:rPr>
                <w:rFonts w:hint="eastAsia" w:ascii="宋体" w:hAnsi="宋体" w:eastAsia="宋体" w:cs="宋体"/>
                <w:color w:val="auto"/>
                <w:sz w:val="24"/>
                <w:szCs w:val="24"/>
                <w:lang w:eastAsia="zh-CN"/>
              </w:rPr>
              <w:t>新建</w:t>
            </w:r>
            <w:r>
              <w:rPr>
                <w:rFonts w:hint="default" w:ascii="宋体" w:hAnsi="宋体" w:eastAsia="宋体" w:cs="宋体"/>
                <w:color w:val="auto"/>
                <w:sz w:val="24"/>
                <w:szCs w:val="24"/>
              </w:rPr>
              <w:t>搅拌站</w:t>
            </w:r>
            <w:r>
              <w:rPr>
                <w:rFonts w:hint="default" w:ascii="宋体" w:hAnsi="宋体" w:eastAsia="宋体" w:cs="宋体"/>
                <w:color w:val="auto"/>
                <w:spacing w:val="-12"/>
                <w:sz w:val="24"/>
                <w:szCs w:val="24"/>
              </w:rPr>
              <w:t>布置在</w:t>
            </w:r>
            <w:r>
              <w:rPr>
                <w:rFonts w:hint="eastAsia" w:ascii="宋体" w:hAnsi="宋体" w:eastAsia="宋体" w:cs="宋体"/>
                <w:color w:val="auto"/>
                <w:spacing w:val="-12"/>
                <w:sz w:val="24"/>
                <w:szCs w:val="24"/>
                <w:lang w:eastAsia="zh-CN"/>
              </w:rPr>
              <w:t>厂区中间</w:t>
            </w:r>
            <w:r>
              <w:rPr>
                <w:rFonts w:hint="default" w:ascii="宋体" w:hAnsi="宋体" w:eastAsia="宋体" w:cs="宋体"/>
                <w:color w:val="auto"/>
                <w:spacing w:val="-6"/>
                <w:sz w:val="24"/>
                <w:szCs w:val="24"/>
              </w:rPr>
              <w:t>，</w:t>
            </w:r>
            <w:r>
              <w:rPr>
                <w:rFonts w:hint="eastAsia" w:ascii="宋体" w:hAnsi="宋体" w:eastAsia="宋体" w:cs="宋体"/>
                <w:color w:val="auto"/>
                <w:spacing w:val="-6"/>
                <w:sz w:val="24"/>
                <w:szCs w:val="24"/>
                <w:lang w:eastAsia="zh-CN"/>
              </w:rPr>
              <w:t>原有搅拌站位于厂区东侧</w:t>
            </w:r>
            <w:r>
              <w:rPr>
                <w:rFonts w:hint="default" w:ascii="宋体" w:hAnsi="宋体" w:eastAsia="宋体" w:cs="宋体"/>
                <w:color w:val="auto"/>
                <w:spacing w:val="-1"/>
                <w:sz w:val="24"/>
                <w:szCs w:val="24"/>
              </w:rPr>
              <w:t>。</w:t>
            </w:r>
          </w:p>
          <w:p w14:paraId="2323EC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黑体" w:cs="Times New Roman"/>
                <w:b w:val="0"/>
                <w:bCs/>
                <w:color w:val="auto"/>
                <w:sz w:val="28"/>
                <w:szCs w:val="28"/>
              </w:rPr>
            </w:pPr>
            <w:r>
              <w:rPr>
                <w:rFonts w:hint="eastAsia" w:eastAsia="黑体" w:cs="Times New Roman"/>
                <w:b w:val="0"/>
                <w:bCs/>
                <w:color w:val="auto"/>
                <w:sz w:val="28"/>
                <w:szCs w:val="28"/>
                <w:lang w:eastAsia="zh-CN"/>
              </w:rPr>
              <w:t>六</w:t>
            </w:r>
            <w:r>
              <w:rPr>
                <w:rFonts w:hint="default" w:ascii="Times New Roman" w:hAnsi="Times New Roman" w:eastAsia="黑体" w:cs="Times New Roman"/>
                <w:b w:val="0"/>
                <w:bCs/>
                <w:color w:val="auto"/>
                <w:sz w:val="28"/>
                <w:szCs w:val="28"/>
              </w:rPr>
              <w:t>、环保投资</w:t>
            </w:r>
          </w:p>
          <w:p w14:paraId="691A3B5A">
            <w:pPr>
              <w:keepNext w:val="0"/>
              <w:keepLines w:val="0"/>
              <w:suppressLineNumbers w:val="0"/>
              <w:spacing w:before="0" w:beforeAutospacing="0" w:after="0" w:afterAutospacing="0"/>
              <w:ind w:left="0" w:right="0" w:firstLine="480"/>
              <w:rPr>
                <w:rFonts w:hint="default"/>
                <w:color w:val="auto"/>
                <w:sz w:val="24"/>
                <w:szCs w:val="32"/>
                <w:highlight w:val="none"/>
              </w:rPr>
            </w:pPr>
            <w:r>
              <w:rPr>
                <w:rFonts w:hint="eastAsia"/>
                <w:color w:val="auto"/>
                <w:sz w:val="24"/>
                <w:szCs w:val="32"/>
                <w:highlight w:val="none"/>
              </w:rPr>
              <w:t>项目环保投资具体情况参见下表。</w:t>
            </w:r>
          </w:p>
          <w:p w14:paraId="587C1DA2">
            <w:pPr>
              <w:keepNext w:val="0"/>
              <w:keepLines w:val="0"/>
              <w:suppressLineNumbers w:val="0"/>
              <w:spacing w:before="0" w:beforeAutospacing="0" w:after="0" w:afterAutospacing="0" w:line="240" w:lineRule="auto"/>
              <w:ind w:left="0" w:right="0" w:firstLine="0" w:firstLineChars="0"/>
              <w:jc w:val="center"/>
              <w:rPr>
                <w:rFonts w:hint="default"/>
                <w:color w:val="auto"/>
                <w:sz w:val="22"/>
                <w:szCs w:val="22"/>
                <w:highlight w:val="none"/>
              </w:rPr>
            </w:pPr>
            <w:r>
              <w:rPr>
                <w:rFonts w:hint="eastAsia"/>
                <w:b/>
                <w:bCs/>
                <w:color w:val="auto"/>
                <w:sz w:val="22"/>
                <w:szCs w:val="22"/>
                <w:highlight w:val="none"/>
              </w:rPr>
              <w:t>表2-</w:t>
            </w:r>
            <w:r>
              <w:rPr>
                <w:rFonts w:hint="eastAsia"/>
                <w:b/>
                <w:bCs/>
                <w:color w:val="auto"/>
                <w:sz w:val="22"/>
                <w:szCs w:val="22"/>
                <w:highlight w:val="none"/>
                <w:lang w:val="en-US" w:eastAsia="zh-CN"/>
              </w:rPr>
              <w:t>6</w:t>
            </w:r>
            <w:r>
              <w:rPr>
                <w:rFonts w:hint="eastAsia"/>
                <w:b/>
                <w:bCs/>
                <w:color w:val="auto"/>
                <w:sz w:val="22"/>
                <w:szCs w:val="22"/>
                <w:highlight w:val="none"/>
              </w:rPr>
              <w:t>环保投资一览表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84"/>
              <w:gridCol w:w="1951"/>
              <w:gridCol w:w="4916"/>
              <w:gridCol w:w="863"/>
            </w:tblGrid>
            <w:tr w14:paraId="56B360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675" w:hRule="atLeast"/>
                <w:jc w:val="center"/>
              </w:trPr>
              <w:tc>
                <w:tcPr>
                  <w:tcW w:w="1684" w:type="pct"/>
                  <w:gridSpan w:val="2"/>
                  <w:noWrap w:val="0"/>
                  <w:vAlign w:val="center"/>
                </w:tcPr>
                <w:p w14:paraId="3F9A6D5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2820" w:type="pct"/>
                  <w:noWrap w:val="0"/>
                  <w:vAlign w:val="center"/>
                </w:tcPr>
                <w:p w14:paraId="043FC63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环保项目</w:t>
                  </w:r>
                </w:p>
              </w:tc>
              <w:tc>
                <w:tcPr>
                  <w:tcW w:w="495" w:type="pct"/>
                  <w:noWrap w:val="0"/>
                  <w:vAlign w:val="center"/>
                </w:tcPr>
                <w:p w14:paraId="57929526">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0"/>
                      <w:sz w:val="21"/>
                      <w:szCs w:val="21"/>
                    </w:rPr>
                  </w:pPr>
                  <w:r>
                    <w:rPr>
                      <w:rFonts w:hint="default" w:ascii="Times New Roman" w:hAnsi="Times New Roman" w:eastAsia="宋体" w:cs="Times New Roman"/>
                      <w:color w:val="auto"/>
                      <w:spacing w:val="-20"/>
                      <w:sz w:val="21"/>
                      <w:szCs w:val="21"/>
                    </w:rPr>
                    <w:t>投资</w:t>
                  </w:r>
                </w:p>
                <w:p w14:paraId="1C62836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0"/>
                      <w:sz w:val="21"/>
                      <w:szCs w:val="21"/>
                    </w:rPr>
                  </w:pPr>
                  <w:r>
                    <w:rPr>
                      <w:rFonts w:hint="default" w:ascii="Times New Roman" w:hAnsi="Times New Roman" w:eastAsia="宋体" w:cs="Times New Roman"/>
                      <w:color w:val="auto"/>
                      <w:spacing w:val="-20"/>
                      <w:sz w:val="21"/>
                      <w:szCs w:val="21"/>
                    </w:rPr>
                    <w:t>(万元)</w:t>
                  </w:r>
                </w:p>
              </w:tc>
            </w:tr>
            <w:tr w14:paraId="041DEC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565" w:type="pct"/>
                  <w:vMerge w:val="restart"/>
                  <w:noWrap w:val="0"/>
                  <w:vAlign w:val="center"/>
                </w:tcPr>
                <w:p w14:paraId="7B7CFBE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1118" w:type="pct"/>
                  <w:noWrap w:val="0"/>
                  <w:vAlign w:val="center"/>
                </w:tcPr>
                <w:p w14:paraId="7005025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烘干滚筒及其配套燃烧器、振动筛、提升机、搅拌机等废气</w:t>
                  </w:r>
                </w:p>
              </w:tc>
              <w:tc>
                <w:tcPr>
                  <w:tcW w:w="2820" w:type="pct"/>
                  <w:noWrap w:val="0"/>
                  <w:vAlign w:val="center"/>
                </w:tcPr>
                <w:p w14:paraId="27ACCA81">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eastAsia" w:eastAsia="宋体"/>
                      <w:color w:val="auto"/>
                      <w:szCs w:val="21"/>
                    </w:rPr>
                    <w:t>沥青骨料</w:t>
                  </w:r>
                  <w:r>
                    <w:rPr>
                      <w:rFonts w:hint="default" w:eastAsia="宋体"/>
                      <w:color w:val="auto"/>
                      <w:szCs w:val="21"/>
                    </w:rPr>
                    <w:t>烘干废气</w:t>
                  </w:r>
                  <w:r>
                    <w:rPr>
                      <w:rFonts w:hint="eastAsia" w:eastAsia="宋体"/>
                      <w:color w:val="auto"/>
                      <w:szCs w:val="21"/>
                    </w:rPr>
                    <w:t>设置</w:t>
                  </w:r>
                  <w:r>
                    <w:rPr>
                      <w:rFonts w:hint="eastAsia" w:eastAsia="宋体"/>
                      <w:color w:val="auto"/>
                      <w:szCs w:val="21"/>
                      <w:lang w:eastAsia="zh-CN"/>
                    </w:rPr>
                    <w:t>重力沉降</w:t>
                  </w:r>
                  <w:r>
                    <w:rPr>
                      <w:rFonts w:hint="eastAsia" w:eastAsia="宋体"/>
                      <w:color w:val="auto"/>
                      <w:szCs w:val="21"/>
                      <w:lang w:val="en-US" w:eastAsia="zh-CN"/>
                    </w:rPr>
                    <w:t>+</w:t>
                  </w:r>
                  <w:r>
                    <w:rPr>
                      <w:rFonts w:hint="default" w:eastAsia="宋体"/>
                      <w:color w:val="auto"/>
                      <w:szCs w:val="21"/>
                    </w:rPr>
                    <w:t>布袋式除尘器</w:t>
                  </w:r>
                  <w:r>
                    <w:rPr>
                      <w:rFonts w:hint="eastAsia" w:eastAsia="宋体"/>
                      <w:color w:val="auto"/>
                      <w:szCs w:val="21"/>
                    </w:rPr>
                    <w:t>（去除效率</w:t>
                  </w:r>
                  <w:r>
                    <w:rPr>
                      <w:rFonts w:hint="eastAsia"/>
                      <w:color w:val="auto"/>
                      <w:szCs w:val="21"/>
                      <w:lang w:eastAsia="zh-CN"/>
                    </w:rPr>
                    <w:t>99</w:t>
                  </w:r>
                  <w:r>
                    <w:rPr>
                      <w:rFonts w:hint="eastAsia" w:eastAsia="宋体"/>
                      <w:color w:val="auto"/>
                      <w:szCs w:val="21"/>
                    </w:rPr>
                    <w:t>%）</w:t>
                  </w:r>
                  <w:r>
                    <w:rPr>
                      <w:rFonts w:hint="eastAsia" w:eastAsia="宋体"/>
                      <w:color w:val="auto"/>
                      <w:szCs w:val="21"/>
                      <w:lang w:eastAsia="zh-CN"/>
                    </w:rPr>
                    <w:t>二级除尘</w:t>
                  </w:r>
                  <w:r>
                    <w:rPr>
                      <w:rFonts w:hint="eastAsia"/>
                      <w:color w:val="auto"/>
                      <w:szCs w:val="21"/>
                      <w:lang w:val="en-US" w:eastAsia="zh-CN"/>
                    </w:rPr>
                    <w:t>+低氮燃烧</w:t>
                  </w:r>
                  <w:r>
                    <w:rPr>
                      <w:rFonts w:hint="default" w:ascii="Times New Roman" w:hAnsi="Times New Roman" w:eastAsia="宋体" w:cs="Times New Roman"/>
                      <w:color w:val="auto"/>
                      <w:sz w:val="21"/>
                      <w:szCs w:val="21"/>
                    </w:rPr>
                    <w:t>+15m排气筒排放</w:t>
                  </w:r>
                </w:p>
              </w:tc>
              <w:tc>
                <w:tcPr>
                  <w:tcW w:w="495" w:type="pct"/>
                  <w:vMerge w:val="restart"/>
                  <w:noWrap w:val="0"/>
                  <w:vAlign w:val="center"/>
                </w:tcPr>
                <w:p w14:paraId="44A3EE5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4</w:t>
                  </w:r>
                </w:p>
              </w:tc>
            </w:tr>
            <w:tr w14:paraId="208624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565" w:type="pct"/>
                  <w:vMerge w:val="continue"/>
                  <w:noWrap w:val="0"/>
                  <w:vAlign w:val="center"/>
                </w:tcPr>
                <w:p w14:paraId="0362681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c>
                <w:tcPr>
                  <w:tcW w:w="1118" w:type="pct"/>
                  <w:noWrap w:val="0"/>
                  <w:vAlign w:val="center"/>
                </w:tcPr>
                <w:p w14:paraId="50D55E51">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沥青烟气</w:t>
                  </w:r>
                </w:p>
              </w:tc>
              <w:tc>
                <w:tcPr>
                  <w:tcW w:w="2820" w:type="pct"/>
                  <w:noWrap w:val="0"/>
                  <w:vAlign w:val="center"/>
                </w:tcPr>
                <w:p w14:paraId="058DE45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二次燃烧+活性炭吸附+15m排气筒排放</w:t>
                  </w:r>
                </w:p>
              </w:tc>
              <w:tc>
                <w:tcPr>
                  <w:tcW w:w="495" w:type="pct"/>
                  <w:vMerge w:val="continue"/>
                  <w:noWrap w:val="0"/>
                  <w:vAlign w:val="center"/>
                </w:tcPr>
                <w:p w14:paraId="7C8A820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r>
            <w:tr w14:paraId="6FD24C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565" w:type="pct"/>
                  <w:vMerge w:val="continue"/>
                  <w:noWrap w:val="0"/>
                  <w:vAlign w:val="center"/>
                </w:tcPr>
                <w:p w14:paraId="0F4ED5E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c>
                <w:tcPr>
                  <w:tcW w:w="1118" w:type="pct"/>
                  <w:noWrap w:val="0"/>
                  <w:vAlign w:val="center"/>
                </w:tcPr>
                <w:p w14:paraId="3C2B7F1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导热油炉烟气</w:t>
                  </w:r>
                </w:p>
              </w:tc>
              <w:tc>
                <w:tcPr>
                  <w:tcW w:w="2820" w:type="pct"/>
                  <w:noWrap w:val="0"/>
                  <w:vAlign w:val="center"/>
                </w:tcPr>
                <w:p w14:paraId="7293BE7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8m高排气筒</w:t>
                  </w:r>
                </w:p>
              </w:tc>
              <w:tc>
                <w:tcPr>
                  <w:tcW w:w="495" w:type="pct"/>
                  <w:noWrap w:val="0"/>
                  <w:vAlign w:val="center"/>
                </w:tcPr>
                <w:p w14:paraId="484F82E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r>
            <w:tr w14:paraId="570C42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565" w:type="pct"/>
                  <w:vMerge w:val="continue"/>
                  <w:noWrap w:val="0"/>
                  <w:vAlign w:val="center"/>
                </w:tcPr>
                <w:p w14:paraId="5402EB8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c>
                <w:tcPr>
                  <w:tcW w:w="1118" w:type="pct"/>
                  <w:noWrap w:val="0"/>
                  <w:vAlign w:val="center"/>
                </w:tcPr>
                <w:p w14:paraId="3BB6E15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矿粉罐</w:t>
                  </w:r>
                </w:p>
              </w:tc>
              <w:tc>
                <w:tcPr>
                  <w:tcW w:w="2820" w:type="pct"/>
                  <w:noWrap w:val="0"/>
                  <w:vAlign w:val="center"/>
                </w:tcPr>
                <w:p w14:paraId="799D112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布袋除尘器</w:t>
                  </w:r>
                </w:p>
              </w:tc>
              <w:tc>
                <w:tcPr>
                  <w:tcW w:w="495" w:type="pct"/>
                  <w:noWrap w:val="0"/>
                  <w:vAlign w:val="center"/>
                </w:tcPr>
                <w:p w14:paraId="4F4FA1B1">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w:t>
                  </w:r>
                </w:p>
              </w:tc>
            </w:tr>
            <w:tr w14:paraId="735055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565" w:type="pct"/>
                  <w:vMerge w:val="continue"/>
                  <w:noWrap w:val="0"/>
                  <w:vAlign w:val="center"/>
                </w:tcPr>
                <w:p w14:paraId="561320C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c>
                <w:tcPr>
                  <w:tcW w:w="1118" w:type="pct"/>
                  <w:noWrap w:val="0"/>
                  <w:vAlign w:val="center"/>
                </w:tcPr>
                <w:p w14:paraId="1AB9AA0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碎石堆场</w:t>
                  </w:r>
                </w:p>
              </w:tc>
              <w:tc>
                <w:tcPr>
                  <w:tcW w:w="2820" w:type="pct"/>
                  <w:noWrap w:val="0"/>
                  <w:vAlign w:val="center"/>
                </w:tcPr>
                <w:p w14:paraId="10873F10">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设置围挡，搭建防雨棚，定期洒水</w:t>
                  </w:r>
                </w:p>
              </w:tc>
              <w:tc>
                <w:tcPr>
                  <w:tcW w:w="495" w:type="pct"/>
                  <w:noWrap w:val="0"/>
                  <w:vAlign w:val="center"/>
                </w:tcPr>
                <w:p w14:paraId="399B4EF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r>
            <w:tr w14:paraId="10A893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565" w:type="pct"/>
                  <w:noWrap w:val="0"/>
                  <w:vAlign w:val="center"/>
                </w:tcPr>
                <w:p w14:paraId="50E2673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w:t>
                  </w:r>
                </w:p>
              </w:tc>
              <w:tc>
                <w:tcPr>
                  <w:tcW w:w="1118" w:type="pct"/>
                  <w:noWrap w:val="0"/>
                  <w:vAlign w:val="center"/>
                </w:tcPr>
                <w:p w14:paraId="2E241F8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沉淀池</w:t>
                  </w:r>
                </w:p>
              </w:tc>
              <w:tc>
                <w:tcPr>
                  <w:tcW w:w="2820" w:type="pct"/>
                  <w:noWrap w:val="0"/>
                  <w:vAlign w:val="center"/>
                </w:tcPr>
                <w:p w14:paraId="6A763C4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初期雨水沉淀池1座</w:t>
                  </w:r>
                </w:p>
              </w:tc>
              <w:tc>
                <w:tcPr>
                  <w:tcW w:w="495" w:type="pct"/>
                  <w:noWrap w:val="0"/>
                  <w:vAlign w:val="center"/>
                </w:tcPr>
                <w:p w14:paraId="1CB4448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r>
            <w:tr w14:paraId="1C82DF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565" w:type="pct"/>
                  <w:noWrap w:val="0"/>
                  <w:vAlign w:val="center"/>
                </w:tcPr>
                <w:p w14:paraId="199ADC7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118" w:type="pct"/>
                  <w:noWrap w:val="0"/>
                  <w:vAlign w:val="center"/>
                </w:tcPr>
                <w:p w14:paraId="78DE5CF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设备降噪措施</w:t>
                  </w:r>
                </w:p>
              </w:tc>
              <w:tc>
                <w:tcPr>
                  <w:tcW w:w="2820" w:type="pct"/>
                  <w:noWrap w:val="0"/>
                  <w:vAlign w:val="center"/>
                </w:tcPr>
                <w:p w14:paraId="3813382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隔</w:t>
                  </w:r>
                  <w:r>
                    <w:rPr>
                      <w:rFonts w:hint="default" w:ascii="Times New Roman" w:hAnsi="Times New Roman" w:eastAsia="宋体" w:cs="Times New Roman"/>
                      <w:color w:val="auto"/>
                      <w:sz w:val="21"/>
                      <w:szCs w:val="21"/>
                      <w:lang w:eastAsia="zh-CN"/>
                    </w:rPr>
                    <w:t>声</w:t>
                  </w:r>
                  <w:r>
                    <w:rPr>
                      <w:rFonts w:hint="default" w:ascii="Times New Roman" w:hAnsi="Times New Roman" w:eastAsia="宋体" w:cs="Times New Roman"/>
                      <w:color w:val="auto"/>
                      <w:sz w:val="21"/>
                      <w:szCs w:val="21"/>
                    </w:rPr>
                    <w:cr/>
                  </w:r>
                  <w:r>
                    <w:rPr>
                      <w:rFonts w:hint="default" w:ascii="Times New Roman" w:hAnsi="Times New Roman" w:eastAsia="宋体" w:cs="Times New Roman"/>
                      <w:color w:val="auto"/>
                      <w:sz w:val="21"/>
                      <w:szCs w:val="21"/>
                    </w:rPr>
                    <w:t>、减震</w:t>
                  </w:r>
                </w:p>
              </w:tc>
              <w:tc>
                <w:tcPr>
                  <w:tcW w:w="495" w:type="pct"/>
                  <w:noWrap w:val="0"/>
                  <w:vAlign w:val="center"/>
                </w:tcPr>
                <w:p w14:paraId="0583EB5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w:t>
                  </w:r>
                </w:p>
              </w:tc>
            </w:tr>
            <w:tr w14:paraId="1D1D3D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565" w:type="pct"/>
                  <w:tcBorders>
                    <w:bottom w:val="single" w:color="auto" w:sz="4" w:space="0"/>
                  </w:tcBorders>
                  <w:noWrap w:val="0"/>
                  <w:vAlign w:val="center"/>
                </w:tcPr>
                <w:p w14:paraId="2FE431B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固废</w:t>
                  </w:r>
                </w:p>
              </w:tc>
              <w:tc>
                <w:tcPr>
                  <w:tcW w:w="1118" w:type="pct"/>
                  <w:noWrap w:val="0"/>
                  <w:vAlign w:val="center"/>
                </w:tcPr>
                <w:p w14:paraId="29A24C3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危险废物</w:t>
                  </w:r>
                </w:p>
              </w:tc>
              <w:tc>
                <w:tcPr>
                  <w:tcW w:w="2820" w:type="pct"/>
                  <w:noWrap w:val="0"/>
                  <w:vAlign w:val="center"/>
                </w:tcPr>
                <w:p w14:paraId="1431065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危险废物暂存间1座</w:t>
                  </w:r>
                </w:p>
              </w:tc>
              <w:tc>
                <w:tcPr>
                  <w:tcW w:w="495" w:type="pct"/>
                  <w:noWrap w:val="0"/>
                  <w:vAlign w:val="center"/>
                </w:tcPr>
                <w:p w14:paraId="2A98B70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r>
            <w:tr w14:paraId="0B96F0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565" w:type="pct"/>
                  <w:vMerge w:val="restart"/>
                  <w:tcBorders>
                    <w:top w:val="single" w:color="auto" w:sz="4" w:space="0"/>
                  </w:tcBorders>
                  <w:noWrap w:val="0"/>
                  <w:vAlign w:val="center"/>
                </w:tcPr>
                <w:p w14:paraId="7034F45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其他</w:t>
                  </w:r>
                </w:p>
              </w:tc>
              <w:tc>
                <w:tcPr>
                  <w:tcW w:w="1118" w:type="pct"/>
                  <w:noWrap w:val="0"/>
                  <w:vAlign w:val="center"/>
                </w:tcPr>
                <w:p w14:paraId="7662C9B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沥青、柴油罐区</w:t>
                  </w:r>
                </w:p>
              </w:tc>
              <w:tc>
                <w:tcPr>
                  <w:tcW w:w="2820" w:type="pct"/>
                  <w:noWrap w:val="0"/>
                  <w:vAlign w:val="center"/>
                </w:tcPr>
                <w:p w14:paraId="47AACA2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0.5m高围堰，地面防渗、硬化</w:t>
                  </w:r>
                </w:p>
              </w:tc>
              <w:tc>
                <w:tcPr>
                  <w:tcW w:w="495" w:type="pct"/>
                  <w:noWrap w:val="0"/>
                  <w:vAlign w:val="center"/>
                </w:tcPr>
                <w:p w14:paraId="2C50D11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p>
              </w:tc>
            </w:tr>
            <w:tr w14:paraId="01C076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3" w:hRule="atLeast"/>
                <w:jc w:val="center"/>
              </w:trPr>
              <w:tc>
                <w:tcPr>
                  <w:tcW w:w="565" w:type="pct"/>
                  <w:vMerge w:val="continue"/>
                  <w:noWrap w:val="0"/>
                  <w:vAlign w:val="center"/>
                </w:tcPr>
                <w:p w14:paraId="3B9F0AA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p>
              </w:tc>
              <w:tc>
                <w:tcPr>
                  <w:tcW w:w="1118" w:type="pct"/>
                  <w:noWrap w:val="0"/>
                  <w:vAlign w:val="center"/>
                </w:tcPr>
                <w:p w14:paraId="7BFFD452">
                  <w:pPr>
                    <w:pStyle w:val="72"/>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运营期设备维护</w:t>
                  </w:r>
                </w:p>
              </w:tc>
              <w:tc>
                <w:tcPr>
                  <w:tcW w:w="2820" w:type="pct"/>
                  <w:noWrap w:val="0"/>
                  <w:vAlign w:val="center"/>
                </w:tcPr>
                <w:p w14:paraId="301107C9">
                  <w:pPr>
                    <w:pStyle w:val="72"/>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环境保护措施和设施的运行维护费</w:t>
                  </w:r>
                  <w:r>
                    <w:rPr>
                      <w:rFonts w:hint="default" w:ascii="Times New Roman" w:hAnsi="Times New Roman" w:eastAsia="宋体" w:cs="Times New Roman"/>
                      <w:color w:val="auto"/>
                      <w:sz w:val="21"/>
                      <w:szCs w:val="21"/>
                    </w:rPr>
                    <w:cr/>
                  </w:r>
                </w:p>
              </w:tc>
              <w:tc>
                <w:tcPr>
                  <w:tcW w:w="495" w:type="pct"/>
                  <w:noWrap w:val="0"/>
                  <w:vAlign w:val="center"/>
                </w:tcPr>
                <w:p w14:paraId="0E8625D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r>
            <w:tr w14:paraId="371C5C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67" w:hRule="atLeast"/>
                <w:jc w:val="center"/>
              </w:trPr>
              <w:tc>
                <w:tcPr>
                  <w:tcW w:w="4504" w:type="pct"/>
                  <w:gridSpan w:val="3"/>
                  <w:noWrap w:val="0"/>
                  <w:vAlign w:val="center"/>
                </w:tcPr>
                <w:p w14:paraId="2BAA5A7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495" w:type="pct"/>
                  <w:noWrap w:val="0"/>
                  <w:vAlign w:val="center"/>
                </w:tcPr>
                <w:p w14:paraId="1C8E93D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0"/>
                      <w:sz w:val="21"/>
                      <w:szCs w:val="21"/>
                      <w:lang w:val="en-US" w:eastAsia="zh-CN"/>
                    </w:rPr>
                  </w:pPr>
                  <w:r>
                    <w:rPr>
                      <w:rFonts w:hint="default" w:ascii="Times New Roman" w:hAnsi="Times New Roman" w:eastAsia="宋体" w:cs="Times New Roman"/>
                      <w:color w:val="auto"/>
                      <w:spacing w:val="-20"/>
                      <w:sz w:val="21"/>
                      <w:szCs w:val="21"/>
                      <w:lang w:val="en-US" w:eastAsia="zh-CN"/>
                    </w:rPr>
                    <w:t>12</w:t>
                  </w:r>
                </w:p>
              </w:tc>
            </w:tr>
          </w:tbl>
          <w:p w14:paraId="485978EB">
            <w:pPr>
              <w:keepNext w:val="0"/>
              <w:keepLines w:val="0"/>
              <w:suppressLineNumbers w:val="0"/>
              <w:adjustRightInd w:val="0"/>
              <w:snapToGrid w:val="0"/>
              <w:spacing w:before="0" w:beforeAutospacing="0" w:after="0" w:afterAutospacing="0" w:line="500" w:lineRule="exact"/>
              <w:ind w:left="0" w:right="0"/>
              <w:rPr>
                <w:rFonts w:hint="default" w:ascii="Times New Roman" w:hAnsi="Times New Roman" w:cs="Times New Roman"/>
                <w:bCs/>
                <w:color w:val="auto"/>
                <w:sz w:val="24"/>
                <w:szCs w:val="21"/>
              </w:rPr>
            </w:pPr>
          </w:p>
        </w:tc>
      </w:tr>
      <w:tr w14:paraId="71958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67" w:type="pct"/>
            <w:noWrap w:val="0"/>
            <w:vAlign w:val="center"/>
          </w:tcPr>
          <w:p w14:paraId="3B228754">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工艺流程和产排污环节</w:t>
            </w:r>
          </w:p>
        </w:tc>
        <w:tc>
          <w:tcPr>
            <w:tcW w:w="4532" w:type="pct"/>
            <w:noWrap w:val="0"/>
            <w:vAlign w:val="top"/>
          </w:tcPr>
          <w:p w14:paraId="353D99E9">
            <w:pPr>
              <w:keepNext w:val="0"/>
              <w:keepLines w:val="0"/>
              <w:suppressLineNumbers w:val="0"/>
              <w:spacing w:before="0" w:beforeAutospacing="0" w:after="0" w:afterAutospacing="0" w:line="360" w:lineRule="auto"/>
              <w:ind w:left="0" w:right="0"/>
              <w:rPr>
                <w:rFonts w:hint="default"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lang w:eastAsia="zh-CN"/>
              </w:rPr>
              <w:t>一</w:t>
            </w:r>
            <w:r>
              <w:rPr>
                <w:rFonts w:hint="default" w:ascii="Times New Roman" w:hAnsi="Times New Roman" w:eastAsia="黑体" w:cs="Times New Roman"/>
                <w:color w:val="auto"/>
                <w:sz w:val="28"/>
                <w:szCs w:val="28"/>
              </w:rPr>
              <w:t>、施工期</w:t>
            </w:r>
          </w:p>
          <w:p w14:paraId="10135A0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本项目施工期仅进行坏旧电捕焦油器拆除。因此本次不考虑施工期排污。</w:t>
            </w:r>
          </w:p>
          <w:p w14:paraId="7CC3152B">
            <w:pPr>
              <w:keepNext w:val="0"/>
              <w:keepLines w:val="0"/>
              <w:suppressLineNumbers w:val="0"/>
              <w:spacing w:before="0" w:beforeAutospacing="0" w:after="0" w:afterAutospacing="0" w:line="360" w:lineRule="auto"/>
              <w:ind w:left="0" w:right="0"/>
              <w:rPr>
                <w:rFonts w:hint="default" w:ascii="Times New Roman" w:hAnsi="Times New Roman" w:eastAsia="黑体" w:cs="Times New Roman"/>
                <w:color w:val="auto"/>
                <w:sz w:val="28"/>
                <w:szCs w:val="28"/>
                <w:lang w:val="en-US" w:eastAsia="zh-CN"/>
              </w:rPr>
            </w:pPr>
            <w:r>
              <w:rPr>
                <w:rFonts w:hint="eastAsia" w:ascii="Times New Roman" w:hAnsi="Times New Roman" w:eastAsia="黑体" w:cs="Times New Roman"/>
                <w:color w:val="auto"/>
                <w:sz w:val="28"/>
                <w:szCs w:val="28"/>
                <w:lang w:val="en-US" w:eastAsia="zh-CN"/>
              </w:rPr>
              <w:t>二、运营期</w:t>
            </w:r>
          </w:p>
          <w:p w14:paraId="58C8B41E">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(1)沥青混凝土搅拌站工艺流程简述</w:t>
            </w:r>
          </w:p>
          <w:p w14:paraId="3CBDFD36">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①骨料预处理：本项目石料为外购</w:t>
            </w:r>
            <w:r>
              <w:rPr>
                <w:rFonts w:hint="eastAsia" w:cs="Times New Roman"/>
                <w:color w:val="auto"/>
                <w:sz w:val="24"/>
                <w:lang w:eastAsia="zh-CN"/>
              </w:rPr>
              <w:t>的合乎规格的成品石料</w:t>
            </w:r>
            <w:r>
              <w:rPr>
                <w:rFonts w:hint="default" w:ascii="Times New Roman" w:hAnsi="Times New Roman" w:cs="Times New Roman"/>
                <w:color w:val="auto"/>
                <w:sz w:val="24"/>
              </w:rPr>
              <w:t>，暂存于厂区堆场内；矿粉贮存于矿粉筒仓内。生产时矿石通过铲车铲装倒入料斗，经计量设备按比例进行配比后经下料口落入皮带输送机上，皮带机将其输送至烘干筒内进行干燥，干燥滚筒采用燃烧器将石料烘干加热到一定温度(150℃)，石料加热时间约8分钟。烘干后的热料经提升机提升至振动筛，经计量后由输送机经管道送入搅拌机内。</w:t>
            </w:r>
          </w:p>
          <w:p w14:paraId="3F72AE7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②沥青预处理：沥青是石油气工厂热解石油气原料时得到的副产品，进厂时为散装沥青，沥青由专用沥青运输车通过密闭沥青管道送至沥青储罐，通过导热油炉给沥青储罐供热，沥青加热过程为密闭加热，加热至155~165℃。加热后的沥青经过螺旋管送入搅拌设备。此过程采用导热油炉对其进行供热，导热油炉产生的烟气经8m高烟囱排放。</w:t>
            </w:r>
          </w:p>
          <w:p w14:paraId="0EE01F8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③矿粉、石料</w:t>
            </w:r>
            <w:r>
              <w:rPr>
                <w:rFonts w:hint="eastAsia" w:cs="Times New Roman"/>
                <w:color w:val="auto"/>
                <w:sz w:val="24"/>
                <w:lang w:eastAsia="zh-CN"/>
              </w:rPr>
              <w:t>、机制砂</w:t>
            </w:r>
            <w:r>
              <w:rPr>
                <w:rFonts w:hint="default" w:ascii="Times New Roman" w:hAnsi="Times New Roman" w:cs="Times New Roman"/>
                <w:color w:val="auto"/>
                <w:sz w:val="24"/>
              </w:rPr>
              <w:t>经计量器计量后，石料通过皮带输送装置送入搅拌仓，矿粉通过气力输送装置送入搅拌设备，与骨料、沥青混合搅拌。完成搅拌的成品沥青混凝土经搅拌机底放料口直接卸入出厂运输汽车。</w:t>
            </w:r>
          </w:p>
          <w:p w14:paraId="1A3BF568">
            <w:pPr>
              <w:keepNext w:val="0"/>
              <w:keepLines w:val="0"/>
              <w:suppressLineNumbers w:val="0"/>
              <w:adjustRightInd w:val="0"/>
              <w:snapToGrid w:val="0"/>
              <w:spacing w:before="0" w:beforeAutospacing="0" w:after="0" w:afterAutospacing="0"/>
              <w:ind w:left="0" w:right="0" w:firstLine="480" w:firstLineChars="200"/>
              <w:rPr>
                <w:rFonts w:hint="default" w:ascii="Times New Roman" w:hAnsi="Times New Roman" w:eastAsia="宋体" w:cs="Times New Roman"/>
                <w:caps w:val="0"/>
                <w:color w:val="auto"/>
                <w:kern w:val="28"/>
                <w:sz w:val="24"/>
              </w:rPr>
            </w:pPr>
          </w:p>
          <w:p w14:paraId="23D8C454">
            <w:pPr>
              <w:keepNext w:val="0"/>
              <w:keepLines w:val="0"/>
              <w:suppressLineNumbers w:val="0"/>
              <w:adjustRightInd w:val="0"/>
              <w:snapToGrid w:val="0"/>
              <w:spacing w:before="0" w:beforeAutospacing="0" w:after="0" w:afterAutospacing="0"/>
              <w:ind w:left="0" w:right="0" w:firstLine="480" w:firstLineChars="200"/>
              <w:rPr>
                <w:rFonts w:hint="default" w:ascii="Times New Roman" w:hAnsi="Times New Roman" w:eastAsia="宋体" w:cs="Times New Roman"/>
                <w:caps w:val="0"/>
                <w:color w:val="auto"/>
                <w:kern w:val="28"/>
                <w:sz w:val="24"/>
              </w:rPr>
            </w:pPr>
          </w:p>
          <w:p w14:paraId="5477277D">
            <w:pPr>
              <w:keepNext w:val="0"/>
              <w:keepLines w:val="0"/>
              <w:widowControl/>
              <w:suppressLineNumbers w:val="0"/>
              <w:spacing w:before="0" w:beforeAutospacing="0" w:after="0" w:afterAutospacing="0"/>
              <w:ind w:left="0" w:right="0"/>
              <w:jc w:val="center"/>
              <w:rPr>
                <w:rFonts w:hint="eastAsia" w:ascii="Times New Roman" w:hAnsi="Times New Roman" w:eastAsia="宋体" w:cs="宋体"/>
                <w:caps w:val="0"/>
                <w:color w:val="auto"/>
                <w:kern w:val="28"/>
                <w:sz w:val="24"/>
              </w:rPr>
            </w:pPr>
            <w:r>
              <w:rPr>
                <w:rFonts w:hint="default" w:ascii="Times New Roman" w:hAnsi="Times New Roman"/>
                <w:b/>
                <w:color w:val="auto"/>
                <w:sz w:val="24"/>
                <w:szCs w:val="24"/>
              </w:rPr>
              <w:drawing>
                <wp:inline distT="0" distB="0" distL="114300" distR="114300">
                  <wp:extent cx="4311650" cy="4826000"/>
                  <wp:effectExtent l="0" t="0" r="12700" b="12700"/>
                  <wp:docPr id="17" name="图片 1" descr="1596079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1596079354(1)"/>
                          <pic:cNvPicPr>
                            <a:picLocks noChangeAspect="1"/>
                          </pic:cNvPicPr>
                        </pic:nvPicPr>
                        <pic:blipFill>
                          <a:blip r:embed="rId23"/>
                          <a:stretch>
                            <a:fillRect/>
                          </a:stretch>
                        </pic:blipFill>
                        <pic:spPr>
                          <a:xfrm>
                            <a:off x="0" y="0"/>
                            <a:ext cx="4311650" cy="4826000"/>
                          </a:xfrm>
                          <a:prstGeom prst="rect">
                            <a:avLst/>
                          </a:prstGeom>
                          <a:noFill/>
                          <a:ln>
                            <a:noFill/>
                          </a:ln>
                        </pic:spPr>
                      </pic:pic>
                    </a:graphicData>
                  </a:graphic>
                </wp:inline>
              </w:drawing>
            </w:r>
          </w:p>
          <w:p w14:paraId="3E52344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宋体"/>
                <w:b/>
                <w:caps w:val="0"/>
                <w:color w:val="auto"/>
                <w:kern w:val="28"/>
                <w:sz w:val="24"/>
              </w:rPr>
            </w:pPr>
            <w:r>
              <w:rPr>
                <w:rFonts w:hint="eastAsia" w:ascii="Times New Roman" w:hAnsi="Times New Roman" w:eastAsia="宋体" w:cs="宋体"/>
                <w:b/>
                <w:caps w:val="0"/>
                <w:color w:val="auto"/>
                <w:kern w:val="28"/>
                <w:sz w:val="24"/>
              </w:rPr>
              <w:t>图</w:t>
            </w:r>
            <w:r>
              <w:rPr>
                <w:rFonts w:hint="eastAsia" w:ascii="Times New Roman" w:hAnsi="Times New Roman" w:eastAsia="宋体" w:cs="宋体"/>
                <w:b/>
                <w:caps w:val="0"/>
                <w:color w:val="auto"/>
                <w:kern w:val="28"/>
                <w:sz w:val="24"/>
                <w:lang w:val="en-US" w:eastAsia="zh-CN"/>
              </w:rPr>
              <w:t>2</w:t>
            </w:r>
            <w:r>
              <w:rPr>
                <w:rFonts w:hint="eastAsia" w:ascii="Times New Roman" w:hAnsi="Times New Roman" w:eastAsia="宋体" w:cs="宋体"/>
                <w:b/>
                <w:caps w:val="0"/>
                <w:color w:val="auto"/>
                <w:kern w:val="28"/>
                <w:sz w:val="24"/>
              </w:rPr>
              <w:t>-1生产工艺流程及产污环节图</w:t>
            </w:r>
          </w:p>
          <w:p w14:paraId="2992CA10">
            <w:pPr>
              <w:pStyle w:val="51"/>
              <w:keepNext w:val="0"/>
              <w:keepLines w:val="0"/>
              <w:suppressLineNumbers w:val="0"/>
              <w:spacing w:before="0" w:beforeAutospacing="0" w:after="0" w:afterAutospacing="0"/>
              <w:ind w:left="0" w:right="0"/>
              <w:rPr>
                <w:rFonts w:hint="default" w:ascii="Times New Roman" w:hAnsi="Times New Roman" w:cs="Times New Roman"/>
                <w:color w:val="auto"/>
                <w:sz w:val="24"/>
              </w:rPr>
            </w:pPr>
          </w:p>
        </w:tc>
      </w:tr>
      <w:tr w14:paraId="25419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467" w:type="pct"/>
            <w:noWrap w:val="0"/>
            <w:vAlign w:val="center"/>
          </w:tcPr>
          <w:p w14:paraId="6EB701A0">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bCs/>
                <w:color w:val="auto"/>
                <w:kern w:val="2"/>
                <w:szCs w:val="21"/>
              </w:rPr>
              <w:t>与项目有关的原有环境污染问题</w:t>
            </w:r>
          </w:p>
        </w:tc>
        <w:tc>
          <w:tcPr>
            <w:tcW w:w="4532" w:type="pct"/>
            <w:noWrap w:val="0"/>
            <w:vAlign w:val="top"/>
          </w:tcPr>
          <w:p w14:paraId="47406CD2">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本项目为</w:t>
            </w:r>
            <w:r>
              <w:rPr>
                <w:rFonts w:hint="eastAsia" w:cs="Times New Roman"/>
                <w:b w:val="0"/>
                <w:bCs/>
                <w:caps w:val="0"/>
                <w:color w:val="auto"/>
                <w:kern w:val="28"/>
                <w:sz w:val="24"/>
                <w:lang w:val="en-US" w:eastAsia="zh-CN"/>
              </w:rPr>
              <w:t>改</w:t>
            </w:r>
            <w:r>
              <w:rPr>
                <w:rFonts w:hint="eastAsia" w:ascii="Times New Roman" w:hAnsi="Times New Roman" w:eastAsia="宋体" w:cs="Times New Roman"/>
                <w:b w:val="0"/>
                <w:bCs/>
                <w:caps w:val="0"/>
                <w:color w:val="auto"/>
                <w:kern w:val="28"/>
                <w:sz w:val="24"/>
                <w:lang w:val="en-US" w:eastAsia="zh-CN"/>
              </w:rPr>
              <w:t>扩建项目，现有工程《</w:t>
            </w:r>
            <w:r>
              <w:rPr>
                <w:rFonts w:hint="default" w:ascii="Times New Roman" w:hAnsi="Times New Roman" w:eastAsia="宋体" w:cs="Times New Roman"/>
                <w:b w:val="0"/>
                <w:bCs/>
                <w:caps w:val="0"/>
                <w:color w:val="auto"/>
                <w:kern w:val="28"/>
                <w:sz w:val="24"/>
                <w:lang w:val="en-US" w:eastAsia="zh-CN"/>
              </w:rPr>
              <w:t>伊春市公用市政建筑安装有限公司沥青混合料拌合站建设工程项目</w:t>
            </w:r>
            <w:r>
              <w:rPr>
                <w:rFonts w:hint="eastAsia" w:ascii="Times New Roman" w:hAnsi="Times New Roman" w:eastAsia="宋体" w:cs="Times New Roman"/>
                <w:b w:val="0"/>
                <w:bCs/>
                <w:caps w:val="0"/>
                <w:color w:val="auto"/>
                <w:kern w:val="28"/>
                <w:sz w:val="24"/>
                <w:lang w:val="en-US" w:eastAsia="zh-CN"/>
              </w:rPr>
              <w:t>环境影响报告表》于2011年11月8日取得原伊春市环保局批复，并于2019年12月4日进行自主验收。建设内容为一座LJD2000型沥青混合料搅拌站，办公楼等，年产沥青混凝土40万吨</w:t>
            </w:r>
            <w:r>
              <w:rPr>
                <w:rFonts w:hint="eastAsia" w:cs="Times New Roman"/>
                <w:b w:val="0"/>
                <w:bCs/>
                <w:caps w:val="0"/>
                <w:color w:val="auto"/>
                <w:kern w:val="28"/>
                <w:sz w:val="24"/>
                <w:lang w:val="en-US" w:eastAsia="zh-CN"/>
              </w:rPr>
              <w:t>，现已停产多年</w:t>
            </w:r>
            <w:r>
              <w:rPr>
                <w:rFonts w:hint="eastAsia" w:ascii="Times New Roman" w:hAnsi="Times New Roman" w:eastAsia="宋体" w:cs="Times New Roman"/>
                <w:b w:val="0"/>
                <w:bCs/>
                <w:caps w:val="0"/>
                <w:color w:val="auto"/>
                <w:kern w:val="28"/>
                <w:sz w:val="24"/>
                <w:lang w:val="en-US" w:eastAsia="zh-CN"/>
              </w:rPr>
              <w:t>。现有工程《</w:t>
            </w:r>
            <w:r>
              <w:rPr>
                <w:rFonts w:hint="default" w:ascii="Times New Roman" w:hAnsi="Times New Roman" w:eastAsia="宋体" w:cs="Times New Roman"/>
                <w:b w:val="0"/>
                <w:bCs/>
                <w:caps w:val="0"/>
                <w:color w:val="auto"/>
                <w:kern w:val="28"/>
                <w:sz w:val="24"/>
                <w:lang w:val="en-US" w:eastAsia="zh-CN"/>
              </w:rPr>
              <w:t>伊春市公用市政建筑安装有限公司</w:t>
            </w:r>
            <w:r>
              <w:rPr>
                <w:rFonts w:hint="eastAsia" w:ascii="Times New Roman" w:hAnsi="Times New Roman" w:eastAsia="宋体" w:cs="Times New Roman"/>
                <w:b w:val="0"/>
                <w:bCs/>
                <w:caps w:val="0"/>
                <w:color w:val="auto"/>
                <w:kern w:val="28"/>
                <w:sz w:val="24"/>
                <w:lang w:val="en-US" w:eastAsia="zh-CN"/>
              </w:rPr>
              <w:t>扩建</w:t>
            </w:r>
            <w:r>
              <w:rPr>
                <w:rFonts w:hint="default" w:ascii="Times New Roman" w:hAnsi="Times New Roman" w:eastAsia="宋体" w:cs="Times New Roman"/>
                <w:b w:val="0"/>
                <w:bCs/>
                <w:caps w:val="0"/>
                <w:color w:val="auto"/>
                <w:kern w:val="28"/>
                <w:sz w:val="24"/>
                <w:lang w:val="en-US" w:eastAsia="zh-CN"/>
              </w:rPr>
              <w:t>项目</w:t>
            </w:r>
            <w:r>
              <w:rPr>
                <w:rFonts w:hint="eastAsia" w:ascii="Times New Roman" w:hAnsi="Times New Roman" w:eastAsia="宋体" w:cs="Times New Roman"/>
                <w:b w:val="0"/>
                <w:bCs/>
                <w:caps w:val="0"/>
                <w:color w:val="auto"/>
                <w:kern w:val="28"/>
                <w:sz w:val="24"/>
                <w:lang w:val="en-US" w:eastAsia="zh-CN"/>
              </w:rPr>
              <w:t>环境影响报告表》于2023.7.18取得伊春市乌翠生态环境局批复（乌环建审〔2023〕6号），并于2024年11月进行了自主验收，</w:t>
            </w:r>
            <w:r>
              <w:rPr>
                <w:rFonts w:hint="eastAsia" w:ascii="Times New Roman" w:hAnsi="Times New Roman" w:eastAsia="宋体" w:cs="Times New Roman"/>
                <w:b w:val="0"/>
                <w:bCs/>
                <w:caps w:val="0"/>
                <w:color w:val="auto"/>
                <w:kern w:val="28"/>
                <w:sz w:val="24"/>
                <w:szCs w:val="24"/>
                <w:lang w:val="en-US" w:eastAsia="zh-CN"/>
              </w:rPr>
              <w:t>年产</w:t>
            </w:r>
            <w:r>
              <w:rPr>
                <w:rFonts w:hint="eastAsia" w:cs="Times New Roman"/>
                <w:color w:val="auto"/>
                <w:sz w:val="24"/>
                <w:szCs w:val="24"/>
                <w:lang w:val="en-US" w:eastAsia="zh-CN"/>
              </w:rPr>
              <w:t>沥青混凝土32400t/a，年生产6个月</w:t>
            </w:r>
            <w:r>
              <w:rPr>
                <w:rFonts w:hint="eastAsia" w:ascii="Times New Roman" w:hAnsi="Times New Roman" w:eastAsia="宋体" w:cs="Times New Roman"/>
                <w:b w:val="0"/>
                <w:bCs/>
                <w:caps w:val="0"/>
                <w:color w:val="auto"/>
                <w:kern w:val="28"/>
                <w:sz w:val="24"/>
                <w:szCs w:val="24"/>
                <w:lang w:val="en-US" w:eastAsia="zh-CN"/>
              </w:rPr>
              <w:t>。</w:t>
            </w:r>
            <w:r>
              <w:rPr>
                <w:rFonts w:hint="eastAsia" w:cs="Times New Roman"/>
                <w:b w:val="0"/>
                <w:bCs/>
                <w:caps w:val="0"/>
                <w:color w:val="0000FF"/>
                <w:kern w:val="28"/>
                <w:sz w:val="24"/>
                <w:lang w:val="en-US" w:eastAsia="zh-CN"/>
              </w:rPr>
              <w:t>现有工程于2025年7月29日取得排污许可证，编号为：912307000945979005001U，有效期至2030年7月28日。</w:t>
            </w:r>
          </w:p>
          <w:p w14:paraId="460AD8B0">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cs="Times New Roman"/>
                <w:b w:val="0"/>
                <w:bCs/>
                <w:caps w:val="0"/>
                <w:color w:val="auto"/>
                <w:kern w:val="28"/>
                <w:sz w:val="24"/>
                <w:lang w:val="en-US" w:eastAsia="zh-CN"/>
              </w:rPr>
              <w:t>一、工程基本情况</w:t>
            </w:r>
          </w:p>
          <w:p w14:paraId="0285FAB1">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现有工程组成见表2-5。</w:t>
            </w:r>
          </w:p>
          <w:p w14:paraId="6AD64261">
            <w:pPr>
              <w:pStyle w:val="10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表2-7现有工程组成一览表</w:t>
            </w:r>
          </w:p>
          <w:tbl>
            <w:tblPr>
              <w:tblStyle w:val="35"/>
              <w:tblW w:w="8714"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14"/>
              <w:gridCol w:w="1818"/>
              <w:gridCol w:w="5582"/>
            </w:tblGrid>
            <w:tr w14:paraId="58BC7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932C80">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项目名称</w:t>
                  </w: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A375E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建设情况</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9D28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本工程建设内容</w:t>
                  </w:r>
                </w:p>
              </w:tc>
            </w:tr>
            <w:tr w14:paraId="06C6F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 w:hRule="atLeast"/>
              </w:trPr>
              <w:tc>
                <w:tcPr>
                  <w:tcW w:w="754" w:type="pct"/>
                  <w:vMerge w:val="restart"/>
                  <w:tcBorders>
                    <w:top w:val="single" w:color="000000" w:sz="8" w:space="0"/>
                    <w:left w:val="single" w:color="000000" w:sz="8" w:space="0"/>
                    <w:right w:val="single" w:color="000000" w:sz="8" w:space="0"/>
                  </w:tcBorders>
                  <w:shd w:val="clear" w:color="auto" w:fill="auto"/>
                  <w:vAlign w:val="center"/>
                </w:tcPr>
                <w:p w14:paraId="0CADA45F">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主体工程</w:t>
                  </w:r>
                </w:p>
              </w:tc>
              <w:tc>
                <w:tcPr>
                  <w:tcW w:w="1818" w:type="dxa"/>
                  <w:tcBorders>
                    <w:top w:val="single" w:color="000000" w:sz="8" w:space="0"/>
                    <w:left w:val="single" w:color="000000" w:sz="8" w:space="0"/>
                    <w:bottom w:val="single" w:color="000000" w:sz="8" w:space="0"/>
                    <w:right w:val="single" w:color="000000" w:sz="8" w:space="0"/>
                  </w:tcBorders>
                  <w:shd w:val="clear" w:color="auto" w:fill="auto"/>
                  <w:vAlign w:val="top"/>
                </w:tcPr>
                <w:p w14:paraId="7B82B039">
                  <w:pPr>
                    <w:pStyle w:val="165"/>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bCs/>
                      <w:color w:val="auto"/>
                      <w:kern w:val="0"/>
                      <w:sz w:val="21"/>
                      <w:szCs w:val="21"/>
                      <w:lang w:val="en-US" w:eastAsia="zh-CN"/>
                    </w:rPr>
                  </w:pPr>
                  <w:r>
                    <w:rPr>
                      <w:rFonts w:hint="eastAsia"/>
                      <w:color w:val="auto"/>
                      <w:sz w:val="21"/>
                      <w:szCs w:val="21"/>
                      <w:lang w:val="en-US" w:eastAsia="zh-CN"/>
                    </w:rPr>
                    <w:t>搅拌站1</w:t>
                  </w:r>
                </w:p>
              </w:tc>
              <w:tc>
                <w:tcPr>
                  <w:tcW w:w="5582" w:type="dxa"/>
                  <w:tcBorders>
                    <w:top w:val="single" w:color="000000" w:sz="8" w:space="0"/>
                    <w:left w:val="single" w:color="000000" w:sz="8" w:space="0"/>
                    <w:bottom w:val="single" w:color="000000" w:sz="8" w:space="0"/>
                    <w:right w:val="single" w:color="000000" w:sz="8" w:space="0"/>
                  </w:tcBorders>
                  <w:shd w:val="clear" w:color="auto" w:fill="auto"/>
                  <w:vAlign w:val="top"/>
                </w:tcPr>
                <w:p w14:paraId="0F9F347D">
                  <w:pPr>
                    <w:pStyle w:val="165"/>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安装一座LJD2000型沥青混合料搅拌站，配套1台1t/h加热炉，燃料为柴油，</w:t>
                  </w:r>
                  <w:r>
                    <w:rPr>
                      <w:rFonts w:hint="eastAsia" w:ascii="Times New Roman" w:hAnsi="Times New Roman" w:eastAsia="宋体" w:cs="Times New Roman"/>
                      <w:b w:val="0"/>
                      <w:bCs/>
                      <w:caps w:val="0"/>
                      <w:color w:val="auto"/>
                      <w:kern w:val="28"/>
                      <w:sz w:val="21"/>
                      <w:szCs w:val="21"/>
                      <w:lang w:val="en-US" w:eastAsia="zh-CN"/>
                    </w:rPr>
                    <w:t>年产沥青混凝土40万吨</w:t>
                  </w:r>
                  <w:r>
                    <w:rPr>
                      <w:rFonts w:hint="eastAsia" w:cs="Times New Roman"/>
                      <w:b w:val="0"/>
                      <w:bCs/>
                      <w:caps w:val="0"/>
                      <w:color w:val="auto"/>
                      <w:kern w:val="28"/>
                      <w:sz w:val="21"/>
                      <w:szCs w:val="21"/>
                      <w:lang w:val="en-US" w:eastAsia="zh-CN"/>
                    </w:rPr>
                    <w:t>，现已停产多年。</w:t>
                  </w:r>
                </w:p>
              </w:tc>
            </w:tr>
            <w:tr w14:paraId="55F8D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54" w:type="pct"/>
                  <w:vMerge w:val="continue"/>
                  <w:tcBorders>
                    <w:left w:val="single" w:color="000000" w:sz="8" w:space="0"/>
                    <w:bottom w:val="single" w:color="000000" w:sz="8" w:space="0"/>
                    <w:right w:val="single" w:color="000000" w:sz="8" w:space="0"/>
                  </w:tcBorders>
                  <w:shd w:val="clear" w:color="auto" w:fill="auto"/>
                  <w:vAlign w:val="center"/>
                </w:tcPr>
                <w:p w14:paraId="4D27217F">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315E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auto"/>
                      <w:kern w:val="0"/>
                      <w:sz w:val="21"/>
                      <w:szCs w:val="21"/>
                      <w:lang w:val="en-US" w:eastAsia="zh-CN" w:bidi="ar-SA"/>
                    </w:rPr>
                  </w:pPr>
                  <w:r>
                    <w:rPr>
                      <w:rFonts w:hint="eastAsia" w:cs="Times New Roman"/>
                      <w:bCs/>
                      <w:color w:val="auto"/>
                      <w:kern w:val="0"/>
                      <w:sz w:val="21"/>
                      <w:szCs w:val="21"/>
                      <w:lang w:val="en-US" w:eastAsia="zh-CN"/>
                    </w:rPr>
                    <w:t>搅拌站2</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520933">
                  <w:pPr>
                    <w:keepNext w:val="0"/>
                    <w:keepLines w:val="0"/>
                    <w:widowControl/>
                    <w:suppressLineNumbers w:val="0"/>
                    <w:spacing w:before="0" w:beforeAutospacing="0" w:after="0" w:afterAutospacing="0"/>
                    <w:ind w:left="0" w:leftChars="0" w:right="0" w:rightChars="0"/>
                    <w:jc w:val="both"/>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建设1条沥青混凝土生产线，设备型号为三一SLB2000C8。年产沥青混凝土32400t/a。</w:t>
                  </w:r>
                </w:p>
              </w:tc>
            </w:tr>
            <w:tr w14:paraId="45D10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5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4E9124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储运工程</w:t>
                  </w: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015F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lang w:val="en-US" w:eastAsia="zh-CN"/>
                    </w:rPr>
                  </w:pPr>
                  <w:r>
                    <w:rPr>
                      <w:rFonts w:hint="eastAsia" w:cs="Times New Roman"/>
                      <w:bCs/>
                      <w:color w:val="auto"/>
                      <w:kern w:val="0"/>
                      <w:sz w:val="21"/>
                      <w:szCs w:val="21"/>
                      <w:lang w:val="en-US" w:eastAsia="zh-CN"/>
                    </w:rPr>
                    <w:t>原料堆场</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379EB8">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val="en-US" w:eastAsia="zh-CN"/>
                    </w:rPr>
                  </w:pPr>
                  <w:r>
                    <w:rPr>
                      <w:rFonts w:hint="eastAsia" w:ascii="宋体" w:hAnsi="宋体" w:eastAsia="宋体" w:cs="宋体"/>
                      <w:color w:val="auto"/>
                      <w:spacing w:val="-8"/>
                      <w:sz w:val="21"/>
                      <w:szCs w:val="21"/>
                      <w:lang w:eastAsia="zh-CN"/>
                    </w:rPr>
                    <w:t>现有原料堆场，</w:t>
                  </w:r>
                  <w:r>
                    <w:rPr>
                      <w:rFonts w:hint="default" w:ascii="宋体" w:hAnsi="宋体" w:eastAsia="宋体" w:cs="宋体"/>
                      <w:color w:val="auto"/>
                      <w:spacing w:val="-8"/>
                      <w:sz w:val="21"/>
                      <w:szCs w:val="21"/>
                    </w:rPr>
                    <w:t>建</w:t>
                  </w:r>
                  <w:r>
                    <w:rPr>
                      <w:rFonts w:hint="default" w:ascii="宋体" w:hAnsi="宋体" w:eastAsia="宋体" w:cs="宋体"/>
                      <w:color w:val="auto"/>
                      <w:spacing w:val="-4"/>
                      <w:sz w:val="21"/>
                      <w:szCs w:val="21"/>
                    </w:rPr>
                    <w:t>筑面积</w:t>
                  </w:r>
                  <w:r>
                    <w:rPr>
                      <w:rFonts w:hint="eastAsia" w:ascii="Times New Roman" w:hAnsi="Times New Roman" w:eastAsia="宋体" w:cs="Times New Roman"/>
                      <w:color w:val="auto"/>
                      <w:spacing w:val="-4"/>
                      <w:sz w:val="21"/>
                      <w:szCs w:val="21"/>
                      <w:lang w:val="en-US" w:eastAsia="zh-CN"/>
                    </w:rPr>
                    <w:t>80</w:t>
                  </w:r>
                  <w:r>
                    <w:rPr>
                      <w:rFonts w:hint="default" w:ascii="Times New Roman" w:hAnsi="Times New Roman" w:eastAsia="Times New Roman" w:cs="Times New Roman"/>
                      <w:color w:val="auto"/>
                      <w:spacing w:val="-4"/>
                      <w:sz w:val="21"/>
                      <w:szCs w:val="21"/>
                    </w:rPr>
                    <w:t>00m</w:t>
                  </w:r>
                  <w:r>
                    <w:rPr>
                      <w:rFonts w:hint="default" w:ascii="Times New Roman" w:hAnsi="Times New Roman" w:eastAsia="Times New Roman" w:cs="Times New Roman"/>
                      <w:color w:val="auto"/>
                      <w:spacing w:val="-4"/>
                      <w:position w:val="7"/>
                      <w:sz w:val="14"/>
                      <w:szCs w:val="14"/>
                    </w:rPr>
                    <w:t>2</w:t>
                  </w:r>
                  <w:r>
                    <w:rPr>
                      <w:rFonts w:hint="default" w:ascii="宋体" w:hAnsi="宋体" w:eastAsia="宋体" w:cs="宋体"/>
                      <w:color w:val="auto"/>
                      <w:spacing w:val="-4"/>
                      <w:sz w:val="21"/>
                      <w:szCs w:val="21"/>
                    </w:rPr>
                    <w:t>，主要用于原料碎石存储，露天堆放，设置</w:t>
                  </w:r>
                  <w:r>
                    <w:rPr>
                      <w:rFonts w:hint="eastAsia" w:cs="宋体"/>
                      <w:color w:val="auto"/>
                      <w:spacing w:val="-4"/>
                      <w:sz w:val="21"/>
                      <w:szCs w:val="21"/>
                      <w:lang w:eastAsia="zh-CN"/>
                    </w:rPr>
                    <w:t>防风抑尘网</w:t>
                  </w:r>
                  <w:r>
                    <w:rPr>
                      <w:rFonts w:hint="default" w:ascii="宋体" w:hAnsi="宋体" w:eastAsia="宋体" w:cs="宋体"/>
                      <w:color w:val="auto"/>
                      <w:spacing w:val="-4"/>
                      <w:sz w:val="21"/>
                      <w:szCs w:val="21"/>
                    </w:rPr>
                    <w:t>，采</w:t>
                  </w:r>
                  <w:r>
                    <w:rPr>
                      <w:rFonts w:hint="default" w:ascii="宋体" w:hAnsi="宋体" w:eastAsia="宋体" w:cs="宋体"/>
                      <w:color w:val="auto"/>
                      <w:spacing w:val="-1"/>
                      <w:sz w:val="21"/>
                      <w:szCs w:val="21"/>
                    </w:rPr>
                    <w:t>用苫布遮</w:t>
                  </w:r>
                  <w:r>
                    <w:rPr>
                      <w:rFonts w:hint="default" w:ascii="宋体" w:hAnsi="宋体" w:eastAsia="宋体" w:cs="宋体"/>
                      <w:color w:val="auto"/>
                      <w:sz w:val="21"/>
                      <w:szCs w:val="21"/>
                    </w:rPr>
                    <w:t>挡。</w:t>
                  </w:r>
                </w:p>
              </w:tc>
            </w:tr>
            <w:tr w14:paraId="7F6DEB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6FC86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5810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矿粉筒仓</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3C3177">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2"/>
                      <w:sz w:val="21"/>
                      <w:szCs w:val="21"/>
                      <w:lang w:val="en-US" w:eastAsia="zh-CN" w:bidi="ar-SA"/>
                    </w:rPr>
                  </w:pPr>
                  <w:r>
                    <w:rPr>
                      <w:rFonts w:hint="eastAsia" w:ascii="Times New Roman" w:hAnsi="Times New Roman" w:cs="Times New Roman"/>
                      <w:bCs/>
                      <w:color w:val="auto"/>
                      <w:kern w:val="0"/>
                      <w:sz w:val="21"/>
                      <w:szCs w:val="21"/>
                      <w:lang w:val="en-US" w:eastAsia="zh-CN" w:bidi="ar-SA"/>
                    </w:rPr>
                    <w:t>本项目建设1座矿粉储罐，单座储罐容积为50m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lang w:val="en-US" w:eastAsia="zh-CN" w:bidi="ar-SA"/>
                    </w:rPr>
                    <w:t>。</w:t>
                  </w:r>
                </w:p>
              </w:tc>
            </w:tr>
            <w:tr w14:paraId="0784A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7F500F">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A44B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cs="Times New Roman"/>
                      <w:bCs/>
                      <w:color w:val="auto"/>
                      <w:kern w:val="0"/>
                      <w:sz w:val="21"/>
                      <w:szCs w:val="21"/>
                      <w:lang w:val="en-US" w:eastAsia="zh-CN"/>
                    </w:rPr>
                  </w:pPr>
                  <w:r>
                    <w:rPr>
                      <w:rFonts w:hint="eastAsia" w:cs="Times New Roman"/>
                      <w:bCs/>
                      <w:color w:val="auto"/>
                      <w:kern w:val="0"/>
                      <w:sz w:val="21"/>
                      <w:szCs w:val="21"/>
                      <w:lang w:val="en-US" w:eastAsia="zh-CN"/>
                    </w:rPr>
                    <w:t>沥青储罐</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3B3567">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0"/>
                      <w:sz w:val="21"/>
                      <w:szCs w:val="21"/>
                      <w:lang w:val="en-US" w:eastAsia="zh-CN" w:bidi="ar-SA"/>
                    </w:rPr>
                  </w:pPr>
                  <w:r>
                    <w:rPr>
                      <w:rFonts w:hint="eastAsia" w:ascii="Times New Roman" w:hAnsi="Times New Roman" w:cs="Times New Roman"/>
                      <w:bCs/>
                      <w:color w:val="auto"/>
                      <w:kern w:val="0"/>
                      <w:sz w:val="21"/>
                      <w:szCs w:val="21"/>
                      <w:lang w:val="en-US" w:eastAsia="zh-CN" w:bidi="ar-SA"/>
                    </w:rPr>
                    <w:t>本项目建设2座沥青储罐，单座储罐容积为50m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，储罐四周设置围堰</w:t>
                  </w:r>
                  <w:r>
                    <w:rPr>
                      <w:rFonts w:hint="eastAsia" w:ascii="Times New Roman" w:hAnsi="Times New Roman" w:cs="Times New Roman"/>
                      <w:bCs/>
                      <w:color w:val="auto"/>
                      <w:kern w:val="0"/>
                      <w:sz w:val="21"/>
                      <w:szCs w:val="21"/>
                      <w:lang w:val="en-US" w:eastAsia="zh-CN" w:bidi="ar-SA"/>
                    </w:rPr>
                    <w:t>。</w:t>
                  </w:r>
                </w:p>
              </w:tc>
            </w:tr>
            <w:tr w14:paraId="2309C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8ECDB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E267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重油储罐</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8CC474">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Times New Roman" w:hAnsi="Times New Roman" w:cs="Times New Roman"/>
                      <w:bCs/>
                      <w:color w:val="auto"/>
                      <w:kern w:val="0"/>
                      <w:sz w:val="21"/>
                      <w:szCs w:val="21"/>
                      <w:lang w:val="en-US" w:eastAsia="zh-CN" w:bidi="ar-SA"/>
                    </w:rPr>
                  </w:pPr>
                  <w:r>
                    <w:rPr>
                      <w:rFonts w:hint="eastAsia" w:ascii="Times New Roman" w:hAnsi="Times New Roman" w:cs="Times New Roman"/>
                      <w:bCs/>
                      <w:color w:val="auto"/>
                      <w:kern w:val="0"/>
                      <w:sz w:val="21"/>
                      <w:szCs w:val="21"/>
                      <w:lang w:val="en-US" w:eastAsia="zh-CN" w:bidi="ar-SA"/>
                    </w:rPr>
                    <w:t>本项目建设1座重油储罐，单座储罐容积为30m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，储罐四周设置围堰</w:t>
                  </w:r>
                  <w:r>
                    <w:rPr>
                      <w:rFonts w:hint="eastAsia" w:ascii="Times New Roman" w:hAnsi="Times New Roman" w:cs="Times New Roman"/>
                      <w:bCs/>
                      <w:color w:val="auto"/>
                      <w:kern w:val="0"/>
                      <w:sz w:val="21"/>
                      <w:szCs w:val="21"/>
                      <w:lang w:val="en-US" w:eastAsia="zh-CN" w:bidi="ar-SA"/>
                    </w:rPr>
                    <w:t>。</w:t>
                  </w:r>
                </w:p>
              </w:tc>
            </w:tr>
            <w:tr w14:paraId="54729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A8189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9A26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cs="Times New Roman"/>
                      <w:bCs/>
                      <w:color w:val="auto"/>
                      <w:kern w:val="0"/>
                      <w:sz w:val="21"/>
                      <w:szCs w:val="21"/>
                      <w:lang w:val="en-US" w:eastAsia="zh-CN"/>
                    </w:rPr>
                  </w:pPr>
                  <w:r>
                    <w:rPr>
                      <w:rFonts w:hint="eastAsia" w:cs="Times New Roman"/>
                      <w:bCs/>
                      <w:color w:val="auto"/>
                      <w:kern w:val="0"/>
                      <w:sz w:val="21"/>
                      <w:szCs w:val="21"/>
                      <w:lang w:val="en-US" w:eastAsia="zh-CN"/>
                    </w:rPr>
                    <w:t>柴油储罐</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E3E493">
                  <w:pPr>
                    <w:pStyle w:val="16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cs="Times New Roman"/>
                      <w:bCs/>
                      <w:color w:val="auto"/>
                      <w:kern w:val="0"/>
                      <w:sz w:val="21"/>
                      <w:szCs w:val="21"/>
                      <w:vertAlign w:val="baseline"/>
                      <w:lang w:val="en-US" w:eastAsia="zh-CN" w:bidi="ar-SA"/>
                    </w:rPr>
                  </w:pPr>
                  <w:r>
                    <w:rPr>
                      <w:rFonts w:hint="eastAsia" w:ascii="Times New Roman" w:hAnsi="Times New Roman" w:cs="Times New Roman"/>
                      <w:bCs/>
                      <w:color w:val="auto"/>
                      <w:kern w:val="0"/>
                      <w:sz w:val="21"/>
                      <w:szCs w:val="21"/>
                      <w:lang w:val="en-US" w:eastAsia="zh-CN" w:bidi="ar-SA"/>
                    </w:rPr>
                    <w:t>新建1座柴油储罐，容积为10m</w:t>
                  </w:r>
                  <w:r>
                    <w:rPr>
                      <w:rFonts w:hint="eastAsia" w:ascii="Times New Roman" w:hAnsi="Times New Roman" w:cs="Times New Roman"/>
                      <w:bCs/>
                      <w:color w:val="auto"/>
                      <w:kern w:val="0"/>
                      <w:sz w:val="21"/>
                      <w:szCs w:val="21"/>
                      <w:vertAlign w:val="superscript"/>
                      <w:lang w:val="en-US" w:eastAsia="zh-CN" w:bidi="ar-SA"/>
                    </w:rPr>
                    <w:t>3</w:t>
                  </w:r>
                  <w:r>
                    <w:rPr>
                      <w:rFonts w:hint="eastAsia" w:ascii="Times New Roman" w:hAnsi="Times New Roman" w:cs="Times New Roman"/>
                      <w:bCs/>
                      <w:color w:val="auto"/>
                      <w:kern w:val="0"/>
                      <w:sz w:val="21"/>
                      <w:szCs w:val="21"/>
                      <w:vertAlign w:val="baseline"/>
                      <w:lang w:val="en-US" w:eastAsia="zh-CN" w:bidi="ar-SA"/>
                    </w:rPr>
                    <w:t>，为地上储罐，储罐四周设置围堰。</w:t>
                  </w:r>
                </w:p>
              </w:tc>
            </w:tr>
            <w:tr w14:paraId="7A4CB9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5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1A98D2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公用工程</w:t>
                  </w: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D363B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cs="Times New Roman"/>
                      <w:color w:val="auto"/>
                      <w:sz w:val="21"/>
                      <w:szCs w:val="21"/>
                      <w:lang w:eastAsia="zh-CN"/>
                    </w:rPr>
                    <w:t>供</w:t>
                  </w:r>
                  <w:r>
                    <w:rPr>
                      <w:rFonts w:hint="default" w:ascii="Times New Roman" w:hAnsi="Times New Roman" w:cs="Times New Roman"/>
                      <w:color w:val="auto"/>
                      <w:sz w:val="21"/>
                      <w:szCs w:val="21"/>
                    </w:rPr>
                    <w:t>水</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63FB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本项目</w:t>
                  </w:r>
                  <w:r>
                    <w:rPr>
                      <w:rFonts w:hint="eastAsia" w:cs="Times New Roman"/>
                      <w:color w:val="auto"/>
                      <w:sz w:val="21"/>
                      <w:szCs w:val="21"/>
                      <w:highlight w:val="none"/>
                      <w:lang w:val="en-US" w:eastAsia="zh-CN"/>
                    </w:rPr>
                    <w:t>供水采用自打井提供。</w:t>
                  </w:r>
                </w:p>
              </w:tc>
            </w:tr>
            <w:tr w14:paraId="5DB42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9A1F82">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557696">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排水</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0F9C3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eastAsia="zh-CN"/>
                    </w:rPr>
                    <w:t>本项目不新增生活污水，现有生活污水排入防渗化粪池，定期抽排至市政污水管网。</w:t>
                  </w:r>
                </w:p>
              </w:tc>
            </w:tr>
            <w:tr w14:paraId="1CADC6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4"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4D34A9">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0251A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供</w:t>
                  </w:r>
                  <w:r>
                    <w:rPr>
                      <w:rFonts w:hint="default" w:ascii="Times New Roman" w:hAnsi="Times New Roman" w:cs="Times New Roman"/>
                      <w:color w:val="auto"/>
                      <w:sz w:val="21"/>
                      <w:szCs w:val="21"/>
                      <w:lang w:eastAsia="zh-CN"/>
                    </w:rPr>
                    <w:t>热</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EE9A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本项目冬季不生产，不需要供暖。</w:t>
                  </w:r>
                </w:p>
              </w:tc>
            </w:tr>
            <w:tr w14:paraId="6E8FB4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FE1B2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31DB3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供电</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2B84A2">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本项目采用市政供电</w:t>
                  </w:r>
                  <w:r>
                    <w:rPr>
                      <w:rFonts w:hint="default" w:ascii="Times New Roman" w:hAnsi="Times New Roman" w:cs="Times New Roman"/>
                      <w:color w:val="auto"/>
                      <w:sz w:val="21"/>
                      <w:szCs w:val="21"/>
                      <w:lang w:eastAsia="zh-CN"/>
                    </w:rPr>
                    <w:t>。</w:t>
                  </w:r>
                </w:p>
              </w:tc>
            </w:tr>
            <w:tr w14:paraId="60F70E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5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45D0AA">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环保工程</w:t>
                  </w: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97D6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废气</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E377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eastAsia="宋体"/>
                      <w:color w:val="auto"/>
                      <w:szCs w:val="21"/>
                    </w:rPr>
                  </w:pPr>
                  <w:r>
                    <w:rPr>
                      <w:rFonts w:hint="eastAsia"/>
                      <w:color w:val="auto"/>
                      <w:lang w:val="en-US" w:eastAsia="zh-CN"/>
                    </w:rPr>
                    <w:t>搅拌站1废气经重力沉降+布袋除尘器二级除尘后，经20m高排气筒（DA001）排放；加热锅炉采用低硫油为燃料，废气经25m高烟囱排放（DA002）。</w:t>
                  </w:r>
                </w:p>
                <w:p w14:paraId="206479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eastAsia="宋体"/>
                      <w:color w:val="auto"/>
                      <w:lang w:val="en-US" w:eastAsia="zh-CN"/>
                    </w:rPr>
                  </w:pPr>
                  <w:r>
                    <w:rPr>
                      <w:rFonts w:hint="eastAsia"/>
                      <w:color w:val="auto"/>
                      <w:szCs w:val="21"/>
                      <w:lang w:val="en-US" w:eastAsia="zh-CN"/>
                    </w:rPr>
                    <w:t>搅拌站2</w:t>
                  </w:r>
                  <w:r>
                    <w:rPr>
                      <w:rFonts w:hint="eastAsia" w:eastAsia="宋体"/>
                      <w:color w:val="auto"/>
                      <w:szCs w:val="21"/>
                    </w:rPr>
                    <w:t>烘干滚筒及其配套燃烧器、振动筛、提升机、搅拌机等废气：沥青骨料</w:t>
                  </w:r>
                  <w:r>
                    <w:rPr>
                      <w:rFonts w:hint="default" w:eastAsia="宋体"/>
                      <w:color w:val="auto"/>
                      <w:szCs w:val="21"/>
                    </w:rPr>
                    <w:t>烘干废气</w:t>
                  </w:r>
                  <w:r>
                    <w:rPr>
                      <w:rFonts w:hint="eastAsia" w:eastAsia="宋体"/>
                      <w:color w:val="auto"/>
                      <w:szCs w:val="21"/>
                    </w:rPr>
                    <w:t>设置</w:t>
                  </w:r>
                  <w:r>
                    <w:rPr>
                      <w:rFonts w:hint="eastAsia" w:eastAsia="宋体"/>
                      <w:color w:val="auto"/>
                      <w:szCs w:val="21"/>
                      <w:lang w:eastAsia="zh-CN"/>
                    </w:rPr>
                    <w:t>重力沉降</w:t>
                  </w:r>
                  <w:r>
                    <w:rPr>
                      <w:rFonts w:hint="eastAsia" w:eastAsia="宋体"/>
                      <w:color w:val="auto"/>
                      <w:szCs w:val="21"/>
                      <w:lang w:val="en-US" w:eastAsia="zh-CN"/>
                    </w:rPr>
                    <w:t>+</w:t>
                  </w:r>
                  <w:r>
                    <w:rPr>
                      <w:rFonts w:hint="default" w:eastAsia="宋体"/>
                      <w:color w:val="auto"/>
                      <w:szCs w:val="21"/>
                    </w:rPr>
                    <w:t>布袋式除尘器</w:t>
                  </w:r>
                  <w:r>
                    <w:rPr>
                      <w:rFonts w:hint="eastAsia" w:eastAsia="宋体"/>
                      <w:color w:val="auto"/>
                      <w:szCs w:val="21"/>
                    </w:rPr>
                    <w:t>（去除效率</w:t>
                  </w:r>
                  <w:r>
                    <w:rPr>
                      <w:rFonts w:hint="eastAsia"/>
                      <w:color w:val="auto"/>
                      <w:szCs w:val="21"/>
                      <w:lang w:eastAsia="zh-CN"/>
                    </w:rPr>
                    <w:t>99</w:t>
                  </w:r>
                  <w:r>
                    <w:rPr>
                      <w:rFonts w:hint="eastAsia" w:eastAsia="宋体"/>
                      <w:color w:val="auto"/>
                      <w:szCs w:val="21"/>
                    </w:rPr>
                    <w:t>%）</w:t>
                  </w:r>
                  <w:r>
                    <w:rPr>
                      <w:rFonts w:hint="eastAsia" w:eastAsia="宋体"/>
                      <w:color w:val="auto"/>
                      <w:szCs w:val="21"/>
                      <w:lang w:eastAsia="zh-CN"/>
                    </w:rPr>
                    <w:t>二级除尘</w:t>
                  </w:r>
                  <w:r>
                    <w:rPr>
                      <w:rFonts w:hint="eastAsia" w:eastAsia="宋体"/>
                      <w:color w:val="auto"/>
                      <w:szCs w:val="21"/>
                    </w:rPr>
                    <w:t>，</w:t>
                  </w:r>
                  <w:r>
                    <w:rPr>
                      <w:rFonts w:hint="eastAsia"/>
                      <w:color w:val="auto"/>
                      <w:szCs w:val="21"/>
                      <w:lang w:eastAsia="zh-CN"/>
                    </w:rPr>
                    <w:t>燃烧器配套低氮燃烧，上述废气</w:t>
                  </w:r>
                  <w:r>
                    <w:rPr>
                      <w:rFonts w:hint="eastAsia" w:eastAsia="宋体"/>
                      <w:color w:val="auto"/>
                      <w:szCs w:val="21"/>
                    </w:rPr>
                    <w:t>处理后经</w:t>
                  </w:r>
                  <w:r>
                    <w:rPr>
                      <w:rFonts w:hint="default" w:eastAsia="宋体"/>
                      <w:color w:val="auto"/>
                      <w:szCs w:val="21"/>
                    </w:rPr>
                    <w:t>15</w:t>
                  </w:r>
                  <w:r>
                    <w:rPr>
                      <w:rFonts w:hint="eastAsia" w:eastAsia="宋体"/>
                      <w:color w:val="auto"/>
                      <w:szCs w:val="21"/>
                    </w:rPr>
                    <w:t>m排气筒（</w:t>
                  </w:r>
                  <w:r>
                    <w:rPr>
                      <w:rFonts w:hint="eastAsia"/>
                      <w:color w:val="auto"/>
                      <w:szCs w:val="21"/>
                      <w:lang w:val="en-US" w:eastAsia="zh-CN"/>
                    </w:rPr>
                    <w:t>DA003</w:t>
                  </w:r>
                  <w:r>
                    <w:rPr>
                      <w:rFonts w:hint="eastAsia" w:eastAsia="宋体"/>
                      <w:color w:val="auto"/>
                      <w:szCs w:val="21"/>
                    </w:rPr>
                    <w:t>）外排。导热油炉燃烧废气：</w:t>
                  </w:r>
                  <w:r>
                    <w:rPr>
                      <w:rFonts w:hint="default" w:eastAsia="宋体"/>
                      <w:color w:val="auto"/>
                      <w:szCs w:val="21"/>
                    </w:rPr>
                    <w:t>导热油炉烟气</w:t>
                  </w:r>
                  <w:r>
                    <w:rPr>
                      <w:rFonts w:hint="eastAsia" w:eastAsia="宋体"/>
                      <w:color w:val="auto"/>
                      <w:szCs w:val="21"/>
                    </w:rPr>
                    <w:t>通过8m高排气筒(</w:t>
                  </w:r>
                  <w:r>
                    <w:rPr>
                      <w:rFonts w:hint="eastAsia"/>
                      <w:color w:val="auto"/>
                      <w:szCs w:val="21"/>
                      <w:lang w:val="en-US" w:eastAsia="zh-CN"/>
                    </w:rPr>
                    <w:t>DA004</w:t>
                  </w:r>
                  <w:r>
                    <w:rPr>
                      <w:rFonts w:hint="eastAsia" w:eastAsia="宋体"/>
                      <w:color w:val="auto"/>
                      <w:szCs w:val="21"/>
                    </w:rPr>
                    <w:t>)直排。沥青烟气：经集气收集后将沥青烟气导入烘干系统进行燃烧（去除效率90%），燃烧后与烘干废气一起进入除尘系统，并在除尘系统末端设置一套电捕焦油器+活性炭吸附（去除效率80%），吸附未燃烧完全的沥青烟气，后通过15m高排气筒（P</w:t>
                  </w:r>
                  <w:r>
                    <w:rPr>
                      <w:rFonts w:hint="eastAsia" w:eastAsia="宋体"/>
                      <w:color w:val="auto"/>
                      <w:szCs w:val="21"/>
                      <w:lang w:val="en-US" w:eastAsia="zh-CN"/>
                    </w:rPr>
                    <w:t>2</w:t>
                  </w:r>
                  <w:r>
                    <w:rPr>
                      <w:rFonts w:hint="eastAsia" w:eastAsia="宋体"/>
                      <w:color w:val="auto"/>
                      <w:szCs w:val="21"/>
                    </w:rPr>
                    <w:t>）高空排放</w:t>
                  </w:r>
                  <w:r>
                    <w:rPr>
                      <w:rFonts w:hint="eastAsia"/>
                      <w:color w:val="auto"/>
                      <w:szCs w:val="21"/>
                      <w:lang w:eastAsia="zh-CN"/>
                    </w:rPr>
                    <w:t>，</w:t>
                  </w:r>
                  <w:r>
                    <w:rPr>
                      <w:rFonts w:hint="eastAsia"/>
                      <w:color w:val="auto"/>
                      <w:szCs w:val="21"/>
                      <w:lang w:val="en-US" w:eastAsia="zh-CN"/>
                    </w:rPr>
                    <w:t>沥青储罐设置集气罩，经集气后进入沥青烟处理系统</w:t>
                  </w:r>
                  <w:r>
                    <w:rPr>
                      <w:rFonts w:hint="eastAsia" w:eastAsia="宋体"/>
                      <w:color w:val="auto"/>
                      <w:szCs w:val="21"/>
                    </w:rPr>
                    <w:t>。无组织粉尘：骨料堆场在</w:t>
                  </w:r>
                  <w:r>
                    <w:rPr>
                      <w:rFonts w:hint="default" w:eastAsia="宋体"/>
                      <w:color w:val="auto"/>
                      <w:szCs w:val="21"/>
                    </w:rPr>
                    <w:t>装卸过程中注意保持湿度、注意洒水降尘；碎石堆场加盖</w:t>
                  </w:r>
                  <w:r>
                    <w:rPr>
                      <w:rFonts w:hint="eastAsia" w:eastAsia="宋体"/>
                      <w:color w:val="auto"/>
                      <w:szCs w:val="21"/>
                    </w:rPr>
                    <w:t>苫</w:t>
                  </w:r>
                  <w:r>
                    <w:rPr>
                      <w:rFonts w:hint="default" w:eastAsia="宋体"/>
                      <w:color w:val="auto"/>
                      <w:szCs w:val="21"/>
                    </w:rPr>
                    <w:t>布，保持湿度，定期洒水降尘</w:t>
                  </w:r>
                  <w:r>
                    <w:rPr>
                      <w:rFonts w:hint="eastAsia" w:eastAsia="宋体"/>
                      <w:color w:val="auto"/>
                      <w:szCs w:val="21"/>
                    </w:rPr>
                    <w:t>；</w:t>
                  </w:r>
                  <w:r>
                    <w:rPr>
                      <w:rFonts w:hint="default" w:ascii="Times New Roman" w:hAnsi="Times New Roman" w:eastAsia="宋体" w:cs="Times New Roman"/>
                      <w:color w:val="auto"/>
                      <w:szCs w:val="21"/>
                    </w:rPr>
                    <w:t>厂区道路采用混凝土硬化处理，定期喷淋洒水</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矿粉罐</w:t>
                  </w:r>
                  <w:r>
                    <w:rPr>
                      <w:rFonts w:hint="eastAsia" w:ascii="Times New Roman" w:hAnsi="Times New Roman" w:eastAsia="宋体" w:cs="Times New Roman"/>
                      <w:color w:val="auto"/>
                      <w:szCs w:val="21"/>
                      <w:lang w:eastAsia="zh-CN"/>
                    </w:rPr>
                    <w:t>仓顶设置除尘器。</w:t>
                  </w:r>
                </w:p>
              </w:tc>
            </w:tr>
            <w:tr w14:paraId="5D0AAC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70B3B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18CECD">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废水</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E1F3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eastAsia="zh-CN"/>
                    </w:rPr>
                    <w:t>本项目</w:t>
                  </w:r>
                  <w:r>
                    <w:rPr>
                      <w:rFonts w:hint="eastAsia" w:cs="Times New Roman"/>
                      <w:color w:val="auto"/>
                      <w:sz w:val="21"/>
                      <w:szCs w:val="21"/>
                      <w:highlight w:val="none"/>
                      <w:lang w:eastAsia="zh-CN"/>
                    </w:rPr>
                    <w:t>不新增生活污水，无生产废水排放</w:t>
                  </w:r>
                  <w:r>
                    <w:rPr>
                      <w:rFonts w:hint="default" w:ascii="Times New Roman" w:hAnsi="Times New Roman" w:cs="Times New Roman"/>
                      <w:color w:val="auto"/>
                      <w:sz w:val="21"/>
                      <w:szCs w:val="21"/>
                      <w:highlight w:val="none"/>
                      <w:lang w:eastAsia="zh-CN"/>
                    </w:rPr>
                    <w:t>。</w:t>
                  </w:r>
                </w:p>
              </w:tc>
            </w:tr>
            <w:tr w14:paraId="788901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CFAA81">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ABB324">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噪声</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50D4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rPr>
                    <w:t>选用低噪声设备，安装基础减振措施，</w:t>
                  </w:r>
                  <w:r>
                    <w:rPr>
                      <w:rFonts w:hint="eastAsia" w:cs="Times New Roman"/>
                      <w:color w:val="auto"/>
                      <w:szCs w:val="21"/>
                      <w:lang w:val="en-US" w:eastAsia="zh-CN"/>
                    </w:rPr>
                    <w:t>厂房隔声，</w:t>
                  </w:r>
                  <w:r>
                    <w:rPr>
                      <w:rFonts w:hint="eastAsia" w:cs="Times New Roman"/>
                      <w:color w:val="auto"/>
                      <w:szCs w:val="21"/>
                      <w:lang w:eastAsia="zh-CN"/>
                    </w:rPr>
                    <w:t>厂界</w:t>
                  </w:r>
                  <w:r>
                    <w:rPr>
                      <w:rFonts w:hint="default" w:ascii="Times New Roman" w:hAnsi="Times New Roman" w:cs="Times New Roman"/>
                      <w:color w:val="auto"/>
                      <w:szCs w:val="21"/>
                    </w:rPr>
                    <w:t>达到《工业企业厂界环境噪声排放标准》（GB12348-2008）</w:t>
                  </w:r>
                  <w:r>
                    <w:rPr>
                      <w:rFonts w:hint="eastAsia" w:cs="Times New Roman"/>
                      <w:color w:val="auto"/>
                      <w:szCs w:val="21"/>
                      <w:lang w:val="en-US" w:eastAsia="zh-CN"/>
                    </w:rPr>
                    <w:t>2</w:t>
                  </w:r>
                  <w:r>
                    <w:rPr>
                      <w:rFonts w:hint="default" w:ascii="Times New Roman" w:hAnsi="Times New Roman" w:cs="Times New Roman"/>
                      <w:color w:val="auto"/>
                      <w:szCs w:val="21"/>
                    </w:rPr>
                    <w:t>类标准</w:t>
                  </w:r>
                  <w:r>
                    <w:rPr>
                      <w:rFonts w:hint="eastAsia" w:cs="Times New Roman"/>
                      <w:color w:val="auto"/>
                      <w:szCs w:val="21"/>
                      <w:lang w:val="en-US" w:eastAsia="zh-CN"/>
                    </w:rPr>
                    <w:t>要求</w:t>
                  </w:r>
                </w:p>
              </w:tc>
            </w:tr>
            <w:tr w14:paraId="444812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AFA30B">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7CB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固废</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9853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除尘器中收集的原料粉尘均回收利用。</w:t>
                  </w:r>
                </w:p>
                <w:p w14:paraId="28CFB7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失效活性炭属于危险废物，暂存在厂内危废暂存间，委托由有资质的单位清运处置。</w:t>
                  </w:r>
                </w:p>
                <w:p w14:paraId="42BCF5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本项目废导热油委托有资质单位处置。</w:t>
                  </w:r>
                </w:p>
                <w:p w14:paraId="5E11C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bCs/>
                      <w:color w:val="auto"/>
                      <w:szCs w:val="21"/>
                      <w:highlight w:val="none"/>
                    </w:rPr>
                  </w:pPr>
                  <w:r>
                    <w:rPr>
                      <w:rFonts w:hint="default"/>
                      <w:bCs/>
                      <w:color w:val="auto"/>
                      <w:szCs w:val="21"/>
                      <w:highlight w:val="none"/>
                    </w:rPr>
                    <w:t>不合格石料作为路基材料外卖。</w:t>
                  </w:r>
                </w:p>
                <w:p w14:paraId="38C76B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1"/>
                      <w:szCs w:val="21"/>
                      <w:lang w:val="en-US" w:eastAsia="zh-CN" w:bidi="ar-SA"/>
                    </w:rPr>
                  </w:pPr>
                  <w:r>
                    <w:rPr>
                      <w:rFonts w:hint="default"/>
                      <w:bCs/>
                      <w:color w:val="auto"/>
                      <w:szCs w:val="21"/>
                      <w:highlight w:val="none"/>
                    </w:rPr>
                    <w:t>电捕焦油器收集排放的焦油量桶装暂存，由由资质单位处置</w:t>
                  </w:r>
                  <w:r>
                    <w:rPr>
                      <w:rFonts w:hint="eastAsia"/>
                      <w:color w:val="auto"/>
                      <w:szCs w:val="21"/>
                      <w:highlight w:val="none"/>
                    </w:rPr>
                    <w:t>。</w:t>
                  </w:r>
                </w:p>
              </w:tc>
            </w:tr>
            <w:tr w14:paraId="0884FF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5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013BEC">
                  <w:pPr>
                    <w:pStyle w:val="101"/>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textAlignment w:val="center"/>
                    <w:rPr>
                      <w:rFonts w:hint="default" w:ascii="Times New Roman" w:hAnsi="Times New Roman" w:cs="Times New Roman"/>
                      <w:color w:val="auto"/>
                      <w:sz w:val="21"/>
                      <w:szCs w:val="21"/>
                    </w:rPr>
                  </w:pPr>
                </w:p>
              </w:tc>
              <w:tc>
                <w:tcPr>
                  <w:tcW w:w="10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7377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地下防渗措施</w:t>
                  </w:r>
                </w:p>
              </w:tc>
              <w:tc>
                <w:tcPr>
                  <w:tcW w:w="320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6A20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color w:val="auto"/>
                      <w:szCs w:val="21"/>
                      <w:highlight w:val="none"/>
                    </w:rPr>
                  </w:pPr>
                  <w:r>
                    <w:rPr>
                      <w:rFonts w:hint="eastAsia"/>
                      <w:color w:val="auto"/>
                      <w:szCs w:val="21"/>
                      <w:highlight w:val="none"/>
                      <w:lang w:eastAsia="zh-CN"/>
                    </w:rPr>
                    <w:t>建设</w:t>
                  </w:r>
                  <w:r>
                    <w:rPr>
                      <w:rFonts w:hint="eastAsia"/>
                      <w:color w:val="auto"/>
                      <w:szCs w:val="21"/>
                      <w:highlight w:val="none"/>
                    </w:rPr>
                    <w:t>危废暂存间</w:t>
                  </w:r>
                  <w:r>
                    <w:rPr>
                      <w:rFonts w:hint="eastAsia"/>
                      <w:color w:val="auto"/>
                      <w:szCs w:val="21"/>
                      <w:highlight w:val="none"/>
                      <w:lang w:val="en-US" w:eastAsia="zh-CN"/>
                    </w:rPr>
                    <w:t>建筑面积为5m</w:t>
                  </w:r>
                  <w:r>
                    <w:rPr>
                      <w:rFonts w:hint="eastAsia"/>
                      <w:color w:val="auto"/>
                      <w:szCs w:val="21"/>
                      <w:highlight w:val="none"/>
                      <w:vertAlign w:val="superscript"/>
                      <w:lang w:val="en-US" w:eastAsia="zh-CN"/>
                    </w:rPr>
                    <w:t>2</w:t>
                  </w:r>
                  <w:r>
                    <w:rPr>
                      <w:rFonts w:hint="eastAsia"/>
                      <w:color w:val="auto"/>
                      <w:szCs w:val="21"/>
                      <w:highlight w:val="none"/>
                      <w:lang w:val="en-US" w:eastAsia="zh-CN"/>
                    </w:rPr>
                    <w:t>，设置在南侧库房内，需</w:t>
                  </w:r>
                  <w:r>
                    <w:rPr>
                      <w:rFonts w:hint="eastAsia"/>
                      <w:bCs/>
                      <w:color w:val="auto"/>
                      <w:kern w:val="0"/>
                      <w:szCs w:val="21"/>
                      <w:highlight w:val="none"/>
                    </w:rPr>
                    <w:t>设置标识、围堰，基础必须防渗，防渗层为2mm厚高密度</w:t>
                  </w:r>
                  <w:r>
                    <w:rPr>
                      <w:rFonts w:hint="eastAsia"/>
                      <w:bCs/>
                      <w:color w:val="auto"/>
                      <w:kern w:val="0"/>
                      <w:szCs w:val="21"/>
                      <w:highlight w:val="none"/>
                      <w:lang w:eastAsia="zh-CN"/>
                    </w:rPr>
                    <w:t>氯乙烯</w:t>
                  </w:r>
                  <w:r>
                    <w:rPr>
                      <w:rFonts w:hint="eastAsia"/>
                      <w:bCs/>
                      <w:color w:val="auto"/>
                      <w:kern w:val="0"/>
                      <w:szCs w:val="21"/>
                      <w:highlight w:val="none"/>
                    </w:rPr>
                    <w:t>防渗，渗透系数≤1×10</w:t>
                  </w:r>
                  <w:r>
                    <w:rPr>
                      <w:rFonts w:hint="eastAsia"/>
                      <w:bCs/>
                      <w:color w:val="auto"/>
                      <w:kern w:val="0"/>
                      <w:szCs w:val="21"/>
                      <w:highlight w:val="none"/>
                      <w:vertAlign w:val="superscript"/>
                    </w:rPr>
                    <w:t>-10</w:t>
                  </w:r>
                  <w:r>
                    <w:rPr>
                      <w:rFonts w:hint="eastAsia"/>
                      <w:bCs/>
                      <w:color w:val="auto"/>
                      <w:kern w:val="0"/>
                      <w:szCs w:val="21"/>
                      <w:highlight w:val="none"/>
                    </w:rPr>
                    <w:t>cm/s；</w:t>
                  </w:r>
                </w:p>
              </w:tc>
            </w:tr>
          </w:tbl>
          <w:p w14:paraId="28828EEA">
            <w:pPr>
              <w:keepNext w:val="0"/>
              <w:keepLines w:val="0"/>
              <w:widowControl/>
              <w:suppressLineNumbers w:val="0"/>
              <w:adjustRightInd w:val="0"/>
              <w:snapToGrid w:val="0"/>
              <w:spacing w:before="0" w:beforeAutospacing="0" w:after="0" w:afterAutospacing="0" w:line="360" w:lineRule="auto"/>
              <w:ind w:left="0" w:right="0"/>
              <w:jc w:val="left"/>
              <w:rPr>
                <w:rFonts w:hint="eastAsia" w:cs="Times New Roman"/>
                <w:b w:val="0"/>
                <w:bCs/>
                <w:caps w:val="0"/>
                <w:color w:val="auto"/>
                <w:kern w:val="28"/>
                <w:sz w:val="24"/>
                <w:lang w:val="en-US" w:eastAsia="zh-CN"/>
              </w:rPr>
            </w:pPr>
          </w:p>
          <w:p w14:paraId="44CEB008">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cs="Times New Roman"/>
                <w:b w:val="0"/>
                <w:bCs/>
                <w:caps w:val="0"/>
                <w:color w:val="auto"/>
                <w:kern w:val="28"/>
                <w:sz w:val="24"/>
                <w:lang w:val="en-US" w:eastAsia="zh-CN"/>
              </w:rPr>
              <w:t>根据</w:t>
            </w:r>
            <w:r>
              <w:rPr>
                <w:rFonts w:hint="eastAsia" w:ascii="Times New Roman" w:hAnsi="Times New Roman" w:eastAsia="宋体" w:cs="Times New Roman"/>
                <w:b w:val="0"/>
                <w:bCs/>
                <w:caps w:val="0"/>
                <w:color w:val="auto"/>
                <w:kern w:val="28"/>
                <w:sz w:val="24"/>
                <w:lang w:val="en-US" w:eastAsia="zh-CN"/>
              </w:rPr>
              <w:t>《</w:t>
            </w:r>
            <w:r>
              <w:rPr>
                <w:rFonts w:hint="default" w:ascii="Times New Roman" w:hAnsi="Times New Roman" w:eastAsia="宋体" w:cs="Times New Roman"/>
                <w:b w:val="0"/>
                <w:bCs/>
                <w:caps w:val="0"/>
                <w:color w:val="auto"/>
                <w:kern w:val="28"/>
                <w:sz w:val="24"/>
                <w:lang w:val="en-US" w:eastAsia="zh-CN"/>
              </w:rPr>
              <w:t>伊春市公用市政建筑安装有限公司沥青混合料拌合站建设工程</w:t>
            </w:r>
            <w:r>
              <w:rPr>
                <w:rFonts w:hint="eastAsia" w:cs="Times New Roman"/>
                <w:b w:val="0"/>
                <w:bCs/>
                <w:caps w:val="0"/>
                <w:color w:val="auto"/>
                <w:kern w:val="28"/>
                <w:sz w:val="24"/>
                <w:lang w:val="en-US" w:eastAsia="zh-CN"/>
              </w:rPr>
              <w:t>环境保护验收监测报告表</w:t>
            </w:r>
            <w:r>
              <w:rPr>
                <w:rFonts w:hint="eastAsia" w:ascii="Times New Roman" w:hAnsi="Times New Roman" w:eastAsia="宋体" w:cs="Times New Roman"/>
                <w:b w:val="0"/>
                <w:bCs/>
                <w:caps w:val="0"/>
                <w:color w:val="auto"/>
                <w:kern w:val="28"/>
                <w:sz w:val="24"/>
                <w:lang w:val="en-US" w:eastAsia="zh-CN"/>
              </w:rPr>
              <w:t>》</w:t>
            </w:r>
            <w:r>
              <w:rPr>
                <w:rFonts w:hint="eastAsia" w:cs="Times New Roman"/>
                <w:b w:val="0"/>
                <w:bCs/>
                <w:caps w:val="0"/>
                <w:color w:val="auto"/>
                <w:kern w:val="28"/>
                <w:sz w:val="24"/>
                <w:lang w:val="en-US" w:eastAsia="zh-CN"/>
              </w:rPr>
              <w:t>、</w:t>
            </w:r>
            <w:r>
              <w:rPr>
                <w:rFonts w:hint="eastAsia" w:ascii="Times New Roman" w:hAnsi="Times New Roman" w:eastAsia="宋体" w:cs="Times New Roman"/>
                <w:b w:val="0"/>
                <w:bCs/>
                <w:caps w:val="0"/>
                <w:color w:val="auto"/>
                <w:kern w:val="28"/>
                <w:sz w:val="24"/>
                <w:lang w:val="en-US" w:eastAsia="zh-CN"/>
              </w:rPr>
              <w:t>《</w:t>
            </w:r>
            <w:r>
              <w:rPr>
                <w:rFonts w:hint="default" w:ascii="Times New Roman" w:hAnsi="Times New Roman" w:eastAsia="宋体" w:cs="Times New Roman"/>
                <w:b w:val="0"/>
                <w:bCs/>
                <w:caps w:val="0"/>
                <w:color w:val="auto"/>
                <w:kern w:val="28"/>
                <w:sz w:val="24"/>
                <w:lang w:val="en-US" w:eastAsia="zh-CN"/>
              </w:rPr>
              <w:t>伊春市公用市政建筑安装有限公司</w:t>
            </w:r>
            <w:r>
              <w:rPr>
                <w:rFonts w:hint="eastAsia" w:ascii="Times New Roman" w:hAnsi="Times New Roman" w:eastAsia="宋体" w:cs="Times New Roman"/>
                <w:b w:val="0"/>
                <w:bCs/>
                <w:caps w:val="0"/>
                <w:color w:val="auto"/>
                <w:kern w:val="28"/>
                <w:sz w:val="24"/>
                <w:lang w:val="en-US" w:eastAsia="zh-CN"/>
              </w:rPr>
              <w:t>扩建</w:t>
            </w:r>
            <w:r>
              <w:rPr>
                <w:rFonts w:hint="default" w:ascii="Times New Roman" w:hAnsi="Times New Roman" w:eastAsia="宋体" w:cs="Times New Roman"/>
                <w:b w:val="0"/>
                <w:bCs/>
                <w:caps w:val="0"/>
                <w:color w:val="auto"/>
                <w:kern w:val="28"/>
                <w:sz w:val="24"/>
                <w:lang w:val="en-US" w:eastAsia="zh-CN"/>
              </w:rPr>
              <w:t>项目</w:t>
            </w:r>
            <w:r>
              <w:rPr>
                <w:rFonts w:hint="eastAsia" w:cs="Times New Roman"/>
                <w:b w:val="0"/>
                <w:bCs/>
                <w:caps w:val="0"/>
                <w:color w:val="auto"/>
                <w:kern w:val="28"/>
                <w:sz w:val="24"/>
                <w:lang w:val="en-US" w:eastAsia="zh-CN"/>
              </w:rPr>
              <w:t>环境保护验收监测报告表</w:t>
            </w:r>
            <w:r>
              <w:rPr>
                <w:rFonts w:hint="eastAsia" w:ascii="Times New Roman" w:hAnsi="Times New Roman" w:eastAsia="宋体" w:cs="Times New Roman"/>
                <w:b w:val="0"/>
                <w:bCs/>
                <w:caps w:val="0"/>
                <w:color w:val="auto"/>
                <w:kern w:val="28"/>
                <w:sz w:val="24"/>
                <w:lang w:val="en-US" w:eastAsia="zh-CN"/>
              </w:rPr>
              <w:t>》</w:t>
            </w:r>
            <w:r>
              <w:rPr>
                <w:rFonts w:hint="eastAsia" w:cs="Times New Roman"/>
                <w:b w:val="0"/>
                <w:bCs/>
                <w:caps w:val="0"/>
                <w:color w:val="auto"/>
                <w:kern w:val="28"/>
                <w:sz w:val="24"/>
                <w:lang w:val="en-US" w:eastAsia="zh-CN"/>
              </w:rPr>
              <w:t>，</w:t>
            </w:r>
            <w:r>
              <w:rPr>
                <w:rFonts w:hint="eastAsia" w:ascii="Times New Roman" w:hAnsi="Times New Roman" w:eastAsia="宋体" w:cs="Times New Roman"/>
                <w:b w:val="0"/>
                <w:bCs/>
                <w:caps w:val="0"/>
                <w:color w:val="auto"/>
                <w:kern w:val="28"/>
                <w:sz w:val="24"/>
                <w:lang w:val="en-US" w:eastAsia="zh-CN"/>
              </w:rPr>
              <w:t>现有工程污染防治措施情况如下：</w:t>
            </w:r>
          </w:p>
          <w:p w14:paraId="47629560">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1、废气</w:t>
            </w:r>
          </w:p>
          <w:p w14:paraId="2D4C5152">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caps w:val="0"/>
                <w:color w:val="auto"/>
                <w:kern w:val="28"/>
                <w:sz w:val="24"/>
                <w:vertAlign w:val="baseline"/>
                <w:lang w:val="en-US" w:eastAsia="zh-CN"/>
              </w:rPr>
            </w:pPr>
            <w:r>
              <w:rPr>
                <w:rFonts w:hint="eastAsia" w:cs="Times New Roman"/>
                <w:b w:val="0"/>
                <w:bCs/>
                <w:caps w:val="0"/>
                <w:color w:val="auto"/>
                <w:kern w:val="28"/>
                <w:sz w:val="24"/>
                <w:lang w:val="en-US" w:eastAsia="zh-CN"/>
              </w:rPr>
              <w:t>加热炉烟囱废气颗粒物排放浓度范围在16.7~24.0mg/m</w:t>
            </w:r>
            <w:r>
              <w:rPr>
                <w:rFonts w:hint="eastAsia" w:cs="Times New Roman"/>
                <w:b w:val="0"/>
                <w:bCs/>
                <w:caps w:val="0"/>
                <w:color w:val="auto"/>
                <w:kern w:val="28"/>
                <w:sz w:val="24"/>
                <w:vertAlign w:val="superscript"/>
                <w:lang w:val="en-US" w:eastAsia="zh-CN"/>
              </w:rPr>
              <w:t>3</w:t>
            </w:r>
            <w:r>
              <w:rPr>
                <w:rFonts w:hint="eastAsia" w:cs="Times New Roman"/>
                <w:b w:val="0"/>
                <w:bCs/>
                <w:caps w:val="0"/>
                <w:color w:val="auto"/>
                <w:kern w:val="28"/>
                <w:sz w:val="24"/>
                <w:vertAlign w:val="baseline"/>
                <w:lang w:val="en-US" w:eastAsia="zh-CN"/>
              </w:rPr>
              <w:t>之间，二氧化硫排放浓度范围在46~49</w:t>
            </w:r>
            <w:r>
              <w:rPr>
                <w:rFonts w:hint="eastAsia" w:cs="Times New Roman"/>
                <w:b w:val="0"/>
                <w:bCs/>
                <w:caps w:val="0"/>
                <w:color w:val="auto"/>
                <w:kern w:val="28"/>
                <w:sz w:val="24"/>
                <w:lang w:val="en-US" w:eastAsia="zh-CN"/>
              </w:rPr>
              <w:t>mg/m</w:t>
            </w:r>
            <w:r>
              <w:rPr>
                <w:rFonts w:hint="eastAsia" w:cs="Times New Roman"/>
                <w:b w:val="0"/>
                <w:bCs/>
                <w:caps w:val="0"/>
                <w:color w:val="auto"/>
                <w:kern w:val="28"/>
                <w:sz w:val="24"/>
                <w:vertAlign w:val="superscript"/>
                <w:lang w:val="en-US" w:eastAsia="zh-CN"/>
              </w:rPr>
              <w:t>3</w:t>
            </w:r>
            <w:r>
              <w:rPr>
                <w:rFonts w:hint="eastAsia" w:cs="Times New Roman"/>
                <w:b w:val="0"/>
                <w:bCs/>
                <w:caps w:val="0"/>
                <w:color w:val="auto"/>
                <w:kern w:val="28"/>
                <w:sz w:val="24"/>
                <w:vertAlign w:val="baseline"/>
                <w:lang w:val="en-US" w:eastAsia="zh-CN"/>
              </w:rPr>
              <w:t>之间，氮氧化物排放浓度范围在101~117</w:t>
            </w:r>
            <w:r>
              <w:rPr>
                <w:rFonts w:hint="eastAsia" w:cs="Times New Roman"/>
                <w:b w:val="0"/>
                <w:bCs/>
                <w:caps w:val="0"/>
                <w:color w:val="auto"/>
                <w:kern w:val="28"/>
                <w:sz w:val="24"/>
                <w:lang w:val="en-US" w:eastAsia="zh-CN"/>
              </w:rPr>
              <w:t>mg/m</w:t>
            </w:r>
            <w:r>
              <w:rPr>
                <w:rFonts w:hint="eastAsia" w:cs="Times New Roman"/>
                <w:b w:val="0"/>
                <w:bCs/>
                <w:caps w:val="0"/>
                <w:color w:val="auto"/>
                <w:kern w:val="28"/>
                <w:sz w:val="24"/>
                <w:vertAlign w:val="superscript"/>
                <w:lang w:val="en-US" w:eastAsia="zh-CN"/>
              </w:rPr>
              <w:t>3</w:t>
            </w:r>
            <w:r>
              <w:rPr>
                <w:rFonts w:hint="eastAsia" w:cs="Times New Roman"/>
                <w:b w:val="0"/>
                <w:bCs/>
                <w:caps w:val="0"/>
                <w:color w:val="auto"/>
                <w:kern w:val="28"/>
                <w:sz w:val="24"/>
                <w:vertAlign w:val="baseline"/>
                <w:lang w:val="en-US" w:eastAsia="zh-CN"/>
              </w:rPr>
              <w:t>之间，烟气黑度＜1级，均满足《锅炉大气污染物排放标准》（GB3271-2014）表2燃油锅炉排放标准。</w:t>
            </w:r>
          </w:p>
          <w:p w14:paraId="5395B3E7">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cs="Times New Roman"/>
                <w:b w:val="0"/>
                <w:bCs/>
                <w:caps w:val="0"/>
                <w:color w:val="auto"/>
                <w:kern w:val="28"/>
                <w:sz w:val="24"/>
                <w:lang w:val="en-US" w:eastAsia="zh-CN"/>
              </w:rPr>
              <w:t>搅拌机排气筒废气颗粒物排放浓度范围在11.1~14.9mg/m</w:t>
            </w:r>
            <w:r>
              <w:rPr>
                <w:rFonts w:hint="eastAsia" w:cs="Times New Roman"/>
                <w:b w:val="0"/>
                <w:bCs/>
                <w:caps w:val="0"/>
                <w:color w:val="auto"/>
                <w:kern w:val="28"/>
                <w:sz w:val="24"/>
                <w:vertAlign w:val="superscript"/>
                <w:lang w:val="en-US" w:eastAsia="zh-CN"/>
              </w:rPr>
              <w:t>3</w:t>
            </w:r>
            <w:r>
              <w:rPr>
                <w:rFonts w:hint="eastAsia" w:cs="Times New Roman"/>
                <w:b w:val="0"/>
                <w:bCs/>
                <w:caps w:val="0"/>
                <w:color w:val="auto"/>
                <w:kern w:val="28"/>
                <w:sz w:val="24"/>
                <w:vertAlign w:val="baseline"/>
                <w:lang w:val="en-US" w:eastAsia="zh-CN"/>
              </w:rPr>
              <w:t>之间，排放速率在0.047~0.063kg/h，搅拌机排气筒废气颗粒物排放浓度及排放速率满足《大气污染物综合排放标准》（GB16297-1996）表2标准。</w:t>
            </w:r>
          </w:p>
          <w:p w14:paraId="36DA462C">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验收监测期间，导热油炉污染物废气颗粒物最大排放浓度为8.24mg/m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，二氧化硫最大排放排放浓度为9mg/m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，氮氧化物最大排放浓度为95mg/m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，林格曼黑度&lt;1，检测结果均符合《锅炉大气污染物综合排放标准》(GB13271-2014)表2中燃油锅炉标准；沥青搅拌站</w:t>
            </w:r>
            <w:r>
              <w:rPr>
                <w:rFonts w:hint="eastAsia" w:cs="Times New Roman"/>
                <w:b w:val="0"/>
                <w:bCs/>
                <w:caps w:val="0"/>
                <w:color w:val="auto"/>
                <w:kern w:val="28"/>
                <w:sz w:val="24"/>
                <w:lang w:val="en-US" w:eastAsia="zh-CN"/>
              </w:rPr>
              <w:t>2</w:t>
            </w:r>
            <w:r>
              <w:rPr>
                <w:rFonts w:hint="eastAsia" w:ascii="Times New Roman" w:hAnsi="Times New Roman" w:eastAsia="宋体" w:cs="Times New Roman"/>
                <w:b w:val="0"/>
                <w:bCs/>
                <w:caps w:val="0"/>
                <w:color w:val="auto"/>
                <w:kern w:val="28"/>
                <w:sz w:val="24"/>
                <w:lang w:val="en-US" w:eastAsia="zh-CN"/>
              </w:rPr>
              <w:t>污染物废气颗粒物最大排放浓度为25.4mg/m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，最大排放速率为0.164kg/h；二氧化硫最大排放排放浓度为248mg/m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，最大排放速率为1.60kg/h；氮氧化物最大排放浓度为175mg/m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，最大排放速率为0.124kg/h；苯并[A]芘最大排放排放浓度为0.00075mg/m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，最大排放速率为0.000003kg/h；沥青烟最大排放排放浓度为7.36mg/m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，最大排放速率为0.134g/h；检测结果均符合《大气污染物综合排放标准》(GB16297-1996)。</w:t>
            </w:r>
          </w:p>
          <w:p w14:paraId="0BD5EBA2">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厂界无组织废气总悬浮颗粒物最大排放浓度为0.267mg/m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，非甲烷总烃最大排放浓度为0.63mg/m</w:t>
            </w:r>
            <w:r>
              <w:rPr>
                <w:rFonts w:hint="eastAsia" w:ascii="Times New Roman" w:hAnsi="Times New Roman" w:eastAsia="宋体" w:cs="Times New Roman"/>
                <w:b w:val="0"/>
                <w:bCs/>
                <w:caps w:val="0"/>
                <w:color w:val="auto"/>
                <w:kern w:val="28"/>
                <w:sz w:val="24"/>
                <w:vertAlign w:val="superscript"/>
                <w:lang w:val="en-US" w:eastAsia="zh-CN"/>
              </w:rPr>
              <w:t>3</w:t>
            </w:r>
            <w:r>
              <w:rPr>
                <w:rFonts w:hint="eastAsia" w:ascii="Times New Roman" w:hAnsi="Times New Roman" w:eastAsia="宋体" w:cs="Times New Roman"/>
                <w:b w:val="0"/>
                <w:bCs/>
                <w:caps w:val="0"/>
                <w:color w:val="auto"/>
                <w:kern w:val="28"/>
                <w:sz w:val="24"/>
                <w:lang w:val="en-US" w:eastAsia="zh-CN"/>
              </w:rPr>
              <w:t>，苯并[a]芘均为未检出，符合《大气污染物综合排放标准》（GB16297-1996）表2无组织排放标准限值要求</w:t>
            </w:r>
            <w:r>
              <w:rPr>
                <w:rFonts w:hint="eastAsia" w:cs="Times New Roman"/>
                <w:b w:val="0"/>
                <w:bCs/>
                <w:caps w:val="0"/>
                <w:color w:val="auto"/>
                <w:kern w:val="28"/>
                <w:sz w:val="24"/>
                <w:lang w:val="en-US" w:eastAsia="zh-CN"/>
              </w:rPr>
              <w:t>。</w:t>
            </w:r>
          </w:p>
          <w:p w14:paraId="58B9B71A">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aps w:val="0"/>
                <w:color w:val="auto"/>
                <w:kern w:val="28"/>
                <w:sz w:val="24"/>
                <w:lang w:val="en-US" w:eastAsia="zh-CN"/>
              </w:rPr>
            </w:pPr>
            <w:r>
              <w:rPr>
                <w:rFonts w:hint="eastAsia" w:ascii="Times New Roman" w:hAnsi="Times New Roman" w:eastAsia="宋体" w:cs="Times New Roman"/>
                <w:b w:val="0"/>
                <w:bCs/>
                <w:caps w:val="0"/>
                <w:color w:val="auto"/>
                <w:kern w:val="28"/>
                <w:sz w:val="24"/>
                <w:lang w:val="en-US" w:eastAsia="zh-CN"/>
              </w:rPr>
              <w:t>2、废水</w:t>
            </w:r>
          </w:p>
          <w:p w14:paraId="090D9013">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cs="Times New Roman"/>
                <w:b w:val="0"/>
                <w:bCs/>
                <w:caps w:val="0"/>
                <w:color w:val="auto"/>
                <w:kern w:val="28"/>
                <w:sz w:val="24"/>
                <w:lang w:val="en-US" w:eastAsia="zh-CN"/>
              </w:rPr>
            </w:pPr>
            <w:r>
              <w:rPr>
                <w:rFonts w:hint="eastAsia" w:cs="Times New Roman"/>
                <w:b w:val="0"/>
                <w:bCs/>
                <w:caps w:val="0"/>
                <w:color w:val="auto"/>
                <w:kern w:val="28"/>
                <w:sz w:val="24"/>
                <w:lang w:val="en-US" w:eastAsia="zh-CN"/>
              </w:rPr>
              <w:t>生活污水符合《污水综合排放标准》（GB8978-1996）三级标准要求。生活污水抽排至市政排水管网，进入伊春市污水处理厂进一步处理。</w:t>
            </w:r>
          </w:p>
          <w:p w14:paraId="5D2DE2A8">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cs="Times New Roman"/>
                <w:b w:val="0"/>
                <w:bCs/>
                <w:caps w:val="0"/>
                <w:color w:val="auto"/>
                <w:kern w:val="28"/>
                <w:sz w:val="24"/>
                <w:lang w:val="en-US" w:eastAsia="zh-CN"/>
              </w:rPr>
            </w:pPr>
            <w:r>
              <w:rPr>
                <w:rFonts w:hint="eastAsia" w:cs="Times New Roman"/>
                <w:b w:val="0"/>
                <w:bCs/>
                <w:caps w:val="0"/>
                <w:color w:val="auto"/>
                <w:kern w:val="28"/>
                <w:sz w:val="24"/>
                <w:lang w:val="en-US" w:eastAsia="zh-CN"/>
              </w:rPr>
              <w:t>3、固废</w:t>
            </w:r>
          </w:p>
          <w:p w14:paraId="37479AF2">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r>
              <w:rPr>
                <w:rFonts w:hint="eastAsia" w:cs="Times New Roman"/>
                <w:b w:val="0"/>
                <w:bCs/>
                <w:caps w:val="0"/>
                <w:color w:val="auto"/>
                <w:kern w:val="28"/>
                <w:sz w:val="24"/>
                <w:lang w:val="en-US" w:eastAsia="zh-CN"/>
              </w:rPr>
              <w:t>本项目产生的固体废弃物为废石料、除尘器收集的粉尘、职工生活垃圾。废石料需要集中收集，由石料供应企业回收；除尘器收集的粉尘回收作为原料重新进入生产工序；员工生活垃圾统一收集后交由环卫部门统一收集处理。项目产生的危险废弃物为废活性炭、废导热油。项目需建设危废暂存间，暂存间建设防腐防渗措施，有明显标识、门口做围堰、危废分区存放。在每个储存部分都应有防漏裙脚或储漏盘，危险废物贮存过程中需达到“四防”(防风、防雨、防晒、防渗漏)的要求，避免对地下水环境、土壤环境造成污染。废活性炭、废导热油暂存在厂内危废暂存间，委托黑龙江省天爱优创科技有限公司处置。</w:t>
            </w:r>
          </w:p>
          <w:p w14:paraId="396AE1AC">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caps w:val="0"/>
                <w:color w:val="auto"/>
                <w:kern w:val="28"/>
                <w:sz w:val="24"/>
                <w:lang w:val="en-US" w:eastAsia="zh-CN"/>
              </w:rPr>
            </w:pPr>
            <w:r>
              <w:rPr>
                <w:rFonts w:hint="eastAsia" w:cs="Times New Roman"/>
                <w:b w:val="0"/>
                <w:bCs/>
                <w:caps w:val="0"/>
                <w:color w:val="auto"/>
                <w:kern w:val="28"/>
                <w:sz w:val="24"/>
                <w:lang w:val="en-US" w:eastAsia="zh-CN"/>
              </w:rPr>
              <w:t>4、噪声</w:t>
            </w:r>
          </w:p>
          <w:p w14:paraId="21A736AC">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r>
              <w:rPr>
                <w:rFonts w:hint="eastAsia" w:cs="Times New Roman"/>
                <w:b w:val="0"/>
                <w:bCs/>
                <w:caps w:val="0"/>
                <w:color w:val="auto"/>
                <w:kern w:val="28"/>
                <w:sz w:val="24"/>
                <w:lang w:val="en-US" w:eastAsia="zh-CN"/>
              </w:rPr>
              <w:t>验收监测期间，厂界昼间噪声最大值为54dB（A）；厂界夜间噪声最大值43dB（A）；以上监测结果满足《工业企业厂界环境噪声排放标准》（GB12348-2008）中2类区标准限值要求。</w:t>
            </w:r>
          </w:p>
          <w:p w14:paraId="0A80DC14">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cs="Times New Roman"/>
                <w:b w:val="0"/>
                <w:bCs/>
                <w:caps w:val="0"/>
                <w:color w:val="auto"/>
                <w:kern w:val="28"/>
                <w:sz w:val="24"/>
                <w:lang w:val="en-US" w:eastAsia="zh-CN"/>
              </w:rPr>
            </w:pPr>
            <w:r>
              <w:rPr>
                <w:rFonts w:hint="eastAsia" w:cs="Times New Roman"/>
                <w:b w:val="0"/>
                <w:bCs/>
                <w:caps w:val="0"/>
                <w:color w:val="auto"/>
                <w:kern w:val="28"/>
                <w:sz w:val="24"/>
                <w:lang w:val="en-US" w:eastAsia="zh-CN"/>
              </w:rPr>
              <w:t>5、排放总量</w:t>
            </w:r>
          </w:p>
          <w:p w14:paraId="365CDCF3">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r>
              <w:rPr>
                <w:rFonts w:hint="eastAsia" w:cs="Times New Roman"/>
                <w:b w:val="0"/>
                <w:bCs/>
                <w:caps w:val="0"/>
                <w:color w:val="auto"/>
                <w:kern w:val="28"/>
                <w:sz w:val="24"/>
                <w:lang w:val="en-US" w:eastAsia="zh-CN"/>
              </w:rPr>
              <w:t>根据验收报告内容，年实际排放量为颗粒物0.249t，二氧化硫2.319t，氮氧化物1.943t。年许可排放颗粒物0.815t，二氧化硫3.792t，氮氧化物2.117t。</w:t>
            </w:r>
          </w:p>
          <w:p w14:paraId="562E7096">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r>
              <w:rPr>
                <w:rFonts w:hint="eastAsia" w:cs="Times New Roman"/>
                <w:b w:val="0"/>
                <w:bCs/>
                <w:caps w:val="0"/>
                <w:color w:val="auto"/>
                <w:kern w:val="28"/>
                <w:sz w:val="24"/>
                <w:lang w:val="en-US" w:eastAsia="zh-CN"/>
              </w:rPr>
              <w:t>二、现有工程环境问题及“以新带老”措施</w:t>
            </w:r>
          </w:p>
          <w:p w14:paraId="18A0CDB6">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r>
              <w:rPr>
                <w:rFonts w:hint="eastAsia" w:cs="Times New Roman"/>
                <w:b w:val="0"/>
                <w:bCs/>
                <w:caps w:val="0"/>
                <w:color w:val="auto"/>
                <w:kern w:val="28"/>
                <w:sz w:val="24"/>
                <w:lang w:val="en-US" w:eastAsia="zh-CN"/>
              </w:rPr>
              <w:t>现有工程于2025年7月29日取得排污许可证，编号为：912307000945979005001U，有效期至2030年7月28日，根据排污许可副本，现有工程环保措施属于可行性技术，无需要整改内容。</w:t>
            </w:r>
          </w:p>
          <w:p w14:paraId="22F089AD">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0000FF"/>
                <w:kern w:val="28"/>
                <w:sz w:val="24"/>
                <w:lang w:val="en-US" w:eastAsia="zh-CN"/>
              </w:rPr>
            </w:pPr>
            <w:r>
              <w:rPr>
                <w:rFonts w:hint="eastAsia" w:cs="Times New Roman"/>
                <w:b w:val="0"/>
                <w:bCs/>
                <w:caps w:val="0"/>
                <w:color w:val="0000FF"/>
                <w:kern w:val="28"/>
                <w:sz w:val="24"/>
                <w:lang w:val="en-US" w:eastAsia="zh-CN"/>
              </w:rPr>
              <w:t>经核实，现有工程缺少例行监测数据。</w:t>
            </w:r>
          </w:p>
          <w:p w14:paraId="54B450FE">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caps w:val="0"/>
                <w:color w:val="auto"/>
                <w:kern w:val="28"/>
                <w:sz w:val="24"/>
                <w:lang w:val="en-US" w:eastAsia="zh-CN"/>
              </w:rPr>
            </w:pPr>
          </w:p>
          <w:p w14:paraId="60BBB547">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default"/>
                <w:color w:val="auto"/>
                <w:lang w:val="en-US" w:eastAsia="zh-CN"/>
              </w:rPr>
            </w:pPr>
          </w:p>
        </w:tc>
      </w:tr>
    </w:tbl>
    <w:p w14:paraId="3B20E84A">
      <w:pPr>
        <w:pStyle w:val="30"/>
        <w:jc w:val="center"/>
        <w:rPr>
          <w:rFonts w:hint="default" w:ascii="Times New Roman" w:hAnsi="Times New Roman" w:eastAsia="黑体" w:cs="Times New Roman"/>
          <w:snapToGrid w:val="0"/>
          <w:color w:val="auto"/>
          <w:sz w:val="36"/>
          <w:szCs w:val="36"/>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p w14:paraId="74151C01">
      <w:pPr>
        <w:pStyle w:val="30"/>
        <w:adjustRightInd w:val="0"/>
        <w:snapToGrid w:val="0"/>
        <w:spacing w:before="0" w:beforeAutospacing="0" w:after="0" w:afterAutospacing="0" w:line="14" w:lineRule="auto"/>
        <w:jc w:val="center"/>
        <w:rPr>
          <w:rFonts w:hint="default" w:ascii="Times New Roman" w:hAnsi="Times New Roman" w:eastAsia="黑体" w:cs="Times New Roman"/>
          <w:snapToGrid w:val="0"/>
          <w:color w:val="auto"/>
          <w:sz w:val="30"/>
          <w:szCs w:val="30"/>
        </w:rPr>
      </w:pPr>
    </w:p>
    <w:p w14:paraId="09435CD4">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rPr>
      </w:pPr>
      <w:bookmarkStart w:id="21" w:name="_Toc31218"/>
      <w:bookmarkStart w:id="22" w:name="_Toc31586"/>
      <w:r>
        <w:rPr>
          <w:rFonts w:hint="default" w:ascii="Times New Roman" w:hAnsi="Times New Roman" w:eastAsia="黑体" w:cs="Times New Roman"/>
          <w:snapToGrid w:val="0"/>
          <w:color w:val="auto"/>
          <w:sz w:val="30"/>
          <w:szCs w:val="30"/>
        </w:rPr>
        <w:t>三、区域环境质量现状、环境保护目标及评价标准</w:t>
      </w:r>
      <w:bookmarkEnd w:id="21"/>
      <w:bookmarkEnd w:id="22"/>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9225"/>
      </w:tblGrid>
      <w:tr w14:paraId="75A47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jc w:val="center"/>
        </w:trPr>
        <w:tc>
          <w:tcPr>
            <w:tcW w:w="486" w:type="pct"/>
            <w:noWrap w:val="0"/>
            <w:vAlign w:val="center"/>
          </w:tcPr>
          <w:p w14:paraId="2EB5D8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区域</w:t>
            </w:r>
          </w:p>
          <w:p w14:paraId="1B54E28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环境</w:t>
            </w:r>
          </w:p>
          <w:p w14:paraId="6A5475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质量</w:t>
            </w:r>
          </w:p>
          <w:p w14:paraId="79A452D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现状</w:t>
            </w:r>
          </w:p>
        </w:tc>
        <w:tc>
          <w:tcPr>
            <w:tcW w:w="4513" w:type="pct"/>
            <w:noWrap w:val="0"/>
            <w:vAlign w:val="center"/>
          </w:tcPr>
          <w:p w14:paraId="0F5C8580">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outlineLvl w:val="9"/>
              <w:rPr>
                <w:rFonts w:hint="default" w:ascii="Times New Roman" w:hAnsi="Times New Roman" w:eastAsia="黑体" w:cs="Times New Roman"/>
                <w:b w:val="0"/>
                <w:bCs w:val="0"/>
                <w:color w:val="auto"/>
                <w:kern w:val="0"/>
                <w:sz w:val="28"/>
                <w:szCs w:val="28"/>
                <w:lang w:eastAsia="zh-CN"/>
              </w:rPr>
            </w:pPr>
            <w:r>
              <w:rPr>
                <w:rFonts w:hint="default" w:ascii="Times New Roman" w:hAnsi="Times New Roman" w:eastAsia="黑体" w:cs="Times New Roman"/>
                <w:b w:val="0"/>
                <w:bCs w:val="0"/>
                <w:color w:val="auto"/>
                <w:kern w:val="0"/>
                <w:sz w:val="28"/>
                <w:szCs w:val="28"/>
                <w:lang w:val="en-US" w:eastAsia="zh-CN"/>
              </w:rPr>
              <w:t>1、</w:t>
            </w:r>
            <w:r>
              <w:rPr>
                <w:rFonts w:hint="default" w:ascii="Times New Roman" w:hAnsi="Times New Roman" w:eastAsia="黑体" w:cs="Times New Roman"/>
                <w:b w:val="0"/>
                <w:bCs w:val="0"/>
                <w:color w:val="auto"/>
                <w:kern w:val="0"/>
                <w:sz w:val="28"/>
                <w:szCs w:val="28"/>
              </w:rPr>
              <w:t>项目区域环境空气质量</w:t>
            </w:r>
            <w:r>
              <w:rPr>
                <w:rFonts w:hint="default" w:ascii="Times New Roman" w:hAnsi="Times New Roman" w:eastAsia="黑体" w:cs="Times New Roman"/>
                <w:b w:val="0"/>
                <w:bCs w:val="0"/>
                <w:color w:val="auto"/>
                <w:kern w:val="0"/>
                <w:sz w:val="28"/>
                <w:szCs w:val="28"/>
                <w:lang w:eastAsia="zh-CN"/>
              </w:rPr>
              <w:t>部分现状</w:t>
            </w:r>
          </w:p>
          <w:p w14:paraId="642E64C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lang w:val="en-US" w:eastAsia="zh-CN"/>
              </w:rPr>
              <w:t>1.1达标区判定</w:t>
            </w:r>
          </w:p>
          <w:p w14:paraId="2BA086C0">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ascii="Times New Roman" w:hAnsi="Times New Roman" w:eastAsia="宋体"/>
                <w:color w:val="auto"/>
                <w:sz w:val="24"/>
                <w:szCs w:val="24"/>
                <w:highlight w:val="none"/>
              </w:rPr>
              <w:t>根据黑龙江省生态环境监测中心《202</w:t>
            </w:r>
            <w:r>
              <w:rPr>
                <w:rFonts w:hint="eastAsia" w:ascii="Times New Roman" w:hAnsi="Times New Roman" w:eastAsia="宋体"/>
                <w:color w:val="auto"/>
                <w:sz w:val="24"/>
                <w:szCs w:val="24"/>
                <w:highlight w:val="none"/>
              </w:rPr>
              <w:t>5</w:t>
            </w:r>
            <w:r>
              <w:rPr>
                <w:rFonts w:hint="default" w:ascii="Times New Roman" w:hAnsi="Times New Roman" w:eastAsia="宋体"/>
                <w:color w:val="auto"/>
                <w:sz w:val="24"/>
                <w:szCs w:val="24"/>
                <w:highlight w:val="none"/>
              </w:rPr>
              <w:t>年黑龙江省生态环境质量状况》</w:t>
            </w:r>
            <w:r>
              <w:rPr>
                <w:rFonts w:hint="eastAsia" w:ascii="Times New Roman" w:hAnsi="Times New Roman" w:eastAsia="宋体"/>
                <w:color w:val="auto"/>
                <w:sz w:val="24"/>
                <w:szCs w:val="24"/>
                <w:highlight w:val="none"/>
              </w:rPr>
              <w:t>（</w:t>
            </w:r>
            <w:r>
              <w:rPr>
                <w:rFonts w:hint="default" w:ascii="Times New Roman" w:hAnsi="Times New Roman" w:eastAsia="宋体"/>
                <w:color w:val="auto"/>
                <w:sz w:val="24"/>
                <w:szCs w:val="24"/>
                <w:highlight w:val="none"/>
              </w:rPr>
              <w:t>202</w:t>
            </w:r>
            <w:r>
              <w:rPr>
                <w:rFonts w:hint="eastAsia" w:ascii="Times New Roman" w:hAnsi="Times New Roman" w:eastAsia="宋体"/>
                <w:color w:val="auto"/>
                <w:sz w:val="24"/>
                <w:szCs w:val="24"/>
                <w:highlight w:val="none"/>
              </w:rPr>
              <w:t>6</w:t>
            </w:r>
            <w:r>
              <w:rPr>
                <w:rFonts w:hint="default" w:ascii="Times New Roman" w:hAnsi="Times New Roman" w:eastAsia="宋体"/>
                <w:color w:val="auto"/>
                <w:sz w:val="24"/>
                <w:szCs w:val="24"/>
                <w:highlight w:val="none"/>
              </w:rPr>
              <w:t>年1月</w:t>
            </w:r>
            <w:r>
              <w:rPr>
                <w:rFonts w:hint="eastAsia" w:ascii="Times New Roman" w:hAnsi="Times New Roman" w:eastAsia="宋体"/>
                <w:color w:val="auto"/>
                <w:sz w:val="24"/>
                <w:szCs w:val="24"/>
                <w:highlight w:val="none"/>
              </w:rPr>
              <w:t>）</w:t>
            </w:r>
            <w:r>
              <w:rPr>
                <w:rFonts w:hint="default" w:ascii="Times New Roman" w:hAnsi="Times New Roman" w:eastAsia="宋体"/>
                <w:color w:val="auto"/>
                <w:sz w:val="24"/>
                <w:szCs w:val="24"/>
                <w:highlight w:val="none"/>
              </w:rPr>
              <w:t>，</w:t>
            </w:r>
            <w:r>
              <w:rPr>
                <w:rFonts w:hint="default" w:ascii="Times New Roman" w:hAnsi="Times New Roman" w:eastAsia="宋体" w:cs="方正仿宋_GBK"/>
                <w:color w:val="auto"/>
                <w:kern w:val="0"/>
                <w:sz w:val="24"/>
                <w:szCs w:val="24"/>
                <w:highlight w:val="none"/>
                <w:lang w:val="en-US" w:eastAsia="zh-CN" w:bidi="ar"/>
              </w:rPr>
              <w:t>伊春市空气质量级别达二级标准，达标天数为</w:t>
            </w:r>
            <w:r>
              <w:rPr>
                <w:rFonts w:hint="default" w:ascii="Times New Roman" w:hAnsi="Times New Roman" w:eastAsia="宋体" w:cs="Times New Roman"/>
                <w:color w:val="auto"/>
                <w:kern w:val="0"/>
                <w:sz w:val="24"/>
                <w:szCs w:val="24"/>
                <w:highlight w:val="none"/>
                <w:lang w:val="en-US" w:eastAsia="zh-CN" w:bidi="ar"/>
              </w:rPr>
              <w:t>357</w:t>
            </w:r>
            <w:r>
              <w:rPr>
                <w:rFonts w:hint="default" w:ascii="Times New Roman" w:hAnsi="Times New Roman" w:eastAsia="宋体" w:cs="方正仿宋_GBK"/>
                <w:color w:val="auto"/>
                <w:kern w:val="0"/>
                <w:sz w:val="24"/>
                <w:szCs w:val="24"/>
                <w:highlight w:val="none"/>
                <w:lang w:val="en-US" w:eastAsia="zh-CN" w:bidi="ar"/>
              </w:rPr>
              <w:t>天</w:t>
            </w:r>
            <w:r>
              <w:rPr>
                <w:rFonts w:hint="default" w:ascii="Times New Roman" w:hAnsi="Times New Roman" w:eastAsia="宋体" w:cs="Times New Roman"/>
                <w:color w:val="auto"/>
                <w:kern w:val="0"/>
                <w:sz w:val="24"/>
                <w:szCs w:val="24"/>
                <w:highlight w:val="none"/>
                <w:lang w:val="en-US" w:eastAsia="zh-CN" w:bidi="ar"/>
              </w:rPr>
              <w:t>(97.8%</w:t>
            </w:r>
            <w:r>
              <w:rPr>
                <w:rFonts w:hint="eastAsia" w:cs="Times New Roman"/>
                <w:color w:val="auto"/>
                <w:kern w:val="0"/>
                <w:sz w:val="24"/>
                <w:szCs w:val="24"/>
                <w:highlight w:val="none"/>
                <w:lang w:val="en-US" w:eastAsia="zh-CN" w:bidi="ar"/>
              </w:rPr>
              <w:t>）</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2.5</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10</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SO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NO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CO-95per</w:t>
            </w:r>
            <w:r>
              <w:rPr>
                <w:rFonts w:hint="default" w:ascii="Times New Roman" w:hAnsi="Times New Roman" w:eastAsia="宋体" w:cs="方正仿宋_GBK"/>
                <w:color w:val="auto"/>
                <w:kern w:val="0"/>
                <w:sz w:val="24"/>
                <w:szCs w:val="24"/>
                <w:highlight w:val="none"/>
                <w:lang w:val="en-US" w:eastAsia="zh-CN" w:bidi="ar"/>
              </w:rPr>
              <w:t>和</w:t>
            </w:r>
            <w:r>
              <w:rPr>
                <w:rFonts w:hint="default" w:ascii="Times New Roman" w:hAnsi="Times New Roman" w:eastAsia="宋体" w:cs="Times New Roman"/>
                <w:color w:val="auto"/>
                <w:kern w:val="0"/>
                <w:sz w:val="24"/>
                <w:szCs w:val="24"/>
                <w:highlight w:val="none"/>
                <w:lang w:val="en-US" w:eastAsia="zh-CN" w:bidi="ar"/>
              </w:rPr>
              <w:t>O</w:t>
            </w:r>
            <w:r>
              <w:rPr>
                <w:rFonts w:hint="default" w:ascii="Times New Roman" w:hAnsi="Times New Roman" w:eastAsia="宋体" w:cs="Times New Roman"/>
                <w:color w:val="auto"/>
                <w:kern w:val="0"/>
                <w:sz w:val="24"/>
                <w:szCs w:val="24"/>
                <w:highlight w:val="none"/>
                <w:vertAlign w:val="sub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-8h-90per</w:t>
            </w:r>
            <w:r>
              <w:rPr>
                <w:rFonts w:hint="default" w:ascii="Times New Roman" w:hAnsi="Times New Roman" w:eastAsia="宋体" w:cs="方正仿宋_GBK"/>
                <w:color w:val="auto"/>
                <w:kern w:val="0"/>
                <w:sz w:val="24"/>
                <w:szCs w:val="24"/>
                <w:highlight w:val="none"/>
                <w:lang w:val="en-US" w:eastAsia="zh-CN" w:bidi="ar"/>
              </w:rPr>
              <w:t>年均浓度分别为</w:t>
            </w:r>
            <w:r>
              <w:rPr>
                <w:rFonts w:hint="default" w:ascii="Times New Roman" w:hAnsi="Times New Roman" w:eastAsia="宋体" w:cs="Times New Roman"/>
                <w:color w:val="auto"/>
                <w:kern w:val="0"/>
                <w:sz w:val="24"/>
                <w:szCs w:val="24"/>
                <w:highlight w:val="none"/>
                <w:lang w:val="en-US" w:eastAsia="zh-CN" w:bidi="ar"/>
              </w:rPr>
              <w:t>24μg/m³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32μg/m³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5μg/m³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11μg/m³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1.0mg/m³</w:t>
            </w:r>
            <w:r>
              <w:rPr>
                <w:rFonts w:hint="default" w:ascii="Times New Roman" w:hAnsi="Times New Roman" w:eastAsia="宋体" w:cs="方正仿宋_GBK"/>
                <w:color w:val="auto"/>
                <w:kern w:val="0"/>
                <w:sz w:val="24"/>
                <w:szCs w:val="24"/>
                <w:highlight w:val="none"/>
                <w:lang w:val="en-US" w:eastAsia="zh-CN" w:bidi="ar"/>
              </w:rPr>
              <w:t>和</w:t>
            </w:r>
            <w:r>
              <w:rPr>
                <w:rFonts w:hint="default" w:ascii="Times New Roman" w:hAnsi="Times New Roman" w:eastAsia="宋体" w:cs="Times New Roman"/>
                <w:color w:val="auto"/>
                <w:kern w:val="0"/>
                <w:sz w:val="24"/>
                <w:szCs w:val="24"/>
                <w:highlight w:val="none"/>
                <w:lang w:val="en-US" w:eastAsia="zh-CN" w:bidi="ar"/>
              </w:rPr>
              <w:t>102μg/m³</w:t>
            </w:r>
            <w:r>
              <w:rPr>
                <w:rFonts w:hint="default" w:ascii="Times New Roman" w:hAnsi="Times New Roman" w:eastAsia="宋体" w:cs="方正仿宋_GBK"/>
                <w:color w:val="auto"/>
                <w:kern w:val="0"/>
                <w:sz w:val="24"/>
                <w:szCs w:val="24"/>
                <w:highlight w:val="none"/>
                <w:lang w:val="en-US" w:eastAsia="zh-CN" w:bidi="ar"/>
              </w:rPr>
              <w:t>。</w:t>
            </w:r>
          </w:p>
          <w:p w14:paraId="27393F11">
            <w:pPr>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eastAsia"/>
                <w:color w:val="auto"/>
                <w:sz w:val="24"/>
              </w:rPr>
              <w:t>202</w:t>
            </w:r>
            <w:r>
              <w:rPr>
                <w:rFonts w:hint="eastAsia"/>
                <w:color w:val="auto"/>
                <w:sz w:val="24"/>
                <w:lang w:val="en-US" w:eastAsia="zh-CN"/>
              </w:rPr>
              <w:t>5</w:t>
            </w:r>
            <w:r>
              <w:rPr>
                <w:rFonts w:hint="eastAsia"/>
                <w:color w:val="auto"/>
                <w:sz w:val="24"/>
              </w:rPr>
              <w:t>年伊春</w:t>
            </w:r>
            <w:r>
              <w:rPr>
                <w:rFonts w:hint="default"/>
                <w:color w:val="auto"/>
                <w:sz w:val="24"/>
                <w:lang w:val="zh-CN"/>
              </w:rPr>
              <w:t>区域基本污染物均符合《环境空气质量标准》（GB3095-20</w:t>
            </w:r>
            <w:r>
              <w:rPr>
                <w:rFonts w:hint="eastAsia"/>
                <w:color w:val="auto"/>
                <w:sz w:val="24"/>
                <w:lang w:val="en-US" w:eastAsia="zh-CN"/>
              </w:rPr>
              <w:t>26</w:t>
            </w:r>
            <w:r>
              <w:rPr>
                <w:rFonts w:hint="default"/>
                <w:color w:val="auto"/>
                <w:sz w:val="24"/>
                <w:lang w:val="zh-CN"/>
              </w:rPr>
              <w:t>）</w:t>
            </w:r>
            <w:r>
              <w:rPr>
                <w:rFonts w:hint="eastAsia"/>
                <w:color w:val="auto"/>
                <w:sz w:val="24"/>
                <w:lang w:val="en-US" w:eastAsia="zh-CN"/>
              </w:rPr>
              <w:t>过渡期浓度限值</w:t>
            </w:r>
            <w:r>
              <w:rPr>
                <w:rFonts w:hint="default"/>
                <w:color w:val="auto"/>
                <w:sz w:val="24"/>
                <w:lang w:val="zh-CN"/>
              </w:rPr>
              <w:t>二级标准，区域属于环境空气质量达标区</w:t>
            </w:r>
            <w:r>
              <w:rPr>
                <w:rFonts w:hint="default"/>
                <w:color w:val="auto"/>
                <w:sz w:val="24"/>
              </w:rPr>
              <w:t>。</w:t>
            </w:r>
          </w:p>
          <w:p w14:paraId="7CB3580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黑体" w:cs="Times New Roman"/>
                <w:color w:val="auto"/>
                <w:kern w:val="0"/>
                <w:sz w:val="24"/>
                <w:szCs w:val="24"/>
                <w:highlight w:val="none"/>
                <w:lang w:val="en-US" w:eastAsia="zh-CN"/>
              </w:rPr>
            </w:pPr>
            <w:r>
              <w:rPr>
                <w:rFonts w:hint="default" w:ascii="Times New Roman" w:hAnsi="Times New Roman" w:eastAsia="黑体" w:cs="Times New Roman"/>
                <w:color w:val="auto"/>
                <w:kern w:val="0"/>
                <w:sz w:val="24"/>
                <w:szCs w:val="24"/>
                <w:highlight w:val="none"/>
                <w:lang w:val="en-US" w:eastAsia="zh-CN"/>
              </w:rPr>
              <w:t>1.2补充监测</w:t>
            </w:r>
          </w:p>
          <w:p w14:paraId="18BDBD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bookmarkStart w:id="23" w:name="_Toc26141"/>
            <w:bookmarkStart w:id="24" w:name="_Toc37662862"/>
            <w:bookmarkStart w:id="25" w:name="_Toc22377"/>
            <w:bookmarkStart w:id="26" w:name="_Toc31834"/>
            <w:bookmarkStart w:id="27" w:name="_Toc23242"/>
            <w:bookmarkStart w:id="28" w:name="_Toc26771"/>
            <w:bookmarkStart w:id="29" w:name="_Toc4333"/>
            <w:bookmarkStart w:id="30" w:name="_Toc23600"/>
            <w:bookmarkStart w:id="31" w:name="_Toc1841"/>
            <w:bookmarkStart w:id="32" w:name="_Toc26177"/>
            <w:r>
              <w:rPr>
                <w:rFonts w:hint="default" w:ascii="Times New Roman" w:hAnsi="Times New Roman" w:eastAsia="宋体" w:cs="Times New Roman"/>
                <w:color w:val="auto"/>
                <w:sz w:val="24"/>
                <w:highlight w:val="none"/>
                <w:lang w:eastAsia="zh-CN"/>
              </w:rPr>
              <w:t>特征污染物质量现状评价</w:t>
            </w:r>
            <w:r>
              <w:rPr>
                <w:rFonts w:hint="eastAsia" w:cs="Times New Roman"/>
                <w:color w:val="auto"/>
                <w:sz w:val="24"/>
                <w:highlight w:val="none"/>
                <w:lang w:val="en-US" w:eastAsia="zh-CN"/>
              </w:rPr>
              <w:t>引用北侧紧邻项目</w:t>
            </w:r>
            <w:r>
              <w:rPr>
                <w:rFonts w:hint="eastAsia" w:ascii="Times New Roman" w:hAnsi="Times New Roman" w:eastAsia="宋体" w:cs="Times New Roman"/>
                <w:color w:val="auto"/>
                <w:kern w:val="0"/>
                <w:sz w:val="24"/>
                <w:szCs w:val="24"/>
                <w:highlight w:val="none"/>
                <w:lang w:val="en-US" w:eastAsia="zh-CN" w:bidi="ar"/>
              </w:rPr>
              <w:t>《伊春市交通路桥建筑有限责任公司建设项目》</w:t>
            </w:r>
            <w:r>
              <w:rPr>
                <w:rFonts w:hint="default" w:ascii="Times New Roman" w:hAnsi="Times New Roman" w:eastAsia="宋体" w:cs="Times New Roman"/>
                <w:color w:val="auto"/>
                <w:kern w:val="0"/>
                <w:sz w:val="24"/>
                <w:szCs w:val="24"/>
                <w:highlight w:val="none"/>
                <w:lang w:val="en-US" w:eastAsia="zh-CN" w:bidi="ar"/>
              </w:rPr>
              <w:t>于20</w:t>
            </w:r>
            <w:r>
              <w:rPr>
                <w:rFonts w:hint="eastAsia" w:ascii="Times New Roman" w:hAnsi="Times New Roman" w:eastAsia="宋体" w:cs="Times New Roman"/>
                <w:color w:val="auto"/>
                <w:kern w:val="0"/>
                <w:sz w:val="24"/>
                <w:szCs w:val="24"/>
                <w:highlight w:val="none"/>
                <w:lang w:val="en-US" w:eastAsia="zh-CN" w:bidi="ar"/>
              </w:rPr>
              <w:t>25</w:t>
            </w:r>
            <w:r>
              <w:rPr>
                <w:rFonts w:hint="default" w:ascii="Times New Roman" w:hAnsi="Times New Roman" w:eastAsia="宋体" w:cs="Times New Roman"/>
                <w:color w:val="auto"/>
                <w:kern w:val="0"/>
                <w:sz w:val="24"/>
                <w:szCs w:val="24"/>
                <w:highlight w:val="none"/>
                <w:lang w:val="en-US" w:eastAsia="zh-CN" w:bidi="ar"/>
              </w:rPr>
              <w:t>年</w:t>
            </w:r>
            <w:r>
              <w:rPr>
                <w:rFonts w:hint="eastAsia" w:ascii="Times New Roman" w:hAnsi="Times New Roman" w:eastAsia="宋体" w:cs="Times New Roman"/>
                <w:color w:val="auto"/>
                <w:kern w:val="0"/>
                <w:sz w:val="24"/>
                <w:szCs w:val="24"/>
                <w:highlight w:val="none"/>
                <w:lang w:val="en-US" w:eastAsia="zh-CN" w:bidi="ar"/>
              </w:rPr>
              <w:t>10</w:t>
            </w:r>
            <w:r>
              <w:rPr>
                <w:rFonts w:hint="default" w:ascii="Times New Roman" w:hAnsi="Times New Roman" w:eastAsia="宋体" w:cs="Times New Roman"/>
                <w:color w:val="auto"/>
                <w:kern w:val="0"/>
                <w:sz w:val="24"/>
                <w:szCs w:val="24"/>
                <w:highlight w:val="none"/>
                <w:lang w:val="en-US" w:eastAsia="zh-CN" w:bidi="ar"/>
              </w:rPr>
              <w:t>月</w:t>
            </w:r>
            <w:r>
              <w:rPr>
                <w:rFonts w:hint="eastAsia" w:ascii="Times New Roman" w:hAnsi="Times New Roman" w:eastAsia="宋体" w:cs="Times New Roman"/>
                <w:color w:val="auto"/>
                <w:kern w:val="0"/>
                <w:sz w:val="24"/>
                <w:szCs w:val="24"/>
                <w:highlight w:val="none"/>
                <w:lang w:val="en-US" w:eastAsia="zh-CN" w:bidi="ar"/>
              </w:rPr>
              <w:t>15</w:t>
            </w:r>
            <w:r>
              <w:rPr>
                <w:rFonts w:hint="default" w:ascii="Times New Roman" w:hAnsi="Times New Roman" w:eastAsia="宋体" w:cs="Times New Roman"/>
                <w:color w:val="auto"/>
                <w:kern w:val="0"/>
                <w:sz w:val="24"/>
                <w:szCs w:val="24"/>
                <w:highlight w:val="none"/>
                <w:lang w:val="en-US" w:eastAsia="zh-CN" w:bidi="ar"/>
              </w:rPr>
              <w:t>日至</w:t>
            </w:r>
            <w:r>
              <w:rPr>
                <w:rFonts w:hint="eastAsia" w:ascii="Times New Roman" w:hAnsi="Times New Roman" w:eastAsia="宋体" w:cs="Times New Roman"/>
                <w:color w:val="auto"/>
                <w:kern w:val="0"/>
                <w:sz w:val="24"/>
                <w:szCs w:val="24"/>
                <w:highlight w:val="none"/>
                <w:lang w:val="en-US" w:eastAsia="zh-CN" w:bidi="ar"/>
              </w:rPr>
              <w:t>22</w:t>
            </w:r>
            <w:r>
              <w:rPr>
                <w:rFonts w:hint="default" w:ascii="Times New Roman" w:hAnsi="Times New Roman" w:eastAsia="宋体" w:cs="Times New Roman"/>
                <w:color w:val="auto"/>
                <w:kern w:val="0"/>
                <w:sz w:val="24"/>
                <w:szCs w:val="24"/>
                <w:highlight w:val="none"/>
                <w:lang w:val="en-US" w:eastAsia="zh-CN" w:bidi="ar"/>
              </w:rPr>
              <w:t>日进行</w:t>
            </w:r>
            <w:r>
              <w:rPr>
                <w:rFonts w:hint="eastAsia" w:ascii="Times New Roman" w:hAnsi="Times New Roman" w:eastAsia="宋体" w:cs="Times New Roman"/>
                <w:color w:val="auto"/>
                <w:kern w:val="0"/>
                <w:sz w:val="24"/>
                <w:szCs w:val="24"/>
                <w:highlight w:val="none"/>
                <w:lang w:val="en-US" w:eastAsia="zh-CN" w:bidi="ar"/>
              </w:rPr>
              <w:t>的</w:t>
            </w:r>
            <w:r>
              <w:rPr>
                <w:rFonts w:hint="default" w:ascii="Times New Roman" w:hAnsi="Times New Roman" w:eastAsia="宋体" w:cs="Times New Roman"/>
                <w:color w:val="auto"/>
                <w:kern w:val="0"/>
                <w:sz w:val="24"/>
                <w:szCs w:val="24"/>
                <w:highlight w:val="none"/>
                <w:lang w:val="en-US" w:eastAsia="zh-CN" w:bidi="ar"/>
              </w:rPr>
              <w:t>现状监测，</w:t>
            </w:r>
            <w:r>
              <w:rPr>
                <w:rFonts w:hint="default" w:ascii="Times New Roman" w:hAnsi="Times New Roman" w:eastAsia="宋体" w:cs="Times New Roman"/>
                <w:color w:val="auto"/>
                <w:sz w:val="24"/>
                <w:highlight w:val="none"/>
                <w:lang w:eastAsia="zh-CN"/>
              </w:rPr>
              <w:t>连续监测</w:t>
            </w: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lang w:eastAsia="zh-CN"/>
              </w:rPr>
              <w:t>天。</w:t>
            </w:r>
          </w:p>
          <w:p w14:paraId="56EC2A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bookmarkStart w:id="33" w:name="_Toc4664"/>
            <w:bookmarkStart w:id="34" w:name="_Toc792"/>
            <w:bookmarkStart w:id="35" w:name="_Toc6864"/>
            <w:bookmarkStart w:id="36" w:name="_Toc20756"/>
            <w:bookmarkStart w:id="37" w:name="_Toc6684"/>
            <w:bookmarkStart w:id="38" w:name="_Toc24973"/>
            <w:bookmarkStart w:id="39" w:name="_Toc30168"/>
            <w:bookmarkStart w:id="40" w:name="_Toc5239"/>
            <w:r>
              <w:rPr>
                <w:rFonts w:hint="default" w:ascii="Times New Roman" w:hAnsi="Times New Roman" w:eastAsia="宋体" w:cs="Times New Roman"/>
                <w:color w:val="auto"/>
                <w:sz w:val="24"/>
                <w:highlight w:val="none"/>
                <w:lang w:eastAsia="zh-CN"/>
              </w:rPr>
              <w:t>（1）监测因子</w:t>
            </w:r>
            <w:bookmarkEnd w:id="33"/>
            <w:bookmarkEnd w:id="34"/>
            <w:bookmarkEnd w:id="35"/>
            <w:bookmarkEnd w:id="36"/>
            <w:bookmarkEnd w:id="37"/>
            <w:bookmarkEnd w:id="38"/>
            <w:bookmarkEnd w:id="39"/>
            <w:bookmarkEnd w:id="40"/>
          </w:p>
          <w:p w14:paraId="6F111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根据工程分析，确定项目监测因子为</w:t>
            </w:r>
            <w:r>
              <w:rPr>
                <w:rFonts w:hint="eastAsia" w:ascii="Times New Roman" w:hAnsi="Times New Roman" w:eastAsia="宋体" w:cs="Times New Roman"/>
                <w:color w:val="auto"/>
                <w:sz w:val="24"/>
                <w:highlight w:val="none"/>
                <w:lang w:val="en-US" w:eastAsia="zh-CN"/>
              </w:rPr>
              <w:t>TSP</w:t>
            </w:r>
            <w:r>
              <w:rPr>
                <w:rFonts w:hint="eastAsia" w:cs="Times New Roman"/>
                <w:color w:val="auto"/>
                <w:sz w:val="24"/>
                <w:highlight w:val="none"/>
                <w:lang w:val="en-US" w:eastAsia="zh-CN"/>
              </w:rPr>
              <w:t>、苯并[a]芘</w:t>
            </w:r>
            <w:r>
              <w:rPr>
                <w:rFonts w:hint="default" w:ascii="Times New Roman" w:hAnsi="Times New Roman" w:eastAsia="宋体" w:cs="Times New Roman"/>
                <w:color w:val="auto"/>
                <w:sz w:val="24"/>
                <w:highlight w:val="none"/>
                <w:lang w:eastAsia="zh-CN"/>
              </w:rPr>
              <w:t>。</w:t>
            </w:r>
          </w:p>
          <w:p w14:paraId="5627A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bookmarkStart w:id="41" w:name="_Toc13543"/>
            <w:bookmarkStart w:id="42" w:name="_Toc6385"/>
            <w:bookmarkStart w:id="43" w:name="_Toc15495"/>
            <w:bookmarkStart w:id="44" w:name="_Toc11748"/>
            <w:bookmarkStart w:id="45" w:name="_Toc25492"/>
            <w:bookmarkStart w:id="46" w:name="_Toc3855"/>
            <w:bookmarkStart w:id="47" w:name="_Toc24040"/>
            <w:bookmarkStart w:id="48" w:name="_Toc18809"/>
            <w:r>
              <w:rPr>
                <w:rFonts w:hint="default" w:ascii="Times New Roman" w:hAnsi="Times New Roman" w:eastAsia="宋体" w:cs="Times New Roman"/>
                <w:color w:val="auto"/>
                <w:sz w:val="24"/>
                <w:highlight w:val="none"/>
                <w:lang w:eastAsia="zh-CN"/>
              </w:rPr>
              <w:t>（2）监测点位</w:t>
            </w:r>
            <w:bookmarkEnd w:id="41"/>
            <w:bookmarkEnd w:id="42"/>
            <w:bookmarkEnd w:id="43"/>
            <w:bookmarkEnd w:id="44"/>
            <w:bookmarkEnd w:id="45"/>
            <w:bookmarkEnd w:id="46"/>
            <w:bookmarkEnd w:id="47"/>
            <w:bookmarkEnd w:id="48"/>
          </w:p>
          <w:p w14:paraId="77730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根据拟建工程的污染特征、当地气象条件、地形分布及评价区域环境功能区划要求等，在</w:t>
            </w:r>
            <w:r>
              <w:rPr>
                <w:rFonts w:hint="eastAsia" w:ascii="Times New Roman" w:hAnsi="Times New Roman" w:eastAsia="宋体" w:cs="Times New Roman"/>
                <w:color w:val="auto"/>
                <w:sz w:val="24"/>
                <w:highlight w:val="none"/>
                <w:lang w:eastAsia="zh-CN"/>
              </w:rPr>
              <w:t>厂址当季主导风向下风向</w:t>
            </w:r>
            <w:r>
              <w:rPr>
                <w:rFonts w:hint="default" w:ascii="Times New Roman" w:hAnsi="Times New Roman" w:eastAsia="宋体" w:cs="Times New Roman"/>
                <w:color w:val="auto"/>
                <w:sz w:val="24"/>
                <w:highlight w:val="none"/>
                <w:lang w:eastAsia="zh-CN"/>
              </w:rPr>
              <w:t>设置</w:t>
            </w: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个监测点位，点位分布情况见表</w:t>
            </w:r>
            <w:r>
              <w:rPr>
                <w:rFonts w:hint="eastAsia" w:cs="Times New Roman"/>
                <w:color w:val="auto"/>
                <w:sz w:val="24"/>
                <w:highlight w:val="none"/>
                <w:lang w:val="en-US" w:eastAsia="zh-CN"/>
              </w:rPr>
              <w:t>3-1</w:t>
            </w:r>
            <w:r>
              <w:rPr>
                <w:rFonts w:hint="default" w:ascii="Times New Roman" w:hAnsi="Times New Roman" w:eastAsia="宋体" w:cs="Times New Roman"/>
                <w:color w:val="auto"/>
                <w:sz w:val="24"/>
                <w:highlight w:val="none"/>
                <w:lang w:eastAsia="zh-CN"/>
              </w:rPr>
              <w:t>。</w:t>
            </w:r>
          </w:p>
          <w:p w14:paraId="17CA1216">
            <w:pPr>
              <w:pStyle w:val="105"/>
              <w:keepNext w:val="0"/>
              <w:keepLines w:val="0"/>
              <w:suppressLineNumbers w:val="0"/>
              <w:bidi w:val="0"/>
              <w:spacing w:before="0" w:beforeAutospacing="0" w:after="0" w:afterAutospacing="0"/>
              <w:ind w:left="0" w:right="0"/>
              <w:rPr>
                <w:rFonts w:hint="default"/>
                <w:color w:val="auto"/>
              </w:rPr>
            </w:pPr>
            <w:r>
              <w:rPr>
                <w:rFonts w:hint="default"/>
                <w:color w:val="auto"/>
              </w:rPr>
              <w:t>表</w:t>
            </w:r>
            <w:r>
              <w:rPr>
                <w:rFonts w:hint="eastAsia"/>
                <w:color w:val="auto"/>
                <w:lang w:val="en-US" w:eastAsia="zh-CN"/>
              </w:rPr>
              <w:t>3-1</w:t>
            </w:r>
            <w:r>
              <w:rPr>
                <w:rFonts w:hint="default"/>
                <w:color w:val="auto"/>
              </w:rPr>
              <w:t>补充监测点位基本信息</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1294"/>
              <w:gridCol w:w="1069"/>
              <w:gridCol w:w="1074"/>
              <w:gridCol w:w="1069"/>
              <w:gridCol w:w="1339"/>
              <w:gridCol w:w="1472"/>
              <w:gridCol w:w="1688"/>
            </w:tblGrid>
            <w:tr w14:paraId="0BB5BFB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29" w:hRule="atLeast"/>
                <w:jc w:val="center"/>
              </w:trPr>
              <w:tc>
                <w:tcPr>
                  <w:tcW w:w="718" w:type="pct"/>
                  <w:vMerge w:val="restart"/>
                  <w:vAlign w:val="center"/>
                </w:tcPr>
                <w:p w14:paraId="3C1F8CA0">
                  <w:pPr>
                    <w:keepNext w:val="0"/>
                    <w:keepLines w:val="0"/>
                    <w:suppressLineNumbers w:val="0"/>
                    <w:spacing w:before="0" w:beforeAutospacing="0" w:after="0" w:afterAutospacing="0"/>
                    <w:ind w:left="0" w:right="0"/>
                    <w:jc w:val="center"/>
                    <w:rPr>
                      <w:rFonts w:hint="default"/>
                      <w:color w:val="auto"/>
                      <w:szCs w:val="21"/>
                    </w:rPr>
                  </w:pPr>
                  <w:bookmarkStart w:id="49" w:name="_Toc7585"/>
                  <w:bookmarkStart w:id="50" w:name="_Toc4327"/>
                  <w:bookmarkStart w:id="51" w:name="_Toc12713"/>
                  <w:bookmarkStart w:id="52" w:name="_Toc30601"/>
                  <w:r>
                    <w:rPr>
                      <w:rFonts w:hint="default"/>
                      <w:color w:val="auto"/>
                      <w:szCs w:val="21"/>
                    </w:rPr>
                    <w:t>监测点名称</w:t>
                  </w:r>
                </w:p>
              </w:tc>
              <w:tc>
                <w:tcPr>
                  <w:tcW w:w="1189" w:type="pct"/>
                  <w:gridSpan w:val="2"/>
                  <w:tcBorders>
                    <w:bottom w:val="single" w:color="auto" w:sz="4" w:space="0"/>
                  </w:tcBorders>
                  <w:vAlign w:val="center"/>
                </w:tcPr>
                <w:p w14:paraId="2160BD9D">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监测点坐标</w:t>
                  </w:r>
                </w:p>
              </w:tc>
              <w:tc>
                <w:tcPr>
                  <w:tcW w:w="593" w:type="pct"/>
                  <w:vMerge w:val="restart"/>
                  <w:tcBorders>
                    <w:left w:val="single" w:color="auto" w:sz="4" w:space="0"/>
                  </w:tcBorders>
                  <w:vAlign w:val="center"/>
                </w:tcPr>
                <w:p w14:paraId="047AFC79">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监测因子</w:t>
                  </w:r>
                </w:p>
              </w:tc>
              <w:tc>
                <w:tcPr>
                  <w:tcW w:w="743" w:type="pct"/>
                  <w:vMerge w:val="restart"/>
                  <w:tcBorders>
                    <w:left w:val="single" w:color="auto" w:sz="4" w:space="0"/>
                  </w:tcBorders>
                  <w:vAlign w:val="center"/>
                </w:tcPr>
                <w:p w14:paraId="4D789C25">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监测时段</w:t>
                  </w:r>
                </w:p>
              </w:tc>
              <w:tc>
                <w:tcPr>
                  <w:tcW w:w="817" w:type="pct"/>
                  <w:vMerge w:val="restart"/>
                  <w:tcBorders>
                    <w:left w:val="single" w:color="auto" w:sz="4" w:space="0"/>
                  </w:tcBorders>
                  <w:vAlign w:val="center"/>
                </w:tcPr>
                <w:p w14:paraId="3F8C7378">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相对厂址方位</w:t>
                  </w:r>
                </w:p>
              </w:tc>
              <w:tc>
                <w:tcPr>
                  <w:tcW w:w="937" w:type="pct"/>
                  <w:vMerge w:val="restart"/>
                  <w:vAlign w:val="center"/>
                </w:tcPr>
                <w:p w14:paraId="41579F99">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相对厂界距离（m）</w:t>
                  </w:r>
                </w:p>
              </w:tc>
            </w:tr>
            <w:tr w14:paraId="05F770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29" w:hRule="atLeast"/>
                <w:jc w:val="center"/>
              </w:trPr>
              <w:tc>
                <w:tcPr>
                  <w:tcW w:w="718" w:type="pct"/>
                  <w:vMerge w:val="continue"/>
                  <w:vAlign w:val="center"/>
                </w:tcPr>
                <w:p w14:paraId="27B5CB0F">
                  <w:pPr>
                    <w:keepNext w:val="0"/>
                    <w:keepLines w:val="0"/>
                    <w:suppressLineNumbers w:val="0"/>
                    <w:spacing w:before="0" w:beforeAutospacing="0" w:after="0" w:afterAutospacing="0"/>
                    <w:ind w:left="0" w:right="0" w:firstLine="420"/>
                    <w:jc w:val="center"/>
                    <w:rPr>
                      <w:rFonts w:hint="default"/>
                      <w:color w:val="auto"/>
                      <w:szCs w:val="21"/>
                    </w:rPr>
                  </w:pPr>
                </w:p>
              </w:tc>
              <w:tc>
                <w:tcPr>
                  <w:tcW w:w="593" w:type="pct"/>
                  <w:tcBorders>
                    <w:top w:val="single" w:color="auto" w:sz="4" w:space="0"/>
                    <w:right w:val="single" w:color="auto" w:sz="4" w:space="0"/>
                  </w:tcBorders>
                  <w:vAlign w:val="center"/>
                </w:tcPr>
                <w:p w14:paraId="3CA26AE2">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东经（°）</w:t>
                  </w:r>
                </w:p>
              </w:tc>
              <w:tc>
                <w:tcPr>
                  <w:tcW w:w="596" w:type="pct"/>
                  <w:tcBorders>
                    <w:top w:val="single" w:color="auto" w:sz="4" w:space="0"/>
                    <w:left w:val="single" w:color="auto" w:sz="4" w:space="0"/>
                  </w:tcBorders>
                  <w:vAlign w:val="center"/>
                </w:tcPr>
                <w:p w14:paraId="62EEF6A5">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rPr>
                    <w:t>北纬（°）</w:t>
                  </w:r>
                </w:p>
              </w:tc>
              <w:tc>
                <w:tcPr>
                  <w:tcW w:w="593" w:type="pct"/>
                  <w:vMerge w:val="continue"/>
                  <w:tcBorders>
                    <w:left w:val="single" w:color="auto" w:sz="4" w:space="0"/>
                  </w:tcBorders>
                  <w:vAlign w:val="center"/>
                </w:tcPr>
                <w:p w14:paraId="169F552A">
                  <w:pPr>
                    <w:keepNext w:val="0"/>
                    <w:keepLines w:val="0"/>
                    <w:suppressLineNumbers w:val="0"/>
                    <w:spacing w:before="0" w:beforeAutospacing="0" w:after="0" w:afterAutospacing="0"/>
                    <w:ind w:left="0" w:right="0" w:firstLine="420"/>
                    <w:jc w:val="center"/>
                    <w:rPr>
                      <w:rFonts w:hint="default"/>
                      <w:color w:val="auto"/>
                      <w:szCs w:val="21"/>
                    </w:rPr>
                  </w:pPr>
                </w:p>
              </w:tc>
              <w:tc>
                <w:tcPr>
                  <w:tcW w:w="743" w:type="pct"/>
                  <w:vMerge w:val="continue"/>
                  <w:tcBorders>
                    <w:left w:val="single" w:color="auto" w:sz="4" w:space="0"/>
                  </w:tcBorders>
                  <w:vAlign w:val="center"/>
                </w:tcPr>
                <w:p w14:paraId="71A61C17">
                  <w:pPr>
                    <w:keepNext w:val="0"/>
                    <w:keepLines w:val="0"/>
                    <w:suppressLineNumbers w:val="0"/>
                    <w:spacing w:before="0" w:beforeAutospacing="0" w:after="0" w:afterAutospacing="0"/>
                    <w:ind w:left="0" w:right="0" w:firstLine="420"/>
                    <w:jc w:val="center"/>
                    <w:rPr>
                      <w:rFonts w:hint="default"/>
                      <w:color w:val="auto"/>
                      <w:szCs w:val="21"/>
                    </w:rPr>
                  </w:pPr>
                </w:p>
              </w:tc>
              <w:tc>
                <w:tcPr>
                  <w:tcW w:w="817" w:type="pct"/>
                  <w:vMerge w:val="continue"/>
                  <w:tcBorders>
                    <w:left w:val="single" w:color="auto" w:sz="4" w:space="0"/>
                  </w:tcBorders>
                  <w:vAlign w:val="center"/>
                </w:tcPr>
                <w:p w14:paraId="28BE9E79">
                  <w:pPr>
                    <w:keepNext w:val="0"/>
                    <w:keepLines w:val="0"/>
                    <w:suppressLineNumbers w:val="0"/>
                    <w:spacing w:before="0" w:beforeAutospacing="0" w:after="0" w:afterAutospacing="0"/>
                    <w:ind w:left="0" w:right="0" w:firstLine="420"/>
                    <w:jc w:val="center"/>
                    <w:rPr>
                      <w:rFonts w:hint="default"/>
                      <w:color w:val="auto"/>
                      <w:szCs w:val="21"/>
                    </w:rPr>
                  </w:pPr>
                </w:p>
              </w:tc>
              <w:tc>
                <w:tcPr>
                  <w:tcW w:w="937" w:type="pct"/>
                  <w:vMerge w:val="continue"/>
                  <w:vAlign w:val="center"/>
                </w:tcPr>
                <w:p w14:paraId="1AD27879">
                  <w:pPr>
                    <w:keepNext w:val="0"/>
                    <w:keepLines w:val="0"/>
                    <w:suppressLineNumbers w:val="0"/>
                    <w:spacing w:before="0" w:beforeAutospacing="0" w:after="0" w:afterAutospacing="0"/>
                    <w:ind w:left="0" w:right="0" w:firstLine="420"/>
                    <w:jc w:val="center"/>
                    <w:rPr>
                      <w:rFonts w:hint="default"/>
                      <w:color w:val="auto"/>
                      <w:szCs w:val="21"/>
                    </w:rPr>
                  </w:pPr>
                </w:p>
              </w:tc>
            </w:tr>
            <w:tr w14:paraId="2AA0798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806" w:hRule="atLeast"/>
                <w:jc w:val="center"/>
              </w:trPr>
              <w:tc>
                <w:tcPr>
                  <w:tcW w:w="718" w:type="pct"/>
                  <w:vAlign w:val="center"/>
                </w:tcPr>
                <w:p w14:paraId="0C88CAAE">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1#厂址</w:t>
                  </w:r>
                  <w:r>
                    <w:rPr>
                      <w:rFonts w:hint="eastAsia"/>
                      <w:color w:val="auto"/>
                      <w:szCs w:val="21"/>
                    </w:rPr>
                    <w:t>下风向</w:t>
                  </w:r>
                </w:p>
              </w:tc>
              <w:tc>
                <w:tcPr>
                  <w:tcW w:w="593" w:type="pct"/>
                  <w:tcBorders>
                    <w:right w:val="single" w:color="auto" w:sz="4" w:space="0"/>
                  </w:tcBorders>
                  <w:vAlign w:val="center"/>
                </w:tcPr>
                <w:p w14:paraId="756AC667">
                  <w:pPr>
                    <w:pStyle w:val="28"/>
                    <w:keepNext w:val="0"/>
                    <w:keepLines w:val="0"/>
                    <w:suppressLineNumbers w:val="0"/>
                    <w:tabs>
                      <w:tab w:val="left" w:pos="6480"/>
                    </w:tabs>
                    <w:spacing w:before="0" w:beforeAutospacing="0" w:after="0" w:afterAutospacing="0"/>
                    <w:ind w:left="0" w:right="0"/>
                    <w:jc w:val="center"/>
                    <w:rPr>
                      <w:rFonts w:hint="default"/>
                      <w:color w:val="auto"/>
                      <w:sz w:val="21"/>
                      <w:szCs w:val="21"/>
                    </w:rPr>
                  </w:pPr>
                  <w:r>
                    <w:rPr>
                      <w:rFonts w:hint="eastAsia"/>
                      <w:color w:val="auto"/>
                      <w:sz w:val="21"/>
                      <w:szCs w:val="21"/>
                    </w:rPr>
                    <w:t>128.955783</w:t>
                  </w:r>
                </w:p>
              </w:tc>
              <w:tc>
                <w:tcPr>
                  <w:tcW w:w="596" w:type="pct"/>
                  <w:tcBorders>
                    <w:left w:val="single" w:color="auto" w:sz="4" w:space="0"/>
                  </w:tcBorders>
                  <w:vAlign w:val="center"/>
                </w:tcPr>
                <w:p w14:paraId="45DFBE1C">
                  <w:pPr>
                    <w:pStyle w:val="28"/>
                    <w:keepNext w:val="0"/>
                    <w:keepLines w:val="0"/>
                    <w:suppressLineNumbers w:val="0"/>
                    <w:tabs>
                      <w:tab w:val="left" w:pos="6480"/>
                    </w:tabs>
                    <w:spacing w:before="0" w:beforeAutospacing="0" w:after="0" w:afterAutospacing="0"/>
                    <w:ind w:left="0" w:right="0"/>
                    <w:jc w:val="center"/>
                    <w:rPr>
                      <w:rFonts w:hint="default"/>
                      <w:color w:val="auto"/>
                      <w:sz w:val="21"/>
                      <w:szCs w:val="21"/>
                    </w:rPr>
                  </w:pPr>
                  <w:r>
                    <w:rPr>
                      <w:rFonts w:hint="eastAsia"/>
                      <w:color w:val="auto"/>
                      <w:sz w:val="21"/>
                      <w:szCs w:val="21"/>
                    </w:rPr>
                    <w:t>47.709180</w:t>
                  </w:r>
                </w:p>
              </w:tc>
              <w:tc>
                <w:tcPr>
                  <w:tcW w:w="593" w:type="pct"/>
                  <w:tcBorders>
                    <w:left w:val="single" w:color="auto" w:sz="4" w:space="0"/>
                  </w:tcBorders>
                  <w:vAlign w:val="center"/>
                </w:tcPr>
                <w:p w14:paraId="616A8730">
                  <w:pPr>
                    <w:pStyle w:val="28"/>
                    <w:keepNext w:val="0"/>
                    <w:keepLines w:val="0"/>
                    <w:suppressLineNumbers w:val="0"/>
                    <w:tabs>
                      <w:tab w:val="left" w:pos="6480"/>
                    </w:tabs>
                    <w:spacing w:before="0" w:beforeAutospacing="0" w:after="0" w:afterAutospacing="0"/>
                    <w:ind w:left="0" w:right="0"/>
                    <w:jc w:val="center"/>
                    <w:rPr>
                      <w:rFonts w:hint="default"/>
                      <w:color w:val="auto"/>
                      <w:sz w:val="21"/>
                      <w:szCs w:val="21"/>
                    </w:rPr>
                  </w:pPr>
                  <w:r>
                    <w:rPr>
                      <w:rFonts w:hint="eastAsia"/>
                      <w:color w:val="auto"/>
                      <w:sz w:val="21"/>
                      <w:szCs w:val="21"/>
                    </w:rPr>
                    <w:t>TSP、苯并[a]芘</w:t>
                  </w:r>
                </w:p>
              </w:tc>
              <w:tc>
                <w:tcPr>
                  <w:tcW w:w="743" w:type="pct"/>
                  <w:tcBorders>
                    <w:left w:val="single" w:color="auto" w:sz="4" w:space="0"/>
                  </w:tcBorders>
                  <w:vAlign w:val="center"/>
                </w:tcPr>
                <w:p w14:paraId="59E34B2B">
                  <w:pPr>
                    <w:pStyle w:val="28"/>
                    <w:keepNext w:val="0"/>
                    <w:keepLines w:val="0"/>
                    <w:suppressLineNumbers w:val="0"/>
                    <w:tabs>
                      <w:tab w:val="left" w:pos="6480"/>
                    </w:tabs>
                    <w:spacing w:before="0" w:beforeAutospacing="0" w:after="0" w:afterAutospacing="0"/>
                    <w:ind w:left="0" w:right="0"/>
                    <w:jc w:val="center"/>
                    <w:rPr>
                      <w:rFonts w:hint="default"/>
                      <w:color w:val="auto"/>
                      <w:sz w:val="21"/>
                      <w:szCs w:val="21"/>
                    </w:rPr>
                  </w:pPr>
                  <w:r>
                    <w:rPr>
                      <w:rFonts w:hint="eastAsia"/>
                      <w:color w:val="auto"/>
                      <w:sz w:val="21"/>
                      <w:szCs w:val="21"/>
                      <w:highlight w:val="none"/>
                    </w:rPr>
                    <w:t>1</w:t>
                  </w:r>
                  <w:r>
                    <w:rPr>
                      <w:rFonts w:hint="eastAsia"/>
                      <w:color w:val="auto"/>
                      <w:sz w:val="21"/>
                      <w:szCs w:val="21"/>
                      <w:highlight w:val="none"/>
                      <w:lang w:val="en-US" w:eastAsia="zh-CN"/>
                    </w:rPr>
                    <w:t>0</w:t>
                  </w:r>
                  <w:r>
                    <w:rPr>
                      <w:rFonts w:hint="default"/>
                      <w:color w:val="auto"/>
                      <w:sz w:val="21"/>
                      <w:szCs w:val="21"/>
                      <w:highlight w:val="none"/>
                    </w:rPr>
                    <w:t>月</w:t>
                  </w:r>
                  <w:r>
                    <w:rPr>
                      <w:rFonts w:hint="eastAsia"/>
                      <w:color w:val="auto"/>
                      <w:sz w:val="21"/>
                      <w:szCs w:val="21"/>
                      <w:highlight w:val="none"/>
                    </w:rPr>
                    <w:t>1</w:t>
                  </w:r>
                  <w:r>
                    <w:rPr>
                      <w:rFonts w:hint="eastAsia"/>
                      <w:color w:val="auto"/>
                      <w:sz w:val="21"/>
                      <w:szCs w:val="21"/>
                      <w:highlight w:val="none"/>
                      <w:lang w:val="en-US" w:eastAsia="zh-CN"/>
                    </w:rPr>
                    <w:t>5</w:t>
                  </w:r>
                  <w:r>
                    <w:rPr>
                      <w:rFonts w:hint="default"/>
                      <w:color w:val="auto"/>
                      <w:sz w:val="21"/>
                      <w:szCs w:val="21"/>
                      <w:highlight w:val="none"/>
                    </w:rPr>
                    <w:t>日至</w:t>
                  </w:r>
                  <w:r>
                    <w:rPr>
                      <w:rFonts w:hint="eastAsia"/>
                      <w:color w:val="auto"/>
                      <w:sz w:val="21"/>
                      <w:szCs w:val="21"/>
                      <w:highlight w:val="none"/>
                      <w:lang w:val="en-US" w:eastAsia="zh-CN"/>
                    </w:rPr>
                    <w:t>22</w:t>
                  </w:r>
                  <w:r>
                    <w:rPr>
                      <w:rFonts w:hint="default"/>
                      <w:color w:val="auto"/>
                      <w:sz w:val="21"/>
                      <w:szCs w:val="21"/>
                      <w:highlight w:val="none"/>
                    </w:rPr>
                    <w:t>日</w:t>
                  </w:r>
                </w:p>
              </w:tc>
              <w:tc>
                <w:tcPr>
                  <w:tcW w:w="817" w:type="pct"/>
                  <w:tcBorders>
                    <w:left w:val="single" w:color="auto" w:sz="4" w:space="0"/>
                  </w:tcBorders>
                  <w:vAlign w:val="center"/>
                </w:tcPr>
                <w:p w14:paraId="0F5158B5">
                  <w:pPr>
                    <w:pStyle w:val="28"/>
                    <w:keepNext w:val="0"/>
                    <w:keepLines w:val="0"/>
                    <w:suppressLineNumbers w:val="0"/>
                    <w:tabs>
                      <w:tab w:val="left" w:pos="6480"/>
                    </w:tabs>
                    <w:spacing w:before="0" w:beforeAutospacing="0" w:after="0" w:afterAutospacing="0"/>
                    <w:ind w:left="0" w:right="0"/>
                    <w:jc w:val="center"/>
                    <w:rPr>
                      <w:rFonts w:hint="default"/>
                      <w:color w:val="auto"/>
                      <w:sz w:val="21"/>
                      <w:szCs w:val="21"/>
                    </w:rPr>
                  </w:pPr>
                  <w:r>
                    <w:rPr>
                      <w:rFonts w:hint="eastAsia"/>
                      <w:color w:val="auto"/>
                      <w:sz w:val="21"/>
                      <w:szCs w:val="21"/>
                    </w:rPr>
                    <w:t>东</w:t>
                  </w:r>
                  <w:r>
                    <w:rPr>
                      <w:rFonts w:hint="eastAsia"/>
                      <w:color w:val="auto"/>
                      <w:sz w:val="21"/>
                      <w:szCs w:val="21"/>
                      <w:lang w:val="en-US" w:eastAsia="zh-CN"/>
                    </w:rPr>
                    <w:t>北</w:t>
                  </w:r>
                  <w:r>
                    <w:rPr>
                      <w:rFonts w:hint="eastAsia"/>
                      <w:color w:val="auto"/>
                      <w:sz w:val="21"/>
                      <w:szCs w:val="21"/>
                    </w:rPr>
                    <w:t>侧</w:t>
                  </w:r>
                </w:p>
              </w:tc>
              <w:tc>
                <w:tcPr>
                  <w:tcW w:w="937" w:type="pct"/>
                  <w:vAlign w:val="center"/>
                </w:tcPr>
                <w:p w14:paraId="6018A355">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lang w:val="en-US" w:eastAsia="zh-CN"/>
                    </w:rPr>
                    <w:t>7</w:t>
                  </w:r>
                  <w:r>
                    <w:rPr>
                      <w:rFonts w:hint="eastAsia"/>
                      <w:color w:val="auto"/>
                      <w:szCs w:val="21"/>
                    </w:rPr>
                    <w:t>00</w:t>
                  </w:r>
                </w:p>
              </w:tc>
            </w:tr>
          </w:tbl>
          <w:p w14:paraId="4CA4F76D">
            <w:pPr>
              <w:pStyle w:val="10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baseline"/>
              <w:rPr>
                <w:rFonts w:hint="default" w:ascii="Times New Roman" w:hAnsi="Times New Roman" w:eastAsia="宋体" w:cs="Times New Roman"/>
                <w:color w:val="auto"/>
                <w:kern w:val="2"/>
                <w:sz w:val="24"/>
                <w:szCs w:val="24"/>
                <w:highlight w:val="none"/>
              </w:rPr>
            </w:pPr>
            <w:bookmarkStart w:id="53" w:name="_Toc2536"/>
            <w:bookmarkStart w:id="54" w:name="_Toc10647"/>
            <w:bookmarkStart w:id="55" w:name="_Toc21177"/>
            <w:bookmarkStart w:id="56" w:name="_Toc25819"/>
            <w:r>
              <w:rPr>
                <w:rFonts w:hint="default" w:ascii="Times New Roman" w:hAnsi="Times New Roman" w:eastAsia="宋体" w:cs="Times New Roman"/>
                <w:color w:val="auto"/>
                <w:kern w:val="2"/>
                <w:sz w:val="24"/>
                <w:szCs w:val="24"/>
                <w:highlight w:val="none"/>
              </w:rPr>
              <w:t>（3）监测结果</w:t>
            </w:r>
            <w:bookmarkEnd w:id="49"/>
            <w:bookmarkEnd w:id="50"/>
            <w:bookmarkEnd w:id="51"/>
            <w:bookmarkEnd w:id="52"/>
            <w:bookmarkEnd w:id="53"/>
            <w:bookmarkEnd w:id="54"/>
            <w:bookmarkEnd w:id="55"/>
            <w:bookmarkEnd w:id="56"/>
          </w:p>
          <w:p w14:paraId="5FFF9AA7">
            <w:pPr>
              <w:pStyle w:val="10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baseline"/>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本项目监测结果见表</w:t>
            </w:r>
            <w:r>
              <w:rPr>
                <w:rFonts w:hint="eastAsia" w:cs="Times New Roman"/>
                <w:color w:val="auto"/>
                <w:kern w:val="2"/>
                <w:sz w:val="24"/>
                <w:szCs w:val="24"/>
                <w:highlight w:val="none"/>
                <w:lang w:val="en-US" w:eastAsia="zh-CN"/>
              </w:rPr>
              <w:t>3-2</w:t>
            </w:r>
            <w:r>
              <w:rPr>
                <w:rFonts w:hint="default" w:ascii="Times New Roman" w:hAnsi="Times New Roman" w:eastAsia="宋体" w:cs="Times New Roman"/>
                <w:color w:val="auto"/>
                <w:kern w:val="2"/>
                <w:sz w:val="24"/>
                <w:szCs w:val="24"/>
                <w:highlight w:val="none"/>
              </w:rPr>
              <w:t>。</w:t>
            </w:r>
          </w:p>
          <w:p w14:paraId="39E6DBFD">
            <w:pPr>
              <w:pStyle w:val="105"/>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表</w:t>
            </w:r>
            <w:r>
              <w:rPr>
                <w:rFonts w:hint="eastAsia" w:ascii="Times New Roman" w:cs="Times New Roman"/>
                <w:color w:val="auto"/>
                <w:highlight w:val="none"/>
                <w:lang w:val="en-US" w:eastAsia="zh-CN"/>
              </w:rPr>
              <w:t>3-2</w:t>
            </w:r>
            <w:r>
              <w:rPr>
                <w:rFonts w:hint="default" w:ascii="Times New Roman" w:hAnsi="Times New Roman" w:cs="Times New Roman"/>
                <w:color w:val="auto"/>
                <w:highlight w:val="none"/>
              </w:rPr>
              <w:t>环境质量现状（监测结果）表单位：</w:t>
            </w:r>
            <w:r>
              <w:rPr>
                <w:rFonts w:hint="eastAsia" w:ascii="Times New Roman" w:cs="Times New Roman"/>
                <w:color w:val="auto"/>
                <w:szCs w:val="21"/>
                <w:highlight w:val="none"/>
                <w:lang w:val="en-US" w:eastAsia="zh-CN"/>
              </w:rPr>
              <w:t>mg</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p>
          <w:tbl>
            <w:tblPr>
              <w:tblStyle w:val="35"/>
              <w:tblpPr w:leftFromText="180" w:rightFromText="180" w:vertAnchor="text" w:horzAnchor="page" w:tblpX="104" w:tblpY="297"/>
              <w:tblOverlap w:val="never"/>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1211"/>
              <w:gridCol w:w="1388"/>
              <w:gridCol w:w="1008"/>
              <w:gridCol w:w="1255"/>
              <w:gridCol w:w="1096"/>
              <w:gridCol w:w="912"/>
              <w:gridCol w:w="1052"/>
            </w:tblGrid>
            <w:tr w14:paraId="1B7827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03" w:type="pct"/>
                  <w:vAlign w:val="center"/>
                </w:tcPr>
                <w:p w14:paraId="6A854749">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bookmarkStart w:id="57" w:name="_Hlk12439591"/>
                  <w:r>
                    <w:rPr>
                      <w:rFonts w:hint="default" w:ascii="Times New Roman" w:hAnsi="Times New Roman" w:eastAsia="宋体" w:cs="Times New Roman"/>
                      <w:color w:val="auto"/>
                      <w:sz w:val="21"/>
                      <w:szCs w:val="21"/>
                    </w:rPr>
                    <w:t>污染物</w:t>
                  </w:r>
                </w:p>
              </w:tc>
              <w:tc>
                <w:tcPr>
                  <w:tcW w:w="672" w:type="pct"/>
                  <w:vAlign w:val="center"/>
                </w:tcPr>
                <w:p w14:paraId="0D8B0609">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检测点位</w:t>
                  </w:r>
                </w:p>
              </w:tc>
              <w:tc>
                <w:tcPr>
                  <w:tcW w:w="770" w:type="pct"/>
                  <w:vAlign w:val="center"/>
                </w:tcPr>
                <w:p w14:paraId="4EF3A1FC">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平均时间</w:t>
                  </w:r>
                </w:p>
              </w:tc>
              <w:tc>
                <w:tcPr>
                  <w:tcW w:w="559" w:type="pct"/>
                  <w:vAlign w:val="center"/>
                </w:tcPr>
                <w:p w14:paraId="44AEC7C7">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评价标准/μg/m</w:t>
                  </w:r>
                  <w:r>
                    <w:rPr>
                      <w:rFonts w:hint="default" w:ascii="Times New Roman" w:hAnsi="Times New Roman" w:eastAsia="宋体" w:cs="Times New Roman"/>
                      <w:color w:val="auto"/>
                      <w:sz w:val="21"/>
                      <w:szCs w:val="21"/>
                      <w:vertAlign w:val="superscript"/>
                    </w:rPr>
                    <w:t>3</w:t>
                  </w:r>
                </w:p>
              </w:tc>
              <w:tc>
                <w:tcPr>
                  <w:tcW w:w="696" w:type="pct"/>
                  <w:vAlign w:val="center"/>
                </w:tcPr>
                <w:p w14:paraId="1DC323C0">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监测浓度范围/μg/m</w:t>
                  </w:r>
                  <w:r>
                    <w:rPr>
                      <w:rFonts w:hint="default" w:ascii="Times New Roman" w:hAnsi="Times New Roman" w:eastAsia="宋体" w:cs="Times New Roman"/>
                      <w:color w:val="auto"/>
                      <w:sz w:val="21"/>
                      <w:szCs w:val="21"/>
                      <w:vertAlign w:val="superscript"/>
                    </w:rPr>
                    <w:t>3</w:t>
                  </w:r>
                </w:p>
              </w:tc>
              <w:tc>
                <w:tcPr>
                  <w:tcW w:w="608" w:type="pct"/>
                  <w:vAlign w:val="center"/>
                </w:tcPr>
                <w:p w14:paraId="6F8B7BF7">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最大浓度占标率/%</w:t>
                  </w:r>
                </w:p>
              </w:tc>
              <w:tc>
                <w:tcPr>
                  <w:tcW w:w="506" w:type="pct"/>
                  <w:vAlign w:val="center"/>
                </w:tcPr>
                <w:p w14:paraId="0275B44F">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超标率/%</w:t>
                  </w:r>
                </w:p>
              </w:tc>
              <w:tc>
                <w:tcPr>
                  <w:tcW w:w="583" w:type="pct"/>
                  <w:vAlign w:val="center"/>
                </w:tcPr>
                <w:p w14:paraId="44489506">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达标情况</w:t>
                  </w:r>
                </w:p>
              </w:tc>
            </w:tr>
            <w:tr w14:paraId="7200BB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03" w:type="pct"/>
                  <w:vAlign w:val="center"/>
                </w:tcPr>
                <w:p w14:paraId="5C1A80C9">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TSP</w:t>
                  </w:r>
                </w:p>
              </w:tc>
              <w:tc>
                <w:tcPr>
                  <w:tcW w:w="672" w:type="pct"/>
                  <w:vMerge w:val="restart"/>
                  <w:vAlign w:val="center"/>
                </w:tcPr>
                <w:p w14:paraId="333D0E0A">
                  <w:pPr>
                    <w:pStyle w:val="179"/>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1#厂址下风向</w:t>
                  </w:r>
                </w:p>
              </w:tc>
              <w:tc>
                <w:tcPr>
                  <w:tcW w:w="770" w:type="pct"/>
                  <w:vAlign w:val="center"/>
                </w:tcPr>
                <w:p w14:paraId="4BB56207">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w:t>
                  </w:r>
                </w:p>
              </w:tc>
              <w:tc>
                <w:tcPr>
                  <w:tcW w:w="559" w:type="pct"/>
                  <w:vAlign w:val="center"/>
                </w:tcPr>
                <w:p w14:paraId="631FF44F">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696" w:type="pct"/>
                  <w:vAlign w:val="center"/>
                </w:tcPr>
                <w:p w14:paraId="1A189D84">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80</w:t>
                  </w:r>
                  <w:r>
                    <w:rPr>
                      <w:rFonts w:hint="default" w:ascii="Times New Roman" w:hAnsi="Times New Roman" w:eastAsia="宋体" w:cs="Times New Roman"/>
                      <w:color w:val="auto"/>
                      <w:sz w:val="21"/>
                      <w:szCs w:val="21"/>
                    </w:rPr>
                    <w:t>-11</w:t>
                  </w:r>
                  <w:r>
                    <w:rPr>
                      <w:rFonts w:hint="default" w:ascii="Times New Roman" w:hAnsi="Times New Roman" w:eastAsia="宋体" w:cs="Times New Roman"/>
                      <w:color w:val="auto"/>
                      <w:sz w:val="21"/>
                      <w:szCs w:val="21"/>
                      <w:lang w:val="en-US" w:eastAsia="zh-CN"/>
                    </w:rPr>
                    <w:t>3</w:t>
                  </w:r>
                </w:p>
              </w:tc>
              <w:tc>
                <w:tcPr>
                  <w:tcW w:w="608" w:type="pct"/>
                  <w:vAlign w:val="center"/>
                </w:tcPr>
                <w:p w14:paraId="5C658A7A">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r>
                    <w:rPr>
                      <w:rFonts w:hint="default"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rPr>
                    <w:t>.7</w:t>
                  </w:r>
                </w:p>
              </w:tc>
              <w:tc>
                <w:tcPr>
                  <w:tcW w:w="506" w:type="pct"/>
                  <w:vAlign w:val="center"/>
                </w:tcPr>
                <w:p w14:paraId="34391CAD">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583" w:type="pct"/>
                  <w:vAlign w:val="center"/>
                </w:tcPr>
                <w:p w14:paraId="10632CF0">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A2745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3" w:type="pct"/>
                  <w:vAlign w:val="center"/>
                </w:tcPr>
                <w:p w14:paraId="61C54B39">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苯并[a]芘</w:t>
                  </w:r>
                </w:p>
              </w:tc>
              <w:tc>
                <w:tcPr>
                  <w:tcW w:w="672" w:type="pct"/>
                  <w:vMerge w:val="continue"/>
                  <w:vAlign w:val="center"/>
                </w:tcPr>
                <w:p w14:paraId="74367D14">
                  <w:pPr>
                    <w:pStyle w:val="179"/>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1"/>
                      <w:szCs w:val="21"/>
                    </w:rPr>
                  </w:pPr>
                </w:p>
              </w:tc>
              <w:tc>
                <w:tcPr>
                  <w:tcW w:w="770" w:type="pct"/>
                  <w:vAlign w:val="center"/>
                </w:tcPr>
                <w:p w14:paraId="1F498675">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日均值</w:t>
                  </w:r>
                </w:p>
              </w:tc>
              <w:tc>
                <w:tcPr>
                  <w:tcW w:w="559" w:type="pct"/>
                  <w:vAlign w:val="center"/>
                </w:tcPr>
                <w:p w14:paraId="2C71D8CA">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0.0025</w:t>
                  </w:r>
                </w:p>
              </w:tc>
              <w:tc>
                <w:tcPr>
                  <w:tcW w:w="696" w:type="pct"/>
                  <w:vAlign w:val="center"/>
                </w:tcPr>
                <w:p w14:paraId="3137C255">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未检出</w:t>
                  </w:r>
                </w:p>
              </w:tc>
              <w:tc>
                <w:tcPr>
                  <w:tcW w:w="608" w:type="pct"/>
                  <w:vAlign w:val="center"/>
                </w:tcPr>
                <w:p w14:paraId="422E0EDE">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06" w:type="pct"/>
                  <w:vAlign w:val="center"/>
                </w:tcPr>
                <w:p w14:paraId="18DD7773">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83" w:type="pct"/>
                  <w:vAlign w:val="center"/>
                </w:tcPr>
                <w:p w14:paraId="35C8691C">
                  <w:pPr>
                    <w:pStyle w:val="71"/>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bookmarkEnd w:id="57"/>
          </w:tbl>
          <w:p w14:paraId="1E326C11">
            <w:pPr>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2"/>
                <w:sz w:val="24"/>
                <w:szCs w:val="24"/>
                <w:highlight w:val="none"/>
              </w:rPr>
              <w:t>根据上表统计结果，本项目特征污染物</w:t>
            </w:r>
            <w:r>
              <w:rPr>
                <w:rFonts w:hint="eastAsia" w:ascii="Times New Roman" w:hAnsi="Times New Roman" w:eastAsia="宋体" w:cs="Times New Roman"/>
                <w:color w:val="auto"/>
                <w:kern w:val="2"/>
                <w:sz w:val="24"/>
                <w:szCs w:val="24"/>
                <w:highlight w:val="none"/>
                <w:lang w:eastAsia="zh-CN"/>
              </w:rPr>
              <w:t>颗粒物</w:t>
            </w:r>
            <w:r>
              <w:rPr>
                <w:rFonts w:hint="eastAsia" w:cs="Times New Roman"/>
                <w:color w:val="auto"/>
                <w:kern w:val="2"/>
                <w:sz w:val="24"/>
                <w:szCs w:val="24"/>
                <w:highlight w:val="none"/>
                <w:lang w:eastAsia="zh-CN"/>
              </w:rPr>
              <w:t>、</w:t>
            </w:r>
            <w:r>
              <w:rPr>
                <w:rFonts w:hint="eastAsia" w:cs="Times New Roman"/>
                <w:color w:val="auto"/>
                <w:kern w:val="2"/>
                <w:sz w:val="24"/>
                <w:szCs w:val="24"/>
                <w:highlight w:val="none"/>
                <w:lang w:val="en-US" w:eastAsia="zh-CN"/>
              </w:rPr>
              <w:t>苯并[a]芘</w:t>
            </w:r>
            <w:r>
              <w:rPr>
                <w:rFonts w:hint="eastAsia" w:ascii="Times New Roman" w:hAnsi="Times New Roman" w:eastAsia="宋体" w:cs="Times New Roman"/>
                <w:color w:val="auto"/>
                <w:kern w:val="2"/>
                <w:sz w:val="24"/>
                <w:szCs w:val="24"/>
                <w:highlight w:val="none"/>
                <w:lang w:eastAsia="zh-CN"/>
              </w:rPr>
              <w:t>可以满足</w:t>
            </w:r>
            <w:r>
              <w:rPr>
                <w:rFonts w:hint="default" w:ascii="Times New Roman" w:hAnsi="Times New Roman"/>
                <w:color w:val="auto"/>
                <w:sz w:val="24"/>
                <w:szCs w:val="24"/>
                <w:highlight w:val="none"/>
              </w:rPr>
              <w:t>《环境空气质量标准》（GB3095-2012）</w:t>
            </w:r>
            <w:r>
              <w:rPr>
                <w:rFonts w:hint="eastAsia"/>
                <w:color w:val="auto"/>
                <w:sz w:val="24"/>
                <w:lang w:val="en-US" w:eastAsia="zh-CN"/>
              </w:rPr>
              <w:t>二级标准要求</w:t>
            </w:r>
            <w:r>
              <w:rPr>
                <w:rFonts w:hint="eastAsia" w:cs="Times New Roman"/>
                <w:color w:val="auto"/>
                <w:kern w:val="2"/>
                <w:sz w:val="24"/>
                <w:szCs w:val="24"/>
                <w:highlight w:val="none"/>
                <w:lang w:val="en-US" w:eastAsia="zh-CN"/>
              </w:rPr>
              <w:t>。</w:t>
            </w:r>
          </w:p>
          <w:bookmarkEnd w:id="23"/>
          <w:bookmarkEnd w:id="24"/>
          <w:bookmarkEnd w:id="25"/>
          <w:bookmarkEnd w:id="26"/>
          <w:bookmarkEnd w:id="27"/>
          <w:bookmarkEnd w:id="28"/>
          <w:bookmarkEnd w:id="29"/>
          <w:bookmarkEnd w:id="30"/>
          <w:bookmarkEnd w:id="31"/>
          <w:bookmarkEnd w:id="32"/>
          <w:p w14:paraId="4695735A">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360" w:lineRule="auto"/>
              <w:ind w:left="0" w:right="0"/>
              <w:outlineLvl w:val="9"/>
              <w:rPr>
                <w:rFonts w:hint="default" w:ascii="Times New Roman" w:hAnsi="Times New Roman" w:eastAsia="黑体" w:cs="Times New Roman"/>
                <w:b w:val="0"/>
                <w:bCs w:val="0"/>
                <w:color w:val="auto"/>
                <w:kern w:val="18"/>
                <w:sz w:val="28"/>
                <w:szCs w:val="28"/>
                <w:lang w:eastAsia="zh-CN"/>
              </w:rPr>
            </w:pPr>
            <w:r>
              <w:rPr>
                <w:rFonts w:hint="default" w:ascii="Times New Roman" w:hAnsi="Times New Roman" w:eastAsia="黑体" w:cs="Times New Roman"/>
                <w:b w:val="0"/>
                <w:bCs w:val="0"/>
                <w:color w:val="auto"/>
                <w:kern w:val="0"/>
                <w:sz w:val="28"/>
                <w:szCs w:val="28"/>
                <w:lang w:val="en-US" w:eastAsia="zh-CN"/>
              </w:rPr>
              <w:t>2、</w:t>
            </w:r>
            <w:r>
              <w:rPr>
                <w:rFonts w:hint="default" w:ascii="Times New Roman" w:hAnsi="Times New Roman" w:eastAsia="黑体" w:cs="Times New Roman"/>
                <w:b w:val="0"/>
                <w:bCs w:val="0"/>
                <w:color w:val="auto"/>
                <w:kern w:val="0"/>
                <w:sz w:val="28"/>
                <w:szCs w:val="28"/>
                <w:highlight w:val="none"/>
                <w:lang w:eastAsia="zh-CN"/>
              </w:rPr>
              <w:t>地表水</w:t>
            </w:r>
            <w:r>
              <w:rPr>
                <w:rFonts w:hint="default" w:ascii="Times New Roman" w:hAnsi="Times New Roman" w:eastAsia="黑体" w:cs="Times New Roman"/>
                <w:b w:val="0"/>
                <w:bCs w:val="0"/>
                <w:color w:val="auto"/>
                <w:kern w:val="0"/>
                <w:sz w:val="28"/>
                <w:szCs w:val="28"/>
                <w:highlight w:val="none"/>
              </w:rPr>
              <w:t>环境质量</w:t>
            </w:r>
            <w:r>
              <w:rPr>
                <w:rFonts w:hint="default" w:ascii="Times New Roman" w:hAnsi="Times New Roman" w:eastAsia="黑体" w:cs="Times New Roman"/>
                <w:b w:val="0"/>
                <w:bCs w:val="0"/>
                <w:color w:val="auto"/>
                <w:kern w:val="0"/>
                <w:sz w:val="28"/>
                <w:szCs w:val="28"/>
                <w:highlight w:val="none"/>
                <w:lang w:eastAsia="zh-CN"/>
              </w:rPr>
              <w:t>部分现状</w:t>
            </w:r>
          </w:p>
          <w:p w14:paraId="4118FB7E">
            <w:pPr>
              <w:keepNext w:val="0"/>
              <w:keepLines w:val="0"/>
              <w:widowControl/>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eastAsia="zh-CN"/>
              </w:rPr>
            </w:pPr>
            <w:bookmarkStart w:id="58" w:name="_Hlk134624265"/>
            <w:r>
              <w:rPr>
                <w:rFonts w:hint="default" w:ascii="Times New Roman" w:hAnsi="Times New Roman" w:cs="Times New Roman"/>
                <w:color w:val="auto"/>
                <w:sz w:val="24"/>
                <w:szCs w:val="24"/>
              </w:rPr>
              <w:t>根据黑龙江省生态环境监测中心《202</w:t>
            </w:r>
            <w:r>
              <w:rPr>
                <w:rFonts w:hint="eastAsia" w:ascii="Times New Roman" w:hAnsi="Times New Roman" w:cs="Times New Roman"/>
                <w:color w:val="auto"/>
                <w:sz w:val="24"/>
                <w:szCs w:val="24"/>
              </w:rPr>
              <w:t>5</w:t>
            </w:r>
            <w:r>
              <w:rPr>
                <w:rFonts w:hint="default" w:ascii="Times New Roman" w:hAnsi="Times New Roman" w:cs="Times New Roman"/>
                <w:color w:val="auto"/>
                <w:sz w:val="24"/>
                <w:szCs w:val="24"/>
              </w:rPr>
              <w:t>年黑龙江省生态环境质量状况》</w:t>
            </w:r>
            <w:r>
              <w:rPr>
                <w:rFonts w:hint="eastAsia" w:ascii="Times New Roman" w:hAnsi="Times New Roman" w:cs="Times New Roman"/>
                <w:color w:val="auto"/>
                <w:sz w:val="24"/>
                <w:szCs w:val="24"/>
              </w:rPr>
              <w:t>（</w:t>
            </w:r>
            <w:r>
              <w:rPr>
                <w:rFonts w:hint="default" w:ascii="Times New Roman" w:hAnsi="Times New Roman" w:cs="Times New Roman"/>
                <w:color w:val="auto"/>
                <w:sz w:val="24"/>
                <w:szCs w:val="24"/>
              </w:rPr>
              <w:t>202</w:t>
            </w:r>
            <w:r>
              <w:rPr>
                <w:rFonts w:hint="eastAsia" w:ascii="Times New Roman" w:hAnsi="Times New Roman" w:cs="Times New Roman"/>
                <w:color w:val="auto"/>
                <w:sz w:val="24"/>
                <w:szCs w:val="24"/>
              </w:rPr>
              <w:t>6</w:t>
            </w:r>
            <w:r>
              <w:rPr>
                <w:rFonts w:hint="default" w:ascii="Times New Roman" w:hAnsi="Times New Roman" w:cs="Times New Roman"/>
                <w:color w:val="auto"/>
                <w:sz w:val="24"/>
                <w:szCs w:val="24"/>
              </w:rPr>
              <w:t>年1月</w:t>
            </w:r>
            <w:r>
              <w:rPr>
                <w:rFonts w:hint="eastAsia" w:ascii="Times New Roman" w:hAnsi="Times New Roman" w:cs="Times New Roman"/>
                <w:color w:val="auto"/>
                <w:sz w:val="24"/>
                <w:szCs w:val="24"/>
              </w:rPr>
              <w:t>）</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伊春市参与国家考核计算的断面共11个，Ⅰ~Ⅲ类水质比例为63.6%，无劣V类水质断面。与上年同期相比，Ⅰ~Ⅲ类水质比例上升9.1个百分点，均无劣V类水质断面。</w:t>
            </w:r>
            <w:bookmarkEnd w:id="58"/>
          </w:p>
          <w:p w14:paraId="2A48B77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auto"/>
              <w:outlineLvl w:val="9"/>
              <w:rPr>
                <w:rFonts w:hint="default" w:ascii="Times New Roman" w:hAnsi="Times New Roman" w:eastAsia="黑体" w:cs="Times New Roman"/>
                <w:b w:val="0"/>
                <w:bCs w:val="0"/>
                <w:color w:val="auto"/>
                <w:kern w:val="0"/>
                <w:sz w:val="28"/>
                <w:szCs w:val="28"/>
                <w:lang w:eastAsia="zh-CN"/>
              </w:rPr>
            </w:pPr>
            <w:r>
              <w:rPr>
                <w:rFonts w:hint="default" w:ascii="Times New Roman" w:hAnsi="Times New Roman" w:eastAsia="黑体" w:cs="Times New Roman"/>
                <w:b w:val="0"/>
                <w:bCs w:val="0"/>
                <w:color w:val="auto"/>
                <w:kern w:val="0"/>
                <w:sz w:val="28"/>
                <w:szCs w:val="28"/>
                <w:lang w:val="en-US" w:eastAsia="zh-CN"/>
              </w:rPr>
              <w:t>3、</w:t>
            </w:r>
            <w:r>
              <w:rPr>
                <w:rFonts w:hint="default" w:ascii="Times New Roman" w:hAnsi="Times New Roman" w:eastAsia="黑体" w:cs="Times New Roman"/>
                <w:b w:val="0"/>
                <w:bCs w:val="0"/>
                <w:color w:val="auto"/>
                <w:kern w:val="0"/>
                <w:sz w:val="28"/>
                <w:szCs w:val="28"/>
                <w:highlight w:val="none"/>
              </w:rPr>
              <w:t>声环境质量</w:t>
            </w:r>
            <w:r>
              <w:rPr>
                <w:rFonts w:hint="default" w:ascii="Times New Roman" w:hAnsi="Times New Roman" w:eastAsia="黑体" w:cs="Times New Roman"/>
                <w:b w:val="0"/>
                <w:bCs w:val="0"/>
                <w:color w:val="auto"/>
                <w:kern w:val="0"/>
                <w:sz w:val="28"/>
                <w:szCs w:val="28"/>
                <w:highlight w:val="none"/>
                <w:lang w:eastAsia="zh-CN"/>
              </w:rPr>
              <w:t>部分现状</w:t>
            </w:r>
          </w:p>
          <w:p w14:paraId="5F73B2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建设项目环境影响报告表编制技术指南（污染影响类）（试行）》中关于区域声环境质量现状中的要求，厂界外周边50米范围内存在声环境保护目标的建设项目，应监测保护目标声环境质量现状并评价达标情况，各点位应监测昼夜间噪声，监测时间不少于1天。本项目厂界外周边50米</w:t>
            </w:r>
            <w:r>
              <w:rPr>
                <w:rFonts w:hint="eastAsia" w:cs="Times New Roman"/>
                <w:color w:val="auto"/>
                <w:kern w:val="2"/>
                <w:sz w:val="24"/>
                <w:szCs w:val="24"/>
                <w:lang w:val="en-US" w:eastAsia="zh-CN" w:bidi="ar-SA"/>
              </w:rPr>
              <w:t>范围内存在红旗敏感目标，</w:t>
            </w:r>
            <w:r>
              <w:rPr>
                <w:rFonts w:hint="eastAsia" w:ascii="Times New Roman" w:hAnsi="Times New Roman" w:eastAsia="宋体" w:cs="Times New Roman"/>
                <w:color w:val="auto"/>
                <w:kern w:val="2"/>
                <w:sz w:val="24"/>
                <w:szCs w:val="24"/>
                <w:lang w:val="en-US" w:eastAsia="zh-CN" w:bidi="ar-SA"/>
              </w:rPr>
              <w:t>黑龙江盛睿检测评价有限公司</w:t>
            </w:r>
            <w:r>
              <w:rPr>
                <w:rFonts w:hint="eastAsia" w:cs="Times New Roman"/>
                <w:color w:val="auto"/>
                <w:kern w:val="2"/>
                <w:sz w:val="24"/>
                <w:szCs w:val="24"/>
                <w:lang w:val="en-US" w:eastAsia="zh-CN" w:bidi="ar-SA"/>
              </w:rPr>
              <w:t>对西侧住户进行声环境质量监测，监测时间为2026年</w:t>
            </w:r>
            <w:r>
              <w:rPr>
                <w:rFonts w:hint="eastAsia" w:cs="Times New Roman"/>
                <w:color w:val="auto"/>
                <w:kern w:val="2"/>
                <w:sz w:val="24"/>
                <w:szCs w:val="24"/>
                <w:highlight w:val="none"/>
                <w:lang w:val="en-US" w:eastAsia="zh-CN" w:bidi="ar-SA"/>
              </w:rPr>
              <w:t>6月17日至6月18日</w:t>
            </w:r>
            <w:r>
              <w:rPr>
                <w:rFonts w:hint="eastAsia" w:cs="Times New Roman"/>
                <w:color w:val="auto"/>
                <w:kern w:val="2"/>
                <w:sz w:val="24"/>
                <w:szCs w:val="24"/>
                <w:lang w:val="en-US" w:eastAsia="zh-CN" w:bidi="ar-SA"/>
              </w:rPr>
              <w:t>，连续监测两天，昼夜各监测一次。监测结果见表3-3。</w:t>
            </w:r>
          </w:p>
          <w:p w14:paraId="326BF3F2">
            <w:pPr>
              <w:pStyle w:val="10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表3-3声环境质量现状监测结果表</w:t>
            </w:r>
          </w:p>
          <w:p w14:paraId="7A3B6A70">
            <w:pPr>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单位：dB(A)</w:t>
            </w:r>
          </w:p>
          <w:tbl>
            <w:tblPr>
              <w:tblStyle w:val="35"/>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4"/>
              <w:gridCol w:w="1084"/>
              <w:gridCol w:w="1084"/>
              <w:gridCol w:w="1084"/>
              <w:gridCol w:w="1084"/>
              <w:gridCol w:w="1084"/>
              <w:gridCol w:w="1085"/>
            </w:tblGrid>
            <w:tr w14:paraId="626B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94" w:type="dxa"/>
                  <w:vMerge w:val="restart"/>
                  <w:vAlign w:val="center"/>
                </w:tcPr>
                <w:p w14:paraId="23B37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rPr>
                    <w:t>监测</w:t>
                  </w:r>
                  <w:r>
                    <w:rPr>
                      <w:rFonts w:hint="eastAsia" w:ascii="Times New Roman" w:hAnsi="Times New Roman" w:eastAsia="宋体" w:cs="Times New Roman"/>
                      <w:color w:val="auto"/>
                      <w:szCs w:val="21"/>
                      <w:lang w:eastAsia="zh-CN"/>
                    </w:rPr>
                    <w:t>点位</w:t>
                  </w:r>
                </w:p>
              </w:tc>
              <w:tc>
                <w:tcPr>
                  <w:tcW w:w="2168" w:type="dxa"/>
                  <w:gridSpan w:val="2"/>
                  <w:vAlign w:val="center"/>
                </w:tcPr>
                <w:p w14:paraId="7A7C9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bidi="ar-SA"/>
                    </w:rPr>
                    <w:t>2026年</w:t>
                  </w:r>
                  <w:r>
                    <w:rPr>
                      <w:rFonts w:hint="eastAsia" w:cs="Times New Roman"/>
                      <w:color w:val="auto"/>
                      <w:kern w:val="2"/>
                      <w:sz w:val="21"/>
                      <w:szCs w:val="21"/>
                      <w:highlight w:val="none"/>
                      <w:lang w:val="en-US" w:eastAsia="zh-CN" w:bidi="ar-SA"/>
                    </w:rPr>
                    <w:t>6月17日</w:t>
                  </w:r>
                </w:p>
              </w:tc>
              <w:tc>
                <w:tcPr>
                  <w:tcW w:w="2168" w:type="dxa"/>
                  <w:gridSpan w:val="2"/>
                  <w:vAlign w:val="center"/>
                </w:tcPr>
                <w:p w14:paraId="5ED86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kern w:val="2"/>
                      <w:sz w:val="21"/>
                      <w:szCs w:val="21"/>
                      <w:lang w:val="en-US" w:eastAsia="zh-CN" w:bidi="ar-SA"/>
                    </w:rPr>
                    <w:t>2026年</w:t>
                  </w:r>
                  <w:r>
                    <w:rPr>
                      <w:rFonts w:hint="eastAsia" w:cs="Times New Roman"/>
                      <w:color w:val="auto"/>
                      <w:kern w:val="2"/>
                      <w:sz w:val="21"/>
                      <w:szCs w:val="21"/>
                      <w:highlight w:val="none"/>
                      <w:lang w:val="en-US" w:eastAsia="zh-CN" w:bidi="ar-SA"/>
                    </w:rPr>
                    <w:t>6月18日</w:t>
                  </w:r>
                </w:p>
              </w:tc>
              <w:tc>
                <w:tcPr>
                  <w:tcW w:w="2169" w:type="dxa"/>
                  <w:gridSpan w:val="2"/>
                  <w:vAlign w:val="center"/>
                </w:tcPr>
                <w:p w14:paraId="0DD90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限值</w:t>
                  </w:r>
                </w:p>
              </w:tc>
            </w:tr>
            <w:tr w14:paraId="1E1C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94" w:type="dxa"/>
                  <w:vMerge w:val="continue"/>
                  <w:vAlign w:val="center"/>
                </w:tcPr>
                <w:p w14:paraId="42141D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color w:val="auto"/>
                    </w:rPr>
                  </w:pPr>
                </w:p>
              </w:tc>
              <w:tc>
                <w:tcPr>
                  <w:tcW w:w="1084" w:type="dxa"/>
                  <w:vAlign w:val="center"/>
                </w:tcPr>
                <w:p w14:paraId="4DF2E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昼间</w:t>
                  </w:r>
                </w:p>
              </w:tc>
              <w:tc>
                <w:tcPr>
                  <w:tcW w:w="1084" w:type="dxa"/>
                  <w:vAlign w:val="center"/>
                </w:tcPr>
                <w:p w14:paraId="63C65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color w:val="auto"/>
                    </w:rPr>
                  </w:pPr>
                  <w:r>
                    <w:rPr>
                      <w:rFonts w:hint="eastAsia" w:ascii="Times New Roman" w:hAnsi="Times New Roman" w:eastAsia="宋体" w:cs="Times New Roman"/>
                      <w:color w:val="auto"/>
                      <w:szCs w:val="21"/>
                    </w:rPr>
                    <w:t>夜间</w:t>
                  </w:r>
                </w:p>
              </w:tc>
              <w:tc>
                <w:tcPr>
                  <w:tcW w:w="1084" w:type="dxa"/>
                  <w:vAlign w:val="center"/>
                </w:tcPr>
                <w:p w14:paraId="7E1FA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昼间</w:t>
                  </w:r>
                </w:p>
              </w:tc>
              <w:tc>
                <w:tcPr>
                  <w:tcW w:w="1084" w:type="dxa"/>
                  <w:vAlign w:val="center"/>
                </w:tcPr>
                <w:p w14:paraId="652D36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color w:val="auto"/>
                    </w:rPr>
                  </w:pPr>
                  <w:r>
                    <w:rPr>
                      <w:rFonts w:hint="eastAsia" w:ascii="Times New Roman" w:hAnsi="Times New Roman" w:eastAsia="宋体" w:cs="Times New Roman"/>
                      <w:color w:val="auto"/>
                      <w:szCs w:val="21"/>
                    </w:rPr>
                    <w:t>夜间</w:t>
                  </w:r>
                </w:p>
              </w:tc>
              <w:tc>
                <w:tcPr>
                  <w:tcW w:w="1084" w:type="dxa"/>
                  <w:vAlign w:val="center"/>
                </w:tcPr>
                <w:p w14:paraId="43B41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昼间</w:t>
                  </w:r>
                </w:p>
              </w:tc>
              <w:tc>
                <w:tcPr>
                  <w:tcW w:w="1085" w:type="dxa"/>
                  <w:vAlign w:val="center"/>
                </w:tcPr>
                <w:p w14:paraId="4E0D2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rPr>
                    <w:t>夜间</w:t>
                  </w:r>
                </w:p>
              </w:tc>
            </w:tr>
            <w:tr w14:paraId="0455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94" w:type="dxa"/>
                  <w:vAlign w:val="center"/>
                </w:tcPr>
                <w:p w14:paraId="58CF1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lang w:val="en-US" w:eastAsia="zh-CN"/>
                    </w:rPr>
                  </w:pPr>
                  <w:r>
                    <w:rPr>
                      <w:rFonts w:hint="eastAsia" w:hAnsi="宋体"/>
                      <w:color w:val="auto"/>
                      <w:highlight w:val="none"/>
                      <w:lang w:val="en-US" w:eastAsia="zh-CN"/>
                    </w:rPr>
                    <w:t>1#</w:t>
                  </w:r>
                  <w:r>
                    <w:rPr>
                      <w:rFonts w:hint="eastAsia" w:ascii="Times New Roman" w:hAnsi="Times New Roman" w:eastAsia="宋体" w:cs="Times New Roman"/>
                      <w:b w:val="0"/>
                      <w:bCs w:val="0"/>
                      <w:color w:val="auto"/>
                      <w:sz w:val="21"/>
                      <w:szCs w:val="21"/>
                      <w:u w:val="none"/>
                      <w:vertAlign w:val="baseline"/>
                      <w:lang w:val="en-US" w:eastAsia="zh-CN"/>
                    </w:rPr>
                    <w:t>西侧住户</w:t>
                  </w:r>
                </w:p>
              </w:tc>
              <w:tc>
                <w:tcPr>
                  <w:tcW w:w="1084" w:type="dxa"/>
                  <w:vAlign w:val="center"/>
                </w:tcPr>
                <w:p w14:paraId="020055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highlight w:val="none"/>
                      <w:lang w:val="en-US" w:eastAsia="zh-CN"/>
                    </w:rPr>
                    <w:t>54</w:t>
                  </w:r>
                </w:p>
              </w:tc>
              <w:tc>
                <w:tcPr>
                  <w:tcW w:w="1084" w:type="dxa"/>
                  <w:vAlign w:val="center"/>
                </w:tcPr>
                <w:p w14:paraId="3DEE455B">
                  <w:pPr>
                    <w:keepNext w:val="0"/>
                    <w:keepLines w:val="0"/>
                    <w:widowControl/>
                    <w:suppressLineNumbers w:val="0"/>
                    <w:spacing w:before="0" w:beforeAutospacing="0" w:after="0" w:afterAutospacing="0"/>
                    <w:ind w:left="0" w:right="0"/>
                    <w:jc w:val="center"/>
                    <w:textAlignment w:val="center"/>
                    <w:rPr>
                      <w:rFonts w:hint="default"/>
                      <w:color w:val="auto"/>
                      <w:lang w:val="en-US"/>
                    </w:rPr>
                  </w:pPr>
                  <w:r>
                    <w:rPr>
                      <w:rFonts w:hint="eastAsia" w:ascii="Times New Roman" w:hAnsi="Times New Roman" w:eastAsia="宋体" w:cs="Times New Roman"/>
                      <w:color w:val="auto"/>
                      <w:szCs w:val="21"/>
                      <w:highlight w:val="none"/>
                      <w:lang w:val="en-US" w:eastAsia="zh-CN"/>
                    </w:rPr>
                    <w:t>44</w:t>
                  </w:r>
                </w:p>
              </w:tc>
              <w:tc>
                <w:tcPr>
                  <w:tcW w:w="1084" w:type="dxa"/>
                  <w:vAlign w:val="center"/>
                </w:tcPr>
                <w:p w14:paraId="122C8E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Cs w:val="21"/>
                      <w:lang w:val="en-US" w:eastAsia="zh-CN"/>
                    </w:rPr>
                  </w:pPr>
                  <w:r>
                    <w:rPr>
                      <w:rFonts w:hint="eastAsia" w:ascii="Times New Roman" w:hAnsi="Times New Roman" w:eastAsia="宋体" w:cs="Times New Roman"/>
                      <w:color w:val="auto"/>
                      <w:szCs w:val="21"/>
                      <w:highlight w:val="none"/>
                      <w:lang w:val="en-US" w:eastAsia="zh-CN"/>
                    </w:rPr>
                    <w:t>52</w:t>
                  </w:r>
                </w:p>
              </w:tc>
              <w:tc>
                <w:tcPr>
                  <w:tcW w:w="1084" w:type="dxa"/>
                  <w:vAlign w:val="center"/>
                </w:tcPr>
                <w:p w14:paraId="64C12793">
                  <w:pPr>
                    <w:keepNext w:val="0"/>
                    <w:keepLines w:val="0"/>
                    <w:widowControl/>
                    <w:suppressLineNumbers w:val="0"/>
                    <w:spacing w:before="0" w:beforeAutospacing="0" w:after="0" w:afterAutospacing="0"/>
                    <w:ind w:left="0" w:right="0"/>
                    <w:jc w:val="center"/>
                    <w:textAlignment w:val="center"/>
                    <w:rPr>
                      <w:rFonts w:hint="default"/>
                      <w:color w:val="auto"/>
                      <w:lang w:val="en-US"/>
                    </w:rPr>
                  </w:pPr>
                  <w:r>
                    <w:rPr>
                      <w:rFonts w:hint="eastAsia" w:ascii="Times New Roman" w:hAnsi="Times New Roman" w:eastAsia="宋体" w:cs="Times New Roman"/>
                      <w:color w:val="auto"/>
                      <w:szCs w:val="21"/>
                      <w:highlight w:val="none"/>
                      <w:lang w:val="en-US" w:eastAsia="zh-CN"/>
                    </w:rPr>
                    <w:t>44</w:t>
                  </w:r>
                </w:p>
              </w:tc>
              <w:tc>
                <w:tcPr>
                  <w:tcW w:w="1084" w:type="dxa"/>
                  <w:vAlign w:val="center"/>
                </w:tcPr>
                <w:p w14:paraId="0F532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60</w:t>
                  </w:r>
                </w:p>
              </w:tc>
              <w:tc>
                <w:tcPr>
                  <w:tcW w:w="1085" w:type="dxa"/>
                  <w:vAlign w:val="center"/>
                </w:tcPr>
                <w:p w14:paraId="600897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50</w:t>
                  </w:r>
                </w:p>
              </w:tc>
            </w:tr>
          </w:tbl>
          <w:p w14:paraId="6193B9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 w:val="24"/>
                <w:szCs w:val="21"/>
                <w:lang w:val="en-US" w:eastAsia="zh-CN"/>
              </w:rPr>
            </w:pPr>
            <w:r>
              <w:rPr>
                <w:rFonts w:hint="eastAsia" w:cs="Times New Roman"/>
                <w:color w:val="auto"/>
                <w:kern w:val="2"/>
                <w:sz w:val="24"/>
                <w:szCs w:val="24"/>
                <w:lang w:val="en-US" w:eastAsia="zh-CN" w:bidi="ar-SA"/>
              </w:rPr>
              <w:t>根据监测报告，</w:t>
            </w:r>
            <w:r>
              <w:rPr>
                <w:rFonts w:hint="eastAsia" w:ascii="Times New Roman" w:hAnsi="Times New Roman" w:eastAsia="宋体" w:cs="Times New Roman"/>
                <w:b w:val="0"/>
                <w:bCs w:val="0"/>
                <w:color w:val="auto"/>
                <w:sz w:val="24"/>
                <w:szCs w:val="24"/>
                <w:u w:val="none"/>
                <w:vertAlign w:val="baseline"/>
                <w:lang w:val="en-US" w:eastAsia="zh-CN"/>
              </w:rPr>
              <w:t>西侧住户</w:t>
            </w:r>
            <w:r>
              <w:rPr>
                <w:rFonts w:hint="eastAsia" w:cs="Times New Roman"/>
                <w:color w:val="auto"/>
                <w:kern w:val="2"/>
                <w:sz w:val="24"/>
                <w:szCs w:val="24"/>
                <w:lang w:val="en-US" w:eastAsia="zh-CN" w:bidi="ar-SA"/>
              </w:rPr>
              <w:t>敏感点昼间噪声值在52dB(A)~54dB(A)之间，夜间44dB(A)之间</w:t>
            </w:r>
            <w:r>
              <w:rPr>
                <w:rFonts w:hint="default" w:ascii="Times New Roman" w:hAnsi="Times New Roman"/>
                <w:color w:val="auto"/>
                <w:sz w:val="24"/>
                <w:highlight w:val="none"/>
              </w:rPr>
              <w:t>。</w:t>
            </w:r>
            <w:r>
              <w:rPr>
                <w:rFonts w:hint="eastAsia"/>
                <w:color w:val="auto"/>
                <w:sz w:val="24"/>
                <w:highlight w:val="none"/>
                <w:lang w:eastAsia="zh-CN"/>
              </w:rPr>
              <w:t>可以满足《声环境质量标准》（</w:t>
            </w:r>
            <w:r>
              <w:rPr>
                <w:rFonts w:hint="eastAsia"/>
                <w:color w:val="auto"/>
                <w:sz w:val="24"/>
                <w:highlight w:val="none"/>
                <w:lang w:val="en-US" w:eastAsia="zh-CN"/>
              </w:rPr>
              <w:t>GB3096-2008</w:t>
            </w:r>
            <w:r>
              <w:rPr>
                <w:rFonts w:hint="eastAsia"/>
                <w:color w:val="auto"/>
                <w:sz w:val="24"/>
                <w:highlight w:val="none"/>
                <w:lang w:eastAsia="zh-CN"/>
              </w:rPr>
              <w:t>）</w:t>
            </w:r>
            <w:r>
              <w:rPr>
                <w:rFonts w:hint="eastAsia"/>
                <w:color w:val="auto"/>
                <w:sz w:val="24"/>
                <w:highlight w:val="none"/>
                <w:lang w:val="en-US" w:eastAsia="zh-CN"/>
              </w:rPr>
              <w:t>2类区标准要求。</w:t>
            </w:r>
          </w:p>
        </w:tc>
      </w:tr>
      <w:tr w14:paraId="0B74E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noWrap w:val="0"/>
            <w:vAlign w:val="center"/>
          </w:tcPr>
          <w:p w14:paraId="4213761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环境</w:t>
            </w:r>
          </w:p>
          <w:p w14:paraId="091E539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保护</w:t>
            </w:r>
          </w:p>
          <w:p w14:paraId="46BA96D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目标</w:t>
            </w:r>
          </w:p>
        </w:tc>
        <w:tc>
          <w:tcPr>
            <w:tcW w:w="4513" w:type="pct"/>
            <w:noWrap w:val="0"/>
            <w:vAlign w:val="top"/>
          </w:tcPr>
          <w:p w14:paraId="58C0131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val="en-US" w:eastAsia="zh-CN"/>
              </w:rPr>
            </w:pPr>
            <w:r>
              <w:rPr>
                <w:rFonts w:hint="default"/>
                <w:color w:val="auto"/>
                <w:kern w:val="0"/>
                <w:sz w:val="24"/>
                <w:szCs w:val="21"/>
              </w:rPr>
              <w:t>本项目</w:t>
            </w:r>
            <w:r>
              <w:rPr>
                <w:rFonts w:hint="eastAsia"/>
                <w:color w:val="auto"/>
                <w:kern w:val="0"/>
                <w:sz w:val="24"/>
                <w:szCs w:val="21"/>
              </w:rPr>
              <w:t>位于</w:t>
            </w:r>
            <w:r>
              <w:rPr>
                <w:rFonts w:hint="eastAsia" w:eastAsia="宋体"/>
                <w:color w:val="auto"/>
                <w:sz w:val="24"/>
                <w:lang w:val="en-US" w:eastAsia="zh-CN"/>
              </w:rPr>
              <w:t>伊春市伊美区101号（原乌马河红旗贮木场）</w:t>
            </w:r>
            <w:r>
              <w:rPr>
                <w:rFonts w:hint="eastAsia"/>
                <w:bCs/>
                <w:color w:val="auto"/>
                <w:kern w:val="0"/>
                <w:sz w:val="24"/>
                <w:szCs w:val="21"/>
              </w:rPr>
              <w:t>，</w:t>
            </w:r>
            <w:r>
              <w:rPr>
                <w:rFonts w:hint="default" w:ascii="Times New Roman" w:hAnsi="Times New Roman" w:eastAsia="宋体" w:cs="Times New Roman"/>
                <w:color w:val="auto"/>
                <w:sz w:val="24"/>
                <w:highlight w:val="none"/>
              </w:rPr>
              <w:t>项目选址不</w:t>
            </w:r>
            <w:r>
              <w:rPr>
                <w:rFonts w:hint="eastAsia" w:cs="Times New Roman"/>
                <w:color w:val="auto"/>
                <w:sz w:val="24"/>
                <w:highlight w:val="none"/>
                <w:lang w:eastAsia="zh-CN"/>
              </w:rPr>
              <w:t>位于</w:t>
            </w:r>
            <w:r>
              <w:rPr>
                <w:rFonts w:hint="default" w:ascii="Times New Roman" w:hAnsi="Times New Roman" w:eastAsia="宋体" w:cs="Times New Roman"/>
                <w:color w:val="auto"/>
                <w:sz w:val="24"/>
                <w:highlight w:val="none"/>
              </w:rPr>
              <w:t>生活饮用水源</w:t>
            </w:r>
            <w:r>
              <w:rPr>
                <w:rFonts w:hint="eastAsia" w:ascii="Times New Roman" w:hAnsi="Times New Roman" w:eastAsia="宋体" w:cs="Times New Roman"/>
                <w:color w:val="auto"/>
                <w:sz w:val="24"/>
                <w:highlight w:val="none"/>
                <w:lang w:eastAsia="zh-CN"/>
              </w:rPr>
              <w:t>保护区</w:t>
            </w:r>
            <w:r>
              <w:rPr>
                <w:rFonts w:hint="default" w:ascii="Times New Roman" w:hAnsi="Times New Roman" w:eastAsia="宋体" w:cs="Times New Roman"/>
                <w:color w:val="auto"/>
                <w:sz w:val="24"/>
                <w:highlight w:val="none"/>
              </w:rPr>
              <w:t>、风景名胜区、温泉疗养区、水产养殖区、基本农田保护区、自然保护区等需要特殊保护区域。</w:t>
            </w:r>
            <w:r>
              <w:rPr>
                <w:rFonts w:hint="default" w:ascii="Times New Roman" w:hAnsi="Times New Roman" w:eastAsia="宋体" w:cs="Times New Roman"/>
                <w:color w:val="auto"/>
                <w:sz w:val="24"/>
                <w:highlight w:val="none"/>
                <w:lang w:val="en-US" w:eastAsia="zh-CN"/>
              </w:rPr>
              <w:t>根据</w:t>
            </w:r>
            <w:r>
              <w:rPr>
                <w:rFonts w:hint="eastAsia" w:cs="Times New Roman"/>
                <w:color w:val="auto"/>
                <w:sz w:val="24"/>
                <w:highlight w:val="none"/>
                <w:lang w:val="en-US" w:eastAsia="zh-CN"/>
              </w:rPr>
              <w:t>本项目的大气专项评价，环境空气评价范围为边长5km的矩形范围，本项目环境空气保护目标见表3-4。根据</w:t>
            </w:r>
            <w:r>
              <w:rPr>
                <w:rFonts w:hint="default" w:ascii="Times New Roman" w:hAnsi="Times New Roman" w:eastAsia="宋体" w:cs="Times New Roman"/>
                <w:color w:val="auto"/>
                <w:sz w:val="24"/>
                <w:highlight w:val="none"/>
                <w:lang w:val="en-US" w:eastAsia="zh-CN"/>
              </w:rPr>
              <w:t>《建设项目环境影响报告表编制技术指南（污染影响类）（试行）》中声环境敏感保护目标为厂界外50m范围内声环境保护目标</w:t>
            </w:r>
            <w:r>
              <w:rPr>
                <w:rFonts w:hint="eastAsia" w:cs="Times New Roman"/>
                <w:color w:val="auto"/>
                <w:sz w:val="24"/>
                <w:highlight w:val="none"/>
                <w:lang w:val="en-US" w:eastAsia="zh-CN"/>
              </w:rPr>
              <w:t>，50m范围内存在红旗村声环境保护目标</w:t>
            </w:r>
            <w:r>
              <w:rPr>
                <w:rFonts w:hint="default" w:ascii="Times New Roman" w:hAnsi="Times New Roman" w:eastAsia="宋体" w:cs="Times New Roman"/>
                <w:color w:val="auto"/>
                <w:sz w:val="24"/>
                <w:highlight w:val="none"/>
                <w:lang w:val="en-US" w:eastAsia="zh-CN"/>
              </w:rPr>
              <w:t>。</w:t>
            </w:r>
          </w:p>
          <w:p w14:paraId="6395CCD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根据《建设项目环境影响评价报告表编制技术指南》（污染影响类）及现状调查结果，厂界外500m范围内无地下水集中式饮用水水源和热水、矿泉水、温泉等特殊地下水资源，无地下水环境保护目标。</w:t>
            </w:r>
          </w:p>
          <w:p w14:paraId="490C187D">
            <w:pPr>
              <w:keepNext w:val="0"/>
              <w:keepLines w:val="0"/>
              <w:suppressLineNumbers w:val="0"/>
              <w:spacing w:before="0" w:beforeAutospacing="0" w:after="0" w:afterAutospacing="0" w:line="360" w:lineRule="auto"/>
              <w:ind w:left="0" w:right="0" w:firstLine="480" w:firstLineChars="200"/>
              <w:rPr>
                <w:rFonts w:hint="default"/>
                <w:color w:val="auto"/>
              </w:rPr>
            </w:pPr>
            <w:r>
              <w:rPr>
                <w:rFonts w:hint="default" w:ascii="Times New Roman" w:hAnsi="Times New Roman" w:eastAsia="宋体" w:cs="Times New Roman"/>
                <w:color w:val="auto"/>
                <w:sz w:val="24"/>
                <w:highlight w:val="none"/>
                <w:lang w:val="en-US" w:eastAsia="zh-CN"/>
              </w:rPr>
              <w:t>因此确定</w:t>
            </w:r>
            <w:r>
              <w:rPr>
                <w:rFonts w:hint="default" w:ascii="Times New Roman" w:hAnsi="Times New Roman" w:eastAsia="宋体" w:cs="Times New Roman"/>
                <w:color w:val="auto"/>
                <w:sz w:val="24"/>
                <w:highlight w:val="none"/>
              </w:rPr>
              <w:t>敏感保护目标见下表3-</w:t>
            </w:r>
            <w:r>
              <w:rPr>
                <w:rFonts w:hint="eastAsia" w:cs="Times New Roman"/>
                <w:color w:val="auto"/>
                <w:sz w:val="24"/>
                <w:highlight w:val="none"/>
                <w:lang w:val="en-US" w:eastAsia="zh-CN"/>
              </w:rPr>
              <w:t>4和表3-5</w:t>
            </w:r>
            <w:r>
              <w:rPr>
                <w:rFonts w:hint="default" w:ascii="Times New Roman" w:hAnsi="Times New Roman" w:eastAsia="宋体" w:cs="Times New Roman"/>
                <w:color w:val="auto"/>
                <w:sz w:val="24"/>
                <w:highlight w:val="none"/>
              </w:rPr>
              <w:t>。</w:t>
            </w:r>
          </w:p>
          <w:p w14:paraId="05DCF3C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黑体" w:cs="Times New Roman"/>
                <w:b w:val="0"/>
                <w:bCs w:val="0"/>
                <w:color w:val="0000FF"/>
                <w:sz w:val="24"/>
              </w:rPr>
            </w:pPr>
            <w:r>
              <w:rPr>
                <w:rFonts w:hint="default" w:ascii="Times New Roman" w:hAnsi="Times New Roman" w:eastAsia="黑体" w:cs="Times New Roman"/>
                <w:b w:val="0"/>
                <w:bCs w:val="0"/>
                <w:color w:val="0000FF"/>
                <w:sz w:val="24"/>
              </w:rPr>
              <w:t>表3-</w:t>
            </w:r>
            <w:r>
              <w:rPr>
                <w:rFonts w:hint="eastAsia" w:eastAsia="黑体" w:cs="Times New Roman"/>
                <w:b w:val="0"/>
                <w:bCs w:val="0"/>
                <w:color w:val="0000FF"/>
                <w:sz w:val="24"/>
                <w:lang w:val="en-US" w:eastAsia="zh-CN"/>
              </w:rPr>
              <w:t>4</w:t>
            </w:r>
            <w:r>
              <w:rPr>
                <w:rFonts w:hint="default" w:ascii="Times New Roman" w:hAnsi="Times New Roman" w:eastAsia="黑体" w:cs="Times New Roman"/>
                <w:b w:val="0"/>
                <w:bCs w:val="0"/>
                <w:color w:val="0000FF"/>
                <w:sz w:val="24"/>
              </w:rPr>
              <w:t>本项目</w:t>
            </w:r>
            <w:r>
              <w:rPr>
                <w:rFonts w:hint="default" w:ascii="Times New Roman" w:hAnsi="Times New Roman" w:eastAsia="黑体" w:cs="Times New Roman"/>
                <w:b w:val="0"/>
                <w:bCs w:val="0"/>
                <w:color w:val="0000FF"/>
                <w:sz w:val="24"/>
                <w:lang w:eastAsia="zh-CN"/>
              </w:rPr>
              <w:t>环境空气敏感</w:t>
            </w:r>
            <w:r>
              <w:rPr>
                <w:rFonts w:hint="default" w:ascii="Times New Roman" w:hAnsi="Times New Roman" w:eastAsia="黑体" w:cs="Times New Roman"/>
                <w:b w:val="0"/>
                <w:bCs w:val="0"/>
                <w:color w:val="0000FF"/>
                <w:sz w:val="24"/>
              </w:rPr>
              <w:t>保护目标情况一览表</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310"/>
              <w:gridCol w:w="1379"/>
              <w:gridCol w:w="1009"/>
              <w:gridCol w:w="788"/>
              <w:gridCol w:w="1851"/>
              <w:gridCol w:w="665"/>
              <w:gridCol w:w="943"/>
            </w:tblGrid>
            <w:tr w14:paraId="26B0D4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restart"/>
                  <w:noWrap w:val="0"/>
                  <w:vAlign w:val="center"/>
                </w:tcPr>
                <w:p w14:paraId="689955C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名称</w:t>
                  </w:r>
                </w:p>
              </w:tc>
              <w:tc>
                <w:tcPr>
                  <w:tcW w:w="1492" w:type="pct"/>
                  <w:gridSpan w:val="2"/>
                  <w:noWrap w:val="0"/>
                  <w:vAlign w:val="center"/>
                </w:tcPr>
                <w:p w14:paraId="7673BCE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坐标/°</w:t>
                  </w:r>
                </w:p>
              </w:tc>
              <w:tc>
                <w:tcPr>
                  <w:tcW w:w="560" w:type="pct"/>
                  <w:vMerge w:val="restart"/>
                  <w:noWrap w:val="0"/>
                  <w:vAlign w:val="center"/>
                </w:tcPr>
                <w:p w14:paraId="1EB4C62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保护对象</w:t>
                  </w:r>
                </w:p>
              </w:tc>
              <w:tc>
                <w:tcPr>
                  <w:tcW w:w="437" w:type="pct"/>
                  <w:vMerge w:val="restart"/>
                  <w:noWrap w:val="0"/>
                  <w:vAlign w:val="center"/>
                </w:tcPr>
                <w:p w14:paraId="0F3E10F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保护内容</w:t>
                  </w:r>
                </w:p>
              </w:tc>
              <w:tc>
                <w:tcPr>
                  <w:tcW w:w="1027" w:type="pct"/>
                  <w:vMerge w:val="restart"/>
                  <w:noWrap w:val="0"/>
                  <w:vAlign w:val="center"/>
                </w:tcPr>
                <w:p w14:paraId="4BA76BA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环境功能区</w:t>
                  </w:r>
                </w:p>
              </w:tc>
              <w:tc>
                <w:tcPr>
                  <w:tcW w:w="369" w:type="pct"/>
                  <w:vMerge w:val="restart"/>
                  <w:noWrap w:val="0"/>
                  <w:vAlign w:val="center"/>
                </w:tcPr>
                <w:p w14:paraId="67D6C98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相对厂址方位</w:t>
                  </w:r>
                </w:p>
              </w:tc>
              <w:tc>
                <w:tcPr>
                  <w:tcW w:w="523" w:type="pct"/>
                  <w:vMerge w:val="restart"/>
                  <w:noWrap w:val="0"/>
                  <w:vAlign w:val="center"/>
                </w:tcPr>
                <w:p w14:paraId="41A2A1D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相对厂址距离/m</w:t>
                  </w:r>
                </w:p>
              </w:tc>
            </w:tr>
            <w:tr w14:paraId="6EF07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0170F37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727" w:type="pct"/>
                  <w:noWrap w:val="0"/>
                  <w:vAlign w:val="center"/>
                </w:tcPr>
                <w:p w14:paraId="7DA16C3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经度</w:t>
                  </w:r>
                </w:p>
              </w:tc>
              <w:tc>
                <w:tcPr>
                  <w:tcW w:w="765" w:type="pct"/>
                  <w:noWrap w:val="0"/>
                  <w:vAlign w:val="center"/>
                </w:tcPr>
                <w:p w14:paraId="408F5B4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纬度</w:t>
                  </w:r>
                </w:p>
              </w:tc>
              <w:tc>
                <w:tcPr>
                  <w:tcW w:w="560" w:type="pct"/>
                  <w:vMerge w:val="continue"/>
                  <w:noWrap w:val="0"/>
                  <w:vAlign w:val="center"/>
                </w:tcPr>
                <w:p w14:paraId="1AAAECE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437" w:type="pct"/>
                  <w:vMerge w:val="continue"/>
                  <w:noWrap w:val="0"/>
                  <w:vAlign w:val="center"/>
                </w:tcPr>
                <w:p w14:paraId="1BD66A0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1027" w:type="pct"/>
                  <w:vMerge w:val="continue"/>
                  <w:noWrap w:val="0"/>
                  <w:vAlign w:val="center"/>
                </w:tcPr>
                <w:p w14:paraId="51D95BC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369" w:type="pct"/>
                  <w:vMerge w:val="continue"/>
                  <w:noWrap w:val="0"/>
                  <w:vAlign w:val="center"/>
                </w:tcPr>
                <w:p w14:paraId="06C4170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523" w:type="pct"/>
                  <w:vMerge w:val="continue"/>
                  <w:noWrap w:val="0"/>
                  <w:vAlign w:val="center"/>
                </w:tcPr>
                <w:p w14:paraId="0CFAC2F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r>
            <w:tr w14:paraId="66051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88" w:type="pct"/>
                  <w:vMerge w:val="restart"/>
                  <w:noWrap w:val="0"/>
                  <w:vAlign w:val="center"/>
                </w:tcPr>
                <w:p w14:paraId="3CC3D53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eastAsia"/>
                      <w:bCs/>
                      <w:color w:val="0000FF"/>
                      <w:sz w:val="21"/>
                      <w:szCs w:val="21"/>
                      <w:highlight w:val="none"/>
                      <w:lang w:val="en-US" w:eastAsia="zh-CN"/>
                    </w:rPr>
                    <w:t>红旗村</w:t>
                  </w:r>
                </w:p>
              </w:tc>
              <w:tc>
                <w:tcPr>
                  <w:tcW w:w="727" w:type="pct"/>
                  <w:vMerge w:val="restart"/>
                  <w:noWrap w:val="0"/>
                  <w:vAlign w:val="center"/>
                </w:tcPr>
                <w:p w14:paraId="0FFDB49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128.950653°</w:t>
                  </w:r>
                </w:p>
              </w:tc>
              <w:tc>
                <w:tcPr>
                  <w:tcW w:w="765" w:type="pct"/>
                  <w:vMerge w:val="restart"/>
                  <w:noWrap w:val="0"/>
                  <w:vAlign w:val="center"/>
                </w:tcPr>
                <w:p w14:paraId="45297F1C">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47.699826°</w:t>
                  </w:r>
                </w:p>
              </w:tc>
              <w:tc>
                <w:tcPr>
                  <w:tcW w:w="560" w:type="pct"/>
                  <w:vMerge w:val="restart"/>
                  <w:noWrap w:val="0"/>
                  <w:vAlign w:val="center"/>
                </w:tcPr>
                <w:p w14:paraId="5350A04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居民</w:t>
                  </w:r>
                </w:p>
              </w:tc>
              <w:tc>
                <w:tcPr>
                  <w:tcW w:w="437" w:type="pct"/>
                  <w:vMerge w:val="restart"/>
                  <w:noWrap w:val="0"/>
                  <w:vAlign w:val="center"/>
                </w:tcPr>
                <w:p w14:paraId="5875DB4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大气环境</w:t>
                  </w:r>
                </w:p>
              </w:tc>
              <w:tc>
                <w:tcPr>
                  <w:tcW w:w="1027" w:type="pct"/>
                  <w:vMerge w:val="restart"/>
                  <w:noWrap w:val="0"/>
                  <w:vAlign w:val="center"/>
                </w:tcPr>
                <w:p w14:paraId="4AB7CDD3">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color w:val="0000FF"/>
                      <w:sz w:val="21"/>
                      <w:szCs w:val="21"/>
                      <w:lang w:val="en-US" w:eastAsia="zh-CN"/>
                    </w:rPr>
                  </w:pPr>
                  <w:r>
                    <w:rPr>
                      <w:rFonts w:hint="default" w:ascii="Times New Roman"/>
                      <w:color w:val="0000FF"/>
                      <w:sz w:val="21"/>
                      <w:szCs w:val="21"/>
                      <w:highlight w:val="none"/>
                    </w:rPr>
                    <w:t>《环境空气质量标准》（GB3095-20</w:t>
                  </w:r>
                  <w:r>
                    <w:rPr>
                      <w:rFonts w:hint="eastAsia"/>
                      <w:color w:val="0000FF"/>
                      <w:sz w:val="21"/>
                      <w:szCs w:val="21"/>
                      <w:highlight w:val="none"/>
                      <w:lang w:val="en-US" w:eastAsia="zh-CN"/>
                    </w:rPr>
                    <w:t>26</w:t>
                  </w:r>
                  <w:r>
                    <w:rPr>
                      <w:rFonts w:hint="default" w:ascii="Times New Roman"/>
                      <w:color w:val="0000FF"/>
                      <w:sz w:val="21"/>
                      <w:szCs w:val="21"/>
                      <w:highlight w:val="none"/>
                    </w:rPr>
                    <w:t>）二类区</w:t>
                  </w:r>
                </w:p>
              </w:tc>
              <w:tc>
                <w:tcPr>
                  <w:tcW w:w="369" w:type="pct"/>
                  <w:noWrap w:val="0"/>
                  <w:vAlign w:val="center"/>
                </w:tcPr>
                <w:p w14:paraId="6B166BE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w:t>
                  </w:r>
                </w:p>
              </w:tc>
              <w:tc>
                <w:tcPr>
                  <w:tcW w:w="523" w:type="pct"/>
                  <w:noWrap w:val="0"/>
                  <w:vAlign w:val="center"/>
                </w:tcPr>
                <w:p w14:paraId="509F563B">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15</w:t>
                  </w:r>
                </w:p>
              </w:tc>
            </w:tr>
            <w:tr w14:paraId="491CB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23C1DC6A">
                  <w:pPr>
                    <w:keepNext w:val="0"/>
                    <w:keepLines w:val="0"/>
                    <w:suppressLineNumbers w:val="0"/>
                    <w:spacing w:before="0" w:beforeAutospacing="0" w:after="0" w:afterAutospacing="0" w:line="320" w:lineRule="exact"/>
                    <w:ind w:left="0" w:right="0"/>
                    <w:jc w:val="center"/>
                    <w:rPr>
                      <w:rFonts w:hint="eastAsia"/>
                      <w:bCs/>
                      <w:color w:val="0000FF"/>
                      <w:sz w:val="21"/>
                      <w:szCs w:val="21"/>
                      <w:highlight w:val="none"/>
                      <w:lang w:val="en-US" w:eastAsia="zh-CN"/>
                    </w:rPr>
                  </w:pPr>
                </w:p>
              </w:tc>
              <w:tc>
                <w:tcPr>
                  <w:tcW w:w="727" w:type="pct"/>
                  <w:vMerge w:val="continue"/>
                  <w:noWrap w:val="0"/>
                  <w:vAlign w:val="center"/>
                </w:tcPr>
                <w:p w14:paraId="3275B7F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765" w:type="pct"/>
                  <w:vMerge w:val="continue"/>
                  <w:noWrap w:val="0"/>
                  <w:vAlign w:val="center"/>
                </w:tcPr>
                <w:p w14:paraId="3BCC328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560" w:type="pct"/>
                  <w:vMerge w:val="continue"/>
                  <w:noWrap w:val="0"/>
                  <w:vAlign w:val="center"/>
                </w:tcPr>
                <w:p w14:paraId="5D82B85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437" w:type="pct"/>
                  <w:vMerge w:val="continue"/>
                  <w:noWrap w:val="0"/>
                  <w:vAlign w:val="center"/>
                </w:tcPr>
                <w:p w14:paraId="646351EB">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1027" w:type="pct"/>
                  <w:vMerge w:val="continue"/>
                  <w:noWrap w:val="0"/>
                  <w:vAlign w:val="center"/>
                </w:tcPr>
                <w:p w14:paraId="63186DA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369" w:type="pct"/>
                  <w:noWrap w:val="0"/>
                  <w:vAlign w:val="center"/>
                </w:tcPr>
                <w:p w14:paraId="50F85F3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eastAsia"/>
                      <w:color w:val="0000FF"/>
                      <w:sz w:val="21"/>
                      <w:szCs w:val="21"/>
                      <w:highlight w:val="none"/>
                      <w:lang w:val="en-US" w:eastAsia="zh-CN"/>
                    </w:rPr>
                    <w:t>N</w:t>
                  </w:r>
                </w:p>
              </w:tc>
              <w:tc>
                <w:tcPr>
                  <w:tcW w:w="523" w:type="pct"/>
                  <w:noWrap w:val="0"/>
                  <w:vAlign w:val="center"/>
                </w:tcPr>
                <w:p w14:paraId="253690B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740</w:t>
                  </w:r>
                </w:p>
              </w:tc>
            </w:tr>
            <w:tr w14:paraId="470BF3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07EE7401">
                  <w:pPr>
                    <w:keepNext w:val="0"/>
                    <w:keepLines w:val="0"/>
                    <w:suppressLineNumbers w:val="0"/>
                    <w:spacing w:before="0" w:beforeAutospacing="0" w:after="0" w:afterAutospacing="0" w:line="320" w:lineRule="exact"/>
                    <w:ind w:left="0" w:right="0"/>
                    <w:jc w:val="center"/>
                    <w:rPr>
                      <w:rFonts w:hint="eastAsia"/>
                      <w:bCs/>
                      <w:color w:val="0000FF"/>
                      <w:sz w:val="21"/>
                      <w:szCs w:val="21"/>
                      <w:highlight w:val="none"/>
                      <w:lang w:val="en-US" w:eastAsia="zh-CN"/>
                    </w:rPr>
                  </w:pPr>
                </w:p>
              </w:tc>
              <w:tc>
                <w:tcPr>
                  <w:tcW w:w="727" w:type="pct"/>
                  <w:vMerge w:val="continue"/>
                  <w:noWrap w:val="0"/>
                  <w:vAlign w:val="center"/>
                </w:tcPr>
                <w:p w14:paraId="60D6C51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765" w:type="pct"/>
                  <w:vMerge w:val="continue"/>
                  <w:noWrap w:val="0"/>
                  <w:vAlign w:val="center"/>
                </w:tcPr>
                <w:p w14:paraId="41CCFFE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560" w:type="pct"/>
                  <w:vMerge w:val="continue"/>
                  <w:noWrap w:val="0"/>
                  <w:vAlign w:val="center"/>
                </w:tcPr>
                <w:p w14:paraId="546A037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437" w:type="pct"/>
                  <w:vMerge w:val="continue"/>
                  <w:noWrap w:val="0"/>
                  <w:vAlign w:val="center"/>
                </w:tcPr>
                <w:p w14:paraId="36ED65C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1027" w:type="pct"/>
                  <w:vMerge w:val="continue"/>
                  <w:noWrap w:val="0"/>
                  <w:vAlign w:val="center"/>
                </w:tcPr>
                <w:p w14:paraId="65DF9205">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369" w:type="pct"/>
                  <w:noWrap w:val="0"/>
                  <w:vAlign w:val="center"/>
                </w:tcPr>
                <w:p w14:paraId="722CDF82">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0000FF"/>
                      <w:sz w:val="21"/>
                      <w:szCs w:val="21"/>
                      <w:lang w:val="en-US" w:eastAsia="zh-CN"/>
                    </w:rPr>
                  </w:pPr>
                  <w:r>
                    <w:rPr>
                      <w:rFonts w:hint="eastAsia" w:ascii="Times New Roman" w:eastAsia="宋体"/>
                      <w:color w:val="0000FF"/>
                      <w:sz w:val="21"/>
                      <w:szCs w:val="21"/>
                      <w:highlight w:val="none"/>
                      <w:lang w:val="en-US" w:eastAsia="zh-CN"/>
                    </w:rPr>
                    <w:t>E</w:t>
                  </w:r>
                </w:p>
              </w:tc>
              <w:tc>
                <w:tcPr>
                  <w:tcW w:w="523" w:type="pct"/>
                  <w:noWrap w:val="0"/>
                  <w:vAlign w:val="center"/>
                </w:tcPr>
                <w:p w14:paraId="144D4C8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260</w:t>
                  </w:r>
                </w:p>
              </w:tc>
            </w:tr>
            <w:tr w14:paraId="6F18B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77940BF2">
                  <w:pPr>
                    <w:keepNext w:val="0"/>
                    <w:keepLines w:val="0"/>
                    <w:suppressLineNumbers w:val="0"/>
                    <w:spacing w:before="0" w:beforeAutospacing="0" w:after="0" w:afterAutospacing="0" w:line="320" w:lineRule="exact"/>
                    <w:ind w:left="0" w:right="0"/>
                    <w:jc w:val="center"/>
                    <w:rPr>
                      <w:rFonts w:hint="eastAsia"/>
                      <w:bCs/>
                      <w:color w:val="0000FF"/>
                      <w:sz w:val="21"/>
                      <w:szCs w:val="21"/>
                      <w:highlight w:val="none"/>
                      <w:lang w:val="en-US" w:eastAsia="zh-CN"/>
                    </w:rPr>
                  </w:pPr>
                </w:p>
              </w:tc>
              <w:tc>
                <w:tcPr>
                  <w:tcW w:w="727" w:type="pct"/>
                  <w:vMerge w:val="continue"/>
                  <w:noWrap w:val="0"/>
                  <w:vAlign w:val="center"/>
                </w:tcPr>
                <w:p w14:paraId="00210D7C">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765" w:type="pct"/>
                  <w:vMerge w:val="continue"/>
                  <w:noWrap w:val="0"/>
                  <w:vAlign w:val="center"/>
                </w:tcPr>
                <w:p w14:paraId="1BBFA76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560" w:type="pct"/>
                  <w:vMerge w:val="continue"/>
                  <w:noWrap w:val="0"/>
                  <w:vAlign w:val="center"/>
                </w:tcPr>
                <w:p w14:paraId="7D4D971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437" w:type="pct"/>
                  <w:vMerge w:val="continue"/>
                  <w:noWrap w:val="0"/>
                  <w:vAlign w:val="center"/>
                </w:tcPr>
                <w:p w14:paraId="282387A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1027" w:type="pct"/>
                  <w:vMerge w:val="continue"/>
                  <w:noWrap w:val="0"/>
                  <w:vAlign w:val="center"/>
                </w:tcPr>
                <w:p w14:paraId="4DCFEF95">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p>
              </w:tc>
              <w:tc>
                <w:tcPr>
                  <w:tcW w:w="369" w:type="pct"/>
                  <w:noWrap w:val="0"/>
                  <w:vAlign w:val="center"/>
                </w:tcPr>
                <w:p w14:paraId="46A79015">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0000FF"/>
                      <w:sz w:val="21"/>
                      <w:szCs w:val="21"/>
                      <w:lang w:val="en-US" w:eastAsia="zh-CN"/>
                    </w:rPr>
                  </w:pPr>
                  <w:r>
                    <w:rPr>
                      <w:rFonts w:hint="eastAsia"/>
                      <w:color w:val="0000FF"/>
                      <w:sz w:val="21"/>
                      <w:szCs w:val="21"/>
                      <w:highlight w:val="none"/>
                      <w:lang w:val="en-US" w:eastAsia="zh-CN"/>
                    </w:rPr>
                    <w:t>S</w:t>
                  </w:r>
                </w:p>
              </w:tc>
              <w:tc>
                <w:tcPr>
                  <w:tcW w:w="523" w:type="pct"/>
                  <w:noWrap w:val="0"/>
                  <w:vAlign w:val="center"/>
                </w:tcPr>
                <w:p w14:paraId="5356ECB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450</w:t>
                  </w:r>
                </w:p>
              </w:tc>
            </w:tr>
          </w:tbl>
          <w:p w14:paraId="1FD926C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黑体" w:cs="Times New Roman"/>
                <w:b w:val="0"/>
                <w:bCs w:val="0"/>
                <w:color w:val="0000FF"/>
                <w:sz w:val="24"/>
              </w:rPr>
            </w:pPr>
            <w:r>
              <w:rPr>
                <w:rFonts w:hint="default" w:ascii="Times New Roman" w:hAnsi="Times New Roman" w:eastAsia="黑体" w:cs="Times New Roman"/>
                <w:b w:val="0"/>
                <w:bCs w:val="0"/>
                <w:color w:val="0000FF"/>
                <w:sz w:val="24"/>
              </w:rPr>
              <w:t>表3-</w:t>
            </w:r>
            <w:r>
              <w:rPr>
                <w:rFonts w:hint="eastAsia" w:eastAsia="黑体" w:cs="Times New Roman"/>
                <w:b w:val="0"/>
                <w:bCs w:val="0"/>
                <w:color w:val="0000FF"/>
                <w:sz w:val="24"/>
                <w:lang w:val="en-US" w:eastAsia="zh-CN"/>
              </w:rPr>
              <w:t>5</w:t>
            </w:r>
            <w:r>
              <w:rPr>
                <w:rFonts w:hint="default" w:ascii="Times New Roman" w:hAnsi="Times New Roman" w:eastAsia="黑体" w:cs="Times New Roman"/>
                <w:b w:val="0"/>
                <w:bCs w:val="0"/>
                <w:color w:val="0000FF"/>
                <w:sz w:val="24"/>
              </w:rPr>
              <w:t>本项目</w:t>
            </w:r>
            <w:r>
              <w:rPr>
                <w:rFonts w:hint="eastAsia" w:ascii="Times New Roman" w:hAnsi="Times New Roman" w:eastAsia="黑体" w:cs="Times New Roman"/>
                <w:b w:val="0"/>
                <w:bCs w:val="0"/>
                <w:color w:val="0000FF"/>
                <w:sz w:val="24"/>
                <w:lang w:val="en-US" w:eastAsia="zh-CN"/>
              </w:rPr>
              <w:t>声</w:t>
            </w:r>
            <w:r>
              <w:rPr>
                <w:rFonts w:hint="default" w:ascii="Times New Roman" w:hAnsi="Times New Roman" w:eastAsia="黑体" w:cs="Times New Roman"/>
                <w:b w:val="0"/>
                <w:bCs w:val="0"/>
                <w:color w:val="0000FF"/>
                <w:sz w:val="24"/>
                <w:lang w:eastAsia="zh-CN"/>
              </w:rPr>
              <w:t>敏感</w:t>
            </w:r>
            <w:r>
              <w:rPr>
                <w:rFonts w:hint="default" w:ascii="Times New Roman" w:hAnsi="Times New Roman" w:eastAsia="黑体" w:cs="Times New Roman"/>
                <w:b w:val="0"/>
                <w:bCs w:val="0"/>
                <w:color w:val="0000FF"/>
                <w:sz w:val="24"/>
              </w:rPr>
              <w:t>保护目标情况一览表</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424"/>
              <w:gridCol w:w="1319"/>
              <w:gridCol w:w="959"/>
              <w:gridCol w:w="790"/>
              <w:gridCol w:w="1839"/>
              <w:gridCol w:w="666"/>
              <w:gridCol w:w="946"/>
            </w:tblGrid>
            <w:tr w14:paraId="173074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8" w:type="pct"/>
                  <w:vMerge w:val="restart"/>
                  <w:noWrap w:val="0"/>
                  <w:vAlign w:val="center"/>
                </w:tcPr>
                <w:p w14:paraId="5DE5BDE3">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名称</w:t>
                  </w:r>
                </w:p>
              </w:tc>
              <w:tc>
                <w:tcPr>
                  <w:tcW w:w="1651" w:type="pct"/>
                  <w:gridSpan w:val="2"/>
                  <w:noWrap w:val="0"/>
                  <w:vAlign w:val="center"/>
                </w:tcPr>
                <w:p w14:paraId="611B124D">
                  <w:pPr>
                    <w:keepNext w:val="0"/>
                    <w:keepLines w:val="0"/>
                    <w:suppressLineNumbers w:val="0"/>
                    <w:spacing w:before="0" w:beforeAutospacing="0" w:after="0" w:afterAutospacing="0" w:line="280" w:lineRule="exact"/>
                    <w:ind w:left="0" w:right="0" w:firstLine="400"/>
                    <w:jc w:val="center"/>
                    <w:textAlignment w:val="baseline"/>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坐标</w:t>
                  </w:r>
                  <w:r>
                    <w:rPr>
                      <w:rFonts w:hint="default" w:ascii="Times New Roman" w:hAnsi="Times New Roman" w:cs="Times New Roman"/>
                      <w:color w:val="0000FF"/>
                      <w:szCs w:val="21"/>
                    </w:rPr>
                    <w:t>/</w:t>
                  </w:r>
                  <w:r>
                    <w:rPr>
                      <w:rFonts w:hint="default" w:ascii="Times New Roman" w:hAnsi="Times New Roman" w:eastAsia="宋体" w:cs="Times New Roman"/>
                      <w:color w:val="0000FF"/>
                      <w:szCs w:val="21"/>
                    </w:rPr>
                    <w:t>°</w:t>
                  </w:r>
                </w:p>
              </w:tc>
              <w:tc>
                <w:tcPr>
                  <w:tcW w:w="640" w:type="pct"/>
                  <w:vMerge w:val="restart"/>
                  <w:noWrap w:val="0"/>
                  <w:vAlign w:val="center"/>
                </w:tcPr>
                <w:p w14:paraId="13D6DEAE">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保护对象</w:t>
                  </w:r>
                </w:p>
              </w:tc>
              <w:tc>
                <w:tcPr>
                  <w:tcW w:w="517" w:type="pct"/>
                  <w:vMerge w:val="restart"/>
                  <w:noWrap w:val="0"/>
                  <w:vAlign w:val="center"/>
                </w:tcPr>
                <w:p w14:paraId="280A5FD2">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保护内容</w:t>
                  </w:r>
                </w:p>
              </w:tc>
              <w:tc>
                <w:tcPr>
                  <w:tcW w:w="470" w:type="pct"/>
                  <w:vMerge w:val="restart"/>
                  <w:noWrap w:val="0"/>
                  <w:vAlign w:val="center"/>
                </w:tcPr>
                <w:p w14:paraId="3179975A">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环境功能区</w:t>
                  </w:r>
                </w:p>
              </w:tc>
              <w:tc>
                <w:tcPr>
                  <w:tcW w:w="448" w:type="pct"/>
                  <w:vMerge w:val="restart"/>
                  <w:noWrap w:val="0"/>
                  <w:vAlign w:val="center"/>
                </w:tcPr>
                <w:p w14:paraId="0150497C">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相对厂址方位</w:t>
                  </w:r>
                </w:p>
              </w:tc>
              <w:tc>
                <w:tcPr>
                  <w:tcW w:w="603" w:type="pct"/>
                  <w:vMerge w:val="restart"/>
                  <w:noWrap w:val="0"/>
                  <w:vAlign w:val="center"/>
                </w:tcPr>
                <w:p w14:paraId="41FFA26A">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相对厂址距离</w:t>
                  </w:r>
                  <w:r>
                    <w:rPr>
                      <w:rFonts w:hint="default" w:ascii="Times New Roman" w:hAnsi="Times New Roman" w:cs="Times New Roman"/>
                      <w:color w:val="0000FF"/>
                      <w:szCs w:val="21"/>
                    </w:rPr>
                    <w:t>/m</w:t>
                  </w:r>
                </w:p>
              </w:tc>
            </w:tr>
            <w:tr w14:paraId="7C279F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8" w:type="pct"/>
                  <w:vMerge w:val="continue"/>
                  <w:noWrap w:val="0"/>
                  <w:vAlign w:val="center"/>
                </w:tcPr>
                <w:p w14:paraId="70FB20EF">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c>
                <w:tcPr>
                  <w:tcW w:w="807" w:type="pct"/>
                  <w:noWrap w:val="0"/>
                  <w:vAlign w:val="center"/>
                </w:tcPr>
                <w:p w14:paraId="1627B06C">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经度</w:t>
                  </w:r>
                </w:p>
              </w:tc>
              <w:tc>
                <w:tcPr>
                  <w:tcW w:w="843" w:type="pct"/>
                  <w:noWrap w:val="0"/>
                  <w:vAlign w:val="center"/>
                </w:tcPr>
                <w:p w14:paraId="4E5178BF">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r>
                    <w:rPr>
                      <w:rFonts w:hint="default" w:ascii="Times New Roman" w:hAnsi="Times New Roman" w:eastAsia="宋体" w:cs="Times New Roman"/>
                      <w:color w:val="0000FF"/>
                      <w:szCs w:val="21"/>
                    </w:rPr>
                    <w:t>纬度</w:t>
                  </w:r>
                </w:p>
              </w:tc>
              <w:tc>
                <w:tcPr>
                  <w:tcW w:w="640" w:type="pct"/>
                  <w:vMerge w:val="continue"/>
                  <w:noWrap w:val="0"/>
                  <w:vAlign w:val="center"/>
                </w:tcPr>
                <w:p w14:paraId="4A244FA8">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c>
                <w:tcPr>
                  <w:tcW w:w="517" w:type="pct"/>
                  <w:vMerge w:val="continue"/>
                  <w:noWrap w:val="0"/>
                  <w:vAlign w:val="center"/>
                </w:tcPr>
                <w:p w14:paraId="6F8C9B95">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c>
                <w:tcPr>
                  <w:tcW w:w="470" w:type="pct"/>
                  <w:vMerge w:val="continue"/>
                  <w:noWrap w:val="0"/>
                  <w:vAlign w:val="center"/>
                </w:tcPr>
                <w:p w14:paraId="6E63AD79">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c>
                <w:tcPr>
                  <w:tcW w:w="448" w:type="pct"/>
                  <w:vMerge w:val="continue"/>
                  <w:noWrap w:val="0"/>
                  <w:vAlign w:val="center"/>
                </w:tcPr>
                <w:p w14:paraId="7D21AF37">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c>
                <w:tcPr>
                  <w:tcW w:w="603" w:type="pct"/>
                  <w:vMerge w:val="continue"/>
                  <w:noWrap w:val="0"/>
                  <w:vAlign w:val="center"/>
                </w:tcPr>
                <w:p w14:paraId="7A87CC28">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cs="Times New Roman"/>
                      <w:color w:val="0000FF"/>
                      <w:szCs w:val="21"/>
                    </w:rPr>
                  </w:pPr>
                </w:p>
              </w:tc>
            </w:tr>
            <w:tr w14:paraId="1D41D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68" w:type="pct"/>
                  <w:noWrap w:val="0"/>
                  <w:vAlign w:val="center"/>
                </w:tcPr>
                <w:p w14:paraId="32F81130">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szCs w:val="21"/>
                      <w:lang w:val="en-US" w:eastAsia="zh-CN"/>
                    </w:rPr>
                  </w:pPr>
                  <w:r>
                    <w:rPr>
                      <w:rFonts w:hint="eastAsia"/>
                      <w:bCs/>
                      <w:color w:val="0000FF"/>
                      <w:sz w:val="21"/>
                      <w:szCs w:val="21"/>
                      <w:highlight w:val="none"/>
                      <w:lang w:val="en-US" w:eastAsia="zh-CN"/>
                    </w:rPr>
                    <w:t>红旗村</w:t>
                  </w:r>
                </w:p>
              </w:tc>
              <w:tc>
                <w:tcPr>
                  <w:tcW w:w="807" w:type="pct"/>
                  <w:noWrap w:val="0"/>
                  <w:vAlign w:val="center"/>
                </w:tcPr>
                <w:p w14:paraId="1B2F064A">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128.950653°</w:t>
                  </w:r>
                </w:p>
              </w:tc>
              <w:tc>
                <w:tcPr>
                  <w:tcW w:w="843" w:type="pct"/>
                  <w:noWrap w:val="0"/>
                  <w:vAlign w:val="center"/>
                </w:tcPr>
                <w:p w14:paraId="2E67774C">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47.699826°</w:t>
                  </w:r>
                </w:p>
              </w:tc>
              <w:tc>
                <w:tcPr>
                  <w:tcW w:w="640" w:type="pct"/>
                  <w:noWrap w:val="0"/>
                  <w:vAlign w:val="center"/>
                </w:tcPr>
                <w:p w14:paraId="2EC10573">
                  <w:pPr>
                    <w:keepNext w:val="0"/>
                    <w:keepLines w:val="0"/>
                    <w:suppressLineNumbers w:val="0"/>
                    <w:spacing w:before="0" w:beforeAutospacing="0" w:after="0" w:afterAutospacing="0" w:line="280" w:lineRule="exact"/>
                    <w:ind w:left="0" w:right="0" w:firstLine="0" w:firstLineChars="0"/>
                    <w:jc w:val="center"/>
                    <w:textAlignment w:val="baseline"/>
                    <w:rPr>
                      <w:rFonts w:hint="eastAsia" w:ascii="Times New Roman" w:hAnsi="Times New Roman" w:eastAsia="宋体" w:cs="Times New Roman"/>
                      <w:color w:val="0000FF"/>
                      <w:szCs w:val="21"/>
                      <w:lang w:eastAsia="zh-CN"/>
                    </w:rPr>
                  </w:pPr>
                  <w:r>
                    <w:rPr>
                      <w:rFonts w:hint="eastAsia" w:cs="Times New Roman"/>
                      <w:color w:val="0000FF"/>
                      <w:szCs w:val="21"/>
                      <w:lang w:eastAsia="zh-CN"/>
                    </w:rPr>
                    <w:t>居民</w:t>
                  </w:r>
                </w:p>
              </w:tc>
              <w:tc>
                <w:tcPr>
                  <w:tcW w:w="517" w:type="pct"/>
                  <w:noWrap w:val="0"/>
                  <w:vAlign w:val="center"/>
                </w:tcPr>
                <w:p w14:paraId="031F6F0B">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lang w:val="en-US" w:eastAsia="zh-CN"/>
                    </w:rPr>
                  </w:pPr>
                  <w:r>
                    <w:rPr>
                      <w:rFonts w:hint="eastAsia" w:cs="Times New Roman"/>
                      <w:color w:val="0000FF"/>
                      <w:lang w:val="en-US" w:eastAsia="zh-CN"/>
                    </w:rPr>
                    <w:t>声环境</w:t>
                  </w:r>
                </w:p>
              </w:tc>
              <w:tc>
                <w:tcPr>
                  <w:tcW w:w="470" w:type="pct"/>
                  <w:noWrap w:val="0"/>
                  <w:vAlign w:val="center"/>
                </w:tcPr>
                <w:p w14:paraId="68E0D1B0">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rPr>
                  </w:pPr>
                  <w:r>
                    <w:rPr>
                      <w:rFonts w:hint="default" w:ascii="Times New Roman" w:hAnsi="Times New Roman" w:eastAsia="宋体" w:cs="Times New Roman"/>
                      <w:color w:val="0000FF"/>
                    </w:rPr>
                    <w:t>《声环境质量标准》（GB3096-2008）2类</w:t>
                  </w:r>
                </w:p>
              </w:tc>
              <w:tc>
                <w:tcPr>
                  <w:tcW w:w="448" w:type="pct"/>
                  <w:noWrap w:val="0"/>
                  <w:vAlign w:val="center"/>
                </w:tcPr>
                <w:p w14:paraId="14267D06">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W</w:t>
                  </w:r>
                </w:p>
              </w:tc>
              <w:tc>
                <w:tcPr>
                  <w:tcW w:w="603" w:type="pct"/>
                  <w:noWrap w:val="0"/>
                  <w:vAlign w:val="center"/>
                </w:tcPr>
                <w:p w14:paraId="22916F2A">
                  <w:pPr>
                    <w:keepNext w:val="0"/>
                    <w:keepLines w:val="0"/>
                    <w:suppressLineNumbers w:val="0"/>
                    <w:spacing w:before="0" w:beforeAutospacing="0" w:after="0" w:afterAutospacing="0" w:line="280" w:lineRule="exact"/>
                    <w:ind w:left="0" w:right="0" w:firstLine="0" w:firstLineChars="0"/>
                    <w:jc w:val="center"/>
                    <w:textAlignment w:val="baseline"/>
                    <w:rPr>
                      <w:rFonts w:hint="default" w:ascii="Times New Roman" w:hAnsi="Times New Roman" w:eastAsia="宋体" w:cs="Times New Roman"/>
                      <w:color w:val="0000FF"/>
                      <w:szCs w:val="21"/>
                      <w:lang w:val="en-US" w:eastAsia="zh-CN"/>
                    </w:rPr>
                  </w:pPr>
                  <w:r>
                    <w:rPr>
                      <w:rFonts w:hint="eastAsia" w:cs="Times New Roman"/>
                      <w:color w:val="0000FF"/>
                      <w:szCs w:val="21"/>
                      <w:lang w:val="en-US" w:eastAsia="zh-CN"/>
                    </w:rPr>
                    <w:t>15</w:t>
                  </w:r>
                </w:p>
              </w:tc>
            </w:tr>
          </w:tbl>
          <w:p w14:paraId="7B2FE647">
            <w:pPr>
              <w:pStyle w:val="33"/>
              <w:keepNext w:val="0"/>
              <w:keepLines w:val="0"/>
              <w:suppressLineNumbers w:val="0"/>
              <w:spacing w:beforeAutospacing="0" w:afterAutospacing="0"/>
              <w:ind w:left="0"/>
              <w:rPr>
                <w:rFonts w:hint="default"/>
                <w:color w:val="auto"/>
              </w:rPr>
            </w:pPr>
          </w:p>
          <w:p w14:paraId="486EB849">
            <w:pPr>
              <w:keepNext w:val="0"/>
              <w:keepLines w:val="0"/>
              <w:suppressLineNumbers w:val="0"/>
              <w:spacing w:before="0" w:beforeAutospacing="0" w:after="0" w:afterAutospacing="0"/>
              <w:ind w:left="0" w:right="0"/>
              <w:rPr>
                <w:rFonts w:hint="default"/>
                <w:color w:val="auto"/>
              </w:rPr>
            </w:pPr>
          </w:p>
          <w:p w14:paraId="0C3F2947">
            <w:pPr>
              <w:keepNext w:val="0"/>
              <w:keepLines w:val="0"/>
              <w:suppressLineNumbers w:val="0"/>
              <w:spacing w:before="0" w:beforeAutospacing="0" w:after="0" w:afterAutospacing="0"/>
              <w:ind w:left="0" w:right="0"/>
              <w:rPr>
                <w:rFonts w:hint="default"/>
                <w:color w:val="auto"/>
              </w:rPr>
            </w:pPr>
          </w:p>
        </w:tc>
      </w:tr>
      <w:tr w14:paraId="53A42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noWrap w:val="0"/>
            <w:tcMar>
              <w:left w:w="28" w:type="dxa"/>
              <w:right w:w="28" w:type="dxa"/>
            </w:tcMar>
            <w:vAlign w:val="center"/>
          </w:tcPr>
          <w:p w14:paraId="28CD45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污染</w:t>
            </w:r>
          </w:p>
          <w:p w14:paraId="1E3673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物排</w:t>
            </w:r>
          </w:p>
          <w:p w14:paraId="78D0843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放控</w:t>
            </w:r>
          </w:p>
          <w:p w14:paraId="0AF13D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制标</w:t>
            </w:r>
          </w:p>
          <w:p w14:paraId="4526659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准</w:t>
            </w:r>
          </w:p>
        </w:tc>
        <w:tc>
          <w:tcPr>
            <w:tcW w:w="4513" w:type="pct"/>
            <w:noWrap w:val="0"/>
            <w:vAlign w:val="center"/>
          </w:tcPr>
          <w:p w14:paraId="41B9188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1、废气</w:t>
            </w:r>
          </w:p>
          <w:p w14:paraId="006C2F03">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本项目矿粉罐颗粒物、生产设施</w:t>
            </w:r>
            <w:r>
              <w:rPr>
                <w:rFonts w:hint="eastAsia" w:ascii="Times New Roman" w:hAnsi="Times New Roman" w:eastAsia="宋体" w:cs="Times New Roman"/>
                <w:color w:val="auto"/>
                <w:sz w:val="24"/>
                <w:highlight w:val="none"/>
                <w:lang w:val="en-US" w:eastAsia="zh-CN"/>
              </w:rPr>
              <w:t>沥青烟等执行《大气污染物综合排放标准》（GB16297-1996）表2中二级标准限值；导热油锅炉烟气参考执行《锅炉大气污染物综合排放标准》（GB13271-2014）表2中燃油锅炉标准；烘干筒配套燃烧器执行《大气污染物综合排放标准》（GB16297-1996）表2中二级排放标准；厂界执行《大气污染物综合排放标准》（GB16297-1996）表2中无组织排放监控浓度限值标准。</w:t>
            </w:r>
          </w:p>
          <w:p w14:paraId="7C10F879">
            <w:pPr>
              <w:keepNext w:val="0"/>
              <w:keepLines w:val="0"/>
              <w:suppressLineNumbers w:val="0"/>
              <w:spacing w:before="0" w:beforeAutospacing="0" w:after="0" w:afterAutospacing="0" w:line="500" w:lineRule="exact"/>
              <w:ind w:left="0" w:right="0"/>
              <w:jc w:val="center"/>
              <w:rPr>
                <w:rFonts w:hint="eastAsia" w:eastAsia="宋体"/>
                <w:b/>
                <w:bCs/>
                <w:color w:val="auto"/>
                <w:sz w:val="24"/>
              </w:rPr>
            </w:pPr>
            <w:r>
              <w:rPr>
                <w:rFonts w:hint="default" w:eastAsia="宋体"/>
                <w:b/>
                <w:bCs/>
                <w:color w:val="auto"/>
                <w:sz w:val="24"/>
              </w:rPr>
              <w:t>表</w:t>
            </w:r>
            <w:r>
              <w:rPr>
                <w:rFonts w:hint="eastAsia" w:eastAsia="宋体"/>
                <w:b/>
                <w:bCs/>
                <w:color w:val="auto"/>
                <w:sz w:val="24"/>
                <w:lang w:val="en-US" w:eastAsia="zh-CN"/>
              </w:rPr>
              <w:t>3-</w:t>
            </w:r>
            <w:r>
              <w:rPr>
                <w:rFonts w:hint="eastAsia"/>
                <w:b/>
                <w:bCs/>
                <w:color w:val="auto"/>
                <w:sz w:val="24"/>
                <w:lang w:val="en-US" w:eastAsia="zh-CN"/>
              </w:rPr>
              <w:t>6</w:t>
            </w:r>
            <w:r>
              <w:rPr>
                <w:rFonts w:hint="default" w:eastAsia="宋体"/>
                <w:b/>
                <w:bCs/>
                <w:color w:val="auto"/>
                <w:sz w:val="24"/>
              </w:rPr>
              <w:t>本项目大气污染物排放标准</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68"/>
              <w:gridCol w:w="3321"/>
              <w:gridCol w:w="1416"/>
              <w:gridCol w:w="1177"/>
              <w:gridCol w:w="1189"/>
              <w:gridCol w:w="1334"/>
            </w:tblGrid>
            <w:tr w14:paraId="328754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exact"/>
                <w:jc w:val="center"/>
              </w:trPr>
              <w:tc>
                <w:tcPr>
                  <w:tcW w:w="315" w:type="pct"/>
                  <w:vMerge w:val="restart"/>
                  <w:noWrap w:val="0"/>
                  <w:vAlign w:val="center"/>
                </w:tcPr>
                <w:p w14:paraId="6349561F">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类</w:t>
                  </w:r>
                  <w:r>
                    <w:rPr>
                      <w:rFonts w:hint="default" w:eastAsia="宋体"/>
                      <w:color w:val="auto"/>
                      <w:szCs w:val="21"/>
                    </w:rPr>
                    <w:cr/>
                  </w:r>
                </w:p>
              </w:tc>
              <w:tc>
                <w:tcPr>
                  <w:tcW w:w="1843" w:type="pct"/>
                  <w:vMerge w:val="restart"/>
                  <w:noWrap w:val="0"/>
                  <w:vAlign w:val="center"/>
                </w:tcPr>
                <w:p w14:paraId="55A2B45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标准名称及级（类）别</w:t>
                  </w:r>
                </w:p>
              </w:tc>
              <w:tc>
                <w:tcPr>
                  <w:tcW w:w="786" w:type="pct"/>
                  <w:vMerge w:val="restart"/>
                  <w:noWrap w:val="0"/>
                  <w:vAlign w:val="center"/>
                </w:tcPr>
                <w:p w14:paraId="7CF25B87">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污染因子</w:t>
                  </w:r>
                </w:p>
              </w:tc>
              <w:tc>
                <w:tcPr>
                  <w:tcW w:w="2053" w:type="pct"/>
                  <w:gridSpan w:val="3"/>
                  <w:noWrap w:val="0"/>
                  <w:vAlign w:val="center"/>
                </w:tcPr>
                <w:p w14:paraId="2223E604">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标准值</w:t>
                  </w:r>
                </w:p>
              </w:tc>
            </w:tr>
            <w:tr w14:paraId="12BE0D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6" w:hRule="exact"/>
                <w:jc w:val="center"/>
              </w:trPr>
              <w:tc>
                <w:tcPr>
                  <w:tcW w:w="315" w:type="pct"/>
                  <w:vMerge w:val="continue"/>
                  <w:noWrap w:val="0"/>
                  <w:vAlign w:val="center"/>
                </w:tcPr>
                <w:p w14:paraId="49A50C95">
                  <w:pPr>
                    <w:keepNext w:val="0"/>
                    <w:keepLines w:val="0"/>
                    <w:suppressLineNumbers w:val="0"/>
                    <w:spacing w:before="0" w:beforeAutospacing="0" w:after="0" w:afterAutospacing="0" w:line="240" w:lineRule="exact"/>
                    <w:ind w:left="0" w:right="0"/>
                    <w:jc w:val="center"/>
                    <w:rPr>
                      <w:rFonts w:hint="default" w:eastAsia="宋体"/>
                      <w:color w:val="auto"/>
                    </w:rPr>
                  </w:pPr>
                </w:p>
              </w:tc>
              <w:tc>
                <w:tcPr>
                  <w:tcW w:w="1843" w:type="pct"/>
                  <w:vMerge w:val="continue"/>
                  <w:noWrap w:val="0"/>
                  <w:vAlign w:val="center"/>
                </w:tcPr>
                <w:p w14:paraId="6A9FD591">
                  <w:pPr>
                    <w:keepNext w:val="0"/>
                    <w:keepLines w:val="0"/>
                    <w:suppressLineNumbers w:val="0"/>
                    <w:spacing w:before="0" w:beforeAutospacing="0" w:after="0" w:afterAutospacing="0" w:line="240" w:lineRule="exact"/>
                    <w:ind w:left="0" w:right="0"/>
                    <w:jc w:val="center"/>
                    <w:rPr>
                      <w:rFonts w:hint="default" w:eastAsia="宋体"/>
                      <w:color w:val="auto"/>
                    </w:rPr>
                  </w:pPr>
                </w:p>
              </w:tc>
              <w:tc>
                <w:tcPr>
                  <w:tcW w:w="786" w:type="pct"/>
                  <w:vMerge w:val="continue"/>
                  <w:noWrap w:val="0"/>
                  <w:vAlign w:val="center"/>
                </w:tcPr>
                <w:p w14:paraId="16E19FB4">
                  <w:pPr>
                    <w:keepNext w:val="0"/>
                    <w:keepLines w:val="0"/>
                    <w:suppressLineNumbers w:val="0"/>
                    <w:spacing w:before="0" w:beforeAutospacing="0" w:after="0" w:afterAutospacing="0" w:line="240" w:lineRule="exact"/>
                    <w:ind w:left="0" w:right="0"/>
                    <w:jc w:val="center"/>
                    <w:rPr>
                      <w:rFonts w:hint="default" w:eastAsia="宋体"/>
                      <w:color w:val="auto"/>
                    </w:rPr>
                  </w:pPr>
                </w:p>
              </w:tc>
              <w:tc>
                <w:tcPr>
                  <w:tcW w:w="1313" w:type="pct"/>
                  <w:gridSpan w:val="2"/>
                  <w:noWrap w:val="0"/>
                  <w:vAlign w:val="center"/>
                </w:tcPr>
                <w:p w14:paraId="09E9BA8B">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单位</w:t>
                  </w:r>
                </w:p>
              </w:tc>
              <w:tc>
                <w:tcPr>
                  <w:tcW w:w="740" w:type="pct"/>
                  <w:noWrap w:val="0"/>
                  <w:vAlign w:val="center"/>
                </w:tcPr>
                <w:p w14:paraId="45BB281B">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数值</w:t>
                  </w:r>
                </w:p>
              </w:tc>
            </w:tr>
            <w:tr w14:paraId="1A9946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8" w:hRule="exact"/>
                <w:jc w:val="center"/>
              </w:trPr>
              <w:tc>
                <w:tcPr>
                  <w:tcW w:w="315" w:type="pct"/>
                  <w:vMerge w:val="restart"/>
                  <w:noWrap w:val="0"/>
                  <w:vAlign w:val="center"/>
                </w:tcPr>
                <w:p w14:paraId="7B49AABE">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干燥筒废气</w:t>
                  </w:r>
                </w:p>
              </w:tc>
              <w:tc>
                <w:tcPr>
                  <w:tcW w:w="1843" w:type="pct"/>
                  <w:vMerge w:val="restart"/>
                  <w:noWrap w:val="0"/>
                  <w:vAlign w:val="center"/>
                </w:tcPr>
                <w:p w14:paraId="1ADA5127">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bCs/>
                      <w:iCs/>
                      <w:color w:val="auto"/>
                      <w:spacing w:val="-10"/>
                      <w:szCs w:val="21"/>
                    </w:rPr>
                    <w:t>《大气污染物综合排放标准》（GB16297-1996）</w:t>
                  </w:r>
                </w:p>
              </w:tc>
              <w:tc>
                <w:tcPr>
                  <w:tcW w:w="786" w:type="pct"/>
                  <w:noWrap w:val="0"/>
                  <w:vAlign w:val="center"/>
                </w:tcPr>
                <w:p w14:paraId="3E77D934">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颗粒物</w:t>
                  </w:r>
                </w:p>
              </w:tc>
              <w:tc>
                <w:tcPr>
                  <w:tcW w:w="1313" w:type="pct"/>
                  <w:gridSpan w:val="2"/>
                  <w:noWrap w:val="0"/>
                  <w:vAlign w:val="center"/>
                </w:tcPr>
                <w:p w14:paraId="5B2A3687">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79B882E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12</w:t>
                  </w:r>
                  <w:r>
                    <w:rPr>
                      <w:rFonts w:hint="default" w:eastAsia="宋体"/>
                      <w:color w:val="auto"/>
                      <w:szCs w:val="21"/>
                    </w:rPr>
                    <w:t>0</w:t>
                  </w:r>
                </w:p>
              </w:tc>
            </w:tr>
            <w:tr w14:paraId="592ED3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6" w:hRule="exact"/>
                <w:jc w:val="center"/>
              </w:trPr>
              <w:tc>
                <w:tcPr>
                  <w:tcW w:w="315" w:type="pct"/>
                  <w:vMerge w:val="continue"/>
                  <w:noWrap w:val="0"/>
                  <w:vAlign w:val="center"/>
                </w:tcPr>
                <w:p w14:paraId="6B1D46C3">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65803601">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noWrap w:val="0"/>
                  <w:vAlign w:val="center"/>
                </w:tcPr>
                <w:p w14:paraId="3607B0B7">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SO</w:t>
                  </w:r>
                  <w:r>
                    <w:rPr>
                      <w:rFonts w:hint="default" w:eastAsia="宋体"/>
                      <w:color w:val="auto"/>
                      <w:szCs w:val="21"/>
                      <w:vertAlign w:val="subscript"/>
                    </w:rPr>
                    <w:t>2</w:t>
                  </w:r>
                </w:p>
              </w:tc>
              <w:tc>
                <w:tcPr>
                  <w:tcW w:w="1313" w:type="pct"/>
                  <w:gridSpan w:val="2"/>
                  <w:noWrap w:val="0"/>
                  <w:vAlign w:val="center"/>
                </w:tcPr>
                <w:p w14:paraId="47022208">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7ED7F39E">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550</w:t>
                  </w:r>
                </w:p>
              </w:tc>
            </w:tr>
            <w:tr w14:paraId="48000B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11" w:hRule="exact"/>
                <w:jc w:val="center"/>
              </w:trPr>
              <w:tc>
                <w:tcPr>
                  <w:tcW w:w="315" w:type="pct"/>
                  <w:vMerge w:val="continue"/>
                  <w:noWrap w:val="0"/>
                  <w:vAlign w:val="center"/>
                </w:tcPr>
                <w:p w14:paraId="6AB45EFA">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61B33879">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noWrap w:val="0"/>
                  <w:vAlign w:val="center"/>
                </w:tcPr>
                <w:p w14:paraId="57D19AFF">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氮氧化物</w:t>
                  </w:r>
                </w:p>
              </w:tc>
              <w:tc>
                <w:tcPr>
                  <w:tcW w:w="1313" w:type="pct"/>
                  <w:gridSpan w:val="2"/>
                  <w:noWrap w:val="0"/>
                  <w:vAlign w:val="center"/>
                </w:tcPr>
                <w:p w14:paraId="445FBDA2">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3F5E878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240</w:t>
                  </w:r>
                </w:p>
              </w:tc>
            </w:tr>
            <w:tr w14:paraId="6BA98E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3" w:hRule="exact"/>
                <w:jc w:val="center"/>
              </w:trPr>
              <w:tc>
                <w:tcPr>
                  <w:tcW w:w="315" w:type="pct"/>
                  <w:vMerge w:val="restart"/>
                  <w:noWrap w:val="0"/>
                  <w:vAlign w:val="center"/>
                </w:tcPr>
                <w:p w14:paraId="0672E00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导热油锅炉</w:t>
                  </w:r>
                </w:p>
              </w:tc>
              <w:tc>
                <w:tcPr>
                  <w:tcW w:w="1843" w:type="pct"/>
                  <w:vMerge w:val="restart"/>
                  <w:noWrap w:val="0"/>
                  <w:vAlign w:val="center"/>
                </w:tcPr>
                <w:p w14:paraId="6CE0B60A">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《锅炉大气污染物综合排放标准》（GB13271-2014）表2中燃</w:t>
                  </w:r>
                  <w:r>
                    <w:rPr>
                      <w:rFonts w:hint="eastAsia" w:eastAsia="宋体"/>
                      <w:color w:val="auto"/>
                      <w:szCs w:val="21"/>
                    </w:rPr>
                    <w:t>油</w:t>
                  </w:r>
                  <w:r>
                    <w:rPr>
                      <w:rFonts w:hint="default" w:eastAsia="宋体"/>
                      <w:color w:val="auto"/>
                      <w:szCs w:val="21"/>
                    </w:rPr>
                    <w:t>锅炉标准</w:t>
                  </w:r>
                </w:p>
              </w:tc>
              <w:tc>
                <w:tcPr>
                  <w:tcW w:w="786" w:type="pct"/>
                  <w:noWrap w:val="0"/>
                  <w:vAlign w:val="center"/>
                </w:tcPr>
                <w:p w14:paraId="12C544D1">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颗粒物</w:t>
                  </w:r>
                </w:p>
              </w:tc>
              <w:tc>
                <w:tcPr>
                  <w:tcW w:w="1313" w:type="pct"/>
                  <w:gridSpan w:val="2"/>
                  <w:noWrap w:val="0"/>
                  <w:vAlign w:val="center"/>
                </w:tcPr>
                <w:p w14:paraId="281628E8">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6970450A">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30</w:t>
                  </w:r>
                </w:p>
              </w:tc>
            </w:tr>
            <w:tr w14:paraId="60C2D3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exact"/>
                <w:jc w:val="center"/>
              </w:trPr>
              <w:tc>
                <w:tcPr>
                  <w:tcW w:w="315" w:type="pct"/>
                  <w:vMerge w:val="continue"/>
                  <w:noWrap w:val="0"/>
                  <w:vAlign w:val="center"/>
                </w:tcPr>
                <w:p w14:paraId="7C20742A">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49F57FFB">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noWrap w:val="0"/>
                  <w:vAlign w:val="center"/>
                </w:tcPr>
                <w:p w14:paraId="3C0150D3">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二氧化硫</w:t>
                  </w:r>
                </w:p>
              </w:tc>
              <w:tc>
                <w:tcPr>
                  <w:tcW w:w="1313" w:type="pct"/>
                  <w:gridSpan w:val="2"/>
                  <w:noWrap w:val="0"/>
                  <w:vAlign w:val="center"/>
                </w:tcPr>
                <w:p w14:paraId="51D85E62">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5210EFD4">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20</w:t>
                  </w:r>
                  <w:r>
                    <w:rPr>
                      <w:rFonts w:hint="default" w:eastAsia="宋体"/>
                      <w:color w:val="auto"/>
                      <w:szCs w:val="21"/>
                    </w:rPr>
                    <w:t>0</w:t>
                  </w:r>
                </w:p>
              </w:tc>
            </w:tr>
            <w:tr w14:paraId="737B1F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9" w:hRule="exact"/>
                <w:jc w:val="center"/>
              </w:trPr>
              <w:tc>
                <w:tcPr>
                  <w:tcW w:w="315" w:type="pct"/>
                  <w:vMerge w:val="continue"/>
                  <w:noWrap w:val="0"/>
                  <w:vAlign w:val="center"/>
                </w:tcPr>
                <w:p w14:paraId="612DA898">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2E0C1528">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noWrap w:val="0"/>
                  <w:vAlign w:val="center"/>
                </w:tcPr>
                <w:p w14:paraId="1679752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氮氧化物</w:t>
                  </w:r>
                </w:p>
              </w:tc>
              <w:tc>
                <w:tcPr>
                  <w:tcW w:w="1313" w:type="pct"/>
                  <w:gridSpan w:val="2"/>
                  <w:noWrap w:val="0"/>
                  <w:vAlign w:val="center"/>
                </w:tcPr>
                <w:p w14:paraId="452A872C">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27720D80">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25</w:t>
                  </w:r>
                  <w:r>
                    <w:rPr>
                      <w:rFonts w:hint="default" w:eastAsia="宋体"/>
                      <w:color w:val="auto"/>
                      <w:szCs w:val="21"/>
                    </w:rPr>
                    <w:t>0</w:t>
                  </w:r>
                </w:p>
              </w:tc>
            </w:tr>
            <w:tr w14:paraId="7FE042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9" w:hRule="exact"/>
                <w:jc w:val="center"/>
              </w:trPr>
              <w:tc>
                <w:tcPr>
                  <w:tcW w:w="315" w:type="pct"/>
                  <w:vMerge w:val="continue"/>
                  <w:noWrap w:val="0"/>
                  <w:vAlign w:val="center"/>
                </w:tcPr>
                <w:p w14:paraId="1D9A9B79">
                  <w:pPr>
                    <w:keepNext w:val="0"/>
                    <w:keepLines w:val="0"/>
                    <w:suppressLineNumbers w:val="0"/>
                    <w:spacing w:before="0" w:beforeAutospacing="0" w:after="0" w:afterAutospacing="0" w:line="240" w:lineRule="exact"/>
                    <w:ind w:left="0" w:right="0"/>
                    <w:jc w:val="center"/>
                    <w:rPr>
                      <w:rFonts w:hint="default"/>
                      <w:color w:val="auto"/>
                      <w:szCs w:val="21"/>
                    </w:rPr>
                  </w:pPr>
                </w:p>
              </w:tc>
              <w:tc>
                <w:tcPr>
                  <w:tcW w:w="1843" w:type="pct"/>
                  <w:vMerge w:val="continue"/>
                  <w:noWrap w:val="0"/>
                  <w:vAlign w:val="center"/>
                </w:tcPr>
                <w:p w14:paraId="1440E622">
                  <w:pPr>
                    <w:keepNext w:val="0"/>
                    <w:keepLines w:val="0"/>
                    <w:suppressLineNumbers w:val="0"/>
                    <w:spacing w:before="0" w:beforeAutospacing="0" w:after="0" w:afterAutospacing="0" w:line="240" w:lineRule="exact"/>
                    <w:ind w:left="0" w:right="0"/>
                    <w:jc w:val="center"/>
                    <w:rPr>
                      <w:rFonts w:hint="default"/>
                      <w:color w:val="auto"/>
                      <w:szCs w:val="21"/>
                    </w:rPr>
                  </w:pPr>
                </w:p>
              </w:tc>
              <w:tc>
                <w:tcPr>
                  <w:tcW w:w="786" w:type="pct"/>
                  <w:noWrap w:val="0"/>
                  <w:vAlign w:val="center"/>
                </w:tcPr>
                <w:p w14:paraId="346183F1">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烟气黑度</w:t>
                  </w:r>
                </w:p>
              </w:tc>
              <w:tc>
                <w:tcPr>
                  <w:tcW w:w="1313" w:type="pct"/>
                  <w:gridSpan w:val="2"/>
                  <w:noWrap w:val="0"/>
                  <w:vAlign w:val="center"/>
                </w:tcPr>
                <w:p w14:paraId="2BE113BF">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级</w:t>
                  </w:r>
                </w:p>
              </w:tc>
              <w:tc>
                <w:tcPr>
                  <w:tcW w:w="740" w:type="pct"/>
                  <w:noWrap w:val="0"/>
                  <w:vAlign w:val="center"/>
                </w:tcPr>
                <w:p w14:paraId="3A08C949">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≤1</w:t>
                  </w:r>
                </w:p>
              </w:tc>
            </w:tr>
            <w:tr w14:paraId="548EC2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restart"/>
                  <w:noWrap w:val="0"/>
                  <w:vAlign w:val="center"/>
                </w:tcPr>
                <w:p w14:paraId="41B2C359">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废气</w:t>
                  </w:r>
                </w:p>
              </w:tc>
              <w:tc>
                <w:tcPr>
                  <w:tcW w:w="1843" w:type="pct"/>
                  <w:vMerge w:val="restart"/>
                  <w:noWrap w:val="0"/>
                  <w:vAlign w:val="center"/>
                </w:tcPr>
                <w:p w14:paraId="409BDDB8">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bCs/>
                      <w:iCs/>
                      <w:color w:val="auto"/>
                      <w:spacing w:val="-10"/>
                      <w:szCs w:val="21"/>
                    </w:rPr>
                    <w:t>《大气污染物综合排放标准》（GB16297-1996）</w:t>
                  </w:r>
                </w:p>
              </w:tc>
              <w:tc>
                <w:tcPr>
                  <w:tcW w:w="786" w:type="pct"/>
                  <w:noWrap w:val="0"/>
                  <w:vAlign w:val="center"/>
                </w:tcPr>
                <w:p w14:paraId="7A48E34E">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无组织颗粒物</w:t>
                  </w:r>
                </w:p>
              </w:tc>
              <w:tc>
                <w:tcPr>
                  <w:tcW w:w="1313" w:type="pct"/>
                  <w:gridSpan w:val="2"/>
                  <w:noWrap w:val="0"/>
                  <w:vAlign w:val="center"/>
                </w:tcPr>
                <w:p w14:paraId="351ED93C">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noWrap w:val="0"/>
                  <w:vAlign w:val="center"/>
                </w:tcPr>
                <w:p w14:paraId="72023A8C">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1.0</w:t>
                  </w:r>
                </w:p>
              </w:tc>
            </w:tr>
            <w:tr w14:paraId="2C75A4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continue"/>
                  <w:noWrap w:val="0"/>
                  <w:vAlign w:val="center"/>
                </w:tcPr>
                <w:p w14:paraId="4FA78766">
                  <w:pPr>
                    <w:keepNext w:val="0"/>
                    <w:keepLines w:val="0"/>
                    <w:suppressLineNumbers w:val="0"/>
                    <w:spacing w:before="0" w:beforeAutospacing="0" w:after="0" w:afterAutospacing="0" w:line="240" w:lineRule="exact"/>
                    <w:ind w:left="0" w:right="0"/>
                    <w:jc w:val="center"/>
                    <w:rPr>
                      <w:rFonts w:hint="default"/>
                      <w:color w:val="auto"/>
                      <w:szCs w:val="21"/>
                    </w:rPr>
                  </w:pPr>
                </w:p>
              </w:tc>
              <w:tc>
                <w:tcPr>
                  <w:tcW w:w="1843" w:type="pct"/>
                  <w:vMerge w:val="continue"/>
                  <w:noWrap w:val="0"/>
                  <w:vAlign w:val="center"/>
                </w:tcPr>
                <w:p w14:paraId="513D98E2">
                  <w:pPr>
                    <w:keepNext w:val="0"/>
                    <w:keepLines w:val="0"/>
                    <w:suppressLineNumbers w:val="0"/>
                    <w:spacing w:before="0" w:beforeAutospacing="0" w:after="0" w:afterAutospacing="0" w:line="240" w:lineRule="exact"/>
                    <w:ind w:left="0" w:right="0"/>
                    <w:jc w:val="center"/>
                    <w:rPr>
                      <w:rFonts w:hint="default"/>
                      <w:bCs/>
                      <w:iCs/>
                      <w:color w:val="auto"/>
                      <w:spacing w:val="-10"/>
                      <w:szCs w:val="21"/>
                    </w:rPr>
                  </w:pPr>
                </w:p>
              </w:tc>
              <w:tc>
                <w:tcPr>
                  <w:tcW w:w="786" w:type="pct"/>
                  <w:noWrap w:val="0"/>
                  <w:vAlign w:val="center"/>
                </w:tcPr>
                <w:p w14:paraId="5BE5B809">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无组织</w:t>
                  </w:r>
                  <w:r>
                    <w:rPr>
                      <w:rFonts w:hint="default" w:eastAsia="宋体"/>
                      <w:color w:val="auto"/>
                      <w:szCs w:val="21"/>
                    </w:rPr>
                    <w:t>苯并[a]芘</w:t>
                  </w:r>
                </w:p>
              </w:tc>
              <w:tc>
                <w:tcPr>
                  <w:tcW w:w="1313" w:type="pct"/>
                  <w:gridSpan w:val="2"/>
                  <w:noWrap w:val="0"/>
                  <w:vAlign w:val="center"/>
                </w:tcPr>
                <w:p w14:paraId="226864A2">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eastAsia" w:eastAsia="宋体"/>
                      <w:color w:val="auto"/>
                      <w:szCs w:val="21"/>
                    </w:rPr>
                    <w:t>μ</w:t>
                  </w:r>
                  <w:r>
                    <w:rPr>
                      <w:rFonts w:hint="default" w:eastAsia="宋体"/>
                      <w:color w:val="auto"/>
                      <w:szCs w:val="21"/>
                    </w:rPr>
                    <w:t>g/m</w:t>
                  </w:r>
                  <w:r>
                    <w:rPr>
                      <w:rFonts w:hint="default" w:eastAsia="宋体"/>
                      <w:color w:val="auto"/>
                      <w:szCs w:val="21"/>
                      <w:vertAlign w:val="superscript"/>
                    </w:rPr>
                    <w:t>3</w:t>
                  </w:r>
                </w:p>
              </w:tc>
              <w:tc>
                <w:tcPr>
                  <w:tcW w:w="740" w:type="pct"/>
                  <w:noWrap w:val="0"/>
                  <w:vAlign w:val="center"/>
                </w:tcPr>
                <w:p w14:paraId="4FE4BC72">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0.</w:t>
                  </w:r>
                  <w:r>
                    <w:rPr>
                      <w:rFonts w:hint="eastAsia" w:eastAsia="宋体"/>
                      <w:color w:val="auto"/>
                      <w:szCs w:val="21"/>
                    </w:rPr>
                    <w:cr/>
                  </w:r>
                  <w:r>
                    <w:rPr>
                      <w:rFonts w:hint="eastAsia" w:eastAsia="宋体"/>
                      <w:color w:val="auto"/>
                      <w:szCs w:val="21"/>
                    </w:rPr>
                    <w:t>08</w:t>
                  </w:r>
                </w:p>
              </w:tc>
            </w:tr>
            <w:tr w14:paraId="679D1D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continue"/>
                  <w:noWrap w:val="0"/>
                  <w:vAlign w:val="center"/>
                </w:tcPr>
                <w:p w14:paraId="2B09474C">
                  <w:pPr>
                    <w:keepNext w:val="0"/>
                    <w:keepLines w:val="0"/>
                    <w:suppressLineNumbers w:val="0"/>
                    <w:spacing w:before="0" w:beforeAutospacing="0" w:after="0" w:afterAutospacing="0" w:line="240" w:lineRule="exact"/>
                    <w:ind w:left="0" w:right="0"/>
                    <w:jc w:val="center"/>
                    <w:rPr>
                      <w:rFonts w:hint="default"/>
                      <w:color w:val="auto"/>
                      <w:szCs w:val="21"/>
                    </w:rPr>
                  </w:pPr>
                </w:p>
              </w:tc>
              <w:tc>
                <w:tcPr>
                  <w:tcW w:w="1843" w:type="pct"/>
                  <w:vMerge w:val="continue"/>
                  <w:noWrap w:val="0"/>
                  <w:vAlign w:val="center"/>
                </w:tcPr>
                <w:p w14:paraId="187F7683">
                  <w:pPr>
                    <w:keepNext w:val="0"/>
                    <w:keepLines w:val="0"/>
                    <w:suppressLineNumbers w:val="0"/>
                    <w:spacing w:before="0" w:beforeAutospacing="0" w:after="0" w:afterAutospacing="0" w:line="240" w:lineRule="exact"/>
                    <w:ind w:left="0" w:right="0"/>
                    <w:jc w:val="center"/>
                    <w:rPr>
                      <w:rFonts w:hint="default"/>
                      <w:bCs/>
                      <w:iCs/>
                      <w:color w:val="auto"/>
                      <w:spacing w:val="-10"/>
                      <w:szCs w:val="21"/>
                    </w:rPr>
                  </w:pPr>
                </w:p>
              </w:tc>
              <w:tc>
                <w:tcPr>
                  <w:tcW w:w="786" w:type="pct"/>
                  <w:noWrap w:val="0"/>
                  <w:vAlign w:val="center"/>
                </w:tcPr>
                <w:p w14:paraId="5ACCFFF3">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无组织沥青烟</w:t>
                  </w:r>
                </w:p>
              </w:tc>
              <w:tc>
                <w:tcPr>
                  <w:tcW w:w="2053" w:type="pct"/>
                  <w:gridSpan w:val="3"/>
                  <w:noWrap w:val="0"/>
                  <w:vAlign w:val="center"/>
                </w:tcPr>
                <w:p w14:paraId="665A87A6">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eastAsia" w:eastAsia="宋体"/>
                      <w:color w:val="auto"/>
                      <w:szCs w:val="21"/>
                    </w:rPr>
                    <w:t>生产设备不得有明显无组织排放存在</w:t>
                  </w:r>
                </w:p>
              </w:tc>
            </w:tr>
            <w:tr w14:paraId="159476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85" w:hRule="exact"/>
                <w:jc w:val="center"/>
              </w:trPr>
              <w:tc>
                <w:tcPr>
                  <w:tcW w:w="315" w:type="pct"/>
                  <w:vMerge w:val="continue"/>
                  <w:noWrap w:val="0"/>
                  <w:vAlign w:val="center"/>
                </w:tcPr>
                <w:p w14:paraId="5C2222C8">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3A9B3ABE">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noWrap w:val="0"/>
                  <w:vAlign w:val="center"/>
                </w:tcPr>
                <w:p w14:paraId="5FD4DA12">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有组织颗粒物</w:t>
                  </w:r>
                </w:p>
              </w:tc>
              <w:tc>
                <w:tcPr>
                  <w:tcW w:w="653" w:type="pct"/>
                  <w:tcBorders>
                    <w:right w:val="single" w:color="auto" w:sz="4" w:space="0"/>
                  </w:tcBorders>
                  <w:noWrap w:val="0"/>
                  <w:vAlign w:val="center"/>
                </w:tcPr>
                <w:p w14:paraId="05A67C4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15m</w:t>
                  </w:r>
                </w:p>
                <w:p w14:paraId="0CFCF8DC">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排气筒</w:t>
                  </w:r>
                </w:p>
              </w:tc>
              <w:tc>
                <w:tcPr>
                  <w:tcW w:w="660" w:type="pct"/>
                  <w:tcBorders>
                    <w:left w:val="single" w:color="auto" w:sz="4" w:space="0"/>
                  </w:tcBorders>
                  <w:noWrap w:val="0"/>
                  <w:vAlign w:val="center"/>
                </w:tcPr>
                <w:p w14:paraId="0157B494">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default" w:eastAsia="宋体"/>
                      <w:color w:val="auto"/>
                      <w:szCs w:val="21"/>
                    </w:rPr>
                    <w:t>mg/m</w:t>
                  </w:r>
                  <w:r>
                    <w:rPr>
                      <w:rFonts w:hint="default" w:eastAsia="宋体"/>
                      <w:color w:val="auto"/>
                      <w:szCs w:val="21"/>
                      <w:vertAlign w:val="superscript"/>
                    </w:rPr>
                    <w:t>3</w:t>
                  </w:r>
                </w:p>
                <w:p w14:paraId="0801F080">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kg/h</w:t>
                  </w:r>
                </w:p>
              </w:tc>
              <w:tc>
                <w:tcPr>
                  <w:tcW w:w="740" w:type="pct"/>
                  <w:noWrap w:val="0"/>
                  <w:vAlign w:val="center"/>
                </w:tcPr>
                <w:p w14:paraId="45D48122">
                  <w:pPr>
                    <w:keepNext w:val="0"/>
                    <w:keepLines w:val="0"/>
                    <w:suppressLineNumbers w:val="0"/>
                    <w:spacing w:before="0" w:beforeAutospacing="0" w:after="0" w:afterAutospacing="0" w:line="240" w:lineRule="exact"/>
                    <w:ind w:left="0" w:right="0"/>
                    <w:jc w:val="center"/>
                    <w:rPr>
                      <w:rFonts w:hint="eastAsia" w:eastAsia="宋体"/>
                      <w:color w:val="auto"/>
                      <w:szCs w:val="21"/>
                    </w:rPr>
                  </w:pPr>
                  <w:r>
                    <w:rPr>
                      <w:rFonts w:hint="default" w:eastAsia="宋体"/>
                      <w:color w:val="auto"/>
                      <w:szCs w:val="21"/>
                    </w:rPr>
                    <w:t>120</w:t>
                  </w:r>
                </w:p>
                <w:p w14:paraId="42F16688">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3.5</w:t>
                  </w:r>
                </w:p>
              </w:tc>
            </w:tr>
            <w:tr w14:paraId="792149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2" w:hRule="exact"/>
                <w:jc w:val="center"/>
              </w:trPr>
              <w:tc>
                <w:tcPr>
                  <w:tcW w:w="315" w:type="pct"/>
                  <w:vMerge w:val="continue"/>
                  <w:noWrap w:val="0"/>
                  <w:vAlign w:val="center"/>
                </w:tcPr>
                <w:p w14:paraId="5DCB63B9">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5D3FB769">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vMerge w:val="restart"/>
                  <w:noWrap w:val="0"/>
                  <w:vAlign w:val="center"/>
                </w:tcPr>
                <w:p w14:paraId="288A9619">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苯并[a]芘</w:t>
                  </w:r>
                </w:p>
              </w:tc>
              <w:tc>
                <w:tcPr>
                  <w:tcW w:w="653" w:type="pct"/>
                  <w:vMerge w:val="restart"/>
                  <w:tcBorders>
                    <w:right w:val="single" w:color="auto" w:sz="4" w:space="0"/>
                  </w:tcBorders>
                  <w:noWrap w:val="0"/>
                  <w:vAlign w:val="center"/>
                </w:tcPr>
                <w:p w14:paraId="11759532">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15m</w:t>
                  </w:r>
                </w:p>
                <w:p w14:paraId="04742C3E">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排气筒</w:t>
                  </w:r>
                </w:p>
              </w:tc>
              <w:tc>
                <w:tcPr>
                  <w:tcW w:w="660" w:type="pct"/>
                  <w:tcBorders>
                    <w:left w:val="single" w:color="auto" w:sz="4" w:space="0"/>
                    <w:bottom w:val="single" w:color="auto" w:sz="4" w:space="0"/>
                  </w:tcBorders>
                  <w:noWrap w:val="0"/>
                  <w:vAlign w:val="center"/>
                </w:tcPr>
                <w:p w14:paraId="3FF37AA1">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tcBorders>
                    <w:bottom w:val="single" w:color="auto" w:sz="4" w:space="0"/>
                  </w:tcBorders>
                  <w:noWrap w:val="0"/>
                  <w:vAlign w:val="center"/>
                </w:tcPr>
                <w:p w14:paraId="5227918C">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0.30</w:t>
                  </w:r>
                  <w:r>
                    <w:rPr>
                      <w:rFonts w:hint="default" w:eastAsia="宋体"/>
                      <w:color w:val="auto"/>
                      <w:sz w:val="15"/>
                      <w:szCs w:val="15"/>
                    </w:rPr>
                    <w:t>×</w:t>
                  </w:r>
                  <w:r>
                    <w:rPr>
                      <w:rFonts w:hint="default" w:eastAsia="宋体"/>
                      <w:color w:val="auto"/>
                      <w:szCs w:val="21"/>
                    </w:rPr>
                    <w:t>10</w:t>
                  </w:r>
                  <w:r>
                    <w:rPr>
                      <w:rFonts w:hint="default" w:eastAsia="宋体"/>
                      <w:color w:val="auto"/>
                      <w:szCs w:val="21"/>
                      <w:vertAlign w:val="superscript"/>
                    </w:rPr>
                    <w:t>-3</w:t>
                  </w:r>
                </w:p>
              </w:tc>
            </w:tr>
            <w:tr w14:paraId="3E5F63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0" w:hRule="exact"/>
                <w:jc w:val="center"/>
              </w:trPr>
              <w:tc>
                <w:tcPr>
                  <w:tcW w:w="315" w:type="pct"/>
                  <w:vMerge w:val="continue"/>
                  <w:noWrap w:val="0"/>
                  <w:vAlign w:val="center"/>
                </w:tcPr>
                <w:p w14:paraId="7E7C7498">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43CD381C">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vMerge w:val="continue"/>
                  <w:noWrap w:val="0"/>
                  <w:vAlign w:val="center"/>
                </w:tcPr>
                <w:p w14:paraId="02D21B2E">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653" w:type="pct"/>
                  <w:vMerge w:val="continue"/>
                  <w:tcBorders>
                    <w:right w:val="single" w:color="auto" w:sz="4" w:space="0"/>
                  </w:tcBorders>
                  <w:noWrap w:val="0"/>
                  <w:vAlign w:val="center"/>
                </w:tcPr>
                <w:p w14:paraId="23825F2F">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660" w:type="pct"/>
                  <w:tcBorders>
                    <w:top w:val="single" w:color="auto" w:sz="4" w:space="0"/>
                    <w:left w:val="single" w:color="auto" w:sz="4" w:space="0"/>
                  </w:tcBorders>
                  <w:noWrap w:val="0"/>
                  <w:vAlign w:val="center"/>
                </w:tcPr>
                <w:p w14:paraId="4A4F6CED">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kg/h</w:t>
                  </w:r>
                </w:p>
              </w:tc>
              <w:tc>
                <w:tcPr>
                  <w:tcW w:w="740" w:type="pct"/>
                  <w:tcBorders>
                    <w:top w:val="single" w:color="auto" w:sz="4" w:space="0"/>
                  </w:tcBorders>
                  <w:noWrap w:val="0"/>
                  <w:vAlign w:val="center"/>
                </w:tcPr>
                <w:p w14:paraId="3200A17F">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0.050</w:t>
                  </w:r>
                  <w:r>
                    <w:rPr>
                      <w:rFonts w:hint="default" w:eastAsia="宋体"/>
                      <w:color w:val="auto"/>
                      <w:sz w:val="15"/>
                      <w:szCs w:val="15"/>
                    </w:rPr>
                    <w:t>×</w:t>
                  </w:r>
                  <w:r>
                    <w:rPr>
                      <w:rFonts w:hint="default" w:eastAsia="宋体"/>
                      <w:color w:val="auto"/>
                      <w:szCs w:val="21"/>
                    </w:rPr>
                    <w:t>10</w:t>
                  </w:r>
                  <w:r>
                    <w:rPr>
                      <w:rFonts w:hint="default" w:eastAsia="宋体"/>
                      <w:color w:val="auto"/>
                      <w:szCs w:val="21"/>
                      <w:vertAlign w:val="superscript"/>
                    </w:rPr>
                    <w:t>-3</w:t>
                  </w:r>
                </w:p>
              </w:tc>
            </w:tr>
            <w:tr w14:paraId="39372A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exact"/>
                <w:jc w:val="center"/>
              </w:trPr>
              <w:tc>
                <w:tcPr>
                  <w:tcW w:w="315" w:type="pct"/>
                  <w:vMerge w:val="continue"/>
                  <w:noWrap w:val="0"/>
                  <w:vAlign w:val="center"/>
                </w:tcPr>
                <w:p w14:paraId="4448CAE2">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7943B4B7">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vMerge w:val="restart"/>
                  <w:noWrap w:val="0"/>
                  <w:vAlign w:val="center"/>
                </w:tcPr>
                <w:p w14:paraId="58D5B6BA">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rPr>
                    <w:t>沥青烟</w:t>
                  </w:r>
                </w:p>
              </w:tc>
              <w:tc>
                <w:tcPr>
                  <w:tcW w:w="653" w:type="pct"/>
                  <w:vMerge w:val="restart"/>
                  <w:tcBorders>
                    <w:right w:val="single" w:color="auto" w:sz="4" w:space="0"/>
                  </w:tcBorders>
                  <w:noWrap w:val="0"/>
                  <w:vAlign w:val="center"/>
                </w:tcPr>
                <w:p w14:paraId="264633B5">
                  <w:pPr>
                    <w:keepNext w:val="0"/>
                    <w:keepLines w:val="0"/>
                    <w:suppressLineNumbers w:val="0"/>
                    <w:spacing w:before="0" w:beforeAutospacing="0" w:after="0" w:afterAutospacing="0" w:line="240" w:lineRule="exact"/>
                    <w:ind w:left="0" w:right="0"/>
                    <w:jc w:val="center"/>
                    <w:rPr>
                      <w:rFonts w:hint="default" w:eastAsia="宋体"/>
                      <w:color w:val="auto"/>
                    </w:rPr>
                  </w:pPr>
                  <w:r>
                    <w:rPr>
                      <w:rFonts w:hint="default" w:eastAsia="宋体"/>
                      <w:color w:val="auto"/>
                    </w:rPr>
                    <w:t>15m</w:t>
                  </w:r>
                </w:p>
                <w:p w14:paraId="2CC36CD9">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rPr>
                    <w:t>排气筒</w:t>
                  </w:r>
                </w:p>
              </w:tc>
              <w:tc>
                <w:tcPr>
                  <w:tcW w:w="660" w:type="pct"/>
                  <w:tcBorders>
                    <w:left w:val="single" w:color="auto" w:sz="4" w:space="0"/>
                    <w:bottom w:val="single" w:color="auto" w:sz="4" w:space="0"/>
                  </w:tcBorders>
                  <w:noWrap w:val="0"/>
                  <w:vAlign w:val="center"/>
                </w:tcPr>
                <w:p w14:paraId="1367B40A">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mg/m</w:t>
                  </w:r>
                  <w:r>
                    <w:rPr>
                      <w:rFonts w:hint="default" w:eastAsia="宋体"/>
                      <w:color w:val="auto"/>
                      <w:szCs w:val="21"/>
                      <w:vertAlign w:val="superscript"/>
                    </w:rPr>
                    <w:t>3</w:t>
                  </w:r>
                </w:p>
              </w:tc>
              <w:tc>
                <w:tcPr>
                  <w:tcW w:w="740" w:type="pct"/>
                  <w:tcBorders>
                    <w:bottom w:val="single" w:color="auto" w:sz="4" w:space="0"/>
                  </w:tcBorders>
                  <w:noWrap w:val="0"/>
                  <w:vAlign w:val="center"/>
                </w:tcPr>
                <w:p w14:paraId="2015B8CB">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75</w:t>
                  </w:r>
                </w:p>
              </w:tc>
            </w:tr>
            <w:tr w14:paraId="274ACE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16" w:hRule="exact"/>
                <w:jc w:val="center"/>
              </w:trPr>
              <w:tc>
                <w:tcPr>
                  <w:tcW w:w="315" w:type="pct"/>
                  <w:vMerge w:val="continue"/>
                  <w:noWrap w:val="0"/>
                  <w:vAlign w:val="center"/>
                </w:tcPr>
                <w:p w14:paraId="7E8B448D">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1843" w:type="pct"/>
                  <w:vMerge w:val="continue"/>
                  <w:noWrap w:val="0"/>
                  <w:vAlign w:val="center"/>
                </w:tcPr>
                <w:p w14:paraId="2E14E989">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786" w:type="pct"/>
                  <w:vMerge w:val="continue"/>
                  <w:noWrap w:val="0"/>
                  <w:vAlign w:val="center"/>
                </w:tcPr>
                <w:p w14:paraId="76A8F7A7">
                  <w:pPr>
                    <w:keepNext w:val="0"/>
                    <w:keepLines w:val="0"/>
                    <w:suppressLineNumbers w:val="0"/>
                    <w:spacing w:before="0" w:beforeAutospacing="0" w:after="0" w:afterAutospacing="0" w:line="240" w:lineRule="exact"/>
                    <w:ind w:left="0" w:right="0"/>
                    <w:jc w:val="center"/>
                    <w:rPr>
                      <w:rFonts w:hint="default" w:eastAsia="宋体"/>
                      <w:color w:val="auto"/>
                    </w:rPr>
                  </w:pPr>
                </w:p>
              </w:tc>
              <w:tc>
                <w:tcPr>
                  <w:tcW w:w="653" w:type="pct"/>
                  <w:vMerge w:val="continue"/>
                  <w:tcBorders>
                    <w:right w:val="single" w:color="auto" w:sz="4" w:space="0"/>
                  </w:tcBorders>
                  <w:noWrap w:val="0"/>
                  <w:vAlign w:val="center"/>
                </w:tcPr>
                <w:p w14:paraId="636085DA">
                  <w:pPr>
                    <w:keepNext w:val="0"/>
                    <w:keepLines w:val="0"/>
                    <w:suppressLineNumbers w:val="0"/>
                    <w:spacing w:before="0" w:beforeAutospacing="0" w:after="0" w:afterAutospacing="0" w:line="240" w:lineRule="exact"/>
                    <w:ind w:left="0" w:right="0"/>
                    <w:jc w:val="center"/>
                    <w:rPr>
                      <w:rFonts w:hint="default" w:eastAsia="宋体"/>
                      <w:color w:val="auto"/>
                      <w:szCs w:val="21"/>
                    </w:rPr>
                  </w:pPr>
                </w:p>
              </w:tc>
              <w:tc>
                <w:tcPr>
                  <w:tcW w:w="660" w:type="pct"/>
                  <w:tcBorders>
                    <w:top w:val="single" w:color="auto" w:sz="4" w:space="0"/>
                    <w:left w:val="single" w:color="auto" w:sz="4" w:space="0"/>
                  </w:tcBorders>
                  <w:noWrap w:val="0"/>
                  <w:vAlign w:val="center"/>
                </w:tcPr>
                <w:p w14:paraId="58FFD3B0">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kg/h</w:t>
                  </w:r>
                </w:p>
              </w:tc>
              <w:tc>
                <w:tcPr>
                  <w:tcW w:w="740" w:type="pct"/>
                  <w:tcBorders>
                    <w:top w:val="single" w:color="auto" w:sz="4" w:space="0"/>
                  </w:tcBorders>
                  <w:noWrap w:val="0"/>
                  <w:vAlign w:val="center"/>
                </w:tcPr>
                <w:p w14:paraId="4716D725">
                  <w:pPr>
                    <w:keepNext w:val="0"/>
                    <w:keepLines w:val="0"/>
                    <w:suppressLineNumbers w:val="0"/>
                    <w:spacing w:before="0" w:beforeAutospacing="0" w:after="0" w:afterAutospacing="0" w:line="240" w:lineRule="exact"/>
                    <w:ind w:left="0" w:right="0"/>
                    <w:jc w:val="center"/>
                    <w:rPr>
                      <w:rFonts w:hint="default" w:eastAsia="宋体"/>
                      <w:color w:val="auto"/>
                      <w:szCs w:val="21"/>
                    </w:rPr>
                  </w:pPr>
                  <w:r>
                    <w:rPr>
                      <w:rFonts w:hint="default" w:eastAsia="宋体"/>
                      <w:color w:val="auto"/>
                      <w:szCs w:val="21"/>
                    </w:rPr>
                    <w:t>0.18</w:t>
                  </w:r>
                </w:p>
              </w:tc>
            </w:tr>
          </w:tbl>
          <w:p w14:paraId="53EBFA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20" w:firstLineChars="200"/>
              <w:textAlignment w:val="auto"/>
              <w:rPr>
                <w:rFonts w:hint="eastAsia" w:ascii="Times New Roman" w:hAnsi="Times New Roman" w:eastAsia="宋体" w:cs="Times New Roman"/>
                <w:color w:val="auto"/>
                <w:sz w:val="24"/>
                <w:highlight w:val="none"/>
                <w:lang w:val="en-US" w:eastAsia="zh-CN"/>
              </w:rPr>
            </w:pPr>
            <w:r>
              <w:rPr>
                <w:rFonts w:hint="default"/>
                <w:b/>
                <w:color w:val="auto"/>
                <w:szCs w:val="21"/>
              </w:rPr>
              <w:t>注：本项目烘干、沥青搅拌、加热系统采用一根排气筒进行排放，因此本项目排放标准比较《大气污染物综合排放标准》（GB16297-1996）及《工业窑炉大气污染物排放标准》（GB9078-1996），从严执行《大气污染物综合排放标准》（GB16297-1996）中表2中的标准（颗粒物：120mg/m</w:t>
            </w:r>
            <w:r>
              <w:rPr>
                <w:rFonts w:hint="default"/>
                <w:b/>
                <w:color w:val="auto"/>
                <w:szCs w:val="21"/>
                <w:vertAlign w:val="superscript"/>
              </w:rPr>
              <w:t>3</w:t>
            </w:r>
            <w:r>
              <w:rPr>
                <w:rFonts w:hint="default"/>
                <w:b/>
                <w:color w:val="auto"/>
                <w:szCs w:val="21"/>
              </w:rPr>
              <w:t>、二氧化硫：550mg/m</w:t>
            </w:r>
            <w:r>
              <w:rPr>
                <w:rFonts w:hint="default"/>
                <w:b/>
                <w:color w:val="auto"/>
                <w:szCs w:val="21"/>
                <w:vertAlign w:val="superscript"/>
              </w:rPr>
              <w:t>3</w:t>
            </w:r>
            <w:r>
              <w:rPr>
                <w:rFonts w:hint="default"/>
                <w:b/>
                <w:color w:val="auto"/>
                <w:szCs w:val="21"/>
              </w:rPr>
              <w:t>氮氧化物：240mg/m</w:t>
            </w:r>
            <w:r>
              <w:rPr>
                <w:rFonts w:hint="default"/>
                <w:b/>
                <w:color w:val="auto"/>
                <w:szCs w:val="21"/>
                <w:vertAlign w:val="superscript"/>
              </w:rPr>
              <w:t>3</w:t>
            </w:r>
            <w:r>
              <w:rPr>
                <w:rFonts w:hint="default"/>
                <w:b/>
                <w:color w:val="auto"/>
                <w:szCs w:val="21"/>
              </w:rPr>
              <w:t>）。</w:t>
            </w:r>
          </w:p>
          <w:p w14:paraId="2C18423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2、噪声</w:t>
            </w:r>
          </w:p>
          <w:p w14:paraId="5DBA482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w:t>
            </w:r>
            <w:r>
              <w:rPr>
                <w:rFonts w:hint="eastAsia" w:cs="Times New Roman"/>
                <w:color w:val="auto"/>
                <w:sz w:val="24"/>
                <w:highlight w:val="none"/>
                <w:lang w:eastAsia="zh-CN"/>
              </w:rPr>
              <w:t>厂界</w:t>
            </w:r>
            <w:r>
              <w:rPr>
                <w:rFonts w:hint="default" w:ascii="Times New Roman" w:hAnsi="Times New Roman" w:eastAsia="宋体" w:cs="Times New Roman"/>
                <w:color w:val="auto"/>
                <w:sz w:val="24"/>
                <w:highlight w:val="none"/>
              </w:rPr>
              <w:t>执行《工业企业厂界环境噪声排放标准》（GB12348-2008）</w:t>
            </w:r>
            <w:r>
              <w:rPr>
                <w:rFonts w:hint="eastAsia" w:cs="Times New Roman"/>
                <w:color w:val="auto"/>
                <w:sz w:val="24"/>
                <w:highlight w:val="none"/>
                <w:lang w:val="en-US" w:eastAsia="zh-CN"/>
              </w:rPr>
              <w:t>2类标准</w:t>
            </w:r>
            <w:r>
              <w:rPr>
                <w:rFonts w:hint="default" w:ascii="Times New Roman" w:hAnsi="Times New Roman" w:eastAsia="宋体" w:cs="Times New Roman"/>
                <w:color w:val="auto"/>
                <w:sz w:val="24"/>
                <w:highlight w:val="none"/>
              </w:rPr>
              <w:t>。</w:t>
            </w:r>
          </w:p>
          <w:p w14:paraId="78128CC3">
            <w:pPr>
              <w:pStyle w:val="105"/>
              <w:keepNext w:val="0"/>
              <w:keepLines w:val="0"/>
              <w:suppressLineNumbers w:val="0"/>
              <w:bidi w:val="0"/>
              <w:spacing w:before="0" w:beforeAutospacing="0" w:after="0" w:afterAutospacing="0"/>
              <w:ind w:left="0" w:right="0"/>
              <w:rPr>
                <w:rFonts w:hint="default"/>
                <w:color w:val="auto"/>
              </w:rPr>
            </w:pPr>
            <w:r>
              <w:rPr>
                <w:rFonts w:hint="default"/>
                <w:color w:val="auto"/>
              </w:rPr>
              <w:t>表</w:t>
            </w:r>
            <w:r>
              <w:rPr>
                <w:rFonts w:hint="eastAsia"/>
                <w:color w:val="auto"/>
                <w:lang w:val="en-US" w:eastAsia="zh-CN"/>
              </w:rPr>
              <w:t>3-7</w:t>
            </w:r>
            <w:r>
              <w:rPr>
                <w:rFonts w:hint="default"/>
                <w:color w:val="auto"/>
              </w:rPr>
              <w:t>噪声排放执行标准一览表</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2451"/>
              <w:gridCol w:w="2237"/>
              <w:gridCol w:w="2927"/>
            </w:tblGrid>
            <w:tr w14:paraId="5E6C02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71" w:type="pct"/>
                  <w:tcBorders>
                    <w:tl2br w:val="nil"/>
                    <w:tr2bl w:val="nil"/>
                  </w:tcBorders>
                  <w:noWrap/>
                  <w:vAlign w:val="center"/>
                </w:tcPr>
                <w:p w14:paraId="43602AF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时段</w:t>
                  </w:r>
                </w:p>
              </w:tc>
              <w:tc>
                <w:tcPr>
                  <w:tcW w:w="1361" w:type="pct"/>
                  <w:tcBorders>
                    <w:tl2br w:val="nil"/>
                    <w:tr2bl w:val="nil"/>
                  </w:tcBorders>
                  <w:noWrap/>
                  <w:vAlign w:val="center"/>
                </w:tcPr>
                <w:p w14:paraId="46C750A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声环境功能区类别</w:t>
                  </w:r>
                </w:p>
              </w:tc>
              <w:tc>
                <w:tcPr>
                  <w:tcW w:w="2867" w:type="pct"/>
                  <w:gridSpan w:val="2"/>
                  <w:tcBorders>
                    <w:tl2br w:val="nil"/>
                    <w:tr2bl w:val="nil"/>
                  </w:tcBorders>
                  <w:noWrap/>
                  <w:vAlign w:val="center"/>
                </w:tcPr>
                <w:p w14:paraId="51DF553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标准限值dB(A)</w:t>
                  </w:r>
                </w:p>
              </w:tc>
            </w:tr>
            <w:tr w14:paraId="11AB3C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 w:hRule="atLeast"/>
                <w:jc w:val="center"/>
              </w:trPr>
              <w:tc>
                <w:tcPr>
                  <w:tcW w:w="771" w:type="pct"/>
                  <w:vMerge w:val="restart"/>
                  <w:tcBorders>
                    <w:tl2br w:val="nil"/>
                    <w:tr2bl w:val="nil"/>
                  </w:tcBorders>
                  <w:noWrap/>
                  <w:vAlign w:val="center"/>
                </w:tcPr>
                <w:p w14:paraId="25FB50C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运营期</w:t>
                  </w:r>
                </w:p>
              </w:tc>
              <w:tc>
                <w:tcPr>
                  <w:tcW w:w="1361" w:type="pct"/>
                  <w:vMerge w:val="restart"/>
                  <w:tcBorders>
                    <w:tl2br w:val="nil"/>
                    <w:tr2bl w:val="nil"/>
                  </w:tcBorders>
                  <w:noWrap/>
                  <w:vAlign w:val="center"/>
                </w:tcPr>
                <w:p w14:paraId="6F730BB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类标准</w:t>
                  </w:r>
                </w:p>
              </w:tc>
              <w:tc>
                <w:tcPr>
                  <w:tcW w:w="1242" w:type="pct"/>
                  <w:tcBorders>
                    <w:tl2br w:val="nil"/>
                    <w:tr2bl w:val="nil"/>
                  </w:tcBorders>
                  <w:noWrap/>
                  <w:vAlign w:val="center"/>
                </w:tcPr>
                <w:p w14:paraId="536ED11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w:t>
                  </w:r>
                </w:p>
              </w:tc>
              <w:tc>
                <w:tcPr>
                  <w:tcW w:w="1625" w:type="pct"/>
                  <w:tcBorders>
                    <w:tl2br w:val="nil"/>
                    <w:tr2bl w:val="nil"/>
                  </w:tcBorders>
                  <w:noWrap/>
                  <w:vAlign w:val="center"/>
                </w:tcPr>
                <w:p w14:paraId="7AC1625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w:t>
                  </w:r>
                </w:p>
              </w:tc>
            </w:tr>
            <w:tr w14:paraId="44B13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 w:hRule="atLeast"/>
                <w:jc w:val="center"/>
              </w:trPr>
              <w:tc>
                <w:tcPr>
                  <w:tcW w:w="771" w:type="pct"/>
                  <w:vMerge w:val="continue"/>
                  <w:tcBorders>
                    <w:tl2br w:val="nil"/>
                    <w:tr2bl w:val="nil"/>
                  </w:tcBorders>
                  <w:noWrap/>
                  <w:vAlign w:val="center"/>
                </w:tcPr>
                <w:p w14:paraId="18210DF7">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1361" w:type="pct"/>
                  <w:vMerge w:val="continue"/>
                  <w:tcBorders>
                    <w:tl2br w:val="nil"/>
                    <w:tr2bl w:val="nil"/>
                  </w:tcBorders>
                  <w:noWrap/>
                  <w:vAlign w:val="center"/>
                </w:tcPr>
                <w:p w14:paraId="2DCDE9C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242" w:type="pct"/>
                  <w:tcBorders>
                    <w:tl2br w:val="nil"/>
                    <w:tr2bl w:val="nil"/>
                  </w:tcBorders>
                  <w:noWrap/>
                  <w:vAlign w:val="center"/>
                </w:tcPr>
                <w:p w14:paraId="765DD7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60</w:t>
                  </w:r>
                </w:p>
              </w:tc>
              <w:tc>
                <w:tcPr>
                  <w:tcW w:w="1625" w:type="pct"/>
                  <w:tcBorders>
                    <w:tl2br w:val="nil"/>
                    <w:tr2bl w:val="nil"/>
                  </w:tcBorders>
                  <w:noWrap/>
                  <w:vAlign w:val="center"/>
                </w:tcPr>
                <w:p w14:paraId="5CB0AA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50</w:t>
                  </w:r>
                </w:p>
              </w:tc>
            </w:tr>
          </w:tbl>
          <w:p w14:paraId="713F040A">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rPr>
            </w:pPr>
            <w:bookmarkStart w:id="59" w:name="_Toc2540"/>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、固体废物污染控制标准</w:t>
            </w:r>
          </w:p>
          <w:bookmarkEnd w:id="59"/>
          <w:p w14:paraId="725FDA1A">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cs="Times New Roman"/>
                <w:color w:val="auto"/>
              </w:rPr>
            </w:pPr>
            <w:bookmarkStart w:id="60" w:name="_Toc27534"/>
            <w:bookmarkStart w:id="61" w:name="_Toc1396"/>
            <w:bookmarkStart w:id="62" w:name="_Toc10672"/>
            <w:bookmarkStart w:id="63" w:name="_Toc15883"/>
            <w:r>
              <w:rPr>
                <w:rFonts w:hint="default" w:ascii="Times New Roman" w:hAnsi="Times New Roman" w:eastAsia="宋体" w:cs="Times New Roman"/>
                <w:b w:val="0"/>
                <w:bCs w:val="0"/>
                <w:color w:val="auto"/>
                <w:kern w:val="2"/>
                <w:sz w:val="24"/>
                <w:szCs w:val="24"/>
                <w:highlight w:val="none"/>
                <w:lang w:val="en-US" w:eastAsia="zh-CN" w:bidi="ar-SA"/>
              </w:rPr>
              <w:t>一般固废执行《一般工业固体废物贮存和填埋污染控制标准》（GB18599-2020）；危险废物执行《危险废物贮存污染控制标准》</w:t>
            </w:r>
            <w:r>
              <w:rPr>
                <w:rFonts w:hint="default" w:ascii="Times New Roman" w:hAnsi="Times New Roman" w:eastAsia="宋体" w:cs="Times New Roman"/>
                <w:b w:val="0"/>
                <w:bCs w:val="0"/>
                <w:color w:val="auto"/>
                <w:kern w:val="2"/>
                <w:sz w:val="24"/>
                <w:szCs w:val="24"/>
                <w:highlight w:val="none"/>
                <w:lang w:val="en-US" w:eastAsia="zh-CN" w:bidi="ar-SA"/>
              </w:rPr>
              <w:fldChar w:fldCharType="begin"/>
            </w:r>
            <w:r>
              <w:rPr>
                <w:rFonts w:hint="default" w:ascii="Times New Roman" w:hAnsi="Times New Roman" w:eastAsia="宋体" w:cs="Times New Roman"/>
                <w:b w:val="0"/>
                <w:bCs w:val="0"/>
                <w:color w:val="auto"/>
                <w:kern w:val="2"/>
                <w:sz w:val="24"/>
                <w:szCs w:val="24"/>
                <w:highlight w:val="none"/>
                <w:lang w:val="en-US" w:eastAsia="zh-CN" w:bidi="ar-SA"/>
              </w:rPr>
              <w:instrText xml:space="preserve"> HYPERLINK "http://www.so.com/link?url=http%3A%2F%2Fwww.safehoo.com%2FStandard%2FCommon%2F200802%2F5800.shtml&amp;q=%E5%8D%B1%E9%99%A9%E5%BA%9F%E7%89%A9+%E6%A0%87%E5%87%86&amp;ts=1463627614&amp;t=6792afa46991d137f071fee8b5f00ce&amp;src=haosou" \t "_blank" </w:instrText>
            </w:r>
            <w:r>
              <w:rPr>
                <w:rFonts w:hint="default" w:ascii="Times New Roman" w:hAnsi="Times New Roman" w:eastAsia="宋体" w:cs="Times New Roman"/>
                <w:b w:val="0"/>
                <w:bCs w:val="0"/>
                <w:color w:val="auto"/>
                <w:kern w:val="2"/>
                <w:sz w:val="24"/>
                <w:szCs w:val="24"/>
                <w:highlight w:val="none"/>
                <w:lang w:val="en-US" w:eastAsia="zh-CN" w:bidi="ar-SA"/>
              </w:rPr>
              <w:fldChar w:fldCharType="separate"/>
            </w:r>
            <w:r>
              <w:rPr>
                <w:rFonts w:hint="default" w:ascii="Times New Roman" w:hAnsi="Times New Roman" w:eastAsia="宋体" w:cs="Times New Roman"/>
                <w:b w:val="0"/>
                <w:bCs w:val="0"/>
                <w:color w:val="auto"/>
                <w:kern w:val="2"/>
                <w:sz w:val="24"/>
                <w:szCs w:val="24"/>
                <w:highlight w:val="none"/>
                <w:lang w:val="en-US" w:eastAsia="zh-CN" w:bidi="ar-SA"/>
              </w:rPr>
              <w:t>（GB18597-2001</w:t>
            </w:r>
            <w:r>
              <w:rPr>
                <w:rFonts w:hint="default" w:ascii="Times New Roman" w:hAnsi="Times New Roman" w:eastAsia="宋体" w:cs="Times New Roman"/>
                <w:b w:val="0"/>
                <w:bCs w:val="0"/>
                <w:color w:val="auto"/>
                <w:kern w:val="2"/>
                <w:sz w:val="24"/>
                <w:szCs w:val="24"/>
                <w:highlight w:val="none"/>
                <w:lang w:val="en-US" w:eastAsia="zh-CN" w:bidi="ar-SA"/>
              </w:rPr>
              <w:fldChar w:fldCharType="end"/>
            </w:r>
            <w:r>
              <w:rPr>
                <w:rFonts w:hint="default" w:ascii="Times New Roman" w:hAnsi="Times New Roman" w:eastAsia="宋体" w:cs="Times New Roman"/>
                <w:b w:val="0"/>
                <w:bCs w:val="0"/>
                <w:color w:val="auto"/>
                <w:kern w:val="2"/>
                <w:sz w:val="24"/>
                <w:szCs w:val="24"/>
                <w:highlight w:val="none"/>
                <w:lang w:val="en-US" w:eastAsia="zh-CN" w:bidi="ar-SA"/>
              </w:rPr>
              <w:t>）及2013年修改单。</w:t>
            </w:r>
            <w:bookmarkEnd w:id="60"/>
            <w:bookmarkEnd w:id="61"/>
            <w:bookmarkEnd w:id="62"/>
            <w:bookmarkEnd w:id="63"/>
          </w:p>
        </w:tc>
      </w:tr>
      <w:tr w14:paraId="72C023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6" w:type="pct"/>
            <w:noWrap w:val="0"/>
            <w:vAlign w:val="center"/>
          </w:tcPr>
          <w:p w14:paraId="537D87C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总量</w:t>
            </w:r>
          </w:p>
          <w:p w14:paraId="21CA4D6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控制</w:t>
            </w:r>
          </w:p>
          <w:p w14:paraId="69A17A8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highlight w:val="none"/>
              </w:rPr>
              <w:t>指标</w:t>
            </w:r>
          </w:p>
        </w:tc>
        <w:tc>
          <w:tcPr>
            <w:tcW w:w="4513" w:type="pct"/>
            <w:noWrap w:val="0"/>
            <w:vAlign w:val="top"/>
          </w:tcPr>
          <w:p w14:paraId="2B78ABA4">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bookmarkStart w:id="64" w:name="_Toc30910"/>
            <w:bookmarkStart w:id="65" w:name="_Toc17464"/>
            <w:bookmarkStart w:id="66" w:name="_Toc30069"/>
            <w:r>
              <w:rPr>
                <w:rFonts w:hint="eastAsia" w:eastAsia="宋体" w:cs="Times New Roman"/>
                <w:b w:val="0"/>
                <w:bCs w:val="0"/>
                <w:color w:val="auto"/>
                <w:kern w:val="2"/>
                <w:sz w:val="24"/>
                <w:szCs w:val="24"/>
                <w:highlight w:val="none"/>
                <w:lang w:val="en-US" w:eastAsia="zh-CN" w:bidi="ar-SA"/>
              </w:rPr>
              <w:t>1、导热油炉</w:t>
            </w:r>
            <w:bookmarkEnd w:id="64"/>
            <w:bookmarkEnd w:id="65"/>
          </w:p>
          <w:p w14:paraId="789417C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导热</w:t>
            </w:r>
            <w:r>
              <w:rPr>
                <w:rFonts w:hint="default" w:ascii="Times New Roman" w:hAnsi="Times New Roman" w:cs="Times New Roman"/>
                <w:b w:val="0"/>
                <w:bCs/>
                <w:color w:val="auto"/>
                <w:sz w:val="24"/>
                <w:szCs w:val="24"/>
                <w:highlight w:val="none"/>
              </w:rPr>
              <w:t>锅炉基准烟气量和核定排放量的计算说明</w:t>
            </w:r>
            <w:r>
              <w:rPr>
                <w:rFonts w:hint="eastAsia" w:ascii="Times New Roman" w:hAnsi="Times New Roman" w:cs="Times New Roman"/>
                <w:b w:val="0"/>
                <w:bCs/>
                <w:color w:val="auto"/>
                <w:sz w:val="24"/>
                <w:szCs w:val="24"/>
                <w:highlight w:val="none"/>
                <w:lang w:eastAsia="zh-CN"/>
              </w:rPr>
              <w:t>：</w:t>
            </w:r>
          </w:p>
          <w:p w14:paraId="0A4E40A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rPr>
              <w:t>根据《排污许可证申请与核发技术规范锅炉》（HJ953-2018）中表5基准烟气量取值表计算本项目燃</w:t>
            </w:r>
            <w:r>
              <w:rPr>
                <w:rFonts w:hint="eastAsia" w:ascii="Times New Roman" w:hAnsi="Times New Roman" w:cs="Times New Roman"/>
                <w:b w:val="0"/>
                <w:bCs/>
                <w:color w:val="auto"/>
                <w:sz w:val="24"/>
                <w:szCs w:val="24"/>
                <w:highlight w:val="none"/>
                <w:lang w:val="en-US" w:eastAsia="zh-CN"/>
              </w:rPr>
              <w:t>油</w:t>
            </w:r>
            <w:r>
              <w:rPr>
                <w:rFonts w:hint="default" w:ascii="Times New Roman" w:hAnsi="Times New Roman" w:cs="Times New Roman"/>
                <w:b w:val="0"/>
                <w:bCs/>
                <w:color w:val="auto"/>
                <w:sz w:val="24"/>
                <w:szCs w:val="24"/>
                <w:highlight w:val="none"/>
              </w:rPr>
              <w:t>锅炉的基准烟气量，则基准烟气量经验公式可定为Vgy=0.2</w:t>
            </w:r>
            <w:r>
              <w:rPr>
                <w:rFonts w:hint="eastAsia" w:ascii="Times New Roman" w:hAnsi="Times New Roman" w:cs="Times New Roman"/>
                <w:b w:val="0"/>
                <w:bCs/>
                <w:color w:val="auto"/>
                <w:sz w:val="24"/>
                <w:szCs w:val="24"/>
                <w:highlight w:val="none"/>
                <w:lang w:val="en-US" w:eastAsia="zh-CN"/>
              </w:rPr>
              <w:t>9</w:t>
            </w:r>
            <w:r>
              <w:rPr>
                <w:rFonts w:hint="default" w:ascii="Times New Roman" w:hAnsi="Times New Roman" w:cs="Times New Roman"/>
                <w:b w:val="0"/>
                <w:bCs/>
                <w:color w:val="auto"/>
                <w:sz w:val="24"/>
                <w:szCs w:val="24"/>
                <w:highlight w:val="none"/>
              </w:rPr>
              <w:t>Qnet</w:t>
            </w:r>
            <w:r>
              <w:rPr>
                <w:rFonts w:hint="eastAsia" w:ascii="Times New Roman" w:hAnsi="Times New Roman" w:cs="Times New Roman"/>
                <w:b w:val="0"/>
                <w:bCs/>
                <w:color w:val="auto"/>
                <w:sz w:val="24"/>
                <w:szCs w:val="24"/>
                <w:highlight w:val="none"/>
                <w:lang w:eastAsia="zh-CN"/>
              </w:rPr>
              <w:t>，</w:t>
            </w:r>
            <w:r>
              <w:rPr>
                <w:rFonts w:hint="eastAsia" w:ascii="Times New Roman" w:hAnsi="Times New Roman" w:cs="Times New Roman"/>
                <w:b w:val="0"/>
                <w:bCs/>
                <w:color w:val="auto"/>
                <w:sz w:val="24"/>
                <w:szCs w:val="24"/>
                <w:highlight w:val="none"/>
                <w:lang w:val="en-US" w:eastAsia="zh-CN"/>
              </w:rPr>
              <w:t>ar</w:t>
            </w:r>
            <w:r>
              <w:rPr>
                <w:rFonts w:hint="default" w:ascii="Times New Roman" w:hAnsi="Times New Roman" w:cs="Times New Roman"/>
                <w:b w:val="0"/>
                <w:bCs/>
                <w:color w:val="auto"/>
                <w:sz w:val="24"/>
                <w:szCs w:val="24"/>
                <w:highlight w:val="none"/>
              </w:rPr>
              <w:t>+</w:t>
            </w:r>
            <w:r>
              <w:rPr>
                <w:rFonts w:hint="eastAsia" w:ascii="Times New Roman" w:hAnsi="Times New Roman" w:cs="Times New Roman"/>
                <w:b w:val="0"/>
                <w:bCs/>
                <w:color w:val="auto"/>
                <w:sz w:val="24"/>
                <w:szCs w:val="24"/>
                <w:highlight w:val="none"/>
                <w:lang w:val="en-US" w:eastAsia="zh-CN"/>
              </w:rPr>
              <w:t>0.379</w:t>
            </w:r>
            <w:r>
              <w:rPr>
                <w:rFonts w:hint="default" w:ascii="Times New Roman" w:hAnsi="Times New Roman" w:cs="Times New Roman"/>
                <w:b w:val="0"/>
                <w:bCs/>
                <w:color w:val="auto"/>
                <w:sz w:val="24"/>
                <w:szCs w:val="24"/>
                <w:highlight w:val="none"/>
                <w:lang w:eastAsia="zh-CN"/>
              </w:rPr>
              <w:t>，本项目柴油低位发热量为42.97614MJ/kg。</w:t>
            </w:r>
          </w:p>
          <w:p w14:paraId="2F11779A">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outlineLvl w:val="9"/>
              <w:rPr>
                <w:rFonts w:hint="eastAsia" w:ascii="Times New Roman" w:hAnsi="Times New Roman" w:eastAsia="宋体" w:cs="Times New Roman"/>
                <w:b w:val="0"/>
                <w:bCs/>
                <w:color w:val="auto"/>
                <w:spacing w:val="0"/>
                <w:sz w:val="24"/>
                <w:szCs w:val="24"/>
                <w:highlight w:val="none"/>
                <w:lang w:eastAsia="zh-CN"/>
              </w:rPr>
            </w:pPr>
            <w:r>
              <w:rPr>
                <w:rFonts w:hint="default" w:ascii="Times New Roman" w:hAnsi="Times New Roman" w:cs="Times New Roman"/>
                <w:b w:val="0"/>
                <w:bCs/>
                <w:color w:val="auto"/>
                <w:spacing w:val="0"/>
                <w:sz w:val="24"/>
                <w:szCs w:val="24"/>
                <w:highlight w:val="none"/>
              </w:rPr>
              <w:t>则本项目基准烟气量为</w:t>
            </w:r>
            <w:r>
              <w:rPr>
                <w:rFonts w:hint="default" w:ascii="Times New Roman" w:hAnsi="Times New Roman" w:cs="Times New Roman"/>
                <w:b w:val="0"/>
                <w:bCs/>
                <w:color w:val="auto"/>
                <w:spacing w:val="0"/>
                <w:sz w:val="24"/>
                <w:szCs w:val="24"/>
                <w:highlight w:val="none"/>
                <w:lang w:eastAsia="zh-CN"/>
              </w:rPr>
              <w:t>：</w:t>
            </w:r>
            <w:r>
              <w:rPr>
                <w:rFonts w:hint="default" w:ascii="Times New Roman" w:hAnsi="Times New Roman" w:cs="Times New Roman"/>
                <w:b w:val="0"/>
                <w:bCs/>
                <w:i/>
                <w:iCs/>
                <w:color w:val="auto"/>
                <w:spacing w:val="0"/>
                <w:sz w:val="24"/>
                <w:szCs w:val="24"/>
                <w:highlight w:val="none"/>
              </w:rPr>
              <w:t>V</w:t>
            </w:r>
            <w:r>
              <w:rPr>
                <w:rFonts w:hint="default" w:ascii="Times New Roman" w:hAnsi="Times New Roman" w:cs="Times New Roman"/>
                <w:b w:val="0"/>
                <w:bCs/>
                <w:i/>
                <w:iCs/>
                <w:color w:val="auto"/>
                <w:spacing w:val="0"/>
                <w:sz w:val="24"/>
                <w:szCs w:val="24"/>
                <w:highlight w:val="none"/>
                <w:vertAlign w:val="subscript"/>
              </w:rPr>
              <w:t>gy</w:t>
            </w:r>
            <w:r>
              <w:rPr>
                <w:rFonts w:hint="default" w:ascii="Times New Roman" w:hAnsi="Times New Roman" w:cs="Times New Roman"/>
                <w:b w:val="0"/>
                <w:bCs/>
                <w:color w:val="auto"/>
                <w:spacing w:val="0"/>
                <w:sz w:val="24"/>
                <w:szCs w:val="24"/>
                <w:highlight w:val="none"/>
              </w:rPr>
              <w:t>=（0.2</w:t>
            </w:r>
            <w:r>
              <w:rPr>
                <w:rFonts w:hint="eastAsia" w:ascii="Times New Roman" w:hAnsi="Times New Roman" w:cs="Times New Roman"/>
                <w:b w:val="0"/>
                <w:bCs/>
                <w:color w:val="auto"/>
                <w:spacing w:val="0"/>
                <w:sz w:val="24"/>
                <w:szCs w:val="24"/>
                <w:highlight w:val="none"/>
                <w:lang w:val="en-US" w:eastAsia="zh-CN"/>
              </w:rPr>
              <w:t>9</w:t>
            </w:r>
            <w:r>
              <w:rPr>
                <w:rFonts w:hint="default" w:ascii="Times New Roman" w:hAnsi="Times New Roman" w:cs="Times New Roman"/>
                <w:b w:val="0"/>
                <w:bCs/>
                <w:color w:val="auto"/>
                <w:spacing w:val="0"/>
                <w:sz w:val="24"/>
                <w:szCs w:val="24"/>
                <w:highlight w:val="none"/>
              </w:rPr>
              <w:t>×</w:t>
            </w:r>
            <w:r>
              <w:rPr>
                <w:rFonts w:hint="eastAsia" w:ascii="Times New Roman" w:hAnsi="Times New Roman" w:cs="Times New Roman"/>
                <w:b w:val="0"/>
                <w:bCs/>
                <w:color w:val="auto"/>
                <w:spacing w:val="0"/>
                <w:sz w:val="24"/>
                <w:szCs w:val="24"/>
                <w:highlight w:val="none"/>
                <w:lang w:val="en-US" w:eastAsia="zh-CN"/>
              </w:rPr>
              <w:t>42.97614</w:t>
            </w:r>
            <w:r>
              <w:rPr>
                <w:rFonts w:hint="default" w:ascii="Times New Roman" w:hAnsi="Times New Roman" w:cs="Times New Roman"/>
                <w:b w:val="0"/>
                <w:bCs/>
                <w:color w:val="auto"/>
                <w:spacing w:val="0"/>
                <w:sz w:val="24"/>
                <w:szCs w:val="24"/>
                <w:highlight w:val="none"/>
              </w:rPr>
              <w:t>+0.3</w:t>
            </w:r>
            <w:r>
              <w:rPr>
                <w:rFonts w:hint="eastAsia" w:ascii="Times New Roman" w:hAnsi="Times New Roman" w:cs="Times New Roman"/>
                <w:b w:val="0"/>
                <w:bCs/>
                <w:color w:val="auto"/>
                <w:spacing w:val="0"/>
                <w:sz w:val="24"/>
                <w:szCs w:val="24"/>
                <w:highlight w:val="none"/>
                <w:lang w:val="en-US" w:eastAsia="zh-CN"/>
              </w:rPr>
              <w:t>79</w:t>
            </w:r>
            <w:r>
              <w:rPr>
                <w:rFonts w:hint="default" w:ascii="Times New Roman" w:hAnsi="Times New Roman" w:cs="Times New Roman"/>
                <w:b w:val="0"/>
                <w:bCs/>
                <w:color w:val="auto"/>
                <w:spacing w:val="0"/>
                <w:sz w:val="24"/>
                <w:szCs w:val="24"/>
                <w:highlight w:val="none"/>
              </w:rPr>
              <w:t>）Nm</w:t>
            </w:r>
            <w:r>
              <w:rPr>
                <w:rFonts w:hint="default" w:ascii="Times New Roman" w:hAnsi="Times New Roman" w:cs="Times New Roman"/>
                <w:b w:val="0"/>
                <w:bCs/>
                <w:color w:val="auto"/>
                <w:spacing w:val="0"/>
                <w:sz w:val="24"/>
                <w:szCs w:val="24"/>
                <w:highlight w:val="none"/>
                <w:vertAlign w:val="superscript"/>
              </w:rPr>
              <w:t>3</w:t>
            </w:r>
            <w:r>
              <w:rPr>
                <w:rFonts w:hint="default" w:ascii="Times New Roman" w:hAnsi="Times New Roman" w:cs="Times New Roman"/>
                <w:b w:val="0"/>
                <w:bCs/>
                <w:color w:val="auto"/>
                <w:spacing w:val="0"/>
                <w:sz w:val="24"/>
                <w:szCs w:val="24"/>
                <w:highlight w:val="none"/>
              </w:rPr>
              <w:t>/m</w:t>
            </w:r>
            <w:r>
              <w:rPr>
                <w:rFonts w:hint="default" w:ascii="Times New Roman" w:hAnsi="Times New Roman" w:cs="Times New Roman"/>
                <w:b w:val="0"/>
                <w:bCs/>
                <w:color w:val="auto"/>
                <w:spacing w:val="0"/>
                <w:sz w:val="24"/>
                <w:szCs w:val="24"/>
                <w:highlight w:val="none"/>
                <w:vertAlign w:val="superscript"/>
              </w:rPr>
              <w:t>3</w:t>
            </w:r>
            <w:r>
              <w:rPr>
                <w:rFonts w:hint="default" w:ascii="Times New Roman" w:hAnsi="Times New Roman" w:cs="Times New Roman"/>
                <w:b w:val="0"/>
                <w:bCs/>
                <w:color w:val="auto"/>
                <w:spacing w:val="0"/>
                <w:sz w:val="24"/>
                <w:szCs w:val="24"/>
                <w:highlight w:val="none"/>
              </w:rPr>
              <w:t>=</w:t>
            </w:r>
            <w:r>
              <w:rPr>
                <w:rFonts w:hint="eastAsia" w:ascii="Times New Roman" w:hAnsi="Times New Roman" w:cs="Times New Roman"/>
                <w:b w:val="0"/>
                <w:bCs/>
                <w:color w:val="auto"/>
                <w:spacing w:val="0"/>
                <w:sz w:val="24"/>
                <w:szCs w:val="24"/>
                <w:highlight w:val="none"/>
                <w:lang w:val="en-US" w:eastAsia="zh-CN"/>
              </w:rPr>
              <w:t>12.84</w:t>
            </w:r>
            <w:r>
              <w:rPr>
                <w:rFonts w:hint="default" w:ascii="Times New Roman" w:hAnsi="Times New Roman" w:cs="Times New Roman"/>
                <w:b w:val="0"/>
                <w:bCs/>
                <w:color w:val="auto"/>
                <w:spacing w:val="0"/>
                <w:sz w:val="24"/>
                <w:szCs w:val="24"/>
                <w:highlight w:val="none"/>
              </w:rPr>
              <w:t>Nm</w:t>
            </w:r>
            <w:r>
              <w:rPr>
                <w:rFonts w:hint="default" w:ascii="Times New Roman" w:hAnsi="Times New Roman" w:cs="Times New Roman"/>
                <w:b w:val="0"/>
                <w:bCs/>
                <w:color w:val="auto"/>
                <w:spacing w:val="0"/>
                <w:sz w:val="24"/>
                <w:szCs w:val="24"/>
                <w:highlight w:val="none"/>
                <w:vertAlign w:val="superscript"/>
              </w:rPr>
              <w:t>3</w:t>
            </w:r>
            <w:r>
              <w:rPr>
                <w:rFonts w:hint="default" w:ascii="Times New Roman" w:hAnsi="Times New Roman" w:cs="Times New Roman"/>
                <w:b w:val="0"/>
                <w:bCs/>
                <w:color w:val="auto"/>
                <w:spacing w:val="0"/>
                <w:sz w:val="24"/>
                <w:szCs w:val="24"/>
                <w:highlight w:val="none"/>
              </w:rPr>
              <w:t>/</w:t>
            </w:r>
            <w:r>
              <w:rPr>
                <w:rFonts w:hint="eastAsia" w:ascii="Times New Roman" w:hAnsi="Times New Roman" w:cs="Times New Roman"/>
                <w:b w:val="0"/>
                <w:bCs/>
                <w:color w:val="auto"/>
                <w:spacing w:val="0"/>
                <w:sz w:val="24"/>
                <w:szCs w:val="24"/>
                <w:highlight w:val="none"/>
                <w:lang w:val="en-US" w:eastAsia="zh-CN"/>
              </w:rPr>
              <w:t>kg</w:t>
            </w:r>
          </w:p>
          <w:p w14:paraId="7396910C">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outlineLvl w:val="9"/>
              <w:rPr>
                <w:rFonts w:hint="default" w:ascii="Times New Roman" w:hAnsi="Times New Roman" w:cs="Times New Roman"/>
                <w:b w:val="0"/>
                <w:bCs/>
                <w:i w:val="0"/>
                <w:iCs w:val="0"/>
                <w:color w:val="auto"/>
                <w:spacing w:val="0"/>
                <w:sz w:val="24"/>
                <w:szCs w:val="24"/>
                <w:highlight w:val="none"/>
              </w:rPr>
            </w:pPr>
            <w:r>
              <w:rPr>
                <w:rFonts w:hint="default" w:ascii="Times New Roman" w:hAnsi="Times New Roman" w:cs="Times New Roman"/>
                <w:b w:val="0"/>
                <w:bCs/>
                <w:i w:val="0"/>
                <w:iCs w:val="0"/>
                <w:color w:val="auto"/>
                <w:spacing w:val="0"/>
                <w:sz w:val="24"/>
                <w:szCs w:val="24"/>
                <w:highlight w:val="none"/>
              </w:rPr>
              <w:t>颗粒物核定排放量=</w:t>
            </w:r>
            <w:r>
              <w:rPr>
                <w:rFonts w:hint="eastAsia" w:ascii="Times New Roman" w:hAnsi="Times New Roman" w:cs="Times New Roman"/>
                <w:b w:val="0"/>
                <w:bCs/>
                <w:color w:val="auto"/>
                <w:spacing w:val="0"/>
                <w:sz w:val="24"/>
                <w:szCs w:val="24"/>
                <w:highlight w:val="none"/>
                <w:lang w:val="en-US" w:eastAsia="zh-CN"/>
              </w:rPr>
              <w:t>12.84</w:t>
            </w:r>
            <w:r>
              <w:rPr>
                <w:rFonts w:hint="default" w:ascii="Times New Roman" w:hAnsi="Times New Roman" w:cs="Times New Roman"/>
                <w:b w:val="0"/>
                <w:bCs/>
                <w:i w:val="0"/>
                <w:iCs w:val="0"/>
                <w:color w:val="auto"/>
                <w:spacing w:val="0"/>
                <w:sz w:val="24"/>
                <w:szCs w:val="24"/>
                <w:highlight w:val="none"/>
              </w:rPr>
              <w:t>Nm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kg</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eastAsia="宋体" w:cs="Times New Roman"/>
                <w:color w:val="auto"/>
                <w:sz w:val="24"/>
                <w:szCs w:val="24"/>
                <w:lang w:val="en-US" w:eastAsia="zh-CN"/>
              </w:rPr>
              <w:t>266.7</w:t>
            </w:r>
            <w:r>
              <w:rPr>
                <w:rFonts w:hint="eastAsia" w:ascii="Times New Roman" w:hAnsi="Times New Roman" w:cs="Times New Roman"/>
                <w:b w:val="0"/>
                <w:bCs/>
                <w:i w:val="0"/>
                <w:iCs w:val="0"/>
                <w:color w:val="auto"/>
                <w:spacing w:val="0"/>
                <w:sz w:val="24"/>
                <w:szCs w:val="24"/>
                <w:highlight w:val="none"/>
                <w:lang w:val="en-US" w:eastAsia="zh-CN"/>
              </w:rPr>
              <w:t>t</w:t>
            </w:r>
            <w:r>
              <w:rPr>
                <w:rFonts w:hint="default" w:ascii="Times New Roman" w:hAnsi="Times New Roman" w:cs="Times New Roman"/>
                <w:b w:val="0"/>
                <w:bCs/>
                <w:i w:val="0"/>
                <w:iCs w:val="0"/>
                <w:color w:val="auto"/>
                <w:spacing w:val="0"/>
                <w:sz w:val="24"/>
                <w:szCs w:val="24"/>
                <w:highlight w:val="none"/>
              </w:rPr>
              <w:t>/a×</w:t>
            </w:r>
            <w:r>
              <w:rPr>
                <w:rFonts w:hint="eastAsia" w:ascii="Times New Roman" w:hAnsi="Times New Roman" w:cs="Times New Roman"/>
                <w:b w:val="0"/>
                <w:bCs/>
                <w:i w:val="0"/>
                <w:iCs w:val="0"/>
                <w:color w:val="auto"/>
                <w:spacing w:val="0"/>
                <w:sz w:val="24"/>
                <w:szCs w:val="24"/>
                <w:highlight w:val="none"/>
                <w:lang w:val="en-US" w:eastAsia="zh-CN"/>
              </w:rPr>
              <w:t>30</w:t>
            </w:r>
            <w:r>
              <w:rPr>
                <w:rFonts w:hint="default" w:ascii="Times New Roman" w:hAnsi="Times New Roman" w:cs="Times New Roman"/>
                <w:b w:val="0"/>
                <w:bCs/>
                <w:i w:val="0"/>
                <w:iCs w:val="0"/>
                <w:color w:val="auto"/>
                <w:spacing w:val="0"/>
                <w:sz w:val="24"/>
                <w:szCs w:val="24"/>
                <w:highlight w:val="none"/>
              </w:rPr>
              <w:t>mg/m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×10</w:t>
            </w:r>
            <w:r>
              <w:rPr>
                <w:rFonts w:hint="default" w:ascii="Times New Roman" w:hAnsi="Times New Roman" w:cs="Times New Roman"/>
                <w:b w:val="0"/>
                <w:bCs/>
                <w:i w:val="0"/>
                <w:iCs w:val="0"/>
                <w:color w:val="auto"/>
                <w:spacing w:val="0"/>
                <w:sz w:val="24"/>
                <w:szCs w:val="24"/>
                <w:highlight w:val="none"/>
                <w:vertAlign w:val="superscript"/>
              </w:rPr>
              <w:t>-</w:t>
            </w:r>
            <w:r>
              <w:rPr>
                <w:rFonts w:hint="eastAsia" w:ascii="Times New Roman" w:hAnsi="Times New Roman" w:cs="Times New Roman"/>
                <w:b w:val="0"/>
                <w:bCs/>
                <w:i w:val="0"/>
                <w:iCs w:val="0"/>
                <w:color w:val="auto"/>
                <w:spacing w:val="0"/>
                <w:sz w:val="24"/>
                <w:szCs w:val="24"/>
                <w:highlight w:val="none"/>
                <w:vertAlign w:val="superscript"/>
                <w:lang w:val="en-US" w:eastAsia="zh-CN"/>
              </w:rPr>
              <w:t>6</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0.</w:t>
            </w:r>
            <w:r>
              <w:rPr>
                <w:rFonts w:hint="eastAsia" w:cs="Times New Roman"/>
                <w:b w:val="0"/>
                <w:bCs/>
                <w:i w:val="0"/>
                <w:iCs w:val="0"/>
                <w:color w:val="auto"/>
                <w:spacing w:val="0"/>
                <w:sz w:val="24"/>
                <w:szCs w:val="24"/>
                <w:highlight w:val="none"/>
                <w:lang w:val="en-US" w:eastAsia="zh-CN"/>
              </w:rPr>
              <w:t>103</w:t>
            </w:r>
            <w:r>
              <w:rPr>
                <w:rFonts w:hint="default" w:ascii="Times New Roman" w:hAnsi="Times New Roman" w:cs="Times New Roman"/>
                <w:b w:val="0"/>
                <w:bCs/>
                <w:i w:val="0"/>
                <w:iCs w:val="0"/>
                <w:color w:val="auto"/>
                <w:spacing w:val="0"/>
                <w:sz w:val="24"/>
                <w:szCs w:val="24"/>
                <w:highlight w:val="none"/>
              </w:rPr>
              <w:t>t/a</w:t>
            </w:r>
          </w:p>
          <w:p w14:paraId="50280030">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firstLine="480" w:firstLineChars="200"/>
              <w:textAlignment w:val="auto"/>
              <w:outlineLvl w:val="9"/>
              <w:rPr>
                <w:rFonts w:hint="default" w:ascii="Times New Roman" w:hAnsi="Times New Roman" w:cs="Times New Roman"/>
                <w:b w:val="0"/>
                <w:bCs/>
                <w:i w:val="0"/>
                <w:iCs w:val="0"/>
                <w:color w:val="auto"/>
                <w:sz w:val="24"/>
                <w:szCs w:val="24"/>
                <w:highlight w:val="none"/>
              </w:rPr>
            </w:pPr>
            <w:r>
              <w:rPr>
                <w:rFonts w:hint="default" w:ascii="Times New Roman" w:hAnsi="Times New Roman" w:cs="Times New Roman"/>
                <w:b w:val="0"/>
                <w:bCs/>
                <w:i w:val="0"/>
                <w:iCs w:val="0"/>
                <w:color w:val="auto"/>
                <w:sz w:val="24"/>
                <w:szCs w:val="24"/>
                <w:highlight w:val="none"/>
              </w:rPr>
              <w:t>SO</w:t>
            </w:r>
            <w:r>
              <w:rPr>
                <w:rFonts w:hint="default" w:ascii="Times New Roman" w:hAnsi="Times New Roman" w:cs="Times New Roman"/>
                <w:b w:val="0"/>
                <w:bCs/>
                <w:i w:val="0"/>
                <w:iCs w:val="0"/>
                <w:color w:val="auto"/>
                <w:sz w:val="24"/>
                <w:szCs w:val="24"/>
                <w:highlight w:val="none"/>
                <w:vertAlign w:val="subscript"/>
              </w:rPr>
              <w:t>2</w:t>
            </w:r>
            <w:r>
              <w:rPr>
                <w:rFonts w:hint="default" w:ascii="Times New Roman" w:hAnsi="Times New Roman" w:cs="Times New Roman"/>
                <w:b w:val="0"/>
                <w:bCs/>
                <w:i w:val="0"/>
                <w:iCs w:val="0"/>
                <w:color w:val="auto"/>
                <w:sz w:val="24"/>
                <w:szCs w:val="24"/>
                <w:highlight w:val="none"/>
              </w:rPr>
              <w:t>核定排放量=</w:t>
            </w:r>
            <w:r>
              <w:rPr>
                <w:rFonts w:hint="eastAsia" w:ascii="Times New Roman" w:hAnsi="Times New Roman" w:cs="Times New Roman"/>
                <w:b w:val="0"/>
                <w:bCs/>
                <w:color w:val="auto"/>
                <w:spacing w:val="0"/>
                <w:sz w:val="24"/>
                <w:szCs w:val="24"/>
                <w:highlight w:val="none"/>
                <w:lang w:val="en-US" w:eastAsia="zh-CN"/>
              </w:rPr>
              <w:t>12.84</w:t>
            </w:r>
            <w:r>
              <w:rPr>
                <w:rFonts w:hint="default" w:ascii="Times New Roman" w:hAnsi="Times New Roman" w:cs="Times New Roman"/>
                <w:b w:val="0"/>
                <w:bCs/>
                <w:i w:val="0"/>
                <w:iCs w:val="0"/>
                <w:color w:val="auto"/>
                <w:sz w:val="24"/>
                <w:szCs w:val="24"/>
                <w:highlight w:val="none"/>
              </w:rPr>
              <w:t>Nm</w:t>
            </w:r>
            <w:r>
              <w:rPr>
                <w:rFonts w:hint="default" w:ascii="Times New Roman" w:hAnsi="Times New Roman" w:cs="Times New Roman"/>
                <w:b w:val="0"/>
                <w:bCs/>
                <w:i w:val="0"/>
                <w:iCs w:val="0"/>
                <w:color w:val="auto"/>
                <w:sz w:val="24"/>
                <w:szCs w:val="24"/>
                <w:highlight w:val="none"/>
                <w:vertAlign w:val="superscript"/>
              </w:rPr>
              <w:t>3</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kg</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eastAsia="宋体" w:cs="Times New Roman"/>
                <w:color w:val="auto"/>
                <w:sz w:val="24"/>
                <w:szCs w:val="24"/>
                <w:lang w:val="en-US" w:eastAsia="zh-CN"/>
              </w:rPr>
              <w:t>266.7</w:t>
            </w:r>
            <w:r>
              <w:rPr>
                <w:rFonts w:hint="eastAsia" w:ascii="Times New Roman" w:hAnsi="Times New Roman" w:cs="Times New Roman"/>
                <w:b w:val="0"/>
                <w:bCs/>
                <w:i w:val="0"/>
                <w:iCs w:val="0"/>
                <w:color w:val="auto"/>
                <w:spacing w:val="0"/>
                <w:sz w:val="24"/>
                <w:szCs w:val="24"/>
                <w:highlight w:val="none"/>
                <w:lang w:val="en-US" w:eastAsia="zh-CN"/>
              </w:rPr>
              <w:t>t</w:t>
            </w:r>
            <w:r>
              <w:rPr>
                <w:rFonts w:hint="default" w:ascii="Times New Roman" w:hAnsi="Times New Roman" w:cs="Times New Roman"/>
                <w:b w:val="0"/>
                <w:bCs/>
                <w:i w:val="0"/>
                <w:iCs w:val="0"/>
                <w:color w:val="auto"/>
                <w:spacing w:val="0"/>
                <w:sz w:val="24"/>
                <w:szCs w:val="24"/>
                <w:highlight w:val="none"/>
              </w:rPr>
              <w:t>/a</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20</w:t>
            </w:r>
            <w:r>
              <w:rPr>
                <w:rFonts w:hint="default" w:ascii="Times New Roman" w:hAnsi="Times New Roman" w:cs="Times New Roman"/>
                <w:b w:val="0"/>
                <w:bCs/>
                <w:i w:val="0"/>
                <w:iCs w:val="0"/>
                <w:color w:val="auto"/>
                <w:sz w:val="24"/>
                <w:szCs w:val="24"/>
                <w:highlight w:val="none"/>
              </w:rPr>
              <w:t>0mg/m</w:t>
            </w:r>
            <w:r>
              <w:rPr>
                <w:rFonts w:hint="default" w:ascii="Times New Roman" w:hAnsi="Times New Roman" w:cs="Times New Roman"/>
                <w:b w:val="0"/>
                <w:bCs/>
                <w:i w:val="0"/>
                <w:iCs w:val="0"/>
                <w:color w:val="auto"/>
                <w:sz w:val="24"/>
                <w:szCs w:val="24"/>
                <w:highlight w:val="none"/>
                <w:vertAlign w:val="superscript"/>
              </w:rPr>
              <w:t>3</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0.8</w:t>
            </w:r>
            <w:r>
              <w:rPr>
                <w:rFonts w:hint="default" w:ascii="Times New Roman" w:hAnsi="Times New Roman" w:cs="Times New Roman"/>
                <w:b w:val="0"/>
                <w:bCs/>
                <w:i w:val="0"/>
                <w:iCs w:val="0"/>
                <w:color w:val="auto"/>
                <w:sz w:val="24"/>
                <w:szCs w:val="24"/>
                <w:highlight w:val="none"/>
              </w:rPr>
              <w:t>×10</w:t>
            </w:r>
            <w:r>
              <w:rPr>
                <w:rFonts w:hint="default" w:ascii="Times New Roman" w:hAnsi="Times New Roman" w:cs="Times New Roman"/>
                <w:b w:val="0"/>
                <w:bCs/>
                <w:i w:val="0"/>
                <w:iCs w:val="0"/>
                <w:color w:val="auto"/>
                <w:sz w:val="24"/>
                <w:szCs w:val="24"/>
                <w:highlight w:val="none"/>
                <w:vertAlign w:val="superscript"/>
              </w:rPr>
              <w:t>-</w:t>
            </w:r>
            <w:r>
              <w:rPr>
                <w:rFonts w:hint="eastAsia" w:ascii="Times New Roman" w:hAnsi="Times New Roman" w:cs="Times New Roman"/>
                <w:b w:val="0"/>
                <w:bCs/>
                <w:i w:val="0"/>
                <w:iCs w:val="0"/>
                <w:color w:val="auto"/>
                <w:sz w:val="24"/>
                <w:szCs w:val="24"/>
                <w:highlight w:val="none"/>
                <w:vertAlign w:val="superscript"/>
                <w:lang w:val="en-US" w:eastAsia="zh-CN"/>
              </w:rPr>
              <w:t>6</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0.</w:t>
            </w:r>
            <w:r>
              <w:rPr>
                <w:rFonts w:hint="eastAsia" w:cs="Times New Roman"/>
                <w:b w:val="0"/>
                <w:bCs/>
                <w:i w:val="0"/>
                <w:iCs w:val="0"/>
                <w:color w:val="auto"/>
                <w:sz w:val="24"/>
                <w:szCs w:val="24"/>
                <w:highlight w:val="none"/>
                <w:lang w:val="en-US" w:eastAsia="zh-CN"/>
              </w:rPr>
              <w:t>548</w:t>
            </w:r>
            <w:r>
              <w:rPr>
                <w:rFonts w:hint="default" w:ascii="Times New Roman" w:hAnsi="Times New Roman" w:cs="Times New Roman"/>
                <w:b w:val="0"/>
                <w:bCs/>
                <w:i w:val="0"/>
                <w:iCs w:val="0"/>
                <w:color w:val="auto"/>
                <w:sz w:val="24"/>
                <w:szCs w:val="24"/>
                <w:highlight w:val="none"/>
                <w:lang w:val="en-US" w:eastAsia="zh-CN"/>
              </w:rPr>
              <w:t>t</w:t>
            </w:r>
            <w:r>
              <w:rPr>
                <w:rFonts w:hint="default" w:ascii="Times New Roman" w:hAnsi="Times New Roman" w:cs="Times New Roman"/>
                <w:b w:val="0"/>
                <w:bCs/>
                <w:i w:val="0"/>
                <w:iCs w:val="0"/>
                <w:color w:val="auto"/>
                <w:sz w:val="24"/>
                <w:szCs w:val="24"/>
                <w:highlight w:val="none"/>
              </w:rPr>
              <w:t>/a</w:t>
            </w:r>
          </w:p>
          <w:p w14:paraId="356EEABD">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firstLine="480" w:firstLineChars="200"/>
              <w:textAlignment w:val="auto"/>
              <w:outlineLvl w:val="9"/>
              <w:rPr>
                <w:rFonts w:hint="default" w:ascii="Times New Roman" w:hAnsi="Times New Roman" w:cs="Times New Roman"/>
                <w:b w:val="0"/>
                <w:bCs/>
                <w:i w:val="0"/>
                <w:iCs w:val="0"/>
                <w:color w:val="auto"/>
                <w:sz w:val="24"/>
                <w:szCs w:val="24"/>
                <w:highlight w:val="none"/>
              </w:rPr>
            </w:pPr>
            <w:r>
              <w:rPr>
                <w:rFonts w:hint="default" w:ascii="Times New Roman" w:hAnsi="Times New Roman" w:cs="Times New Roman"/>
                <w:b w:val="0"/>
                <w:bCs/>
                <w:i w:val="0"/>
                <w:iCs w:val="0"/>
                <w:color w:val="auto"/>
                <w:sz w:val="24"/>
                <w:szCs w:val="24"/>
                <w:highlight w:val="none"/>
              </w:rPr>
              <w:t>NO</w:t>
            </w:r>
            <w:r>
              <w:rPr>
                <w:rFonts w:hint="default" w:ascii="Times New Roman" w:hAnsi="Times New Roman" w:cs="Times New Roman"/>
                <w:b w:val="0"/>
                <w:bCs/>
                <w:i w:val="0"/>
                <w:iCs w:val="0"/>
                <w:color w:val="auto"/>
                <w:sz w:val="24"/>
                <w:szCs w:val="24"/>
                <w:highlight w:val="none"/>
                <w:vertAlign w:val="subscript"/>
              </w:rPr>
              <w:t>X</w:t>
            </w:r>
            <w:r>
              <w:rPr>
                <w:rFonts w:hint="default" w:ascii="Times New Roman" w:hAnsi="Times New Roman" w:cs="Times New Roman"/>
                <w:b w:val="0"/>
                <w:bCs/>
                <w:i w:val="0"/>
                <w:iCs w:val="0"/>
                <w:color w:val="auto"/>
                <w:sz w:val="24"/>
                <w:szCs w:val="24"/>
                <w:highlight w:val="none"/>
              </w:rPr>
              <w:t>核定排放量=</w:t>
            </w:r>
            <w:r>
              <w:rPr>
                <w:rFonts w:hint="eastAsia" w:ascii="Times New Roman" w:hAnsi="Times New Roman" w:cs="Times New Roman"/>
                <w:b w:val="0"/>
                <w:bCs/>
                <w:color w:val="auto"/>
                <w:spacing w:val="0"/>
                <w:sz w:val="24"/>
                <w:szCs w:val="24"/>
                <w:highlight w:val="none"/>
                <w:lang w:val="en-US" w:eastAsia="zh-CN"/>
              </w:rPr>
              <w:t>12.84</w:t>
            </w:r>
            <w:r>
              <w:rPr>
                <w:rFonts w:hint="default" w:ascii="Times New Roman" w:hAnsi="Times New Roman" w:cs="Times New Roman"/>
                <w:b w:val="0"/>
                <w:bCs/>
                <w:i w:val="0"/>
                <w:iCs w:val="0"/>
                <w:color w:val="auto"/>
                <w:sz w:val="24"/>
                <w:szCs w:val="24"/>
                <w:highlight w:val="none"/>
              </w:rPr>
              <w:t>Nm</w:t>
            </w:r>
            <w:r>
              <w:rPr>
                <w:rFonts w:hint="default" w:ascii="Times New Roman" w:hAnsi="Times New Roman" w:cs="Times New Roman"/>
                <w:b w:val="0"/>
                <w:bCs/>
                <w:i w:val="0"/>
                <w:iCs w:val="0"/>
                <w:color w:val="auto"/>
                <w:sz w:val="24"/>
                <w:szCs w:val="24"/>
                <w:highlight w:val="none"/>
                <w:vertAlign w:val="superscript"/>
              </w:rPr>
              <w:t>3</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kg</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eastAsia="宋体" w:cs="Times New Roman"/>
                <w:color w:val="auto"/>
                <w:sz w:val="24"/>
                <w:szCs w:val="24"/>
                <w:lang w:val="en-US" w:eastAsia="zh-CN"/>
              </w:rPr>
              <w:t>266.7</w:t>
            </w:r>
            <w:r>
              <w:rPr>
                <w:rFonts w:hint="eastAsia" w:ascii="Times New Roman" w:hAnsi="Times New Roman" w:cs="Times New Roman"/>
                <w:b w:val="0"/>
                <w:bCs/>
                <w:i w:val="0"/>
                <w:iCs w:val="0"/>
                <w:color w:val="auto"/>
                <w:spacing w:val="0"/>
                <w:sz w:val="24"/>
                <w:szCs w:val="24"/>
                <w:highlight w:val="none"/>
                <w:lang w:val="en-US" w:eastAsia="zh-CN"/>
              </w:rPr>
              <w:t>t</w:t>
            </w:r>
            <w:r>
              <w:rPr>
                <w:rFonts w:hint="default" w:ascii="Times New Roman" w:hAnsi="Times New Roman" w:cs="Times New Roman"/>
                <w:b w:val="0"/>
                <w:bCs/>
                <w:i w:val="0"/>
                <w:iCs w:val="0"/>
                <w:color w:val="auto"/>
                <w:spacing w:val="0"/>
                <w:sz w:val="24"/>
                <w:szCs w:val="24"/>
                <w:highlight w:val="none"/>
              </w:rPr>
              <w:t>/a</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25</w:t>
            </w:r>
            <w:r>
              <w:rPr>
                <w:rFonts w:hint="default" w:ascii="Times New Roman" w:hAnsi="Times New Roman" w:cs="Times New Roman"/>
                <w:b w:val="0"/>
                <w:bCs/>
                <w:i w:val="0"/>
                <w:iCs w:val="0"/>
                <w:color w:val="auto"/>
                <w:sz w:val="24"/>
                <w:szCs w:val="24"/>
                <w:highlight w:val="none"/>
              </w:rPr>
              <w:t>0mg/m</w:t>
            </w:r>
            <w:r>
              <w:rPr>
                <w:rFonts w:hint="default" w:ascii="Times New Roman" w:hAnsi="Times New Roman" w:cs="Times New Roman"/>
                <w:b w:val="0"/>
                <w:bCs/>
                <w:i w:val="0"/>
                <w:iCs w:val="0"/>
                <w:color w:val="auto"/>
                <w:sz w:val="24"/>
                <w:szCs w:val="24"/>
                <w:highlight w:val="none"/>
                <w:vertAlign w:val="superscript"/>
              </w:rPr>
              <w:t>3</w:t>
            </w:r>
            <w:r>
              <w:rPr>
                <w:rFonts w:hint="default" w:ascii="Times New Roman" w:hAnsi="Times New Roman" w:cs="Times New Roman"/>
                <w:b w:val="0"/>
                <w:bCs/>
                <w:i w:val="0"/>
                <w:iCs w:val="0"/>
                <w:color w:val="auto"/>
                <w:sz w:val="24"/>
                <w:szCs w:val="24"/>
                <w:highlight w:val="none"/>
              </w:rPr>
              <w:t>×10</w:t>
            </w:r>
            <w:r>
              <w:rPr>
                <w:rFonts w:hint="default" w:ascii="Times New Roman" w:hAnsi="Times New Roman" w:cs="Times New Roman"/>
                <w:b w:val="0"/>
                <w:bCs/>
                <w:i w:val="0"/>
                <w:iCs w:val="0"/>
                <w:color w:val="auto"/>
                <w:sz w:val="24"/>
                <w:szCs w:val="24"/>
                <w:highlight w:val="none"/>
                <w:vertAlign w:val="superscript"/>
              </w:rPr>
              <w:t>-</w:t>
            </w:r>
            <w:r>
              <w:rPr>
                <w:rFonts w:hint="eastAsia" w:ascii="Times New Roman" w:hAnsi="Times New Roman" w:cs="Times New Roman"/>
                <w:b w:val="0"/>
                <w:bCs/>
                <w:i w:val="0"/>
                <w:iCs w:val="0"/>
                <w:color w:val="auto"/>
                <w:sz w:val="24"/>
                <w:szCs w:val="24"/>
                <w:highlight w:val="none"/>
                <w:vertAlign w:val="superscript"/>
                <w:lang w:val="en-US" w:eastAsia="zh-CN"/>
              </w:rPr>
              <w:t>6</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0.</w:t>
            </w:r>
            <w:r>
              <w:rPr>
                <w:rFonts w:hint="eastAsia" w:cs="Times New Roman"/>
                <w:b w:val="0"/>
                <w:bCs/>
                <w:i w:val="0"/>
                <w:iCs w:val="0"/>
                <w:color w:val="auto"/>
                <w:sz w:val="24"/>
                <w:szCs w:val="24"/>
                <w:highlight w:val="none"/>
                <w:lang w:val="en-US" w:eastAsia="zh-CN"/>
              </w:rPr>
              <w:t>856</w:t>
            </w:r>
            <w:r>
              <w:rPr>
                <w:rFonts w:hint="default" w:ascii="Times New Roman" w:hAnsi="Times New Roman" w:cs="Times New Roman"/>
                <w:b w:val="0"/>
                <w:bCs/>
                <w:i w:val="0"/>
                <w:iCs w:val="0"/>
                <w:color w:val="auto"/>
                <w:sz w:val="24"/>
                <w:szCs w:val="24"/>
                <w:highlight w:val="none"/>
              </w:rPr>
              <w:t>t/a</w:t>
            </w:r>
          </w:p>
          <w:p w14:paraId="0AD21E92">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bookmarkStart w:id="67" w:name="_Toc5397"/>
            <w:bookmarkStart w:id="68" w:name="_Toc24792"/>
            <w:r>
              <w:rPr>
                <w:rFonts w:hint="eastAsia" w:eastAsia="宋体" w:cs="Times New Roman"/>
                <w:b w:val="0"/>
                <w:bCs w:val="0"/>
                <w:color w:val="auto"/>
                <w:kern w:val="2"/>
                <w:sz w:val="24"/>
                <w:szCs w:val="24"/>
                <w:highlight w:val="none"/>
                <w:lang w:val="en-US" w:eastAsia="zh-CN" w:bidi="ar-SA"/>
              </w:rPr>
              <w:t>2、骨料加热烘干核定排放量计算说明：</w:t>
            </w:r>
            <w:bookmarkEnd w:id="67"/>
            <w:bookmarkEnd w:id="68"/>
          </w:p>
          <w:p w14:paraId="1051B693">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eastAsia" w:eastAsia="宋体" w:cs="Times New Roman"/>
                <w:b w:val="0"/>
                <w:bCs w:val="0"/>
                <w:color w:val="auto"/>
                <w:kern w:val="2"/>
                <w:sz w:val="24"/>
                <w:szCs w:val="24"/>
                <w:highlight w:val="none"/>
                <w:lang w:val="en-US" w:eastAsia="zh-CN" w:bidi="ar-SA"/>
              </w:rPr>
            </w:pPr>
            <w:bookmarkStart w:id="69" w:name="_Toc27524"/>
            <w:bookmarkStart w:id="70" w:name="_Toc27321"/>
            <w:r>
              <w:rPr>
                <w:rFonts w:hint="eastAsia" w:eastAsia="宋体" w:cs="Times New Roman"/>
                <w:b w:val="0"/>
                <w:bCs w:val="0"/>
                <w:color w:val="auto"/>
                <w:kern w:val="2"/>
                <w:sz w:val="24"/>
                <w:szCs w:val="24"/>
                <w:highlight w:val="none"/>
                <w:lang w:val="en-US" w:eastAsia="zh-CN" w:bidi="ar-SA"/>
              </w:rPr>
              <w:t>根据《排污许可证申请与核发技术规范石墨及其他非金属矿物制品》（HJ1119-2020），沥青烟无核定排放量公式，本项目根据烟气量及执行标准核算核定排放量。</w:t>
            </w:r>
            <w:bookmarkEnd w:id="69"/>
            <w:bookmarkEnd w:id="70"/>
          </w:p>
          <w:p w14:paraId="0C3026D0">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eastAsia" w:ascii="Times New Roman" w:hAnsi="Times New Roman" w:eastAsia="黑体" w:cs="Times New Roman"/>
                <w:b w:val="0"/>
                <w:bCs w:val="0"/>
                <w:color w:val="auto"/>
                <w:kern w:val="2"/>
                <w:sz w:val="24"/>
                <w:szCs w:val="24"/>
                <w:highlight w:val="none"/>
                <w:lang w:val="en-US" w:eastAsia="zh-CN" w:bidi="ar-SA"/>
              </w:rPr>
            </w:pPr>
            <w:bookmarkStart w:id="71" w:name="_Toc29431"/>
            <w:bookmarkStart w:id="72" w:name="_Toc29588"/>
            <w:r>
              <w:rPr>
                <w:rFonts w:hint="eastAsia" w:eastAsia="宋体" w:cs="Times New Roman"/>
                <w:b w:val="0"/>
                <w:bCs w:val="0"/>
                <w:color w:val="auto"/>
                <w:kern w:val="2"/>
                <w:sz w:val="24"/>
                <w:szCs w:val="24"/>
                <w:highlight w:val="none"/>
                <w:lang w:val="en-US" w:eastAsia="zh-CN" w:bidi="ar-SA"/>
              </w:rPr>
              <w:t>骨料加热烘干烟气量为：8195221.1</w:t>
            </w:r>
            <w:r>
              <w:rPr>
                <w:rFonts w:hint="default" w:ascii="Times New Roman" w:hAnsi="Times New Roman" w:cs="Times New Roman"/>
                <w:b w:val="0"/>
                <w:bCs/>
                <w:i w:val="0"/>
                <w:iCs w:val="0"/>
                <w:color w:val="auto"/>
                <w:sz w:val="24"/>
                <w:szCs w:val="24"/>
                <w:highlight w:val="none"/>
              </w:rPr>
              <w:t>m</w:t>
            </w:r>
            <w:r>
              <w:rPr>
                <w:rFonts w:hint="default" w:ascii="Times New Roman" w:hAnsi="Times New Roman" w:cs="Times New Roman"/>
                <w:b w:val="0"/>
                <w:bCs/>
                <w:i w:val="0"/>
                <w:iCs w:val="0"/>
                <w:color w:val="auto"/>
                <w:sz w:val="24"/>
                <w:szCs w:val="24"/>
                <w:highlight w:val="none"/>
                <w:vertAlign w:val="superscript"/>
              </w:rPr>
              <w:t>3</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a</w:t>
            </w:r>
            <w:bookmarkEnd w:id="71"/>
            <w:bookmarkEnd w:id="72"/>
          </w:p>
          <w:p w14:paraId="34A8B9ED">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outlineLvl w:val="9"/>
              <w:rPr>
                <w:rFonts w:hint="default" w:ascii="Times New Roman" w:hAnsi="Times New Roman" w:cs="Times New Roman"/>
                <w:b w:val="0"/>
                <w:bCs/>
                <w:i w:val="0"/>
                <w:iCs w:val="0"/>
                <w:color w:val="auto"/>
                <w:spacing w:val="0"/>
                <w:sz w:val="24"/>
                <w:szCs w:val="24"/>
                <w:highlight w:val="none"/>
              </w:rPr>
            </w:pPr>
            <w:r>
              <w:rPr>
                <w:rFonts w:hint="default" w:ascii="Times New Roman" w:hAnsi="Times New Roman" w:cs="Times New Roman"/>
                <w:b w:val="0"/>
                <w:bCs/>
                <w:i w:val="0"/>
                <w:iCs w:val="0"/>
                <w:color w:val="auto"/>
                <w:spacing w:val="0"/>
                <w:sz w:val="24"/>
                <w:szCs w:val="24"/>
                <w:highlight w:val="none"/>
              </w:rPr>
              <w:t>颗粒物核定排放量=</w:t>
            </w:r>
            <w:r>
              <w:rPr>
                <w:rFonts w:hint="eastAsia" w:cs="Times New Roman"/>
                <w:b w:val="0"/>
                <w:bCs w:val="0"/>
                <w:color w:val="auto"/>
                <w:kern w:val="2"/>
                <w:sz w:val="24"/>
                <w:szCs w:val="24"/>
                <w:highlight w:val="none"/>
                <w:lang w:val="en-US" w:eastAsia="zh-CN" w:bidi="ar-SA"/>
              </w:rPr>
              <w:t>8195221.1</w:t>
            </w:r>
            <w:r>
              <w:rPr>
                <w:rFonts w:hint="default" w:ascii="Times New Roman" w:hAnsi="Times New Roman" w:cs="Times New Roman"/>
                <w:b w:val="0"/>
                <w:bCs/>
                <w:i w:val="0"/>
                <w:iCs w:val="0"/>
                <w:color w:val="auto"/>
                <w:spacing w:val="0"/>
                <w:sz w:val="24"/>
                <w:szCs w:val="24"/>
                <w:highlight w:val="none"/>
              </w:rPr>
              <w:t>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a</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120</w:t>
            </w:r>
            <w:r>
              <w:rPr>
                <w:rFonts w:hint="default" w:ascii="Times New Roman" w:hAnsi="Times New Roman" w:cs="Times New Roman"/>
                <w:b w:val="0"/>
                <w:bCs/>
                <w:i w:val="0"/>
                <w:iCs w:val="0"/>
                <w:color w:val="auto"/>
                <w:spacing w:val="0"/>
                <w:sz w:val="24"/>
                <w:szCs w:val="24"/>
                <w:highlight w:val="none"/>
              </w:rPr>
              <w:t>mg/m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×10</w:t>
            </w:r>
            <w:r>
              <w:rPr>
                <w:rFonts w:hint="default" w:ascii="Times New Roman" w:hAnsi="Times New Roman" w:cs="Times New Roman"/>
                <w:b w:val="0"/>
                <w:bCs/>
                <w:i w:val="0"/>
                <w:iCs w:val="0"/>
                <w:color w:val="auto"/>
                <w:spacing w:val="0"/>
                <w:sz w:val="24"/>
                <w:szCs w:val="24"/>
                <w:highlight w:val="none"/>
                <w:vertAlign w:val="superscript"/>
              </w:rPr>
              <w:t>-</w:t>
            </w:r>
            <w:r>
              <w:rPr>
                <w:rFonts w:hint="eastAsia" w:ascii="Times New Roman" w:hAnsi="Times New Roman" w:cs="Times New Roman"/>
                <w:b w:val="0"/>
                <w:bCs/>
                <w:i w:val="0"/>
                <w:iCs w:val="0"/>
                <w:color w:val="auto"/>
                <w:spacing w:val="0"/>
                <w:sz w:val="24"/>
                <w:szCs w:val="24"/>
                <w:highlight w:val="none"/>
                <w:vertAlign w:val="superscript"/>
                <w:lang w:val="en-US" w:eastAsia="zh-CN"/>
              </w:rPr>
              <w:t>9</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0.</w:t>
            </w:r>
            <w:r>
              <w:rPr>
                <w:rFonts w:hint="eastAsia" w:cs="Times New Roman"/>
                <w:b w:val="0"/>
                <w:bCs/>
                <w:i w:val="0"/>
                <w:iCs w:val="0"/>
                <w:color w:val="auto"/>
                <w:spacing w:val="0"/>
                <w:sz w:val="24"/>
                <w:szCs w:val="24"/>
                <w:highlight w:val="none"/>
                <w:lang w:val="en-US" w:eastAsia="zh-CN"/>
              </w:rPr>
              <w:t>983</w:t>
            </w:r>
            <w:r>
              <w:rPr>
                <w:rFonts w:hint="default" w:ascii="Times New Roman" w:hAnsi="Times New Roman" w:cs="Times New Roman"/>
                <w:b w:val="0"/>
                <w:bCs/>
                <w:i w:val="0"/>
                <w:iCs w:val="0"/>
                <w:color w:val="auto"/>
                <w:spacing w:val="0"/>
                <w:sz w:val="24"/>
                <w:szCs w:val="24"/>
                <w:highlight w:val="none"/>
              </w:rPr>
              <w:t>t/a</w:t>
            </w:r>
          </w:p>
          <w:p w14:paraId="39F5404F">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firstLine="480" w:firstLineChars="200"/>
              <w:textAlignment w:val="auto"/>
              <w:outlineLvl w:val="9"/>
              <w:rPr>
                <w:rFonts w:hint="default" w:ascii="Times New Roman" w:hAnsi="Times New Roman" w:cs="Times New Roman"/>
                <w:b w:val="0"/>
                <w:bCs/>
                <w:i w:val="0"/>
                <w:iCs w:val="0"/>
                <w:color w:val="auto"/>
                <w:sz w:val="24"/>
                <w:szCs w:val="24"/>
                <w:highlight w:val="none"/>
              </w:rPr>
            </w:pPr>
            <w:r>
              <w:rPr>
                <w:rFonts w:hint="default" w:ascii="Times New Roman" w:hAnsi="Times New Roman" w:cs="Times New Roman"/>
                <w:b w:val="0"/>
                <w:bCs/>
                <w:i w:val="0"/>
                <w:iCs w:val="0"/>
                <w:color w:val="auto"/>
                <w:sz w:val="24"/>
                <w:szCs w:val="24"/>
                <w:highlight w:val="none"/>
              </w:rPr>
              <w:t>SO</w:t>
            </w:r>
            <w:r>
              <w:rPr>
                <w:rFonts w:hint="default" w:ascii="Times New Roman" w:hAnsi="Times New Roman" w:cs="Times New Roman"/>
                <w:b w:val="0"/>
                <w:bCs/>
                <w:i w:val="0"/>
                <w:iCs w:val="0"/>
                <w:color w:val="auto"/>
                <w:sz w:val="24"/>
                <w:szCs w:val="24"/>
                <w:highlight w:val="none"/>
                <w:vertAlign w:val="subscript"/>
              </w:rPr>
              <w:t>2</w:t>
            </w:r>
            <w:r>
              <w:rPr>
                <w:rFonts w:hint="default" w:ascii="Times New Roman" w:hAnsi="Times New Roman" w:cs="Times New Roman"/>
                <w:b w:val="0"/>
                <w:bCs/>
                <w:i w:val="0"/>
                <w:iCs w:val="0"/>
                <w:color w:val="auto"/>
                <w:sz w:val="24"/>
                <w:szCs w:val="24"/>
                <w:highlight w:val="none"/>
              </w:rPr>
              <w:t>核定排放量=</w:t>
            </w:r>
            <w:r>
              <w:rPr>
                <w:rFonts w:hint="eastAsia" w:cs="Times New Roman"/>
                <w:b w:val="0"/>
                <w:bCs w:val="0"/>
                <w:color w:val="auto"/>
                <w:kern w:val="2"/>
                <w:sz w:val="24"/>
                <w:szCs w:val="24"/>
                <w:highlight w:val="none"/>
                <w:lang w:val="en-US" w:eastAsia="zh-CN" w:bidi="ar-SA"/>
              </w:rPr>
              <w:t>8195221.1</w:t>
            </w:r>
            <w:r>
              <w:rPr>
                <w:rFonts w:hint="default" w:ascii="Times New Roman" w:hAnsi="Times New Roman" w:cs="Times New Roman"/>
                <w:b w:val="0"/>
                <w:bCs/>
                <w:i w:val="0"/>
                <w:iCs w:val="0"/>
                <w:color w:val="auto"/>
                <w:spacing w:val="0"/>
                <w:sz w:val="24"/>
                <w:szCs w:val="24"/>
                <w:highlight w:val="none"/>
              </w:rPr>
              <w:t>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a</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550</w:t>
            </w:r>
            <w:r>
              <w:rPr>
                <w:rFonts w:hint="default" w:ascii="Times New Roman" w:hAnsi="Times New Roman" w:cs="Times New Roman"/>
                <w:b w:val="0"/>
                <w:bCs/>
                <w:i w:val="0"/>
                <w:iCs w:val="0"/>
                <w:color w:val="auto"/>
                <w:spacing w:val="0"/>
                <w:sz w:val="24"/>
                <w:szCs w:val="24"/>
                <w:highlight w:val="none"/>
              </w:rPr>
              <w:t>mg/m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×10</w:t>
            </w:r>
            <w:r>
              <w:rPr>
                <w:rFonts w:hint="default" w:ascii="Times New Roman" w:hAnsi="Times New Roman" w:cs="Times New Roman"/>
                <w:b w:val="0"/>
                <w:bCs/>
                <w:i w:val="0"/>
                <w:iCs w:val="0"/>
                <w:color w:val="auto"/>
                <w:spacing w:val="0"/>
                <w:sz w:val="24"/>
                <w:szCs w:val="24"/>
                <w:highlight w:val="none"/>
                <w:vertAlign w:val="superscript"/>
              </w:rPr>
              <w:t>-</w:t>
            </w:r>
            <w:r>
              <w:rPr>
                <w:rFonts w:hint="eastAsia" w:ascii="Times New Roman" w:hAnsi="Times New Roman" w:cs="Times New Roman"/>
                <w:b w:val="0"/>
                <w:bCs/>
                <w:i w:val="0"/>
                <w:iCs w:val="0"/>
                <w:color w:val="auto"/>
                <w:spacing w:val="0"/>
                <w:sz w:val="24"/>
                <w:szCs w:val="24"/>
                <w:highlight w:val="none"/>
                <w:vertAlign w:val="superscript"/>
                <w:lang w:val="en-US" w:eastAsia="zh-CN"/>
              </w:rPr>
              <w:t>9</w:t>
            </w:r>
            <w:r>
              <w:rPr>
                <w:rFonts w:hint="default" w:ascii="Times New Roman" w:hAnsi="Times New Roman" w:cs="Times New Roman"/>
                <w:b w:val="0"/>
                <w:bCs/>
                <w:i w:val="0"/>
                <w:iCs w:val="0"/>
                <w:color w:val="auto"/>
                <w:spacing w:val="0"/>
                <w:sz w:val="24"/>
                <w:szCs w:val="24"/>
                <w:highlight w:val="none"/>
              </w:rPr>
              <w:t>=</w:t>
            </w:r>
            <w:r>
              <w:rPr>
                <w:rFonts w:hint="default" w:ascii="Times New Roman" w:hAnsi="Times New Roman" w:cs="Times New Roman"/>
                <w:b w:val="0"/>
                <w:bCs/>
                <w:i w:val="0"/>
                <w:iCs w:val="0"/>
                <w:color w:val="auto"/>
                <w:sz w:val="24"/>
                <w:szCs w:val="24"/>
                <w:highlight w:val="none"/>
              </w:rPr>
              <w:t>=</w:t>
            </w:r>
            <w:r>
              <w:rPr>
                <w:rFonts w:hint="eastAsia" w:cs="Times New Roman"/>
                <w:b w:val="0"/>
                <w:bCs/>
                <w:i w:val="0"/>
                <w:iCs w:val="0"/>
                <w:color w:val="auto"/>
                <w:sz w:val="24"/>
                <w:szCs w:val="24"/>
                <w:highlight w:val="none"/>
                <w:lang w:val="en-US" w:eastAsia="zh-CN"/>
              </w:rPr>
              <w:t>4.507</w:t>
            </w:r>
            <w:r>
              <w:rPr>
                <w:rFonts w:hint="default" w:ascii="Times New Roman" w:hAnsi="Times New Roman" w:cs="Times New Roman"/>
                <w:b w:val="0"/>
                <w:bCs/>
                <w:i w:val="0"/>
                <w:iCs w:val="0"/>
                <w:color w:val="auto"/>
                <w:sz w:val="24"/>
                <w:szCs w:val="24"/>
                <w:highlight w:val="none"/>
                <w:lang w:val="en-US" w:eastAsia="zh-CN"/>
              </w:rPr>
              <w:t>t</w:t>
            </w:r>
            <w:r>
              <w:rPr>
                <w:rFonts w:hint="default" w:ascii="Times New Roman" w:hAnsi="Times New Roman" w:cs="Times New Roman"/>
                <w:b w:val="0"/>
                <w:bCs/>
                <w:i w:val="0"/>
                <w:iCs w:val="0"/>
                <w:color w:val="auto"/>
                <w:sz w:val="24"/>
                <w:szCs w:val="24"/>
                <w:highlight w:val="none"/>
              </w:rPr>
              <w:t>/a</w:t>
            </w:r>
          </w:p>
          <w:p w14:paraId="16A84B88">
            <w:pPr>
              <w:pStyle w:val="33"/>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firstLine="480" w:firstLineChars="200"/>
              <w:textAlignment w:val="auto"/>
              <w:outlineLvl w:val="9"/>
              <w:rPr>
                <w:rFonts w:hint="default" w:ascii="Times New Roman" w:hAnsi="Times New Roman" w:cs="Times New Roman"/>
                <w:b w:val="0"/>
                <w:bCs/>
                <w:i w:val="0"/>
                <w:iCs w:val="0"/>
                <w:color w:val="auto"/>
                <w:sz w:val="24"/>
                <w:szCs w:val="24"/>
                <w:highlight w:val="none"/>
              </w:rPr>
            </w:pPr>
            <w:r>
              <w:rPr>
                <w:rFonts w:hint="default" w:ascii="Times New Roman" w:hAnsi="Times New Roman" w:cs="Times New Roman"/>
                <w:b w:val="0"/>
                <w:bCs/>
                <w:i w:val="0"/>
                <w:iCs w:val="0"/>
                <w:color w:val="auto"/>
                <w:sz w:val="24"/>
                <w:szCs w:val="24"/>
                <w:highlight w:val="none"/>
              </w:rPr>
              <w:t>NO</w:t>
            </w:r>
            <w:r>
              <w:rPr>
                <w:rFonts w:hint="default" w:ascii="Times New Roman" w:hAnsi="Times New Roman" w:cs="Times New Roman"/>
                <w:b w:val="0"/>
                <w:bCs/>
                <w:i w:val="0"/>
                <w:iCs w:val="0"/>
                <w:color w:val="auto"/>
                <w:sz w:val="24"/>
                <w:szCs w:val="24"/>
                <w:highlight w:val="none"/>
                <w:vertAlign w:val="subscript"/>
              </w:rPr>
              <w:t>X</w:t>
            </w:r>
            <w:r>
              <w:rPr>
                <w:rFonts w:hint="default" w:ascii="Times New Roman" w:hAnsi="Times New Roman" w:cs="Times New Roman"/>
                <w:b w:val="0"/>
                <w:bCs/>
                <w:i w:val="0"/>
                <w:iCs w:val="0"/>
                <w:color w:val="auto"/>
                <w:sz w:val="24"/>
                <w:szCs w:val="24"/>
                <w:highlight w:val="none"/>
              </w:rPr>
              <w:t>核定排放量=</w:t>
            </w:r>
            <w:r>
              <w:rPr>
                <w:rFonts w:hint="eastAsia" w:cs="Times New Roman"/>
                <w:b w:val="0"/>
                <w:bCs w:val="0"/>
                <w:color w:val="auto"/>
                <w:kern w:val="2"/>
                <w:sz w:val="24"/>
                <w:szCs w:val="24"/>
                <w:highlight w:val="none"/>
                <w:lang w:val="en-US" w:eastAsia="zh-CN" w:bidi="ar-SA"/>
              </w:rPr>
              <w:t>8195221.1</w:t>
            </w:r>
            <w:r>
              <w:rPr>
                <w:rFonts w:hint="default" w:ascii="Times New Roman" w:hAnsi="Times New Roman" w:cs="Times New Roman"/>
                <w:b w:val="0"/>
                <w:bCs/>
                <w:i w:val="0"/>
                <w:iCs w:val="0"/>
                <w:color w:val="auto"/>
                <w:spacing w:val="0"/>
                <w:sz w:val="24"/>
                <w:szCs w:val="24"/>
                <w:highlight w:val="none"/>
              </w:rPr>
              <w:t>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a</w:t>
            </w:r>
            <w:r>
              <w:rPr>
                <w:rFonts w:hint="default" w:ascii="Times New Roman" w:hAnsi="Times New Roman" w:cs="Times New Roman"/>
                <w:b w:val="0"/>
                <w:bCs/>
                <w:i w:val="0"/>
                <w:iCs w:val="0"/>
                <w:color w:val="auto"/>
                <w:spacing w:val="0"/>
                <w:sz w:val="24"/>
                <w:szCs w:val="24"/>
                <w:highlight w:val="none"/>
              </w:rPr>
              <w:t>×</w:t>
            </w:r>
            <w:r>
              <w:rPr>
                <w:rFonts w:hint="eastAsia" w:ascii="Times New Roman" w:hAnsi="Times New Roman" w:cs="Times New Roman"/>
                <w:b w:val="0"/>
                <w:bCs/>
                <w:i w:val="0"/>
                <w:iCs w:val="0"/>
                <w:color w:val="auto"/>
                <w:spacing w:val="0"/>
                <w:sz w:val="24"/>
                <w:szCs w:val="24"/>
                <w:highlight w:val="none"/>
                <w:lang w:val="en-US" w:eastAsia="zh-CN"/>
              </w:rPr>
              <w:t>240</w:t>
            </w:r>
            <w:r>
              <w:rPr>
                <w:rFonts w:hint="default" w:ascii="Times New Roman" w:hAnsi="Times New Roman" w:cs="Times New Roman"/>
                <w:b w:val="0"/>
                <w:bCs/>
                <w:i w:val="0"/>
                <w:iCs w:val="0"/>
                <w:color w:val="auto"/>
                <w:spacing w:val="0"/>
                <w:sz w:val="24"/>
                <w:szCs w:val="24"/>
                <w:highlight w:val="none"/>
              </w:rPr>
              <w:t>mg/m</w:t>
            </w:r>
            <w:r>
              <w:rPr>
                <w:rFonts w:hint="default" w:ascii="Times New Roman" w:hAnsi="Times New Roman" w:cs="Times New Roman"/>
                <w:b w:val="0"/>
                <w:bCs/>
                <w:i w:val="0"/>
                <w:iCs w:val="0"/>
                <w:color w:val="auto"/>
                <w:spacing w:val="0"/>
                <w:sz w:val="24"/>
                <w:szCs w:val="24"/>
                <w:highlight w:val="none"/>
                <w:vertAlign w:val="superscript"/>
              </w:rPr>
              <w:t>3</w:t>
            </w:r>
            <w:r>
              <w:rPr>
                <w:rFonts w:hint="default" w:ascii="Times New Roman" w:hAnsi="Times New Roman" w:cs="Times New Roman"/>
                <w:b w:val="0"/>
                <w:bCs/>
                <w:i w:val="0"/>
                <w:iCs w:val="0"/>
                <w:color w:val="auto"/>
                <w:spacing w:val="0"/>
                <w:sz w:val="24"/>
                <w:szCs w:val="24"/>
                <w:highlight w:val="none"/>
              </w:rPr>
              <w:t>×10</w:t>
            </w:r>
            <w:r>
              <w:rPr>
                <w:rFonts w:hint="default" w:ascii="Times New Roman" w:hAnsi="Times New Roman" w:cs="Times New Roman"/>
                <w:b w:val="0"/>
                <w:bCs/>
                <w:i w:val="0"/>
                <w:iCs w:val="0"/>
                <w:color w:val="auto"/>
                <w:spacing w:val="0"/>
                <w:sz w:val="24"/>
                <w:szCs w:val="24"/>
                <w:highlight w:val="none"/>
                <w:vertAlign w:val="superscript"/>
              </w:rPr>
              <w:t>-</w:t>
            </w:r>
            <w:r>
              <w:rPr>
                <w:rFonts w:hint="eastAsia" w:ascii="Times New Roman" w:hAnsi="Times New Roman" w:cs="Times New Roman"/>
                <w:b w:val="0"/>
                <w:bCs/>
                <w:i w:val="0"/>
                <w:iCs w:val="0"/>
                <w:color w:val="auto"/>
                <w:spacing w:val="0"/>
                <w:sz w:val="24"/>
                <w:szCs w:val="24"/>
                <w:highlight w:val="none"/>
                <w:vertAlign w:val="superscript"/>
                <w:lang w:val="en-US" w:eastAsia="zh-CN"/>
              </w:rPr>
              <w:t>9</w:t>
            </w:r>
            <w:r>
              <w:rPr>
                <w:rFonts w:hint="default" w:ascii="Times New Roman" w:hAnsi="Times New Roman" w:cs="Times New Roman"/>
                <w:b w:val="0"/>
                <w:bCs/>
                <w:i w:val="0"/>
                <w:iCs w:val="0"/>
                <w:color w:val="auto"/>
                <w:spacing w:val="0"/>
                <w:sz w:val="24"/>
                <w:szCs w:val="24"/>
                <w:highlight w:val="none"/>
              </w:rPr>
              <w:t>=</w:t>
            </w:r>
            <w:r>
              <w:rPr>
                <w:rFonts w:hint="default" w:ascii="Times New Roman" w:hAnsi="Times New Roman" w:cs="Times New Roman"/>
                <w:b w:val="0"/>
                <w:bCs/>
                <w:i w:val="0"/>
                <w:iCs w:val="0"/>
                <w:color w:val="auto"/>
                <w:sz w:val="24"/>
                <w:szCs w:val="24"/>
                <w:highlight w:val="none"/>
              </w:rPr>
              <w:t>=</w:t>
            </w:r>
            <w:r>
              <w:rPr>
                <w:rFonts w:hint="eastAsia" w:ascii="Times New Roman" w:hAnsi="Times New Roman" w:cs="Times New Roman"/>
                <w:b w:val="0"/>
                <w:bCs/>
                <w:i w:val="0"/>
                <w:iCs w:val="0"/>
                <w:color w:val="auto"/>
                <w:sz w:val="24"/>
                <w:szCs w:val="24"/>
                <w:highlight w:val="none"/>
                <w:lang w:val="en-US" w:eastAsia="zh-CN"/>
              </w:rPr>
              <w:t>1.</w:t>
            </w:r>
            <w:r>
              <w:rPr>
                <w:rFonts w:hint="eastAsia" w:cs="Times New Roman"/>
                <w:b w:val="0"/>
                <w:bCs/>
                <w:i w:val="0"/>
                <w:iCs w:val="0"/>
                <w:color w:val="auto"/>
                <w:sz w:val="24"/>
                <w:szCs w:val="24"/>
                <w:highlight w:val="none"/>
                <w:lang w:val="en-US" w:eastAsia="zh-CN"/>
              </w:rPr>
              <w:t>967</w:t>
            </w:r>
            <w:r>
              <w:rPr>
                <w:rFonts w:hint="default" w:ascii="Times New Roman" w:hAnsi="Times New Roman" w:cs="Times New Roman"/>
                <w:b w:val="0"/>
                <w:bCs/>
                <w:i w:val="0"/>
                <w:iCs w:val="0"/>
                <w:color w:val="auto"/>
                <w:sz w:val="24"/>
                <w:szCs w:val="24"/>
                <w:highlight w:val="none"/>
              </w:rPr>
              <w:t>t/a</w:t>
            </w:r>
          </w:p>
          <w:p w14:paraId="101BB909">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400" w:lineRule="exact"/>
              <w:ind w:left="0" w:right="0" w:firstLine="480" w:firstLineChars="200"/>
              <w:textAlignment w:val="baseline"/>
              <w:outlineLvl w:val="9"/>
              <w:rPr>
                <w:rFonts w:hint="default" w:eastAsia="宋体"/>
                <w:color w:val="auto"/>
                <w:sz w:val="24"/>
                <w:szCs w:val="24"/>
                <w:highlight w:val="none"/>
                <w:lang w:val="en-US" w:eastAsia="zh-CN"/>
              </w:rPr>
            </w:pPr>
            <w:r>
              <w:rPr>
                <w:rFonts w:hint="eastAsia"/>
                <w:color w:val="auto"/>
                <w:sz w:val="24"/>
                <w:szCs w:val="24"/>
                <w:highlight w:val="none"/>
                <w:lang w:eastAsia="zh-CN"/>
              </w:rPr>
              <w:t>综上，颗粒物核定排放量为</w:t>
            </w:r>
            <w:r>
              <w:rPr>
                <w:rFonts w:hint="eastAsia"/>
                <w:color w:val="auto"/>
                <w:sz w:val="24"/>
                <w:szCs w:val="24"/>
                <w:highlight w:val="none"/>
                <w:lang w:val="en-US" w:eastAsia="zh-CN"/>
              </w:rPr>
              <w:t>1.086t/a，二氧化硫核定排放量为</w:t>
            </w:r>
            <w:r>
              <w:rPr>
                <w:rFonts w:hint="eastAsia"/>
                <w:color w:val="auto"/>
                <w:sz w:val="24"/>
                <w:szCs w:val="24"/>
                <w:highlight w:val="none"/>
                <w:lang w:val="en-US" w:eastAsia="zh-CN" w:bidi="ar-SA"/>
              </w:rPr>
              <w:t>5.055</w:t>
            </w:r>
            <w:r>
              <w:rPr>
                <w:rFonts w:hint="eastAsia"/>
                <w:color w:val="auto"/>
                <w:sz w:val="24"/>
                <w:szCs w:val="24"/>
                <w:highlight w:val="none"/>
                <w:lang w:val="en-US" w:eastAsia="zh-CN"/>
              </w:rPr>
              <w:t>t/a，氮氧化物核定排放量为</w:t>
            </w:r>
            <w:r>
              <w:rPr>
                <w:rFonts w:hint="eastAsia"/>
                <w:color w:val="auto"/>
                <w:sz w:val="24"/>
                <w:szCs w:val="24"/>
                <w:highlight w:val="none"/>
                <w:lang w:val="en-US" w:eastAsia="zh-CN" w:bidi="ar-SA"/>
              </w:rPr>
              <w:t>2.823</w:t>
            </w:r>
            <w:r>
              <w:rPr>
                <w:rFonts w:hint="eastAsia"/>
                <w:color w:val="auto"/>
                <w:sz w:val="24"/>
                <w:szCs w:val="24"/>
                <w:highlight w:val="none"/>
                <w:lang w:val="en-US" w:eastAsia="zh-CN"/>
              </w:rPr>
              <w:t>t/a。</w:t>
            </w:r>
          </w:p>
          <w:p w14:paraId="2D92F943">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400" w:lineRule="exact"/>
              <w:ind w:left="0" w:right="0" w:firstLine="480" w:firstLineChars="200"/>
              <w:textAlignment w:val="baseline"/>
              <w:outlineLvl w:val="9"/>
              <w:rPr>
                <w:rFonts w:hint="default"/>
                <w:color w:val="auto"/>
                <w:sz w:val="24"/>
                <w:highlight w:val="none"/>
              </w:rPr>
            </w:pPr>
            <w:r>
              <w:rPr>
                <w:rFonts w:hint="default"/>
                <w:color w:val="auto"/>
                <w:sz w:val="24"/>
                <w:szCs w:val="24"/>
                <w:highlight w:val="none"/>
              </w:rPr>
              <w:t>本项目总量控制污</w:t>
            </w:r>
            <w:r>
              <w:rPr>
                <w:rFonts w:hint="default"/>
                <w:color w:val="auto"/>
                <w:sz w:val="24"/>
                <w:highlight w:val="none"/>
              </w:rPr>
              <w:t>染物排放量见下表。</w:t>
            </w:r>
          </w:p>
          <w:p w14:paraId="6E91AE67">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400" w:lineRule="exact"/>
              <w:ind w:left="0" w:right="0" w:firstLine="420" w:firstLineChars="200"/>
              <w:jc w:val="center"/>
              <w:outlineLvl w:val="9"/>
              <w:rPr>
                <w:rFonts w:hint="default"/>
                <w:b/>
                <w:bCs/>
                <w:color w:val="auto"/>
                <w:szCs w:val="21"/>
                <w:highlight w:val="none"/>
              </w:rPr>
            </w:pPr>
            <w:r>
              <w:rPr>
                <w:rFonts w:hint="default"/>
                <w:b/>
                <w:bCs/>
                <w:color w:val="auto"/>
                <w:szCs w:val="21"/>
                <w:highlight w:val="none"/>
              </w:rPr>
              <w:t>表3-</w:t>
            </w:r>
            <w:r>
              <w:rPr>
                <w:rFonts w:hint="eastAsia"/>
                <w:b/>
                <w:bCs/>
                <w:color w:val="auto"/>
                <w:szCs w:val="21"/>
                <w:highlight w:val="none"/>
                <w:lang w:val="en-US" w:eastAsia="zh-CN"/>
              </w:rPr>
              <w:t>8</w:t>
            </w:r>
            <w:r>
              <w:rPr>
                <w:rFonts w:hint="default"/>
                <w:b/>
                <w:bCs/>
                <w:color w:val="auto"/>
                <w:szCs w:val="21"/>
                <w:highlight w:val="none"/>
              </w:rPr>
              <w:t>总量控制表（单位：t/a）</w:t>
            </w:r>
          </w:p>
          <w:tbl>
            <w:tblPr>
              <w:tblStyle w:val="35"/>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3426"/>
              <w:gridCol w:w="3426"/>
            </w:tblGrid>
            <w:tr w14:paraId="48B0D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pct"/>
                  <w:noWrap w:val="0"/>
                  <w:vAlign w:val="center"/>
                </w:tcPr>
                <w:p w14:paraId="698529B9">
                  <w:pPr>
                    <w:pStyle w:val="18"/>
                    <w:keepLines w:val="0"/>
                    <w:pageBreakBefore w:val="0"/>
                    <w:shd w:val="clear" w:color="auto" w:fill="auto"/>
                    <w:wordWrap/>
                    <w:topLinePunct w:val="0"/>
                    <w:bidi w:val="0"/>
                    <w:jc w:val="center"/>
                    <w:outlineLvl w:val="9"/>
                    <w:rPr>
                      <w:rFonts w:ascii="Times New Roman" w:hAnsi="Times New Roman"/>
                      <w:bCs/>
                      <w:color w:val="auto"/>
                      <w:highlight w:val="none"/>
                      <w:lang w:val="en-US" w:eastAsia="zh-CN"/>
                    </w:rPr>
                  </w:pPr>
                  <w:r>
                    <w:rPr>
                      <w:rFonts w:ascii="Times New Roman" w:hAnsi="Times New Roman"/>
                      <w:bCs/>
                      <w:color w:val="auto"/>
                      <w:highlight w:val="none"/>
                      <w:lang w:val="en-US" w:eastAsia="zh-CN"/>
                    </w:rPr>
                    <w:t>污染物</w:t>
                  </w:r>
                </w:p>
              </w:tc>
              <w:tc>
                <w:tcPr>
                  <w:tcW w:w="1901" w:type="pct"/>
                  <w:noWrap w:val="0"/>
                  <w:vAlign w:val="center"/>
                </w:tcPr>
                <w:p w14:paraId="651CCC87">
                  <w:pPr>
                    <w:pStyle w:val="18"/>
                    <w:keepLines w:val="0"/>
                    <w:pageBreakBefore w:val="0"/>
                    <w:shd w:val="clear" w:color="auto" w:fill="auto"/>
                    <w:wordWrap/>
                    <w:topLinePunct w:val="0"/>
                    <w:bidi w:val="0"/>
                    <w:jc w:val="center"/>
                    <w:outlineLvl w:val="9"/>
                    <w:rPr>
                      <w:rFonts w:ascii="Times New Roman" w:hAnsi="Times New Roman"/>
                      <w:bCs/>
                      <w:color w:val="auto"/>
                      <w:highlight w:val="none"/>
                      <w:lang w:val="en-US" w:eastAsia="zh-CN"/>
                    </w:rPr>
                  </w:pPr>
                  <w:r>
                    <w:rPr>
                      <w:rFonts w:ascii="Times New Roman" w:hAnsi="Times New Roman"/>
                      <w:bCs/>
                      <w:color w:val="auto"/>
                      <w:highlight w:val="none"/>
                      <w:lang w:val="en-US" w:eastAsia="zh-CN"/>
                    </w:rPr>
                    <w:t>本项目预测排放量</w:t>
                  </w:r>
                </w:p>
              </w:tc>
              <w:tc>
                <w:tcPr>
                  <w:tcW w:w="1901" w:type="pct"/>
                  <w:noWrap w:val="0"/>
                  <w:vAlign w:val="center"/>
                </w:tcPr>
                <w:p w14:paraId="2BAC2063">
                  <w:pPr>
                    <w:pStyle w:val="18"/>
                    <w:keepLines w:val="0"/>
                    <w:pageBreakBefore w:val="0"/>
                    <w:shd w:val="clear" w:color="auto" w:fill="auto"/>
                    <w:wordWrap/>
                    <w:topLinePunct w:val="0"/>
                    <w:bidi w:val="0"/>
                    <w:jc w:val="center"/>
                    <w:outlineLvl w:val="9"/>
                    <w:rPr>
                      <w:rFonts w:ascii="Times New Roman" w:hAnsi="Times New Roman"/>
                      <w:bCs/>
                      <w:color w:val="auto"/>
                      <w:highlight w:val="none"/>
                      <w:lang w:val="en-US" w:eastAsia="zh-CN"/>
                    </w:rPr>
                  </w:pPr>
                  <w:r>
                    <w:rPr>
                      <w:rFonts w:ascii="Times New Roman" w:hAnsi="Times New Roman"/>
                      <w:bCs/>
                      <w:color w:val="auto"/>
                      <w:highlight w:val="none"/>
                      <w:lang w:val="en-US" w:eastAsia="zh-CN"/>
                    </w:rPr>
                    <w:t>核定排放量</w:t>
                  </w:r>
                </w:p>
              </w:tc>
            </w:tr>
            <w:tr w14:paraId="6EB5EC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96" w:type="pct"/>
                  <w:noWrap w:val="0"/>
                  <w:vAlign w:val="center"/>
                </w:tcPr>
                <w:p w14:paraId="0114CF87">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颗粒物</w:t>
                  </w:r>
                </w:p>
              </w:tc>
              <w:tc>
                <w:tcPr>
                  <w:tcW w:w="3426" w:type="dxa"/>
                  <w:noWrap w:val="0"/>
                  <w:vAlign w:val="center"/>
                </w:tcPr>
                <w:p w14:paraId="46184987">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sz w:val="21"/>
                      <w:szCs w:val="21"/>
                      <w:highlight w:val="none"/>
                      <w:lang w:val="en-US" w:eastAsia="zh-CN"/>
                    </w:rPr>
                    <w:t>1.818</w:t>
                  </w:r>
                </w:p>
              </w:tc>
              <w:tc>
                <w:tcPr>
                  <w:tcW w:w="1901" w:type="pct"/>
                  <w:noWrap w:val="0"/>
                  <w:vAlign w:val="center"/>
                </w:tcPr>
                <w:p w14:paraId="12A4DC53">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eastAsia="宋体"/>
                      <w:color w:val="auto"/>
                      <w:sz w:val="21"/>
                      <w:szCs w:val="21"/>
                      <w:highlight w:val="none"/>
                      <w:lang w:val="en-US" w:eastAsia="zh-CN" w:bidi="ar-SA"/>
                    </w:rPr>
                  </w:pPr>
                  <w:r>
                    <w:rPr>
                      <w:rFonts w:hint="eastAsia"/>
                      <w:color w:val="auto"/>
                      <w:szCs w:val="21"/>
                      <w:highlight w:val="none"/>
                      <w:lang w:val="en-US" w:eastAsia="zh-CN"/>
                    </w:rPr>
                    <w:t>1.086</w:t>
                  </w:r>
                </w:p>
              </w:tc>
            </w:tr>
            <w:tr w14:paraId="445B4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6" w:type="pct"/>
                  <w:noWrap w:val="0"/>
                  <w:vAlign w:val="center"/>
                </w:tcPr>
                <w:p w14:paraId="10B1F223">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二氧化硫</w:t>
                  </w:r>
                </w:p>
              </w:tc>
              <w:tc>
                <w:tcPr>
                  <w:tcW w:w="3426" w:type="dxa"/>
                  <w:noWrap w:val="0"/>
                  <w:vAlign w:val="center"/>
                </w:tcPr>
                <w:p w14:paraId="4510CE39">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sz w:val="21"/>
                      <w:szCs w:val="21"/>
                      <w:highlight w:val="none"/>
                      <w:lang w:val="en-US" w:eastAsia="zh-CN"/>
                    </w:rPr>
                    <w:t>0.3572</w:t>
                  </w:r>
                </w:p>
              </w:tc>
              <w:tc>
                <w:tcPr>
                  <w:tcW w:w="1901" w:type="pct"/>
                  <w:noWrap w:val="0"/>
                  <w:vAlign w:val="center"/>
                </w:tcPr>
                <w:p w14:paraId="09F1C28A">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eastAsia="宋体"/>
                      <w:color w:val="auto"/>
                      <w:sz w:val="21"/>
                      <w:szCs w:val="21"/>
                      <w:highlight w:val="none"/>
                      <w:lang w:val="en-US" w:eastAsia="zh-CN" w:bidi="ar-SA"/>
                    </w:rPr>
                  </w:pPr>
                  <w:r>
                    <w:rPr>
                      <w:rFonts w:hint="eastAsia"/>
                      <w:color w:val="auto"/>
                      <w:sz w:val="21"/>
                      <w:szCs w:val="21"/>
                      <w:highlight w:val="none"/>
                      <w:lang w:val="en-US" w:eastAsia="zh-CN" w:bidi="ar-SA"/>
                    </w:rPr>
                    <w:t>5.055</w:t>
                  </w:r>
                </w:p>
              </w:tc>
            </w:tr>
            <w:tr w14:paraId="10DDE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6" w:type="pct"/>
                  <w:noWrap w:val="0"/>
                  <w:vAlign w:val="center"/>
                </w:tcPr>
                <w:p w14:paraId="29AAB4FF">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氮氧化物</w:t>
                  </w:r>
                </w:p>
              </w:tc>
              <w:tc>
                <w:tcPr>
                  <w:tcW w:w="3426" w:type="dxa"/>
                  <w:noWrap w:val="0"/>
                  <w:vAlign w:val="center"/>
                </w:tcPr>
                <w:p w14:paraId="6E7B526D">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sz w:val="21"/>
                      <w:szCs w:val="21"/>
                      <w:highlight w:val="none"/>
                      <w:lang w:val="en-US" w:eastAsia="zh-CN"/>
                    </w:rPr>
                    <w:t>2.728</w:t>
                  </w:r>
                </w:p>
              </w:tc>
              <w:tc>
                <w:tcPr>
                  <w:tcW w:w="1901" w:type="pct"/>
                  <w:noWrap w:val="0"/>
                  <w:vAlign w:val="center"/>
                </w:tcPr>
                <w:p w14:paraId="7B42DF90">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eastAsia="宋体"/>
                      <w:color w:val="auto"/>
                      <w:sz w:val="21"/>
                      <w:szCs w:val="21"/>
                      <w:highlight w:val="none"/>
                      <w:lang w:val="en-US" w:eastAsia="zh-CN" w:bidi="ar-SA"/>
                    </w:rPr>
                  </w:pPr>
                  <w:r>
                    <w:rPr>
                      <w:rFonts w:hint="eastAsia"/>
                      <w:color w:val="auto"/>
                      <w:sz w:val="21"/>
                      <w:szCs w:val="21"/>
                      <w:highlight w:val="none"/>
                      <w:lang w:val="en-US" w:eastAsia="zh-CN" w:bidi="ar-SA"/>
                    </w:rPr>
                    <w:t>2.823</w:t>
                  </w:r>
                </w:p>
              </w:tc>
            </w:tr>
          </w:tbl>
          <w:p w14:paraId="52B27F05">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bookmarkStart w:id="73" w:name="_Toc17921"/>
            <w:bookmarkStart w:id="74" w:name="_Toc25423"/>
            <w:r>
              <w:rPr>
                <w:rFonts w:hint="eastAsia" w:eastAsia="宋体" w:cs="Times New Roman"/>
                <w:b w:val="0"/>
                <w:bCs w:val="0"/>
                <w:color w:val="auto"/>
                <w:kern w:val="2"/>
                <w:sz w:val="24"/>
                <w:szCs w:val="24"/>
                <w:highlight w:val="none"/>
                <w:lang w:val="en-US" w:eastAsia="zh-CN" w:bidi="ar-SA"/>
              </w:rPr>
              <w:t>本项目三本账见表3-</w:t>
            </w:r>
            <w:r>
              <w:rPr>
                <w:rFonts w:hint="eastAsia" w:cs="Times New Roman"/>
                <w:b w:val="0"/>
                <w:bCs w:val="0"/>
                <w:color w:val="auto"/>
                <w:kern w:val="2"/>
                <w:sz w:val="24"/>
                <w:szCs w:val="24"/>
                <w:highlight w:val="none"/>
                <w:lang w:val="en-US" w:eastAsia="zh-CN" w:bidi="ar-SA"/>
              </w:rPr>
              <w:t>9</w:t>
            </w:r>
            <w:r>
              <w:rPr>
                <w:rFonts w:hint="eastAsia" w:eastAsia="宋体" w:cs="Times New Roman"/>
                <w:b w:val="0"/>
                <w:bCs w:val="0"/>
                <w:color w:val="auto"/>
                <w:kern w:val="2"/>
                <w:sz w:val="24"/>
                <w:szCs w:val="24"/>
                <w:highlight w:val="none"/>
                <w:lang w:val="en-US" w:eastAsia="zh-CN" w:bidi="ar-SA"/>
              </w:rPr>
              <w:t>。</w:t>
            </w:r>
            <w:bookmarkEnd w:id="73"/>
            <w:bookmarkEnd w:id="74"/>
          </w:p>
          <w:p w14:paraId="43F6C09E">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400" w:lineRule="exact"/>
              <w:ind w:left="0" w:right="0" w:firstLine="420" w:firstLineChars="200"/>
              <w:jc w:val="center"/>
              <w:outlineLvl w:val="9"/>
              <w:rPr>
                <w:rFonts w:hint="eastAsia" w:eastAsia="宋体"/>
                <w:b/>
                <w:bCs/>
                <w:color w:val="auto"/>
                <w:szCs w:val="21"/>
                <w:highlight w:val="none"/>
                <w:lang w:eastAsia="zh-CN"/>
              </w:rPr>
            </w:pPr>
            <w:r>
              <w:rPr>
                <w:rFonts w:hint="default"/>
                <w:b/>
                <w:bCs/>
                <w:color w:val="auto"/>
                <w:szCs w:val="21"/>
                <w:highlight w:val="none"/>
              </w:rPr>
              <w:t>表3-</w:t>
            </w:r>
            <w:r>
              <w:rPr>
                <w:rFonts w:hint="eastAsia"/>
                <w:b/>
                <w:bCs/>
                <w:color w:val="auto"/>
                <w:szCs w:val="21"/>
                <w:highlight w:val="none"/>
                <w:lang w:val="en-US" w:eastAsia="zh-CN"/>
              </w:rPr>
              <w:t>9</w:t>
            </w:r>
            <w:r>
              <w:rPr>
                <w:rFonts w:hint="eastAsia"/>
                <w:b/>
                <w:bCs/>
                <w:color w:val="auto"/>
                <w:szCs w:val="21"/>
                <w:highlight w:val="none"/>
                <w:lang w:eastAsia="zh-CN"/>
              </w:rPr>
              <w:t>“三本账”情况表</w:t>
            </w:r>
            <w:r>
              <w:rPr>
                <w:rFonts w:hint="default"/>
                <w:b/>
                <w:bCs/>
                <w:color w:val="auto"/>
                <w:szCs w:val="21"/>
                <w:highlight w:val="none"/>
              </w:rPr>
              <w:t>（单位：t/a）</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1429"/>
              <w:gridCol w:w="1600"/>
              <w:gridCol w:w="1600"/>
              <w:gridCol w:w="1600"/>
              <w:gridCol w:w="1600"/>
            </w:tblGrid>
            <w:tr w14:paraId="74D282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dxa"/>
                  <w:noWrap w:val="0"/>
                  <w:vAlign w:val="center"/>
                </w:tcPr>
                <w:p w14:paraId="763E2F6E">
                  <w:pPr>
                    <w:pStyle w:val="18"/>
                    <w:keepLines w:val="0"/>
                    <w:pageBreakBefore w:val="0"/>
                    <w:shd w:val="clear" w:color="auto" w:fill="auto"/>
                    <w:wordWrap/>
                    <w:topLinePunct w:val="0"/>
                    <w:bidi w:val="0"/>
                    <w:jc w:val="center"/>
                    <w:outlineLvl w:val="9"/>
                    <w:rPr>
                      <w:rFonts w:ascii="Times New Roman" w:hAnsi="Times New Roman"/>
                      <w:bCs/>
                      <w:color w:val="auto"/>
                      <w:highlight w:val="none"/>
                      <w:lang w:val="en-US" w:eastAsia="zh-CN"/>
                    </w:rPr>
                  </w:pPr>
                  <w:r>
                    <w:rPr>
                      <w:rFonts w:ascii="Times New Roman" w:hAnsi="Times New Roman"/>
                      <w:bCs/>
                      <w:color w:val="auto"/>
                      <w:highlight w:val="none"/>
                      <w:lang w:val="en-US" w:eastAsia="zh-CN"/>
                    </w:rPr>
                    <w:t>污染物</w:t>
                  </w:r>
                </w:p>
              </w:tc>
              <w:tc>
                <w:tcPr>
                  <w:tcW w:w="1429" w:type="dxa"/>
                  <w:noWrap w:val="0"/>
                  <w:vAlign w:val="center"/>
                </w:tcPr>
                <w:p w14:paraId="1A4BA0CB">
                  <w:pPr>
                    <w:pStyle w:val="18"/>
                    <w:keepLines w:val="0"/>
                    <w:pageBreakBefore w:val="0"/>
                    <w:shd w:val="clear" w:color="auto" w:fill="auto"/>
                    <w:wordWrap/>
                    <w:topLinePunct w:val="0"/>
                    <w:bidi w:val="0"/>
                    <w:jc w:val="center"/>
                    <w:outlineLvl w:val="9"/>
                    <w:rPr>
                      <w:rFonts w:ascii="Times New Roman" w:hAnsi="Times New Roman"/>
                      <w:bCs/>
                      <w:color w:val="auto"/>
                      <w:highlight w:val="none"/>
                      <w:lang w:val="en-US" w:eastAsia="zh-CN"/>
                    </w:rPr>
                  </w:pPr>
                  <w:r>
                    <w:rPr>
                      <w:rFonts w:hint="eastAsia" w:ascii="Times New Roman" w:hAnsi="Times New Roman"/>
                      <w:bCs/>
                      <w:color w:val="auto"/>
                      <w:highlight w:val="none"/>
                      <w:lang w:val="en-US" w:eastAsia="zh-CN"/>
                    </w:rPr>
                    <w:t>现有工程实际排放量</w:t>
                  </w:r>
                </w:p>
              </w:tc>
              <w:tc>
                <w:tcPr>
                  <w:tcW w:w="1600" w:type="dxa"/>
                  <w:noWrap w:val="0"/>
                  <w:vAlign w:val="center"/>
                </w:tcPr>
                <w:p w14:paraId="06DF3BFC">
                  <w:pPr>
                    <w:pStyle w:val="18"/>
                    <w:keepLines w:val="0"/>
                    <w:pageBreakBefore w:val="0"/>
                    <w:shd w:val="clear" w:color="auto" w:fill="auto"/>
                    <w:wordWrap/>
                    <w:topLinePunct w:val="0"/>
                    <w:bidi w:val="0"/>
                    <w:jc w:val="center"/>
                    <w:outlineLvl w:val="9"/>
                    <w:rPr>
                      <w:rFonts w:hint="eastAsia" w:ascii="Times New Roman" w:hAnsi="Times New Roman" w:eastAsia="宋体"/>
                      <w:bCs/>
                      <w:color w:val="auto"/>
                      <w:highlight w:val="none"/>
                      <w:lang w:val="en-US" w:eastAsia="zh-CN"/>
                    </w:rPr>
                  </w:pPr>
                  <w:r>
                    <w:rPr>
                      <w:rFonts w:hint="eastAsia" w:ascii="Times New Roman" w:hAnsi="Times New Roman"/>
                      <w:bCs/>
                      <w:color w:val="auto"/>
                      <w:highlight w:val="none"/>
                      <w:lang w:val="en-US" w:eastAsia="zh-CN"/>
                    </w:rPr>
                    <w:t>本项目预测排放量</w:t>
                  </w:r>
                </w:p>
              </w:tc>
              <w:tc>
                <w:tcPr>
                  <w:tcW w:w="1600" w:type="dxa"/>
                  <w:noWrap w:val="0"/>
                  <w:vAlign w:val="center"/>
                </w:tcPr>
                <w:p w14:paraId="14D9B2C0">
                  <w:pPr>
                    <w:pStyle w:val="18"/>
                    <w:keepLines w:val="0"/>
                    <w:pageBreakBefore w:val="0"/>
                    <w:shd w:val="clear" w:color="auto" w:fill="auto"/>
                    <w:wordWrap/>
                    <w:topLinePunct w:val="0"/>
                    <w:bidi w:val="0"/>
                    <w:jc w:val="center"/>
                    <w:outlineLvl w:val="9"/>
                    <w:rPr>
                      <w:rFonts w:hint="eastAsia" w:ascii="Times New Roman" w:hAnsi="Times New Roman"/>
                      <w:bCs/>
                      <w:color w:val="auto"/>
                      <w:highlight w:val="none"/>
                      <w:lang w:val="en-US" w:eastAsia="zh-CN"/>
                    </w:rPr>
                  </w:pPr>
                  <w:r>
                    <w:rPr>
                      <w:rFonts w:hint="eastAsia" w:ascii="Times New Roman" w:hAnsi="Times New Roman"/>
                      <w:bCs/>
                      <w:color w:val="auto"/>
                      <w:highlight w:val="none"/>
                      <w:lang w:val="en-US" w:eastAsia="zh-CN"/>
                    </w:rPr>
                    <w:t>本项目核定排放量</w:t>
                  </w:r>
                </w:p>
              </w:tc>
              <w:tc>
                <w:tcPr>
                  <w:tcW w:w="1600" w:type="dxa"/>
                  <w:noWrap w:val="0"/>
                  <w:vAlign w:val="center"/>
                </w:tcPr>
                <w:p w14:paraId="0851DD28">
                  <w:pPr>
                    <w:pStyle w:val="18"/>
                    <w:keepLines w:val="0"/>
                    <w:pageBreakBefore w:val="0"/>
                    <w:shd w:val="clear" w:color="auto" w:fill="auto"/>
                    <w:wordWrap/>
                    <w:topLinePunct w:val="0"/>
                    <w:bidi w:val="0"/>
                    <w:jc w:val="center"/>
                    <w:outlineLvl w:val="9"/>
                    <w:rPr>
                      <w:rFonts w:hint="eastAsia" w:ascii="Times New Roman" w:hAnsi="Times New Roman"/>
                      <w:bCs/>
                      <w:color w:val="auto"/>
                      <w:highlight w:val="none"/>
                      <w:lang w:val="en-US" w:eastAsia="zh-CN"/>
                    </w:rPr>
                  </w:pPr>
                  <w:r>
                    <w:rPr>
                      <w:rFonts w:hint="eastAsia" w:ascii="Times New Roman" w:hAnsi="Times New Roman"/>
                      <w:bCs/>
                      <w:color w:val="auto"/>
                      <w:highlight w:val="none"/>
                      <w:lang w:val="en-US" w:eastAsia="zh-CN"/>
                    </w:rPr>
                    <w:t>“以新带老”削减量</w:t>
                  </w:r>
                </w:p>
              </w:tc>
              <w:tc>
                <w:tcPr>
                  <w:tcW w:w="1600" w:type="dxa"/>
                  <w:noWrap w:val="0"/>
                  <w:vAlign w:val="center"/>
                </w:tcPr>
                <w:p w14:paraId="18E7A9C8">
                  <w:pPr>
                    <w:pStyle w:val="18"/>
                    <w:keepLines w:val="0"/>
                    <w:pageBreakBefore w:val="0"/>
                    <w:shd w:val="clear" w:color="auto" w:fill="auto"/>
                    <w:wordWrap/>
                    <w:topLinePunct w:val="0"/>
                    <w:bidi w:val="0"/>
                    <w:jc w:val="center"/>
                    <w:outlineLvl w:val="9"/>
                    <w:rPr>
                      <w:rFonts w:hint="eastAsia" w:ascii="Times New Roman" w:hAnsi="Times New Roman"/>
                      <w:bCs/>
                      <w:color w:val="auto"/>
                      <w:highlight w:val="none"/>
                      <w:lang w:val="en-US" w:eastAsia="zh-CN"/>
                    </w:rPr>
                  </w:pPr>
                  <w:r>
                    <w:rPr>
                      <w:rFonts w:hint="eastAsia" w:ascii="Times New Roman" w:hAnsi="Times New Roman"/>
                      <w:bCs/>
                      <w:color w:val="auto"/>
                      <w:highlight w:val="none"/>
                      <w:lang w:val="en-US" w:eastAsia="zh-CN"/>
                    </w:rPr>
                    <w:t>全厂排放量</w:t>
                  </w:r>
                </w:p>
              </w:tc>
            </w:tr>
            <w:tr w14:paraId="47EEB6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dxa"/>
                  <w:noWrap w:val="0"/>
                  <w:vAlign w:val="center"/>
                </w:tcPr>
                <w:p w14:paraId="33CC7F8E">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颗粒物</w:t>
                  </w:r>
                </w:p>
              </w:tc>
              <w:tc>
                <w:tcPr>
                  <w:tcW w:w="1429" w:type="dxa"/>
                  <w:noWrap w:val="0"/>
                  <w:vAlign w:val="center"/>
                </w:tcPr>
                <w:p w14:paraId="7F7E6AE2">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eastAsia="宋体" w:cs="Times New Roman"/>
                      <w:color w:val="auto"/>
                      <w:kern w:val="2"/>
                      <w:sz w:val="21"/>
                      <w:szCs w:val="22"/>
                      <w:highlight w:val="none"/>
                      <w:lang w:val="en-US" w:eastAsia="zh-CN" w:bidi="ar-SA"/>
                    </w:rPr>
                  </w:pPr>
                  <w:r>
                    <w:rPr>
                      <w:rFonts w:hint="eastAsia" w:ascii="Times New Roman"/>
                      <w:snapToGrid w:val="0"/>
                      <w:color w:val="auto"/>
                      <w:kern w:val="21"/>
                      <w:szCs w:val="21"/>
                      <w:highlight w:val="none"/>
                      <w:lang w:val="en-US" w:eastAsia="zh-CN"/>
                    </w:rPr>
                    <w:t>0.249</w:t>
                  </w:r>
                </w:p>
              </w:tc>
              <w:tc>
                <w:tcPr>
                  <w:tcW w:w="1600" w:type="dxa"/>
                  <w:noWrap w:val="0"/>
                  <w:vAlign w:val="center"/>
                </w:tcPr>
                <w:p w14:paraId="25EEA751">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1.818</w:t>
                  </w:r>
                </w:p>
              </w:tc>
              <w:tc>
                <w:tcPr>
                  <w:tcW w:w="1600" w:type="dxa"/>
                  <w:noWrap w:val="0"/>
                  <w:vAlign w:val="center"/>
                </w:tcPr>
                <w:p w14:paraId="78BBD0C8">
                  <w:pPr>
                    <w:pStyle w:val="177"/>
                    <w:keepNext w:val="0"/>
                    <w:keepLines w:val="0"/>
                    <w:pageBreakBefore w:val="0"/>
                    <w:widowControl/>
                    <w:suppressLineNumbers w:val="0"/>
                    <w:shd w:val="clear" w:color="auto" w:fill="auto"/>
                    <w:wordWrap/>
                    <w:topLinePunct w:val="0"/>
                    <w:bidi w:val="0"/>
                    <w:spacing w:before="0" w:beforeAutospacing="0" w:after="0" w:afterAutospacing="0"/>
                    <w:ind w:left="0" w:leftChars="0" w:right="0" w:rightChars="0"/>
                    <w:outlineLvl w:val="9"/>
                    <w:rPr>
                      <w:rFonts w:hint="eastAsia"/>
                      <w:color w:val="auto"/>
                      <w:szCs w:val="21"/>
                      <w:highlight w:val="none"/>
                      <w:lang w:val="en-US" w:eastAsia="zh-CN"/>
                    </w:rPr>
                  </w:pPr>
                  <w:r>
                    <w:rPr>
                      <w:rFonts w:hint="eastAsia"/>
                      <w:color w:val="auto"/>
                      <w:szCs w:val="21"/>
                      <w:highlight w:val="none"/>
                      <w:lang w:val="en-US" w:eastAsia="zh-CN"/>
                    </w:rPr>
                    <w:t>1.086</w:t>
                  </w:r>
                </w:p>
              </w:tc>
              <w:tc>
                <w:tcPr>
                  <w:tcW w:w="1600" w:type="dxa"/>
                  <w:noWrap w:val="0"/>
                  <w:vAlign w:val="center"/>
                </w:tcPr>
                <w:p w14:paraId="0A39812F">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color w:val="auto"/>
                      <w:szCs w:val="21"/>
                      <w:highlight w:val="none"/>
                      <w:lang w:val="en-US" w:eastAsia="zh-CN"/>
                    </w:rPr>
                  </w:pPr>
                  <w:r>
                    <w:rPr>
                      <w:rFonts w:hint="eastAsia" w:ascii="Times New Roman"/>
                      <w:snapToGrid w:val="0"/>
                      <w:color w:val="auto"/>
                      <w:kern w:val="21"/>
                      <w:szCs w:val="21"/>
                      <w:highlight w:val="none"/>
                      <w:lang w:val="en-US" w:eastAsia="zh-CN"/>
                    </w:rPr>
                    <w:t>0.249</w:t>
                  </w:r>
                </w:p>
              </w:tc>
              <w:tc>
                <w:tcPr>
                  <w:tcW w:w="1600" w:type="dxa"/>
                  <w:noWrap w:val="0"/>
                  <w:vAlign w:val="center"/>
                </w:tcPr>
                <w:p w14:paraId="4D83B205">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color w:val="auto"/>
                      <w:szCs w:val="21"/>
                      <w:highlight w:val="none"/>
                      <w:lang w:val="en-US" w:eastAsia="zh-CN"/>
                    </w:rPr>
                  </w:pPr>
                  <w:r>
                    <w:rPr>
                      <w:rFonts w:hint="eastAsia" w:ascii="Times New Roman" w:hAnsi="Times New Roman" w:eastAsia="宋体" w:cs="Times New Roman"/>
                      <w:color w:val="auto"/>
                      <w:sz w:val="21"/>
                      <w:szCs w:val="21"/>
                      <w:highlight w:val="none"/>
                      <w:lang w:val="en-US" w:eastAsia="zh-CN"/>
                    </w:rPr>
                    <w:t>1.818</w:t>
                  </w:r>
                </w:p>
              </w:tc>
            </w:tr>
            <w:tr w14:paraId="38F34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noWrap w:val="0"/>
                  <w:vAlign w:val="center"/>
                </w:tcPr>
                <w:p w14:paraId="76CC70AB">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二氧化硫</w:t>
                  </w:r>
                </w:p>
              </w:tc>
              <w:tc>
                <w:tcPr>
                  <w:tcW w:w="1429" w:type="dxa"/>
                  <w:noWrap w:val="0"/>
                  <w:vAlign w:val="center"/>
                </w:tcPr>
                <w:p w14:paraId="4A780B52">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eastAsia="宋体" w:cs="Times New Roman"/>
                      <w:color w:val="auto"/>
                      <w:kern w:val="2"/>
                      <w:sz w:val="21"/>
                      <w:szCs w:val="22"/>
                      <w:highlight w:val="none"/>
                      <w:lang w:val="en-US" w:eastAsia="zh-CN" w:bidi="ar-SA"/>
                    </w:rPr>
                  </w:pPr>
                  <w:r>
                    <w:rPr>
                      <w:rFonts w:hint="eastAsia" w:ascii="Times New Roman"/>
                      <w:snapToGrid w:val="0"/>
                      <w:color w:val="auto"/>
                      <w:kern w:val="21"/>
                      <w:szCs w:val="21"/>
                      <w:highlight w:val="none"/>
                      <w:lang w:val="en-US" w:eastAsia="zh-CN"/>
                    </w:rPr>
                    <w:t>2.319</w:t>
                  </w:r>
                </w:p>
              </w:tc>
              <w:tc>
                <w:tcPr>
                  <w:tcW w:w="1600" w:type="dxa"/>
                  <w:noWrap w:val="0"/>
                  <w:vAlign w:val="center"/>
                </w:tcPr>
                <w:p w14:paraId="76764234">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0.3572</w:t>
                  </w:r>
                </w:p>
              </w:tc>
              <w:tc>
                <w:tcPr>
                  <w:tcW w:w="1600" w:type="dxa"/>
                  <w:noWrap w:val="0"/>
                  <w:vAlign w:val="center"/>
                </w:tcPr>
                <w:p w14:paraId="6ADCF684">
                  <w:pPr>
                    <w:pStyle w:val="177"/>
                    <w:keepNext w:val="0"/>
                    <w:keepLines w:val="0"/>
                    <w:pageBreakBefore w:val="0"/>
                    <w:widowControl/>
                    <w:suppressLineNumbers w:val="0"/>
                    <w:shd w:val="clear" w:color="auto" w:fill="auto"/>
                    <w:wordWrap/>
                    <w:topLinePunct w:val="0"/>
                    <w:bidi w:val="0"/>
                    <w:spacing w:before="0" w:beforeAutospacing="0" w:after="0" w:afterAutospacing="0"/>
                    <w:ind w:left="0" w:leftChars="0" w:right="0" w:rightChars="0"/>
                    <w:outlineLvl w:val="9"/>
                    <w:rPr>
                      <w:rFonts w:hint="eastAsia"/>
                      <w:color w:val="auto"/>
                      <w:szCs w:val="21"/>
                      <w:highlight w:val="none"/>
                      <w:lang w:val="en-US" w:eastAsia="zh-CN"/>
                    </w:rPr>
                  </w:pPr>
                  <w:r>
                    <w:rPr>
                      <w:rFonts w:hint="eastAsia"/>
                      <w:color w:val="auto"/>
                      <w:sz w:val="21"/>
                      <w:szCs w:val="21"/>
                      <w:highlight w:val="none"/>
                      <w:lang w:val="en-US" w:eastAsia="zh-CN" w:bidi="ar-SA"/>
                    </w:rPr>
                    <w:t>5.055</w:t>
                  </w:r>
                </w:p>
              </w:tc>
              <w:tc>
                <w:tcPr>
                  <w:tcW w:w="1600" w:type="dxa"/>
                  <w:noWrap w:val="0"/>
                  <w:vAlign w:val="center"/>
                </w:tcPr>
                <w:p w14:paraId="647B6F0C">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color w:val="auto"/>
                      <w:szCs w:val="21"/>
                      <w:highlight w:val="none"/>
                      <w:lang w:val="en-US" w:eastAsia="zh-CN"/>
                    </w:rPr>
                  </w:pPr>
                  <w:r>
                    <w:rPr>
                      <w:rFonts w:hint="eastAsia" w:ascii="Times New Roman"/>
                      <w:snapToGrid w:val="0"/>
                      <w:color w:val="auto"/>
                      <w:kern w:val="21"/>
                      <w:szCs w:val="21"/>
                      <w:highlight w:val="none"/>
                      <w:lang w:val="en-US" w:eastAsia="zh-CN"/>
                    </w:rPr>
                    <w:t>2.319</w:t>
                  </w:r>
                </w:p>
              </w:tc>
              <w:tc>
                <w:tcPr>
                  <w:tcW w:w="1600" w:type="dxa"/>
                  <w:noWrap w:val="0"/>
                  <w:vAlign w:val="center"/>
                </w:tcPr>
                <w:p w14:paraId="5793B5A1">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eastAsia"/>
                      <w:color w:val="auto"/>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0.3572</w:t>
                  </w:r>
                </w:p>
              </w:tc>
            </w:tr>
            <w:tr w14:paraId="111EEE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noWrap w:val="0"/>
                  <w:vAlign w:val="center"/>
                </w:tcPr>
                <w:p w14:paraId="55EA43CF">
                  <w:pPr>
                    <w:pStyle w:val="18"/>
                    <w:keepLines w:val="0"/>
                    <w:pageBreakBefore w:val="0"/>
                    <w:shd w:val="clear" w:color="auto" w:fill="auto"/>
                    <w:wordWrap/>
                    <w:topLinePunct w:val="0"/>
                    <w:bidi w:val="0"/>
                    <w:jc w:val="center"/>
                    <w:outlineLvl w:val="9"/>
                    <w:rPr>
                      <w:rFonts w:ascii="Times New Roman" w:hAnsi="Times New Roman"/>
                      <w:color w:val="auto"/>
                      <w:kern w:val="2"/>
                      <w:sz w:val="21"/>
                      <w:szCs w:val="21"/>
                      <w:highlight w:val="none"/>
                      <w:lang w:val="en-US" w:eastAsia="zh-CN" w:bidi="ar-SA"/>
                    </w:rPr>
                  </w:pPr>
                  <w:r>
                    <w:rPr>
                      <w:rFonts w:ascii="Times New Roman" w:hAnsi="Times New Roman"/>
                      <w:color w:val="auto"/>
                      <w:highlight w:val="none"/>
                      <w:lang w:val="en-US" w:eastAsia="zh-CN"/>
                    </w:rPr>
                    <w:t>氮氧化物</w:t>
                  </w:r>
                </w:p>
              </w:tc>
              <w:tc>
                <w:tcPr>
                  <w:tcW w:w="1429" w:type="dxa"/>
                  <w:noWrap w:val="0"/>
                  <w:vAlign w:val="center"/>
                </w:tcPr>
                <w:p w14:paraId="0A3B4F10">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eastAsia="宋体" w:cs="Times New Roman"/>
                      <w:color w:val="auto"/>
                      <w:kern w:val="2"/>
                      <w:sz w:val="21"/>
                      <w:szCs w:val="22"/>
                      <w:highlight w:val="none"/>
                      <w:lang w:val="en-US" w:eastAsia="zh-CN" w:bidi="ar-SA"/>
                    </w:rPr>
                  </w:pPr>
                  <w:r>
                    <w:rPr>
                      <w:rFonts w:hint="eastAsia" w:ascii="Times New Roman"/>
                      <w:snapToGrid w:val="0"/>
                      <w:color w:val="auto"/>
                      <w:kern w:val="21"/>
                      <w:szCs w:val="21"/>
                      <w:highlight w:val="none"/>
                      <w:lang w:val="en-US" w:eastAsia="zh-CN"/>
                    </w:rPr>
                    <w:t>1.943</w:t>
                  </w:r>
                </w:p>
              </w:tc>
              <w:tc>
                <w:tcPr>
                  <w:tcW w:w="1600" w:type="dxa"/>
                  <w:noWrap w:val="0"/>
                  <w:vAlign w:val="center"/>
                </w:tcPr>
                <w:p w14:paraId="4248EB8E">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eastAsia="宋体"/>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2.728</w:t>
                  </w:r>
                </w:p>
              </w:tc>
              <w:tc>
                <w:tcPr>
                  <w:tcW w:w="1600" w:type="dxa"/>
                  <w:noWrap w:val="0"/>
                  <w:vAlign w:val="center"/>
                </w:tcPr>
                <w:p w14:paraId="65C5D1F7">
                  <w:pPr>
                    <w:pStyle w:val="177"/>
                    <w:keepNext w:val="0"/>
                    <w:keepLines w:val="0"/>
                    <w:pageBreakBefore w:val="0"/>
                    <w:widowControl/>
                    <w:suppressLineNumbers w:val="0"/>
                    <w:shd w:val="clear" w:color="auto" w:fill="auto"/>
                    <w:wordWrap/>
                    <w:topLinePunct w:val="0"/>
                    <w:bidi w:val="0"/>
                    <w:spacing w:before="0" w:beforeAutospacing="0" w:after="0" w:afterAutospacing="0"/>
                    <w:ind w:left="0" w:leftChars="0" w:right="0" w:rightChars="0"/>
                    <w:outlineLvl w:val="9"/>
                    <w:rPr>
                      <w:rFonts w:hint="eastAsia"/>
                      <w:color w:val="auto"/>
                      <w:szCs w:val="21"/>
                      <w:highlight w:val="none"/>
                      <w:lang w:val="en-US" w:eastAsia="zh-CN"/>
                    </w:rPr>
                  </w:pPr>
                  <w:r>
                    <w:rPr>
                      <w:rFonts w:hint="eastAsia"/>
                      <w:color w:val="auto"/>
                      <w:sz w:val="21"/>
                      <w:szCs w:val="21"/>
                      <w:highlight w:val="none"/>
                      <w:lang w:val="en-US" w:eastAsia="zh-CN" w:bidi="ar-SA"/>
                    </w:rPr>
                    <w:t>2.823</w:t>
                  </w:r>
                </w:p>
              </w:tc>
              <w:tc>
                <w:tcPr>
                  <w:tcW w:w="1600" w:type="dxa"/>
                  <w:noWrap w:val="0"/>
                  <w:vAlign w:val="center"/>
                </w:tcPr>
                <w:p w14:paraId="530F0883">
                  <w:pPr>
                    <w:pStyle w:val="84"/>
                    <w:keepNext w:val="0"/>
                    <w:keepLines w:val="0"/>
                    <w:pageBreakBefore w:val="0"/>
                    <w:suppressLineNumbers w:val="0"/>
                    <w:wordWrap/>
                    <w:topLinePunct w:val="0"/>
                    <w:bidi w:val="0"/>
                    <w:adjustRightInd/>
                    <w:snapToGrid/>
                    <w:spacing w:before="0" w:beforeLines="0" w:beforeAutospacing="0" w:after="0" w:afterLines="0" w:afterAutospacing="0" w:line="240" w:lineRule="auto"/>
                    <w:ind w:left="0" w:leftChars="0" w:right="0" w:rightChars="0"/>
                    <w:contextualSpacing/>
                    <w:outlineLvl w:val="9"/>
                    <w:rPr>
                      <w:rFonts w:hint="default"/>
                      <w:color w:val="auto"/>
                      <w:szCs w:val="21"/>
                      <w:highlight w:val="none"/>
                      <w:lang w:val="en-US" w:eastAsia="zh-CN"/>
                    </w:rPr>
                  </w:pPr>
                  <w:r>
                    <w:rPr>
                      <w:rFonts w:hint="eastAsia" w:ascii="Times New Roman"/>
                      <w:snapToGrid w:val="0"/>
                      <w:color w:val="auto"/>
                      <w:kern w:val="21"/>
                      <w:szCs w:val="21"/>
                      <w:highlight w:val="none"/>
                      <w:lang w:val="en-US" w:eastAsia="zh-CN"/>
                    </w:rPr>
                    <w:t>1.943</w:t>
                  </w:r>
                </w:p>
              </w:tc>
              <w:tc>
                <w:tcPr>
                  <w:tcW w:w="1600" w:type="dxa"/>
                  <w:noWrap w:val="0"/>
                  <w:vAlign w:val="center"/>
                </w:tcPr>
                <w:p w14:paraId="4766CE70">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eastAsia"/>
                      <w:color w:val="auto"/>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2.728</w:t>
                  </w:r>
                </w:p>
              </w:tc>
            </w:tr>
            <w:tr w14:paraId="5F7EC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noWrap w:val="0"/>
                  <w:vAlign w:val="center"/>
                </w:tcPr>
                <w:p w14:paraId="79B32726">
                  <w:pPr>
                    <w:pStyle w:val="18"/>
                    <w:keepLines w:val="0"/>
                    <w:pageBreakBefore w:val="0"/>
                    <w:shd w:val="clear" w:color="auto" w:fill="auto"/>
                    <w:wordWrap/>
                    <w:topLinePunct w:val="0"/>
                    <w:bidi w:val="0"/>
                    <w:jc w:val="center"/>
                    <w:outlineLvl w:val="9"/>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COD</w:t>
                  </w:r>
                </w:p>
              </w:tc>
              <w:tc>
                <w:tcPr>
                  <w:tcW w:w="1429" w:type="dxa"/>
                  <w:noWrap w:val="0"/>
                  <w:vAlign w:val="center"/>
                </w:tcPr>
                <w:p w14:paraId="199B6809">
                  <w:pPr>
                    <w:pStyle w:val="159"/>
                    <w:keepNext w:val="0"/>
                    <w:keepLines w:val="0"/>
                    <w:pageBreakBefore w:val="0"/>
                    <w:suppressLineNumbers w:val="0"/>
                    <w:shd w:val="clear" w:color="auto" w:fill="auto"/>
                    <w:kinsoku w:val="0"/>
                    <w:wordWrap/>
                    <w:overflowPunct w:val="0"/>
                    <w:topLinePunct w:val="0"/>
                    <w:autoSpaceDE w:val="0"/>
                    <w:autoSpaceDN w:val="0"/>
                    <w:bidi w:val="0"/>
                    <w:spacing w:before="0" w:beforeAutospacing="0" w:after="0" w:afterAutospacing="0"/>
                    <w:ind w:left="0" w:right="0"/>
                    <w:outlineLvl w:val="9"/>
                    <w:rPr>
                      <w:rFonts w:hint="default" w:eastAsia="宋体"/>
                      <w:color w:val="auto"/>
                      <w:highlight w:val="none"/>
                      <w:lang w:val="en-US" w:eastAsia="zh-CN"/>
                    </w:rPr>
                  </w:pPr>
                  <w:r>
                    <w:rPr>
                      <w:rFonts w:hint="eastAsia" w:eastAsia="宋体"/>
                      <w:color w:val="auto"/>
                      <w:highlight w:val="none"/>
                      <w:lang w:val="en-US" w:eastAsia="zh-CN"/>
                    </w:rPr>
                    <w:t>0.07</w:t>
                  </w:r>
                </w:p>
              </w:tc>
              <w:tc>
                <w:tcPr>
                  <w:tcW w:w="1600" w:type="dxa"/>
                  <w:noWrap w:val="0"/>
                  <w:vAlign w:val="center"/>
                </w:tcPr>
                <w:p w14:paraId="17FAF3DF">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color w:val="auto"/>
                      <w:szCs w:val="21"/>
                      <w:highlight w:val="none"/>
                      <w:lang w:val="en-US" w:eastAsia="zh-CN"/>
                    </w:rPr>
                  </w:pPr>
                  <w:r>
                    <w:rPr>
                      <w:rFonts w:hint="eastAsia"/>
                      <w:color w:val="auto"/>
                      <w:szCs w:val="21"/>
                      <w:highlight w:val="none"/>
                      <w:lang w:val="en-US" w:eastAsia="zh-CN"/>
                    </w:rPr>
                    <w:t>/</w:t>
                  </w:r>
                </w:p>
              </w:tc>
              <w:tc>
                <w:tcPr>
                  <w:tcW w:w="1600" w:type="dxa"/>
                  <w:noWrap w:val="0"/>
                  <w:vAlign w:val="center"/>
                </w:tcPr>
                <w:p w14:paraId="164ADFF1">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color w:val="auto"/>
                      <w:szCs w:val="21"/>
                      <w:highlight w:val="none"/>
                      <w:lang w:val="en-US" w:eastAsia="zh-CN"/>
                    </w:rPr>
                  </w:pPr>
                  <w:r>
                    <w:rPr>
                      <w:rFonts w:hint="eastAsia"/>
                      <w:color w:val="auto"/>
                      <w:szCs w:val="21"/>
                      <w:highlight w:val="none"/>
                      <w:lang w:val="en-US" w:eastAsia="zh-CN"/>
                    </w:rPr>
                    <w:t>/</w:t>
                  </w:r>
                </w:p>
              </w:tc>
              <w:tc>
                <w:tcPr>
                  <w:tcW w:w="1600" w:type="dxa"/>
                  <w:noWrap w:val="0"/>
                  <w:vAlign w:val="center"/>
                </w:tcPr>
                <w:p w14:paraId="7722D81B">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color w:val="auto"/>
                      <w:szCs w:val="21"/>
                      <w:highlight w:val="none"/>
                      <w:lang w:val="en-US" w:eastAsia="zh-CN"/>
                    </w:rPr>
                  </w:pPr>
                  <w:r>
                    <w:rPr>
                      <w:rFonts w:hint="eastAsia"/>
                      <w:color w:val="auto"/>
                      <w:szCs w:val="21"/>
                      <w:highlight w:val="none"/>
                      <w:lang w:val="en-US" w:eastAsia="zh-CN"/>
                    </w:rPr>
                    <w:t>/</w:t>
                  </w:r>
                </w:p>
              </w:tc>
              <w:tc>
                <w:tcPr>
                  <w:tcW w:w="1600" w:type="dxa"/>
                  <w:noWrap w:val="0"/>
                  <w:vAlign w:val="center"/>
                </w:tcPr>
                <w:p w14:paraId="231344F1">
                  <w:pPr>
                    <w:pStyle w:val="177"/>
                    <w:keepNext w:val="0"/>
                    <w:keepLines w:val="0"/>
                    <w:pageBreakBefore w:val="0"/>
                    <w:widowControl/>
                    <w:suppressLineNumbers w:val="0"/>
                    <w:shd w:val="clear" w:color="auto" w:fill="auto"/>
                    <w:wordWrap/>
                    <w:topLinePunct w:val="0"/>
                    <w:bidi w:val="0"/>
                    <w:spacing w:before="0" w:beforeAutospacing="0" w:after="0" w:afterAutospacing="0"/>
                    <w:ind w:left="0" w:right="0"/>
                    <w:outlineLvl w:val="9"/>
                    <w:rPr>
                      <w:rFonts w:hint="default"/>
                      <w:color w:val="auto"/>
                      <w:szCs w:val="21"/>
                      <w:highlight w:val="none"/>
                      <w:lang w:val="en-US" w:eastAsia="zh-CN"/>
                    </w:rPr>
                  </w:pPr>
                  <w:r>
                    <w:rPr>
                      <w:rFonts w:hint="eastAsia"/>
                      <w:color w:val="auto"/>
                      <w:szCs w:val="21"/>
                      <w:highlight w:val="none"/>
                      <w:lang w:val="en-US" w:eastAsia="zh-CN"/>
                    </w:rPr>
                    <w:t>0.07</w:t>
                  </w:r>
                </w:p>
              </w:tc>
            </w:tr>
            <w:bookmarkEnd w:id="66"/>
          </w:tbl>
          <w:p w14:paraId="611A6EF8">
            <w:pPr>
              <w:keepNext/>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val="0"/>
                <w:bCs w:val="0"/>
                <w:color w:val="auto"/>
                <w:kern w:val="2"/>
                <w:sz w:val="24"/>
                <w:szCs w:val="24"/>
                <w:highlight w:val="none"/>
                <w:lang w:val="en-US" w:eastAsia="zh-CN" w:bidi="ar-SA"/>
              </w:rPr>
            </w:pPr>
          </w:p>
          <w:p w14:paraId="3FCE549F">
            <w:pPr>
              <w:keepNext w:val="0"/>
              <w:keepLines w:val="0"/>
              <w:pageBreakBefore w:val="0"/>
              <w:suppressLineNumbers w:val="0"/>
              <w:wordWrap/>
              <w:topLinePunct w:val="0"/>
              <w:bidi w:val="0"/>
              <w:spacing w:before="0" w:beforeAutospacing="0" w:after="0" w:afterAutospacing="0"/>
              <w:ind w:left="0" w:right="0"/>
              <w:outlineLvl w:val="9"/>
              <w:rPr>
                <w:rFonts w:hint="default"/>
                <w:color w:val="auto"/>
              </w:rPr>
            </w:pPr>
          </w:p>
          <w:p w14:paraId="3334E554">
            <w:pPr>
              <w:pStyle w:val="27"/>
              <w:keepNext w:val="0"/>
              <w:keepLines w:val="0"/>
              <w:pageBreakBefore w:val="0"/>
              <w:suppressLineNumbers w:val="0"/>
              <w:wordWrap/>
              <w:topLinePunct w:val="0"/>
              <w:bidi w:val="0"/>
              <w:spacing w:before="0" w:beforeAutospacing="0" w:after="0" w:afterAutospacing="0"/>
              <w:ind w:right="0"/>
              <w:outlineLvl w:val="9"/>
              <w:rPr>
                <w:rFonts w:hint="default"/>
                <w:color w:val="auto"/>
              </w:rPr>
            </w:pPr>
          </w:p>
          <w:p w14:paraId="070D37D3">
            <w:pPr>
              <w:keepNext w:val="0"/>
              <w:keepLines w:val="0"/>
              <w:suppressLineNumbers w:val="0"/>
              <w:spacing w:before="0" w:beforeAutospacing="0" w:after="0" w:afterAutospacing="0"/>
              <w:ind w:left="0" w:right="0"/>
              <w:rPr>
                <w:rFonts w:hint="default"/>
                <w:color w:val="auto"/>
              </w:rPr>
            </w:pPr>
          </w:p>
        </w:tc>
      </w:tr>
    </w:tbl>
    <w:p w14:paraId="4C4AD725">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75" w:name="_Toc25678"/>
      <w:bookmarkStart w:id="76" w:name="_Toc26401"/>
      <w:bookmarkStart w:id="77" w:name="_Toc24965"/>
      <w:r>
        <w:rPr>
          <w:rFonts w:hint="default" w:ascii="Times New Roman" w:hAnsi="Times New Roman" w:eastAsia="黑体" w:cs="Times New Roman"/>
          <w:snapToGrid w:val="0"/>
          <w:color w:val="auto"/>
          <w:sz w:val="30"/>
          <w:szCs w:val="30"/>
        </w:rPr>
        <w:t>四、主要环境影响和保护措施</w:t>
      </w:r>
      <w:bookmarkEnd w:id="75"/>
      <w:bookmarkEnd w:id="76"/>
      <w:bookmarkEnd w:id="77"/>
    </w:p>
    <w:tbl>
      <w:tblPr>
        <w:tblStyle w:val="35"/>
        <w:tblW w:w="504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9043"/>
      </w:tblGrid>
      <w:tr w14:paraId="6F1BE5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411" w:type="pct"/>
            <w:noWrap w:val="0"/>
            <w:tcMar>
              <w:left w:w="28" w:type="dxa"/>
              <w:right w:w="28" w:type="dxa"/>
            </w:tcMar>
            <w:vAlign w:val="center"/>
          </w:tcPr>
          <w:p w14:paraId="553AC65A">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kern w:val="2"/>
                <w:szCs w:val="21"/>
              </w:rPr>
            </w:pPr>
            <w:r>
              <w:rPr>
                <w:rFonts w:hint="default" w:ascii="Times New Roman" w:hAnsi="Times New Roman" w:cs="Times New Roman"/>
                <w:color w:val="auto"/>
                <w:kern w:val="2"/>
                <w:szCs w:val="21"/>
              </w:rPr>
              <w:t>施工期环境保护措施</w:t>
            </w:r>
          </w:p>
        </w:tc>
        <w:tc>
          <w:tcPr>
            <w:tcW w:w="4588" w:type="pct"/>
            <w:noWrap w:val="0"/>
            <w:vAlign w:val="center"/>
          </w:tcPr>
          <w:p w14:paraId="5CBDA71D">
            <w:pPr>
              <w:pStyle w:val="105"/>
              <w:keepNext w:val="0"/>
              <w:keepLines w:val="0"/>
              <w:suppressLineNumbers w:val="0"/>
              <w:spacing w:before="0" w:beforeAutospacing="0" w:after="0" w:afterAutospacing="0"/>
              <w:ind w:left="0" w:right="0" w:firstLine="480" w:firstLineChars="200"/>
              <w:jc w:val="both"/>
              <w:rPr>
                <w:rFonts w:hint="default" w:ascii="Times New Roman" w:hAnsi="Times New Roman" w:eastAsia="宋体" w:cs="Times New Roman"/>
                <w:color w:val="0000FF"/>
                <w:szCs w:val="22"/>
                <w:lang w:val="en-US" w:eastAsia="zh-CN"/>
              </w:rPr>
            </w:pPr>
            <w:r>
              <w:rPr>
                <w:rFonts w:hint="eastAsia" w:ascii="Times New Roman" w:eastAsia="宋体" w:cs="Times New Roman"/>
                <w:color w:val="auto"/>
                <w:szCs w:val="22"/>
                <w:lang w:val="en-US" w:eastAsia="zh-CN"/>
              </w:rPr>
              <w:t>本项目通过现有生产线增加生产时间来进行扩建，</w:t>
            </w:r>
            <w:r>
              <w:rPr>
                <w:rFonts w:hint="eastAsia" w:ascii="Times New Roman" w:eastAsia="宋体" w:cs="Times New Roman"/>
                <w:color w:val="0000FF"/>
                <w:szCs w:val="22"/>
                <w:lang w:val="en-US" w:eastAsia="zh-CN"/>
              </w:rPr>
              <w:t>施工期</w:t>
            </w:r>
            <w:r>
              <w:rPr>
                <w:rFonts w:hint="eastAsia" w:ascii="Times New Roman" w:hAnsi="Times New Roman" w:eastAsia="宋体" w:cs="Times New Roman"/>
                <w:color w:val="0000FF"/>
                <w:sz w:val="24"/>
                <w:szCs w:val="24"/>
                <w:lang w:val="en-US" w:eastAsia="zh-CN"/>
              </w:rPr>
              <w:t>仅包括拆除坏旧电捕焦油器，</w:t>
            </w:r>
            <w:r>
              <w:rPr>
                <w:rFonts w:hint="eastAsia" w:ascii="Times New Roman" w:eastAsia="宋体" w:cs="Times New Roman"/>
                <w:color w:val="0000FF"/>
                <w:szCs w:val="22"/>
                <w:lang w:val="en-US" w:eastAsia="zh-CN"/>
              </w:rPr>
              <w:t>拆除设备由生产厂家进行回收，施工期环境影响较小。</w:t>
            </w:r>
          </w:p>
          <w:p w14:paraId="67A077C0">
            <w:pPr>
              <w:pStyle w:val="105"/>
              <w:keepNext w:val="0"/>
              <w:keepLines w:val="0"/>
              <w:suppressLineNumbers w:val="0"/>
              <w:spacing w:before="0" w:beforeAutospacing="0" w:after="0" w:afterAutospacing="0"/>
              <w:ind w:left="0" w:right="0" w:firstLine="480" w:firstLineChars="200"/>
              <w:jc w:val="both"/>
              <w:rPr>
                <w:rFonts w:hint="default" w:ascii="Times New Roman" w:hAnsi="Times New Roman" w:eastAsia="宋体" w:cs="Times New Roman"/>
                <w:color w:val="auto"/>
                <w:szCs w:val="22"/>
                <w:lang w:val="en-US"/>
              </w:rPr>
            </w:pPr>
          </w:p>
          <w:p w14:paraId="68C4D147">
            <w:pPr>
              <w:pStyle w:val="105"/>
              <w:keepNext w:val="0"/>
              <w:keepLines w:val="0"/>
              <w:suppressLineNumbers w:val="0"/>
              <w:spacing w:before="0" w:beforeAutospacing="0" w:after="0" w:afterAutospacing="0"/>
              <w:ind w:left="0" w:right="0" w:firstLine="440" w:firstLineChars="200"/>
              <w:jc w:val="both"/>
              <w:rPr>
                <w:rFonts w:hint="default" w:ascii="Times New Roman" w:hAnsi="Times New Roman" w:cs="Times New Roman"/>
                <w:bCs/>
                <w:color w:val="auto"/>
                <w:spacing w:val="-10"/>
                <w:sz w:val="24"/>
                <w:szCs w:val="21"/>
              </w:rPr>
            </w:pPr>
          </w:p>
        </w:tc>
      </w:tr>
      <w:tr w14:paraId="4A1E6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411" w:type="pct"/>
            <w:noWrap w:val="0"/>
            <w:tcMar>
              <w:left w:w="28" w:type="dxa"/>
              <w:right w:w="28" w:type="dxa"/>
            </w:tcMar>
            <w:vAlign w:val="center"/>
          </w:tcPr>
          <w:p w14:paraId="2AA465E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运营</w:t>
            </w:r>
          </w:p>
          <w:p w14:paraId="414C13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期环</w:t>
            </w:r>
          </w:p>
          <w:p w14:paraId="4C21127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境影</w:t>
            </w:r>
          </w:p>
          <w:p w14:paraId="61CE204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响和</w:t>
            </w:r>
          </w:p>
          <w:p w14:paraId="1E5049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保护</w:t>
            </w:r>
          </w:p>
          <w:p w14:paraId="0C2C1D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措施</w:t>
            </w:r>
          </w:p>
        </w:tc>
        <w:tc>
          <w:tcPr>
            <w:tcW w:w="4588" w:type="pct"/>
            <w:noWrap w:val="0"/>
            <w:vAlign w:val="center"/>
          </w:tcPr>
          <w:p w14:paraId="35DFADEA">
            <w:pPr>
              <w:pStyle w:val="106"/>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auto"/>
              <w:ind w:left="0" w:leftChars="0" w:firstLine="0" w:firstLineChars="0"/>
              <w:outlineLvl w:val="9"/>
              <w:rPr>
                <w:rFonts w:hint="eastAsia" w:eastAsia="宋体"/>
                <w:color w:val="auto"/>
                <w:sz w:val="24"/>
                <w:szCs w:val="24"/>
                <w:lang w:eastAsia="zh-CN"/>
              </w:rPr>
            </w:pPr>
            <w:r>
              <w:rPr>
                <w:rFonts w:hint="eastAsia"/>
                <w:color w:val="auto"/>
                <w:sz w:val="24"/>
                <w:szCs w:val="24"/>
                <w:lang w:val="en-US" w:eastAsia="zh-CN"/>
              </w:rPr>
              <w:t>一、废气</w:t>
            </w:r>
          </w:p>
          <w:p w14:paraId="36D6A853">
            <w:pPr>
              <w:keepNext w:val="0"/>
              <w:keepLines w:val="0"/>
              <w:suppressLineNumbers w:val="0"/>
              <w:spacing w:before="0" w:beforeAutospacing="0" w:after="0" w:afterAutospacing="0" w:line="500" w:lineRule="exact"/>
              <w:ind w:left="0" w:right="0" w:firstLine="480" w:firstLineChars="200"/>
              <w:rPr>
                <w:rFonts w:hint="default" w:eastAsia="宋体"/>
                <w:color w:val="0000FF"/>
                <w:sz w:val="24"/>
                <w:lang w:val="en-US" w:eastAsia="zh-CN"/>
              </w:rPr>
            </w:pPr>
            <w:bookmarkStart w:id="78" w:name="_Toc16508640"/>
            <w:r>
              <w:rPr>
                <w:rFonts w:hint="default" w:ascii="Times New Roman" w:hAnsi="Times New Roman" w:eastAsia="宋体" w:cs="Times New Roman"/>
                <w:color w:val="0000FF"/>
                <w:sz w:val="24"/>
                <w:szCs w:val="24"/>
              </w:rPr>
              <w:t>导热油炉烟气</w:t>
            </w:r>
            <w:r>
              <w:rPr>
                <w:rFonts w:hint="default" w:ascii="Times New Roman" w:hAnsi="Times New Roman" w:eastAsia="宋体" w:cs="Times New Roman"/>
                <w:color w:val="0000FF"/>
                <w:sz w:val="24"/>
                <w:szCs w:val="24"/>
                <w:lang w:eastAsia="zh-CN"/>
              </w:rPr>
              <w:t>采用低氮燃烧，由15m</w:t>
            </w:r>
            <w:r>
              <w:rPr>
                <w:rFonts w:hint="default" w:ascii="Times New Roman" w:hAnsi="Times New Roman" w:eastAsia="宋体" w:cs="Times New Roman"/>
                <w:color w:val="0000FF"/>
                <w:sz w:val="24"/>
                <w:szCs w:val="24"/>
              </w:rPr>
              <w:t>高烟囱排放，颗粒物、SO</w:t>
            </w:r>
            <w:r>
              <w:rPr>
                <w:rFonts w:hint="default" w:ascii="Times New Roman" w:hAnsi="Times New Roman" w:eastAsia="宋体" w:cs="Times New Roman"/>
                <w:color w:val="0000FF"/>
                <w:sz w:val="24"/>
                <w:szCs w:val="24"/>
                <w:vertAlign w:val="subscript"/>
              </w:rPr>
              <w:t>2</w:t>
            </w:r>
            <w:r>
              <w:rPr>
                <w:rFonts w:hint="default" w:ascii="Times New Roman" w:hAnsi="Times New Roman" w:eastAsia="宋体" w:cs="Times New Roman"/>
                <w:color w:val="0000FF"/>
                <w:sz w:val="24"/>
                <w:szCs w:val="24"/>
              </w:rPr>
              <w:t>和NO</w:t>
            </w:r>
            <w:r>
              <w:rPr>
                <w:rFonts w:hint="default" w:ascii="Times New Roman" w:hAnsi="Times New Roman" w:eastAsia="宋体" w:cs="Times New Roman"/>
                <w:color w:val="0000FF"/>
                <w:sz w:val="24"/>
                <w:szCs w:val="24"/>
                <w:vertAlign w:val="subscript"/>
              </w:rPr>
              <w:t>x</w:t>
            </w:r>
            <w:r>
              <w:rPr>
                <w:rFonts w:hint="default" w:ascii="Times New Roman" w:hAnsi="Times New Roman" w:eastAsia="宋体" w:cs="Times New Roman"/>
                <w:color w:val="0000FF"/>
                <w:sz w:val="24"/>
                <w:szCs w:val="24"/>
              </w:rPr>
              <w:t>排放浓度满足《锅炉大气污染物排放标准》（GB13271-2014）表2燃油锅炉限值要求（颗粒物30mg/m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、SO</w:t>
            </w:r>
            <w:r>
              <w:rPr>
                <w:rFonts w:hint="default" w:ascii="Times New Roman" w:hAnsi="Times New Roman" w:eastAsia="宋体" w:cs="Times New Roman"/>
                <w:color w:val="0000FF"/>
                <w:sz w:val="24"/>
                <w:szCs w:val="24"/>
                <w:vertAlign w:val="subscript"/>
              </w:rPr>
              <w:t>2</w:t>
            </w:r>
            <w:r>
              <w:rPr>
                <w:rFonts w:hint="default" w:ascii="Times New Roman" w:hAnsi="Times New Roman" w:eastAsia="宋体" w:cs="Times New Roman"/>
                <w:color w:val="0000FF"/>
                <w:sz w:val="24"/>
                <w:szCs w:val="24"/>
              </w:rPr>
              <w:t>200mg/m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、NOx250mg/m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）。骨料加热烘干废气中烟尘</w:t>
            </w:r>
            <w:r>
              <w:rPr>
                <w:rFonts w:hint="default" w:ascii="Times New Roman" w:hAnsi="Times New Roman" w:eastAsia="宋体" w:cs="Times New Roman"/>
                <w:color w:val="0000FF"/>
                <w:sz w:val="24"/>
                <w:szCs w:val="24"/>
                <w:lang w:eastAsia="zh-CN"/>
              </w:rPr>
              <w:t>、</w:t>
            </w:r>
            <w:r>
              <w:rPr>
                <w:rFonts w:hint="default" w:ascii="Times New Roman" w:hAnsi="Times New Roman" w:eastAsia="宋体" w:cs="Times New Roman"/>
                <w:color w:val="0000FF"/>
                <w:sz w:val="24"/>
                <w:szCs w:val="24"/>
              </w:rPr>
              <w:t>SO</w:t>
            </w:r>
            <w:r>
              <w:rPr>
                <w:rFonts w:hint="default" w:ascii="Times New Roman" w:hAnsi="Times New Roman" w:eastAsia="宋体" w:cs="Times New Roman"/>
                <w:color w:val="0000FF"/>
                <w:sz w:val="24"/>
                <w:szCs w:val="24"/>
                <w:vertAlign w:val="subscript"/>
              </w:rPr>
              <w:t>2</w:t>
            </w:r>
            <w:r>
              <w:rPr>
                <w:rFonts w:hint="default" w:ascii="Times New Roman" w:hAnsi="Times New Roman" w:eastAsia="宋体" w:cs="Times New Roman"/>
                <w:color w:val="0000FF"/>
                <w:sz w:val="24"/>
                <w:szCs w:val="24"/>
                <w:lang w:eastAsia="zh-CN"/>
              </w:rPr>
              <w:t>、</w:t>
            </w:r>
            <w:r>
              <w:rPr>
                <w:rFonts w:hint="default" w:ascii="Times New Roman" w:hAnsi="Times New Roman" w:eastAsia="宋体" w:cs="Times New Roman"/>
                <w:color w:val="0000FF"/>
                <w:sz w:val="24"/>
                <w:szCs w:val="24"/>
              </w:rPr>
              <w:t>NO</w:t>
            </w:r>
            <w:r>
              <w:rPr>
                <w:rFonts w:hint="default" w:ascii="Times New Roman" w:hAnsi="Times New Roman" w:eastAsia="宋体" w:cs="Times New Roman"/>
                <w:color w:val="0000FF"/>
                <w:sz w:val="24"/>
                <w:szCs w:val="24"/>
                <w:vertAlign w:val="subscript"/>
              </w:rPr>
              <w:t>X</w:t>
            </w:r>
            <w:r>
              <w:rPr>
                <w:rFonts w:hint="default" w:ascii="Times New Roman" w:hAnsi="Times New Roman" w:eastAsia="宋体" w:cs="Times New Roman"/>
                <w:color w:val="0000FF"/>
                <w:sz w:val="24"/>
                <w:szCs w:val="24"/>
              </w:rPr>
              <w:t>排放浓度</w:t>
            </w:r>
            <w:r>
              <w:rPr>
                <w:rFonts w:hint="default" w:ascii="Times New Roman" w:hAnsi="Times New Roman" w:eastAsia="宋体" w:cs="Times New Roman"/>
                <w:color w:val="0000FF"/>
                <w:sz w:val="24"/>
                <w:szCs w:val="24"/>
                <w:lang w:eastAsia="zh-CN"/>
              </w:rPr>
              <w:t>及速率</w:t>
            </w:r>
            <w:r>
              <w:rPr>
                <w:rFonts w:hint="default" w:ascii="Times New Roman" w:hAnsi="Times New Roman" w:eastAsia="宋体" w:cs="Times New Roman"/>
                <w:color w:val="0000FF"/>
                <w:sz w:val="24"/>
                <w:szCs w:val="24"/>
              </w:rPr>
              <w:t>均可以满足《大气污染物综合排放标准》（GB16297-1996）中表2中的标准（颗粒物120mg/m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、SO</w:t>
            </w:r>
            <w:r>
              <w:rPr>
                <w:rFonts w:hint="default" w:ascii="Times New Roman" w:hAnsi="Times New Roman" w:eastAsia="宋体" w:cs="Times New Roman"/>
                <w:color w:val="0000FF"/>
                <w:sz w:val="24"/>
                <w:szCs w:val="24"/>
                <w:vertAlign w:val="subscript"/>
              </w:rPr>
              <w:t>2</w:t>
            </w:r>
            <w:r>
              <w:rPr>
                <w:rFonts w:hint="default" w:ascii="Times New Roman" w:hAnsi="Times New Roman" w:eastAsia="宋体" w:cs="Times New Roman"/>
                <w:color w:val="0000FF"/>
                <w:sz w:val="24"/>
                <w:szCs w:val="24"/>
              </w:rPr>
              <w:t>550mg/m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、NOx240mg/m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）。沥青烟、苯并[a]芘的排放浓度、排放速率均可以满足《大气污染物综合排放标准》(GB16297-1996)表2中二级标准要求。（沥青烟≤75mg/m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，0.18kg/h；苯并[a]芘≤0.0003mg/m</w:t>
            </w:r>
            <w:r>
              <w:rPr>
                <w:rFonts w:hint="default" w:ascii="Times New Roman" w:hAnsi="Times New Roman" w:eastAsia="宋体" w:cs="Times New Roman"/>
                <w:color w:val="0000FF"/>
                <w:sz w:val="24"/>
                <w:szCs w:val="24"/>
                <w:vertAlign w:val="superscript"/>
              </w:rPr>
              <w:t>3</w:t>
            </w:r>
            <w:r>
              <w:rPr>
                <w:rFonts w:hint="default" w:ascii="Times New Roman" w:hAnsi="Times New Roman" w:eastAsia="宋体" w:cs="Times New Roman"/>
                <w:color w:val="0000FF"/>
                <w:sz w:val="24"/>
                <w:szCs w:val="24"/>
              </w:rPr>
              <w:t>，0.00005kg/h。</w:t>
            </w:r>
            <w:r>
              <w:rPr>
                <w:rFonts w:hint="eastAsia" w:ascii="Times New Roman" w:hAnsi="Times New Roman" w:eastAsia="宋体" w:cs="Times New Roman"/>
                <w:color w:val="0000FF"/>
                <w:sz w:val="24"/>
                <w:szCs w:val="24"/>
                <w:lang w:val="en-US" w:eastAsia="zh-CN"/>
              </w:rPr>
              <w:t>具体内容详见大气专题评价。</w:t>
            </w:r>
          </w:p>
          <w:bookmarkEnd w:id="78"/>
          <w:p w14:paraId="283989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default"/>
                <w:color w:val="auto"/>
                <w:sz w:val="24"/>
                <w:szCs w:val="24"/>
              </w:rPr>
            </w:pPr>
            <w:r>
              <w:rPr>
                <w:rFonts w:hint="default"/>
                <w:color w:val="auto"/>
                <w:sz w:val="24"/>
                <w:szCs w:val="24"/>
              </w:rPr>
              <w:t>二、废水</w:t>
            </w:r>
          </w:p>
          <w:p w14:paraId="1A204537">
            <w:pPr>
              <w:keepNext w:val="0"/>
              <w:keepLines w:val="0"/>
              <w:pageBreakBefore w:val="0"/>
              <w:widowControl w:val="0"/>
              <w:suppressLineNumbers w:val="0"/>
              <w:kinsoku/>
              <w:wordWrap/>
              <w:topLinePunct w:val="0"/>
              <w:bidi w:val="0"/>
              <w:adjustRightInd w:val="0"/>
              <w:snapToGrid w:val="0"/>
              <w:spacing w:before="0" w:beforeAutospacing="0" w:after="0" w:afterAutospacing="0" w:line="360" w:lineRule="auto"/>
              <w:ind w:left="0" w:right="0" w:firstLine="480" w:firstLineChars="200"/>
              <w:outlineLvl w:val="9"/>
              <w:rPr>
                <w:rFonts w:hint="default" w:eastAsia="宋体"/>
                <w:bCs/>
                <w:color w:val="auto"/>
                <w:sz w:val="24"/>
                <w:highlight w:val="none"/>
                <w:lang w:val="en-US" w:eastAsia="zh-CN"/>
              </w:rPr>
            </w:pPr>
            <w:r>
              <w:rPr>
                <w:rFonts w:hint="eastAsia"/>
                <w:bCs/>
                <w:color w:val="auto"/>
                <w:sz w:val="24"/>
                <w:highlight w:val="none"/>
                <w:lang w:eastAsia="zh-CN"/>
              </w:rPr>
              <w:t>设备</w:t>
            </w:r>
            <w:r>
              <w:rPr>
                <w:rFonts w:hint="eastAsia"/>
                <w:bCs/>
                <w:color w:val="auto"/>
                <w:sz w:val="24"/>
                <w:highlight w:val="none"/>
                <w:lang w:val="en-US" w:eastAsia="zh-CN"/>
              </w:rPr>
              <w:t>内部</w:t>
            </w:r>
            <w:r>
              <w:rPr>
                <w:rFonts w:hint="eastAsia"/>
                <w:bCs/>
                <w:color w:val="auto"/>
                <w:sz w:val="24"/>
                <w:highlight w:val="none"/>
                <w:lang w:eastAsia="zh-CN"/>
              </w:rPr>
              <w:t>清洗废水：设备清洗水按用水量的</w:t>
            </w:r>
            <w:r>
              <w:rPr>
                <w:rFonts w:hint="eastAsia"/>
                <w:bCs/>
                <w:color w:val="auto"/>
                <w:sz w:val="24"/>
                <w:highlight w:val="none"/>
                <w:lang w:val="en-US" w:eastAsia="zh-CN"/>
              </w:rPr>
              <w:t>80%计，则废水排放量为192</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/a，0.8</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/d，其主要水质污染因子为SS，SS浓度约为1000mg/l。</w:t>
            </w:r>
          </w:p>
          <w:p w14:paraId="48CE19EC">
            <w:pPr>
              <w:keepNext w:val="0"/>
              <w:keepLines w:val="0"/>
              <w:pageBreakBefore w:val="0"/>
              <w:widowControl w:val="0"/>
              <w:suppressLineNumbers w:val="0"/>
              <w:kinsoku/>
              <w:wordWrap/>
              <w:topLinePunct w:val="0"/>
              <w:bidi w:val="0"/>
              <w:adjustRightInd w:val="0"/>
              <w:snapToGrid w:val="0"/>
              <w:spacing w:before="0" w:beforeAutospacing="0" w:after="0" w:afterAutospacing="0" w:line="360" w:lineRule="auto"/>
              <w:ind w:left="0" w:right="0" w:firstLine="480" w:firstLineChars="200"/>
              <w:outlineLvl w:val="9"/>
              <w:rPr>
                <w:rFonts w:hint="default" w:eastAsia="宋体"/>
                <w:bCs/>
                <w:color w:val="auto"/>
                <w:sz w:val="24"/>
                <w:highlight w:val="none"/>
                <w:lang w:val="en-US" w:eastAsia="zh-CN"/>
              </w:rPr>
            </w:pPr>
            <w:r>
              <w:rPr>
                <w:rFonts w:hint="eastAsia"/>
                <w:bCs/>
                <w:color w:val="auto"/>
                <w:sz w:val="24"/>
                <w:highlight w:val="none"/>
                <w:lang w:eastAsia="zh-CN"/>
              </w:rPr>
              <w:t>车辆</w:t>
            </w:r>
            <w:r>
              <w:rPr>
                <w:rFonts w:hint="eastAsia"/>
                <w:bCs/>
                <w:color w:val="auto"/>
                <w:sz w:val="24"/>
                <w:highlight w:val="none"/>
                <w:lang w:val="en-US" w:eastAsia="zh-CN"/>
              </w:rPr>
              <w:t>内部</w:t>
            </w:r>
            <w:r>
              <w:rPr>
                <w:rFonts w:hint="eastAsia"/>
                <w:bCs/>
                <w:color w:val="auto"/>
                <w:sz w:val="24"/>
                <w:highlight w:val="none"/>
                <w:lang w:eastAsia="zh-CN"/>
              </w:rPr>
              <w:t>冲洗废水：车辆冲洗废水按用水量的</w:t>
            </w:r>
            <w:r>
              <w:rPr>
                <w:rFonts w:hint="eastAsia"/>
                <w:bCs/>
                <w:color w:val="auto"/>
                <w:sz w:val="24"/>
                <w:highlight w:val="none"/>
                <w:lang w:val="en-US" w:eastAsia="zh-CN"/>
              </w:rPr>
              <w:t>80%计，则废水排放量998.4</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/a，4.16</w:t>
            </w:r>
            <w:r>
              <w:rPr>
                <w:rFonts w:hint="eastAsia"/>
                <w:color w:val="auto"/>
                <w:sz w:val="24"/>
                <w:highlight w:val="none"/>
                <w:lang w:val="en-US" w:eastAsia="zh-CN"/>
              </w:rPr>
              <w:t>m</w:t>
            </w:r>
            <w:r>
              <w:rPr>
                <w:rFonts w:hint="eastAsia"/>
                <w:color w:val="auto"/>
                <w:sz w:val="24"/>
                <w:highlight w:val="none"/>
                <w:vertAlign w:val="superscript"/>
                <w:lang w:val="en-US" w:eastAsia="zh-CN"/>
              </w:rPr>
              <w:t>3</w:t>
            </w:r>
            <w:r>
              <w:rPr>
                <w:rFonts w:hint="eastAsia"/>
                <w:bCs/>
                <w:color w:val="auto"/>
                <w:sz w:val="24"/>
                <w:highlight w:val="none"/>
                <w:lang w:val="en-US" w:eastAsia="zh-CN"/>
              </w:rPr>
              <w:t>/d，其主要水质污染因子为SS，SS浓度约为1000mg/l。</w:t>
            </w:r>
          </w:p>
          <w:p w14:paraId="79D43CBF">
            <w:pPr>
              <w:keepNext w:val="0"/>
              <w:keepLines w:val="0"/>
              <w:pageBreakBefore w:val="0"/>
              <w:widowControl w:val="0"/>
              <w:suppressLineNumbers w:val="0"/>
              <w:kinsoku/>
              <w:wordWrap/>
              <w:topLinePunct w:val="0"/>
              <w:bidi w:val="0"/>
              <w:adjustRightInd w:val="0"/>
              <w:snapToGrid w:val="0"/>
              <w:spacing w:before="0" w:beforeAutospacing="0" w:after="0" w:afterAutospacing="0" w:line="360" w:lineRule="auto"/>
              <w:ind w:left="0" w:right="0" w:firstLine="480" w:firstLineChars="200"/>
              <w:outlineLvl w:val="9"/>
              <w:rPr>
                <w:rFonts w:hint="eastAsia" w:ascii="Times New Roman" w:hAnsi="Times New Roman" w:eastAsia="宋体" w:cs="Times New Roman"/>
                <w:bCs/>
                <w:color w:val="auto"/>
                <w:sz w:val="24"/>
                <w:highlight w:val="none"/>
                <w:lang w:eastAsia="zh-CN"/>
              </w:rPr>
            </w:pPr>
            <w:r>
              <w:rPr>
                <w:rFonts w:hint="eastAsia"/>
                <w:bCs/>
                <w:color w:val="auto"/>
                <w:sz w:val="24"/>
              </w:rPr>
              <w:t>本项目建设</w:t>
            </w:r>
            <w:r>
              <w:rPr>
                <w:rFonts w:hint="eastAsia"/>
                <w:bCs/>
                <w:color w:val="auto"/>
                <w:sz w:val="24"/>
                <w:lang w:val="en-US" w:eastAsia="zh-CN"/>
              </w:rPr>
              <w:t>180m</w:t>
            </w:r>
            <w:r>
              <w:rPr>
                <w:rFonts w:hint="eastAsia"/>
                <w:bCs/>
                <w:color w:val="auto"/>
                <w:sz w:val="24"/>
                <w:vertAlign w:val="superscript"/>
                <w:lang w:val="en-US" w:eastAsia="zh-CN"/>
              </w:rPr>
              <w:t>3</w:t>
            </w:r>
            <w:r>
              <w:rPr>
                <w:rFonts w:hint="eastAsia"/>
                <w:bCs/>
                <w:color w:val="auto"/>
                <w:sz w:val="24"/>
              </w:rPr>
              <w:t>沉淀池</w:t>
            </w:r>
            <w:r>
              <w:rPr>
                <w:rFonts w:hint="eastAsia"/>
                <w:bCs/>
                <w:color w:val="auto"/>
                <w:sz w:val="24"/>
                <w:lang w:val="en-US" w:eastAsia="zh-CN"/>
              </w:rPr>
              <w:t>1座</w:t>
            </w:r>
            <w:r>
              <w:rPr>
                <w:rFonts w:hint="eastAsia"/>
                <w:bCs/>
                <w:color w:val="auto"/>
                <w:sz w:val="24"/>
              </w:rPr>
              <w:t>，用于处理</w:t>
            </w:r>
            <w:r>
              <w:rPr>
                <w:rFonts w:hint="eastAsia"/>
                <w:bCs/>
                <w:color w:val="auto"/>
                <w:sz w:val="24"/>
                <w:lang w:val="en-US" w:eastAsia="zh-CN"/>
              </w:rPr>
              <w:t>初期雨水、</w:t>
            </w:r>
            <w:r>
              <w:rPr>
                <w:rFonts w:hint="eastAsia"/>
                <w:bCs/>
                <w:color w:val="auto"/>
                <w:sz w:val="24"/>
              </w:rPr>
              <w:t>车辆清洗水，处理后的废水回用于</w:t>
            </w:r>
            <w:r>
              <w:rPr>
                <w:rFonts w:hint="eastAsia"/>
                <w:bCs/>
                <w:color w:val="auto"/>
                <w:sz w:val="24"/>
                <w:lang w:val="en-US" w:eastAsia="zh-CN"/>
              </w:rPr>
              <w:t>降尘、</w:t>
            </w:r>
            <w:r>
              <w:rPr>
                <w:rFonts w:hint="eastAsia"/>
                <w:bCs/>
                <w:color w:val="auto"/>
                <w:sz w:val="24"/>
              </w:rPr>
              <w:t>车辆冲洗</w:t>
            </w:r>
            <w:r>
              <w:rPr>
                <w:rFonts w:hint="eastAsia"/>
                <w:bCs/>
                <w:color w:val="auto"/>
                <w:sz w:val="24"/>
                <w:lang w:eastAsia="zh-CN"/>
              </w:rPr>
              <w:t>，</w:t>
            </w:r>
            <w:r>
              <w:rPr>
                <w:rFonts w:hint="eastAsia"/>
                <w:bCs/>
                <w:color w:val="auto"/>
                <w:sz w:val="24"/>
                <w:lang w:val="en-US" w:eastAsia="zh-CN"/>
              </w:rPr>
              <w:t>不外排</w:t>
            </w:r>
            <w:r>
              <w:rPr>
                <w:rFonts w:hint="eastAsia"/>
                <w:bCs/>
                <w:color w:val="auto"/>
                <w:sz w:val="24"/>
              </w:rPr>
              <w:t>。</w:t>
            </w:r>
          </w:p>
          <w:p w14:paraId="63A7D175">
            <w:pPr>
              <w:keepNext w:val="0"/>
              <w:keepLines w:val="0"/>
              <w:pageBreakBefore w:val="0"/>
              <w:widowControl w:val="0"/>
              <w:suppressLineNumbers w:val="0"/>
              <w:kinsoku/>
              <w:wordWrap/>
              <w:topLinePunct w:val="0"/>
              <w:bidi w:val="0"/>
              <w:adjustRightInd w:val="0"/>
              <w:snapToGrid w:val="0"/>
              <w:spacing w:before="0" w:beforeAutospacing="0" w:after="0" w:afterAutospacing="0" w:line="360" w:lineRule="auto"/>
              <w:ind w:left="0" w:right="0" w:firstLine="480" w:firstLineChars="200"/>
              <w:outlineLvl w:val="9"/>
              <w:rPr>
                <w:rFonts w:hint="eastAsia" w:ascii="Times New Roman" w:hAnsi="Times New Roman" w:eastAsia="宋体" w:cs="Times New Roman"/>
                <w:bCs/>
                <w:color w:val="auto"/>
                <w:sz w:val="24"/>
                <w:highlight w:val="none"/>
                <w:lang w:eastAsia="zh-CN"/>
              </w:rPr>
            </w:pPr>
            <w:r>
              <w:rPr>
                <w:rFonts w:hint="eastAsia" w:ascii="Times New Roman" w:hAnsi="Times New Roman" w:eastAsia="宋体" w:cs="Times New Roman"/>
                <w:bCs/>
                <w:color w:val="auto"/>
                <w:sz w:val="24"/>
                <w:highlight w:val="none"/>
                <w:lang w:eastAsia="zh-CN"/>
              </w:rPr>
              <w:t>根据《排污许可证申请与核发技术规范</w:t>
            </w:r>
            <w:r>
              <w:rPr>
                <w:rFonts w:hint="eastAsia" w:ascii="Times New Roman" w:hAnsi="Times New Roman" w:eastAsia="宋体" w:cs="Times New Roman"/>
                <w:bCs/>
                <w:color w:val="auto"/>
                <w:sz w:val="24"/>
                <w:highlight w:val="none"/>
                <w:lang w:val="en-US" w:eastAsia="zh-CN"/>
              </w:rPr>
              <w:t>石墨及其他非金属矿物制品</w:t>
            </w:r>
            <w:r>
              <w:rPr>
                <w:rFonts w:hint="eastAsia" w:ascii="Times New Roman" w:hAnsi="Times New Roman" w:eastAsia="宋体" w:cs="Times New Roman"/>
                <w:bCs/>
                <w:color w:val="auto"/>
                <w:sz w:val="24"/>
                <w:highlight w:val="none"/>
                <w:lang w:eastAsia="zh-CN"/>
              </w:rPr>
              <w:t>》（</w:t>
            </w:r>
            <w:r>
              <w:rPr>
                <w:rFonts w:hint="eastAsia" w:ascii="Times New Roman" w:hAnsi="Times New Roman" w:eastAsia="宋体" w:cs="Times New Roman"/>
                <w:bCs/>
                <w:color w:val="auto"/>
                <w:sz w:val="24"/>
                <w:highlight w:val="none"/>
                <w:lang w:val="en-US" w:eastAsia="zh-CN"/>
              </w:rPr>
              <w:t>HJ1119-2020</w:t>
            </w:r>
            <w:r>
              <w:rPr>
                <w:rFonts w:hint="eastAsia" w:ascii="Times New Roman" w:hAnsi="Times New Roman" w:eastAsia="宋体" w:cs="Times New Roman"/>
                <w:bCs/>
                <w:color w:val="auto"/>
                <w:sz w:val="24"/>
                <w:highlight w:val="none"/>
                <w:lang w:eastAsia="zh-CN"/>
              </w:rPr>
              <w:t>），隔油及沉淀池属于可行性技术。</w:t>
            </w:r>
          </w:p>
          <w:p w14:paraId="0D3D6DD6">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lang w:eastAsia="zh-CN"/>
              </w:rPr>
            </w:pPr>
            <w:r>
              <w:rPr>
                <w:rFonts w:hint="eastAsia" w:eastAsiaTheme="majorEastAsia"/>
                <w:color w:val="auto"/>
                <w:kern w:val="0"/>
                <w:highlight w:val="none"/>
                <w:lang w:eastAsia="zh-CN"/>
              </w:rPr>
              <w:t>本项目不新增生活排污水，现有生活污水排入防渗化粪池，定期抽排至市政排水管网，排入伊春市城市生活污水处理厂处理。</w:t>
            </w:r>
          </w:p>
          <w:p w14:paraId="14AAB610">
            <w:pPr>
              <w:pStyle w:val="88"/>
              <w:keepNext w:val="0"/>
              <w:keepLines w:val="0"/>
              <w:suppressLineNumbers w:val="0"/>
              <w:spacing w:beforeLines="0" w:beforeAutospacing="0" w:afterLines="0" w:afterAutospacing="0" w:line="360" w:lineRule="auto"/>
              <w:ind w:left="0" w:right="0" w:firstLine="480"/>
              <w:contextualSpacing/>
              <w:rPr>
                <w:rFonts w:hint="default" w:eastAsiaTheme="majorEastAsia"/>
                <w:color w:val="auto"/>
                <w:kern w:val="0"/>
                <w:highlight w:val="none"/>
              </w:rPr>
            </w:pPr>
            <w:r>
              <w:rPr>
                <w:rFonts w:hint="eastAsia" w:eastAsiaTheme="majorEastAsia"/>
                <w:color w:val="auto"/>
                <w:kern w:val="0"/>
                <w:highlight w:val="none"/>
              </w:rPr>
              <w:t>本项目</w:t>
            </w:r>
            <w:r>
              <w:rPr>
                <w:rFonts w:hint="eastAsia" w:eastAsiaTheme="majorEastAsia"/>
                <w:color w:val="auto"/>
                <w:kern w:val="0"/>
                <w:highlight w:val="none"/>
                <w:lang w:eastAsia="zh-CN"/>
              </w:rPr>
              <w:t>堆</w:t>
            </w:r>
            <w:r>
              <w:rPr>
                <w:rFonts w:hint="eastAsia" w:eastAsiaTheme="majorEastAsia"/>
                <w:color w:val="auto"/>
                <w:kern w:val="0"/>
                <w:highlight w:val="none"/>
              </w:rPr>
              <w:t>场喷洒水自然蒸发不外排。</w:t>
            </w:r>
          </w:p>
          <w:p w14:paraId="64F53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color w:val="auto"/>
                <w:sz w:val="24"/>
                <w:szCs w:val="24"/>
              </w:rPr>
            </w:pPr>
            <w:r>
              <w:rPr>
                <w:rFonts w:hint="default"/>
                <w:color w:val="auto"/>
                <w:sz w:val="24"/>
                <w:szCs w:val="24"/>
              </w:rPr>
              <w:t>三、噪声</w:t>
            </w:r>
          </w:p>
          <w:p w14:paraId="5DAC3564">
            <w:pPr>
              <w:pStyle w:val="88"/>
              <w:keepNext w:val="0"/>
              <w:keepLines w:val="0"/>
              <w:suppressLineNumbers w:val="0"/>
              <w:spacing w:beforeLines="0" w:beforeAutospacing="0" w:afterLines="0" w:afterAutospacing="0" w:line="360" w:lineRule="auto"/>
              <w:ind w:left="0" w:right="0" w:firstLine="480"/>
              <w:contextualSpacing/>
              <w:rPr>
                <w:rFonts w:hint="default" w:eastAsiaTheme="majorEastAsia"/>
                <w:color w:val="auto"/>
                <w:kern w:val="0"/>
                <w:highlight w:val="none"/>
                <w:lang w:val="en-US" w:eastAsia="zh-CN"/>
              </w:rPr>
            </w:pPr>
            <w:r>
              <w:rPr>
                <w:rFonts w:hint="eastAsia" w:eastAsiaTheme="majorEastAsia"/>
                <w:color w:val="auto"/>
                <w:kern w:val="0"/>
                <w:highlight w:val="none"/>
                <w:lang w:val="en-US" w:eastAsia="zh-CN"/>
              </w:rPr>
              <w:t>1、噪声源强</w:t>
            </w:r>
          </w:p>
          <w:p w14:paraId="17289CFB">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lang w:eastAsia="zh-CN"/>
              </w:rPr>
            </w:pPr>
            <w:r>
              <w:rPr>
                <w:rFonts w:hint="eastAsia" w:eastAsiaTheme="majorEastAsia"/>
                <w:color w:val="auto"/>
                <w:kern w:val="0"/>
                <w:highlight w:val="none"/>
                <w:lang w:eastAsia="zh-CN"/>
              </w:rPr>
              <w:t>该项目噪声源主要加工设备噪声，产生噪声的设备有搅拌机、运输车、泵车等，其噪声源强在7</w:t>
            </w:r>
            <w:r>
              <w:rPr>
                <w:rFonts w:hint="eastAsia" w:eastAsiaTheme="majorEastAsia"/>
                <w:color w:val="auto"/>
                <w:kern w:val="0"/>
                <w:highlight w:val="none"/>
                <w:lang w:val="en-US" w:eastAsia="zh-CN"/>
              </w:rPr>
              <w:t>0</w:t>
            </w:r>
            <w:r>
              <w:rPr>
                <w:rFonts w:hint="eastAsia" w:eastAsiaTheme="majorEastAsia"/>
                <w:color w:val="auto"/>
                <w:kern w:val="0"/>
                <w:highlight w:val="none"/>
                <w:lang w:eastAsia="zh-CN"/>
              </w:rPr>
              <w:t>~</w:t>
            </w:r>
            <w:r>
              <w:rPr>
                <w:rFonts w:hint="eastAsia" w:eastAsiaTheme="majorEastAsia"/>
                <w:color w:val="auto"/>
                <w:kern w:val="0"/>
                <w:highlight w:val="none"/>
                <w:lang w:val="en-US" w:eastAsia="zh-CN"/>
              </w:rPr>
              <w:t>8</w:t>
            </w:r>
            <w:r>
              <w:rPr>
                <w:rFonts w:hint="eastAsia" w:eastAsiaTheme="majorEastAsia"/>
                <w:color w:val="auto"/>
                <w:kern w:val="0"/>
                <w:highlight w:val="none"/>
                <w:lang w:eastAsia="zh-CN"/>
              </w:rPr>
              <w:t>0dB(A)。主要噪声源强见表</w:t>
            </w:r>
            <w:r>
              <w:rPr>
                <w:rFonts w:hint="eastAsia" w:eastAsiaTheme="majorEastAsia"/>
                <w:color w:val="auto"/>
                <w:kern w:val="0"/>
                <w:highlight w:val="none"/>
                <w:lang w:val="en-US" w:eastAsia="zh-CN"/>
              </w:rPr>
              <w:t>4-7</w:t>
            </w:r>
            <w:r>
              <w:rPr>
                <w:rFonts w:hint="eastAsia" w:eastAsiaTheme="majorEastAsia"/>
                <w:color w:val="auto"/>
                <w:kern w:val="0"/>
                <w:highlight w:val="none"/>
                <w:lang w:eastAsia="zh-CN"/>
              </w:rPr>
              <w:t>。</w:t>
            </w:r>
          </w:p>
          <w:p w14:paraId="79012B06">
            <w:pPr>
              <w:pStyle w:val="126"/>
              <w:keepNext w:val="0"/>
              <w:keepLines w:val="0"/>
              <w:suppressLineNumbers w:val="0"/>
              <w:spacing w:before="0" w:beforeAutospacing="0" w:after="0" w:afterAutospacing="0"/>
              <w:ind w:left="0" w:right="0"/>
              <w:rPr>
                <w:rFonts w:hint="default"/>
                <w:color w:val="auto"/>
              </w:rPr>
            </w:pPr>
            <w:r>
              <w:rPr>
                <w:rFonts w:hint="default"/>
                <w:color w:val="auto"/>
              </w:rPr>
              <w:t>表4-</w:t>
            </w:r>
            <w:r>
              <w:rPr>
                <w:rFonts w:hint="eastAsia"/>
                <w:color w:val="auto"/>
                <w:lang w:val="en-US" w:eastAsia="zh-CN"/>
              </w:rPr>
              <w:t>7</w:t>
            </w:r>
            <w:r>
              <w:rPr>
                <w:rFonts w:hint="default"/>
                <w:color w:val="auto"/>
              </w:rPr>
              <w:t>噪声污染源源强核算结果及相关参数一览表</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15"/>
              <w:gridCol w:w="634"/>
              <w:gridCol w:w="665"/>
              <w:gridCol w:w="722"/>
              <w:gridCol w:w="912"/>
              <w:gridCol w:w="645"/>
              <w:gridCol w:w="494"/>
              <w:gridCol w:w="494"/>
              <w:gridCol w:w="305"/>
              <w:gridCol w:w="537"/>
              <w:gridCol w:w="665"/>
              <w:gridCol w:w="949"/>
              <w:gridCol w:w="666"/>
              <w:gridCol w:w="824"/>
            </w:tblGrid>
            <w:tr w14:paraId="161EB1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vMerge w:val="restart"/>
                  <w:noWrap w:val="0"/>
                  <w:tcMar>
                    <w:top w:w="15" w:type="dxa"/>
                    <w:left w:w="15" w:type="dxa"/>
                    <w:bottom w:w="0" w:type="dxa"/>
                    <w:right w:w="15" w:type="dxa"/>
                  </w:tcMar>
                  <w:vAlign w:val="center"/>
                </w:tcPr>
                <w:p w14:paraId="1DCAD36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序号</w:t>
                  </w:r>
                </w:p>
              </w:tc>
              <w:tc>
                <w:tcPr>
                  <w:tcW w:w="685" w:type="dxa"/>
                  <w:vMerge w:val="restart"/>
                  <w:noWrap w:val="0"/>
                  <w:tcMar>
                    <w:top w:w="15" w:type="dxa"/>
                    <w:left w:w="15" w:type="dxa"/>
                    <w:bottom w:w="0" w:type="dxa"/>
                    <w:right w:w="15" w:type="dxa"/>
                  </w:tcMar>
                  <w:vAlign w:val="center"/>
                </w:tcPr>
                <w:p w14:paraId="35822BD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声源名称</w:t>
                  </w:r>
                </w:p>
              </w:tc>
              <w:tc>
                <w:tcPr>
                  <w:tcW w:w="1466" w:type="dxa"/>
                  <w:gridSpan w:val="2"/>
                  <w:noWrap w:val="0"/>
                  <w:tcMar>
                    <w:top w:w="15" w:type="dxa"/>
                    <w:left w:w="15" w:type="dxa"/>
                    <w:bottom w:w="0" w:type="dxa"/>
                    <w:right w:w="15" w:type="dxa"/>
                  </w:tcMar>
                  <w:vAlign w:val="center"/>
                </w:tcPr>
                <w:p w14:paraId="37C87C9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声源源强</w:t>
                  </w:r>
                </w:p>
              </w:tc>
              <w:tc>
                <w:tcPr>
                  <w:tcW w:w="1660" w:type="dxa"/>
                  <w:gridSpan w:val="2"/>
                  <w:noWrap w:val="0"/>
                  <w:tcMar>
                    <w:top w:w="15" w:type="dxa"/>
                    <w:left w:w="15" w:type="dxa"/>
                    <w:bottom w:w="0" w:type="dxa"/>
                    <w:right w:w="15" w:type="dxa"/>
                  </w:tcMar>
                  <w:vAlign w:val="center"/>
                </w:tcPr>
                <w:p w14:paraId="1DBF8216">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声源控制措施</w:t>
                  </w:r>
                </w:p>
              </w:tc>
              <w:tc>
                <w:tcPr>
                  <w:tcW w:w="1298" w:type="dxa"/>
                  <w:gridSpan w:val="3"/>
                  <w:noWrap w:val="0"/>
                  <w:tcMar>
                    <w:top w:w="15" w:type="dxa"/>
                    <w:left w:w="15" w:type="dxa"/>
                    <w:bottom w:w="0" w:type="dxa"/>
                    <w:right w:w="15" w:type="dxa"/>
                  </w:tcMar>
                  <w:vAlign w:val="center"/>
                </w:tcPr>
                <w:p w14:paraId="1B89F26D">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空间相对位置/m</w:t>
                  </w:r>
                </w:p>
              </w:tc>
              <w:tc>
                <w:tcPr>
                  <w:tcW w:w="571" w:type="dxa"/>
                  <w:vMerge w:val="restart"/>
                  <w:noWrap w:val="0"/>
                  <w:tcMar>
                    <w:top w:w="15" w:type="dxa"/>
                    <w:left w:w="15" w:type="dxa"/>
                    <w:bottom w:w="0" w:type="dxa"/>
                    <w:right w:w="15" w:type="dxa"/>
                  </w:tcMar>
                  <w:vAlign w:val="center"/>
                </w:tcPr>
                <w:p w14:paraId="24CCDE4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距室内边</w:t>
                  </w:r>
                </w:p>
                <w:p w14:paraId="2605EF5D">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界距离/m</w:t>
                  </w:r>
                </w:p>
              </w:tc>
              <w:tc>
                <w:tcPr>
                  <w:tcW w:w="683" w:type="dxa"/>
                  <w:vMerge w:val="restart"/>
                  <w:noWrap w:val="0"/>
                  <w:tcMar>
                    <w:top w:w="15" w:type="dxa"/>
                    <w:left w:w="15" w:type="dxa"/>
                    <w:bottom w:w="0" w:type="dxa"/>
                    <w:right w:w="15" w:type="dxa"/>
                  </w:tcMar>
                  <w:vAlign w:val="center"/>
                </w:tcPr>
                <w:p w14:paraId="14BEB86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室内边</w:t>
                  </w:r>
                </w:p>
                <w:p w14:paraId="5C67E422">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界声级</w:t>
                  </w:r>
                </w:p>
                <w:p w14:paraId="3054BBE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/dB（A）</w:t>
                  </w:r>
                </w:p>
              </w:tc>
              <w:tc>
                <w:tcPr>
                  <w:tcW w:w="1001" w:type="dxa"/>
                  <w:vMerge w:val="restart"/>
                  <w:noWrap w:val="0"/>
                  <w:tcMar>
                    <w:top w:w="15" w:type="dxa"/>
                    <w:left w:w="15" w:type="dxa"/>
                    <w:bottom w:w="0" w:type="dxa"/>
                    <w:right w:w="15" w:type="dxa"/>
                  </w:tcMar>
                  <w:vAlign w:val="center"/>
                </w:tcPr>
                <w:p w14:paraId="79CC4BE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建筑物插入损失</w:t>
                  </w:r>
                </w:p>
                <w:p w14:paraId="050FC826">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/dB（A）</w:t>
                  </w:r>
                </w:p>
              </w:tc>
              <w:tc>
                <w:tcPr>
                  <w:tcW w:w="1579" w:type="dxa"/>
                  <w:gridSpan w:val="2"/>
                  <w:noWrap w:val="0"/>
                  <w:tcMar>
                    <w:top w:w="15" w:type="dxa"/>
                    <w:left w:w="15" w:type="dxa"/>
                    <w:bottom w:w="0" w:type="dxa"/>
                    <w:right w:w="15" w:type="dxa"/>
                  </w:tcMar>
                  <w:vAlign w:val="center"/>
                </w:tcPr>
                <w:p w14:paraId="2A826F1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建筑物外噪声</w:t>
                  </w:r>
                </w:p>
              </w:tc>
            </w:tr>
            <w:tr w14:paraId="67598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vMerge w:val="continue"/>
                  <w:noWrap w:val="0"/>
                  <w:vAlign w:val="center"/>
                </w:tcPr>
                <w:p w14:paraId="2B8FCA8D">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p>
              </w:tc>
              <w:tc>
                <w:tcPr>
                  <w:tcW w:w="685" w:type="dxa"/>
                  <w:vMerge w:val="continue"/>
                  <w:noWrap w:val="0"/>
                  <w:vAlign w:val="center"/>
                </w:tcPr>
                <w:p w14:paraId="080FB56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p>
              </w:tc>
              <w:tc>
                <w:tcPr>
                  <w:tcW w:w="683" w:type="dxa"/>
                  <w:noWrap w:val="0"/>
                  <w:tcMar>
                    <w:top w:w="15" w:type="dxa"/>
                    <w:left w:w="15" w:type="dxa"/>
                    <w:bottom w:w="0" w:type="dxa"/>
                    <w:right w:w="15" w:type="dxa"/>
                  </w:tcMar>
                  <w:vAlign w:val="center"/>
                </w:tcPr>
                <w:p w14:paraId="3F7D1664">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声压级</w:t>
                  </w:r>
                </w:p>
                <w:p w14:paraId="7307F5C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/dB（A）</w:t>
                  </w:r>
                </w:p>
              </w:tc>
              <w:tc>
                <w:tcPr>
                  <w:tcW w:w="783" w:type="dxa"/>
                  <w:noWrap w:val="0"/>
                  <w:tcMar>
                    <w:top w:w="15" w:type="dxa"/>
                    <w:left w:w="15" w:type="dxa"/>
                    <w:bottom w:w="0" w:type="dxa"/>
                    <w:right w:w="15" w:type="dxa"/>
                  </w:tcMar>
                  <w:vAlign w:val="center"/>
                </w:tcPr>
                <w:p w14:paraId="659B665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距声源距离/m</w:t>
                  </w:r>
                </w:p>
              </w:tc>
              <w:tc>
                <w:tcPr>
                  <w:tcW w:w="997" w:type="dxa"/>
                  <w:noWrap w:val="0"/>
                  <w:vAlign w:val="center"/>
                </w:tcPr>
                <w:p w14:paraId="4845AFBD">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工艺</w:t>
                  </w:r>
                </w:p>
              </w:tc>
              <w:tc>
                <w:tcPr>
                  <w:tcW w:w="663" w:type="dxa"/>
                  <w:noWrap w:val="0"/>
                  <w:vAlign w:val="center"/>
                </w:tcPr>
                <w:p w14:paraId="2CC8350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降噪效果</w:t>
                  </w:r>
                </w:p>
                <w:p w14:paraId="0F770AB3">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/dB（A）</w:t>
                  </w:r>
                </w:p>
              </w:tc>
              <w:tc>
                <w:tcPr>
                  <w:tcW w:w="494" w:type="dxa"/>
                  <w:noWrap w:val="0"/>
                  <w:tcMar>
                    <w:top w:w="15" w:type="dxa"/>
                    <w:left w:w="15" w:type="dxa"/>
                    <w:bottom w:w="0" w:type="dxa"/>
                    <w:right w:w="15" w:type="dxa"/>
                  </w:tcMar>
                  <w:vAlign w:val="center"/>
                </w:tcPr>
                <w:p w14:paraId="4385A7D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X</w:t>
                  </w:r>
                </w:p>
              </w:tc>
              <w:tc>
                <w:tcPr>
                  <w:tcW w:w="494" w:type="dxa"/>
                  <w:noWrap w:val="0"/>
                  <w:tcMar>
                    <w:top w:w="15" w:type="dxa"/>
                    <w:left w:w="15" w:type="dxa"/>
                    <w:bottom w:w="0" w:type="dxa"/>
                    <w:right w:w="15" w:type="dxa"/>
                  </w:tcMar>
                  <w:vAlign w:val="center"/>
                </w:tcPr>
                <w:p w14:paraId="3082399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Y</w:t>
                  </w:r>
                </w:p>
              </w:tc>
              <w:tc>
                <w:tcPr>
                  <w:tcW w:w="262" w:type="dxa"/>
                  <w:noWrap w:val="0"/>
                  <w:tcMar>
                    <w:top w:w="15" w:type="dxa"/>
                    <w:left w:w="15" w:type="dxa"/>
                    <w:bottom w:w="0" w:type="dxa"/>
                    <w:right w:w="15" w:type="dxa"/>
                  </w:tcMar>
                  <w:vAlign w:val="center"/>
                </w:tcPr>
                <w:p w14:paraId="3A72D604">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Z</w:t>
                  </w:r>
                </w:p>
              </w:tc>
              <w:tc>
                <w:tcPr>
                  <w:tcW w:w="571" w:type="dxa"/>
                  <w:vMerge w:val="continue"/>
                  <w:noWrap w:val="0"/>
                  <w:vAlign w:val="center"/>
                </w:tcPr>
                <w:p w14:paraId="3EF6D16D">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p>
              </w:tc>
              <w:tc>
                <w:tcPr>
                  <w:tcW w:w="683" w:type="dxa"/>
                  <w:vMerge w:val="continue"/>
                  <w:noWrap w:val="0"/>
                  <w:tcMar>
                    <w:top w:w="15" w:type="dxa"/>
                    <w:left w:w="15" w:type="dxa"/>
                    <w:bottom w:w="0" w:type="dxa"/>
                    <w:right w:w="15" w:type="dxa"/>
                  </w:tcMar>
                  <w:vAlign w:val="center"/>
                </w:tcPr>
                <w:p w14:paraId="7E4891D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p>
              </w:tc>
              <w:tc>
                <w:tcPr>
                  <w:tcW w:w="1001" w:type="dxa"/>
                  <w:vMerge w:val="continue"/>
                  <w:noWrap w:val="0"/>
                  <w:tcMar>
                    <w:top w:w="15" w:type="dxa"/>
                    <w:left w:w="15" w:type="dxa"/>
                    <w:bottom w:w="0" w:type="dxa"/>
                    <w:right w:w="15" w:type="dxa"/>
                  </w:tcMar>
                  <w:vAlign w:val="center"/>
                </w:tcPr>
                <w:p w14:paraId="1E1283E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p>
              </w:tc>
              <w:tc>
                <w:tcPr>
                  <w:tcW w:w="683" w:type="dxa"/>
                  <w:noWrap w:val="0"/>
                  <w:tcMar>
                    <w:top w:w="15" w:type="dxa"/>
                    <w:left w:w="15" w:type="dxa"/>
                    <w:bottom w:w="0" w:type="dxa"/>
                    <w:right w:w="15" w:type="dxa"/>
                  </w:tcMar>
                  <w:vAlign w:val="center"/>
                </w:tcPr>
                <w:p w14:paraId="0EF7FB5E">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声压级</w:t>
                  </w:r>
                </w:p>
                <w:p w14:paraId="4A521F2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/dB（A）</w:t>
                  </w:r>
                </w:p>
              </w:tc>
              <w:tc>
                <w:tcPr>
                  <w:tcW w:w="896" w:type="dxa"/>
                  <w:noWrap w:val="0"/>
                  <w:tcMar>
                    <w:top w:w="15" w:type="dxa"/>
                    <w:left w:w="15" w:type="dxa"/>
                    <w:bottom w:w="0" w:type="dxa"/>
                    <w:right w:w="15" w:type="dxa"/>
                  </w:tcMar>
                  <w:vAlign w:val="center"/>
                </w:tcPr>
                <w:p w14:paraId="3AA69C0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建筑物外距离/m</w:t>
                  </w:r>
                </w:p>
              </w:tc>
            </w:tr>
            <w:tr w14:paraId="7253F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noWrap w:val="0"/>
                  <w:vAlign w:val="center"/>
                </w:tcPr>
                <w:p w14:paraId="43971AF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685" w:type="dxa"/>
                  <w:noWrap w:val="0"/>
                  <w:vAlign w:val="center"/>
                </w:tcPr>
                <w:p w14:paraId="50C67E4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输送机</w:t>
                  </w:r>
                </w:p>
              </w:tc>
              <w:tc>
                <w:tcPr>
                  <w:tcW w:w="683" w:type="dxa"/>
                  <w:noWrap w:val="0"/>
                  <w:tcMar>
                    <w:top w:w="15" w:type="dxa"/>
                    <w:left w:w="15" w:type="dxa"/>
                    <w:bottom w:w="0" w:type="dxa"/>
                    <w:right w:w="15" w:type="dxa"/>
                  </w:tcMar>
                  <w:vAlign w:val="center"/>
                </w:tcPr>
                <w:p w14:paraId="7D56EAE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70</w:t>
                  </w:r>
                </w:p>
              </w:tc>
              <w:tc>
                <w:tcPr>
                  <w:tcW w:w="783" w:type="dxa"/>
                  <w:noWrap w:val="0"/>
                  <w:tcMar>
                    <w:top w:w="15" w:type="dxa"/>
                    <w:left w:w="15" w:type="dxa"/>
                    <w:bottom w:w="0" w:type="dxa"/>
                    <w:right w:w="15" w:type="dxa"/>
                  </w:tcMar>
                  <w:vAlign w:val="center"/>
                </w:tcPr>
                <w:p w14:paraId="76E382B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vAlign w:val="center"/>
                </w:tcPr>
                <w:p w14:paraId="397F821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4025A58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2BE0E067">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6</w:t>
                  </w: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4BB2F64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125</w:t>
                  </w:r>
                </w:p>
              </w:tc>
              <w:tc>
                <w:tcPr>
                  <w:tcW w:w="262" w:type="dxa"/>
                  <w:noWrap w:val="0"/>
                  <w:tcMar>
                    <w:top w:w="15" w:type="dxa"/>
                    <w:left w:w="15" w:type="dxa"/>
                    <w:bottom w:w="0" w:type="dxa"/>
                    <w:right w:w="15" w:type="dxa"/>
                  </w:tcMar>
                  <w:vAlign w:val="center"/>
                </w:tcPr>
                <w:p w14:paraId="03A58A1E">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1.2</w:t>
                  </w:r>
                </w:p>
              </w:tc>
              <w:tc>
                <w:tcPr>
                  <w:tcW w:w="571" w:type="dxa"/>
                  <w:noWrap w:val="0"/>
                  <w:vAlign w:val="center"/>
                </w:tcPr>
                <w:p w14:paraId="72100A0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683" w:type="dxa"/>
                  <w:noWrap w:val="0"/>
                  <w:tcMar>
                    <w:top w:w="15" w:type="dxa"/>
                    <w:left w:w="15" w:type="dxa"/>
                    <w:bottom w:w="0" w:type="dxa"/>
                    <w:right w:w="15" w:type="dxa"/>
                  </w:tcMar>
                  <w:vAlign w:val="center"/>
                </w:tcPr>
                <w:p w14:paraId="19C03A8C">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62</w:t>
                  </w:r>
                </w:p>
              </w:tc>
              <w:tc>
                <w:tcPr>
                  <w:tcW w:w="1001" w:type="dxa"/>
                  <w:noWrap w:val="0"/>
                  <w:tcMar>
                    <w:top w:w="15" w:type="dxa"/>
                    <w:left w:w="15" w:type="dxa"/>
                    <w:bottom w:w="0" w:type="dxa"/>
                    <w:right w:w="15" w:type="dxa"/>
                  </w:tcMar>
                  <w:vAlign w:val="center"/>
                </w:tcPr>
                <w:p w14:paraId="72D7BA0D">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60899325">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42</w:t>
                  </w:r>
                </w:p>
              </w:tc>
              <w:tc>
                <w:tcPr>
                  <w:tcW w:w="896" w:type="dxa"/>
                  <w:noWrap w:val="0"/>
                  <w:tcMar>
                    <w:top w:w="15" w:type="dxa"/>
                    <w:left w:w="15" w:type="dxa"/>
                    <w:bottom w:w="0" w:type="dxa"/>
                    <w:right w:w="15" w:type="dxa"/>
                  </w:tcMar>
                  <w:vAlign w:val="center"/>
                </w:tcPr>
                <w:p w14:paraId="454102D9">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1F2F5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noWrap w:val="0"/>
                  <w:vAlign w:val="center"/>
                </w:tcPr>
                <w:p w14:paraId="61DF6AD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2</w:t>
                  </w:r>
                </w:p>
              </w:tc>
              <w:tc>
                <w:tcPr>
                  <w:tcW w:w="685" w:type="dxa"/>
                  <w:noWrap w:val="0"/>
                  <w:vAlign w:val="center"/>
                </w:tcPr>
                <w:p w14:paraId="6208C4F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输送机</w:t>
                  </w:r>
                </w:p>
              </w:tc>
              <w:tc>
                <w:tcPr>
                  <w:tcW w:w="683" w:type="dxa"/>
                  <w:noWrap w:val="0"/>
                  <w:tcMar>
                    <w:top w:w="15" w:type="dxa"/>
                    <w:left w:w="15" w:type="dxa"/>
                    <w:bottom w:w="0" w:type="dxa"/>
                    <w:right w:w="15" w:type="dxa"/>
                  </w:tcMar>
                  <w:vAlign w:val="center"/>
                </w:tcPr>
                <w:p w14:paraId="07CD558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70</w:t>
                  </w:r>
                </w:p>
              </w:tc>
              <w:tc>
                <w:tcPr>
                  <w:tcW w:w="783" w:type="dxa"/>
                  <w:noWrap w:val="0"/>
                  <w:tcMar>
                    <w:top w:w="15" w:type="dxa"/>
                    <w:left w:w="15" w:type="dxa"/>
                    <w:bottom w:w="0" w:type="dxa"/>
                    <w:right w:w="15" w:type="dxa"/>
                  </w:tcMar>
                  <w:vAlign w:val="center"/>
                </w:tcPr>
                <w:p w14:paraId="6086B9E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vAlign w:val="center"/>
                </w:tcPr>
                <w:p w14:paraId="7020896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65F75D8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6F183F0A">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6</w:t>
                  </w: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726CF1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126</w:t>
                  </w:r>
                </w:p>
              </w:tc>
              <w:tc>
                <w:tcPr>
                  <w:tcW w:w="262" w:type="dxa"/>
                  <w:noWrap w:val="0"/>
                  <w:tcMar>
                    <w:top w:w="15" w:type="dxa"/>
                    <w:left w:w="15" w:type="dxa"/>
                    <w:bottom w:w="0" w:type="dxa"/>
                    <w:right w:w="15" w:type="dxa"/>
                  </w:tcMar>
                  <w:vAlign w:val="center"/>
                </w:tcPr>
                <w:p w14:paraId="535E9CD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1.2</w:t>
                  </w:r>
                </w:p>
              </w:tc>
              <w:tc>
                <w:tcPr>
                  <w:tcW w:w="571" w:type="dxa"/>
                  <w:noWrap w:val="0"/>
                  <w:vAlign w:val="center"/>
                </w:tcPr>
                <w:p w14:paraId="40EE893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683" w:type="dxa"/>
                  <w:noWrap w:val="0"/>
                  <w:tcMar>
                    <w:top w:w="15" w:type="dxa"/>
                    <w:left w:w="15" w:type="dxa"/>
                    <w:bottom w:w="0" w:type="dxa"/>
                    <w:right w:w="15" w:type="dxa"/>
                  </w:tcMar>
                  <w:vAlign w:val="center"/>
                </w:tcPr>
                <w:p w14:paraId="45B866C8">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62</w:t>
                  </w:r>
                </w:p>
              </w:tc>
              <w:tc>
                <w:tcPr>
                  <w:tcW w:w="1001" w:type="dxa"/>
                  <w:noWrap w:val="0"/>
                  <w:tcMar>
                    <w:top w:w="15" w:type="dxa"/>
                    <w:left w:w="15" w:type="dxa"/>
                    <w:bottom w:w="0" w:type="dxa"/>
                    <w:right w:w="15" w:type="dxa"/>
                  </w:tcMar>
                  <w:vAlign w:val="center"/>
                </w:tcPr>
                <w:p w14:paraId="50409D89">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37D3579E">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42</w:t>
                  </w:r>
                </w:p>
              </w:tc>
              <w:tc>
                <w:tcPr>
                  <w:tcW w:w="896" w:type="dxa"/>
                  <w:noWrap w:val="0"/>
                  <w:tcMar>
                    <w:top w:w="15" w:type="dxa"/>
                    <w:left w:w="15" w:type="dxa"/>
                    <w:bottom w:w="0" w:type="dxa"/>
                    <w:right w:w="15" w:type="dxa"/>
                  </w:tcMar>
                  <w:vAlign w:val="center"/>
                </w:tcPr>
                <w:p w14:paraId="1E5C047F">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345C9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noWrap w:val="0"/>
                  <w:vAlign w:val="center"/>
                </w:tcPr>
                <w:p w14:paraId="6157199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3</w:t>
                  </w:r>
                </w:p>
              </w:tc>
              <w:tc>
                <w:tcPr>
                  <w:tcW w:w="685" w:type="dxa"/>
                  <w:noWrap w:val="0"/>
                  <w:vAlign w:val="center"/>
                </w:tcPr>
                <w:p w14:paraId="1479D00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干燥滚筒</w:t>
                  </w:r>
                </w:p>
              </w:tc>
              <w:tc>
                <w:tcPr>
                  <w:tcW w:w="683" w:type="dxa"/>
                  <w:noWrap w:val="0"/>
                  <w:tcMar>
                    <w:top w:w="15" w:type="dxa"/>
                    <w:left w:w="15" w:type="dxa"/>
                    <w:bottom w:w="0" w:type="dxa"/>
                    <w:right w:w="15" w:type="dxa"/>
                  </w:tcMar>
                  <w:vAlign w:val="center"/>
                </w:tcPr>
                <w:p w14:paraId="6B63E30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75</w:t>
                  </w:r>
                </w:p>
              </w:tc>
              <w:tc>
                <w:tcPr>
                  <w:tcW w:w="783" w:type="dxa"/>
                  <w:noWrap w:val="0"/>
                  <w:tcMar>
                    <w:top w:w="15" w:type="dxa"/>
                    <w:left w:w="15" w:type="dxa"/>
                    <w:bottom w:w="0" w:type="dxa"/>
                    <w:right w:w="15" w:type="dxa"/>
                  </w:tcMar>
                  <w:vAlign w:val="center"/>
                </w:tcPr>
                <w:p w14:paraId="310664B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vAlign w:val="center"/>
                </w:tcPr>
                <w:p w14:paraId="1C4DC5D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143ABCC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5B67F1F2">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7</w:t>
                  </w: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6F91245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128</w:t>
                  </w:r>
                </w:p>
              </w:tc>
              <w:tc>
                <w:tcPr>
                  <w:tcW w:w="262" w:type="dxa"/>
                  <w:noWrap w:val="0"/>
                  <w:tcMar>
                    <w:top w:w="15" w:type="dxa"/>
                    <w:left w:w="15" w:type="dxa"/>
                    <w:bottom w:w="0" w:type="dxa"/>
                    <w:right w:w="15" w:type="dxa"/>
                  </w:tcMar>
                  <w:vAlign w:val="center"/>
                </w:tcPr>
                <w:p w14:paraId="32A8575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1.5</w:t>
                  </w:r>
                </w:p>
              </w:tc>
              <w:tc>
                <w:tcPr>
                  <w:tcW w:w="571" w:type="dxa"/>
                  <w:noWrap w:val="0"/>
                  <w:vAlign w:val="center"/>
                </w:tcPr>
                <w:p w14:paraId="10C90F3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683" w:type="dxa"/>
                  <w:noWrap w:val="0"/>
                  <w:tcMar>
                    <w:top w:w="15" w:type="dxa"/>
                    <w:left w:w="15" w:type="dxa"/>
                    <w:bottom w:w="0" w:type="dxa"/>
                    <w:right w:w="15" w:type="dxa"/>
                  </w:tcMar>
                  <w:vAlign w:val="center"/>
                </w:tcPr>
                <w:p w14:paraId="41279E21">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67</w:t>
                  </w:r>
                </w:p>
              </w:tc>
              <w:tc>
                <w:tcPr>
                  <w:tcW w:w="1001" w:type="dxa"/>
                  <w:noWrap w:val="0"/>
                  <w:tcMar>
                    <w:top w:w="15" w:type="dxa"/>
                    <w:left w:w="15" w:type="dxa"/>
                    <w:bottom w:w="0" w:type="dxa"/>
                    <w:right w:w="15" w:type="dxa"/>
                  </w:tcMar>
                  <w:vAlign w:val="center"/>
                </w:tcPr>
                <w:p w14:paraId="28589923">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28117CDA">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47</w:t>
                  </w:r>
                </w:p>
              </w:tc>
              <w:tc>
                <w:tcPr>
                  <w:tcW w:w="896" w:type="dxa"/>
                  <w:noWrap w:val="0"/>
                  <w:tcMar>
                    <w:top w:w="15" w:type="dxa"/>
                    <w:left w:w="15" w:type="dxa"/>
                    <w:bottom w:w="0" w:type="dxa"/>
                    <w:right w:w="15" w:type="dxa"/>
                  </w:tcMar>
                  <w:vAlign w:val="center"/>
                </w:tcPr>
                <w:p w14:paraId="404D58B9">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2F8944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noWrap w:val="0"/>
                  <w:vAlign w:val="center"/>
                </w:tcPr>
                <w:p w14:paraId="1C63E6A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4</w:t>
                  </w:r>
                </w:p>
              </w:tc>
              <w:tc>
                <w:tcPr>
                  <w:tcW w:w="685" w:type="dxa"/>
                  <w:noWrap w:val="0"/>
                  <w:vAlign w:val="center"/>
                </w:tcPr>
                <w:p w14:paraId="3175F3D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提升机</w:t>
                  </w:r>
                </w:p>
              </w:tc>
              <w:tc>
                <w:tcPr>
                  <w:tcW w:w="683" w:type="dxa"/>
                  <w:noWrap w:val="0"/>
                  <w:tcMar>
                    <w:top w:w="15" w:type="dxa"/>
                    <w:left w:w="15" w:type="dxa"/>
                    <w:bottom w:w="0" w:type="dxa"/>
                    <w:right w:w="15" w:type="dxa"/>
                  </w:tcMar>
                  <w:vAlign w:val="center"/>
                </w:tcPr>
                <w:p w14:paraId="6639E71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70</w:t>
                  </w:r>
                </w:p>
              </w:tc>
              <w:tc>
                <w:tcPr>
                  <w:tcW w:w="783" w:type="dxa"/>
                  <w:noWrap w:val="0"/>
                  <w:tcMar>
                    <w:top w:w="15" w:type="dxa"/>
                    <w:left w:w="15" w:type="dxa"/>
                    <w:bottom w:w="0" w:type="dxa"/>
                    <w:right w:w="15" w:type="dxa"/>
                  </w:tcMar>
                  <w:vAlign w:val="center"/>
                </w:tcPr>
                <w:p w14:paraId="34E91E8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vAlign w:val="center"/>
                </w:tcPr>
                <w:p w14:paraId="3D400E96">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5500AC03">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5CA044D2">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7</w:t>
                  </w: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647E78D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127</w:t>
                  </w:r>
                </w:p>
              </w:tc>
              <w:tc>
                <w:tcPr>
                  <w:tcW w:w="262" w:type="dxa"/>
                  <w:noWrap w:val="0"/>
                  <w:tcMar>
                    <w:top w:w="15" w:type="dxa"/>
                    <w:left w:w="15" w:type="dxa"/>
                    <w:bottom w:w="0" w:type="dxa"/>
                    <w:right w:w="15" w:type="dxa"/>
                  </w:tcMar>
                  <w:vAlign w:val="center"/>
                </w:tcPr>
                <w:p w14:paraId="0831A1B2">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1.2</w:t>
                  </w:r>
                </w:p>
              </w:tc>
              <w:tc>
                <w:tcPr>
                  <w:tcW w:w="571" w:type="dxa"/>
                  <w:noWrap w:val="0"/>
                  <w:vAlign w:val="center"/>
                </w:tcPr>
                <w:p w14:paraId="6A1BB818">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683" w:type="dxa"/>
                  <w:noWrap w:val="0"/>
                  <w:tcMar>
                    <w:top w:w="15" w:type="dxa"/>
                    <w:left w:w="15" w:type="dxa"/>
                    <w:bottom w:w="0" w:type="dxa"/>
                    <w:right w:w="15" w:type="dxa"/>
                  </w:tcMar>
                  <w:vAlign w:val="center"/>
                </w:tcPr>
                <w:p w14:paraId="52EE1F80">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62</w:t>
                  </w:r>
                </w:p>
              </w:tc>
              <w:tc>
                <w:tcPr>
                  <w:tcW w:w="1001" w:type="dxa"/>
                  <w:noWrap w:val="0"/>
                  <w:tcMar>
                    <w:top w:w="15" w:type="dxa"/>
                    <w:left w:w="15" w:type="dxa"/>
                    <w:bottom w:w="0" w:type="dxa"/>
                    <w:right w:w="15" w:type="dxa"/>
                  </w:tcMar>
                  <w:vAlign w:val="center"/>
                </w:tcPr>
                <w:p w14:paraId="29E811DC">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641430EE">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42</w:t>
                  </w:r>
                </w:p>
              </w:tc>
              <w:tc>
                <w:tcPr>
                  <w:tcW w:w="896" w:type="dxa"/>
                  <w:noWrap w:val="0"/>
                  <w:tcMar>
                    <w:top w:w="15" w:type="dxa"/>
                    <w:left w:w="15" w:type="dxa"/>
                    <w:bottom w:w="0" w:type="dxa"/>
                    <w:right w:w="15" w:type="dxa"/>
                  </w:tcMar>
                  <w:vAlign w:val="center"/>
                </w:tcPr>
                <w:p w14:paraId="5080215A">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3CD38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328" w:type="dxa"/>
                  <w:noWrap w:val="0"/>
                  <w:vAlign w:val="center"/>
                </w:tcPr>
                <w:p w14:paraId="3A2BA66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5</w:t>
                  </w:r>
                </w:p>
              </w:tc>
              <w:tc>
                <w:tcPr>
                  <w:tcW w:w="685" w:type="dxa"/>
                  <w:noWrap w:val="0"/>
                  <w:vAlign w:val="center"/>
                </w:tcPr>
                <w:p w14:paraId="057C3CD6">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搅拌器</w:t>
                  </w:r>
                </w:p>
              </w:tc>
              <w:tc>
                <w:tcPr>
                  <w:tcW w:w="683" w:type="dxa"/>
                  <w:noWrap w:val="0"/>
                  <w:tcMar>
                    <w:top w:w="15" w:type="dxa"/>
                    <w:left w:w="15" w:type="dxa"/>
                    <w:bottom w:w="0" w:type="dxa"/>
                    <w:right w:w="15" w:type="dxa"/>
                  </w:tcMar>
                  <w:vAlign w:val="center"/>
                </w:tcPr>
                <w:p w14:paraId="17E7CF6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75</w:t>
                  </w:r>
                </w:p>
              </w:tc>
              <w:tc>
                <w:tcPr>
                  <w:tcW w:w="783" w:type="dxa"/>
                  <w:noWrap w:val="0"/>
                  <w:tcMar>
                    <w:top w:w="15" w:type="dxa"/>
                    <w:left w:w="15" w:type="dxa"/>
                    <w:bottom w:w="0" w:type="dxa"/>
                    <w:right w:w="15" w:type="dxa"/>
                  </w:tcMar>
                  <w:vAlign w:val="center"/>
                </w:tcPr>
                <w:p w14:paraId="2538AE5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vAlign w:val="center"/>
                </w:tcPr>
                <w:p w14:paraId="52961084">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4571DB0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693C43C0">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7</w:t>
                  </w:r>
                  <w:r>
                    <w:rPr>
                      <w:rStyle w:val="70"/>
                      <w:rFonts w:hint="default" w:ascii="Times New Roman" w:hAnsi="Times New Roman" w:eastAsia="宋体" w:cs="Times New Roman"/>
                      <w:b w:val="0"/>
                      <w:bCs w:val="0"/>
                      <w:color w:val="auto"/>
                      <w:sz w:val="18"/>
                      <w:szCs w:val="18"/>
                    </w:rPr>
                    <w:t>8</w:t>
                  </w:r>
                </w:p>
              </w:tc>
              <w:tc>
                <w:tcPr>
                  <w:tcW w:w="494" w:type="dxa"/>
                  <w:noWrap w:val="0"/>
                  <w:tcMar>
                    <w:top w:w="15" w:type="dxa"/>
                    <w:left w:w="15" w:type="dxa"/>
                    <w:bottom w:w="0" w:type="dxa"/>
                    <w:right w:w="15" w:type="dxa"/>
                  </w:tcMar>
                  <w:vAlign w:val="center"/>
                </w:tcPr>
                <w:p w14:paraId="765900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139</w:t>
                  </w:r>
                </w:p>
              </w:tc>
              <w:tc>
                <w:tcPr>
                  <w:tcW w:w="262" w:type="dxa"/>
                  <w:noWrap w:val="0"/>
                  <w:tcMar>
                    <w:top w:w="15" w:type="dxa"/>
                    <w:left w:w="15" w:type="dxa"/>
                    <w:bottom w:w="0" w:type="dxa"/>
                    <w:right w:w="15" w:type="dxa"/>
                  </w:tcMar>
                  <w:vAlign w:val="center"/>
                </w:tcPr>
                <w:p w14:paraId="7ACB2C0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2.0</w:t>
                  </w:r>
                </w:p>
              </w:tc>
              <w:tc>
                <w:tcPr>
                  <w:tcW w:w="571" w:type="dxa"/>
                  <w:noWrap w:val="0"/>
                  <w:vAlign w:val="center"/>
                </w:tcPr>
                <w:p w14:paraId="0E87E95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498763A3">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61</w:t>
                  </w:r>
                </w:p>
              </w:tc>
              <w:tc>
                <w:tcPr>
                  <w:tcW w:w="1001" w:type="dxa"/>
                  <w:noWrap w:val="0"/>
                  <w:tcMar>
                    <w:top w:w="15" w:type="dxa"/>
                    <w:left w:w="15" w:type="dxa"/>
                    <w:bottom w:w="0" w:type="dxa"/>
                    <w:right w:w="15" w:type="dxa"/>
                  </w:tcMar>
                  <w:vAlign w:val="center"/>
                </w:tcPr>
                <w:p w14:paraId="559FF1C2">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5E1D4E65">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41</w:t>
                  </w:r>
                </w:p>
              </w:tc>
              <w:tc>
                <w:tcPr>
                  <w:tcW w:w="896" w:type="dxa"/>
                  <w:noWrap w:val="0"/>
                  <w:tcMar>
                    <w:top w:w="15" w:type="dxa"/>
                    <w:left w:w="15" w:type="dxa"/>
                    <w:bottom w:w="0" w:type="dxa"/>
                    <w:right w:w="15" w:type="dxa"/>
                  </w:tcMar>
                  <w:vAlign w:val="center"/>
                </w:tcPr>
                <w:p w14:paraId="6F0F4B2D">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6F235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4BC201D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6</w:t>
                  </w:r>
                </w:p>
              </w:tc>
              <w:tc>
                <w:tcPr>
                  <w:tcW w:w="685" w:type="dxa"/>
                  <w:noWrap w:val="0"/>
                  <w:tcMar>
                    <w:top w:w="15" w:type="dxa"/>
                    <w:left w:w="15" w:type="dxa"/>
                    <w:bottom w:w="0" w:type="dxa"/>
                    <w:right w:w="15" w:type="dxa"/>
                  </w:tcMar>
                  <w:vAlign w:val="center"/>
                </w:tcPr>
                <w:p w14:paraId="053A982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滚筒引风机</w:t>
                  </w:r>
                </w:p>
              </w:tc>
              <w:tc>
                <w:tcPr>
                  <w:tcW w:w="683" w:type="dxa"/>
                  <w:noWrap w:val="0"/>
                  <w:tcMar>
                    <w:top w:w="15" w:type="dxa"/>
                    <w:left w:w="15" w:type="dxa"/>
                    <w:bottom w:w="0" w:type="dxa"/>
                    <w:right w:w="15" w:type="dxa"/>
                  </w:tcMar>
                  <w:vAlign w:val="center"/>
                </w:tcPr>
                <w:p w14:paraId="01C5285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80</w:t>
                  </w:r>
                </w:p>
              </w:tc>
              <w:tc>
                <w:tcPr>
                  <w:tcW w:w="783" w:type="dxa"/>
                  <w:noWrap w:val="0"/>
                  <w:tcMar>
                    <w:top w:w="15" w:type="dxa"/>
                    <w:left w:w="15" w:type="dxa"/>
                    <w:bottom w:w="0" w:type="dxa"/>
                    <w:right w:w="15" w:type="dxa"/>
                  </w:tcMar>
                  <w:vAlign w:val="center"/>
                </w:tcPr>
                <w:p w14:paraId="0BE085F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tcMar>
                    <w:top w:w="15" w:type="dxa"/>
                    <w:left w:w="15" w:type="dxa"/>
                    <w:bottom w:w="0" w:type="dxa"/>
                    <w:right w:w="15" w:type="dxa"/>
                  </w:tcMar>
                  <w:vAlign w:val="center"/>
                </w:tcPr>
                <w:p w14:paraId="76636EF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进风口安装消声器</w:t>
                  </w:r>
                </w:p>
              </w:tc>
              <w:tc>
                <w:tcPr>
                  <w:tcW w:w="663" w:type="dxa"/>
                  <w:noWrap w:val="0"/>
                  <w:vAlign w:val="center"/>
                </w:tcPr>
                <w:p w14:paraId="6587FAE6">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12</w:t>
                  </w:r>
                </w:p>
              </w:tc>
              <w:tc>
                <w:tcPr>
                  <w:tcW w:w="494" w:type="dxa"/>
                  <w:noWrap/>
                  <w:tcMar>
                    <w:top w:w="15" w:type="dxa"/>
                    <w:left w:w="15" w:type="dxa"/>
                    <w:bottom w:w="0" w:type="dxa"/>
                    <w:right w:w="15" w:type="dxa"/>
                  </w:tcMar>
                  <w:vAlign w:val="center"/>
                </w:tcPr>
                <w:p w14:paraId="32F68C7B">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9</w:t>
                  </w:r>
                  <w:r>
                    <w:rPr>
                      <w:rStyle w:val="70"/>
                      <w:rFonts w:hint="default" w:ascii="Times New Roman" w:hAnsi="Times New Roman" w:eastAsia="宋体" w:cs="Times New Roman"/>
                      <w:b w:val="0"/>
                      <w:bCs w:val="0"/>
                      <w:color w:val="auto"/>
                      <w:sz w:val="18"/>
                      <w:szCs w:val="18"/>
                    </w:rPr>
                    <w:t>2</w:t>
                  </w:r>
                </w:p>
              </w:tc>
              <w:tc>
                <w:tcPr>
                  <w:tcW w:w="494" w:type="dxa"/>
                  <w:noWrap/>
                  <w:tcMar>
                    <w:top w:w="15" w:type="dxa"/>
                    <w:left w:w="15" w:type="dxa"/>
                    <w:bottom w:w="0" w:type="dxa"/>
                    <w:right w:w="15" w:type="dxa"/>
                  </w:tcMar>
                  <w:vAlign w:val="center"/>
                </w:tcPr>
                <w:p w14:paraId="028BD9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rPr>
                  </w:pPr>
                  <w:r>
                    <w:rPr>
                      <w:rFonts w:hint="eastAsia" w:ascii="Times New Roman" w:hAnsi="Times New Roman" w:eastAsia="宋体" w:cs="Times New Roman"/>
                      <w:b w:val="0"/>
                      <w:bCs w:val="0"/>
                      <w:color w:val="auto"/>
                      <w:sz w:val="18"/>
                      <w:szCs w:val="18"/>
                      <w:lang w:val="en-US" w:eastAsia="zh-CN"/>
                    </w:rPr>
                    <w:t>129</w:t>
                  </w:r>
                </w:p>
              </w:tc>
              <w:tc>
                <w:tcPr>
                  <w:tcW w:w="262" w:type="dxa"/>
                  <w:noWrap/>
                  <w:tcMar>
                    <w:top w:w="15" w:type="dxa"/>
                    <w:left w:w="15" w:type="dxa"/>
                    <w:bottom w:w="0" w:type="dxa"/>
                    <w:right w:w="15" w:type="dxa"/>
                  </w:tcMar>
                  <w:vAlign w:val="center"/>
                </w:tcPr>
                <w:p w14:paraId="7A74EC0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571" w:type="dxa"/>
                  <w:noWrap w:val="0"/>
                  <w:tcMar>
                    <w:top w:w="15" w:type="dxa"/>
                    <w:left w:w="15" w:type="dxa"/>
                    <w:bottom w:w="0" w:type="dxa"/>
                    <w:right w:w="15" w:type="dxa"/>
                  </w:tcMar>
                  <w:vAlign w:val="center"/>
                </w:tcPr>
                <w:p w14:paraId="15CC80AF">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1.5</w:t>
                  </w:r>
                </w:p>
              </w:tc>
              <w:tc>
                <w:tcPr>
                  <w:tcW w:w="683" w:type="dxa"/>
                  <w:noWrap w:val="0"/>
                  <w:tcMar>
                    <w:top w:w="15" w:type="dxa"/>
                    <w:left w:w="15" w:type="dxa"/>
                    <w:bottom w:w="0" w:type="dxa"/>
                    <w:right w:w="15" w:type="dxa"/>
                  </w:tcMar>
                  <w:vAlign w:val="center"/>
                </w:tcPr>
                <w:p w14:paraId="5C56792A">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65</w:t>
                  </w:r>
                </w:p>
              </w:tc>
              <w:tc>
                <w:tcPr>
                  <w:tcW w:w="1001" w:type="dxa"/>
                  <w:noWrap w:val="0"/>
                  <w:tcMar>
                    <w:top w:w="15" w:type="dxa"/>
                    <w:left w:w="15" w:type="dxa"/>
                    <w:bottom w:w="0" w:type="dxa"/>
                    <w:right w:w="15" w:type="dxa"/>
                  </w:tcMar>
                  <w:vAlign w:val="center"/>
                </w:tcPr>
                <w:p w14:paraId="427600D6">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79CFF139">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45</w:t>
                  </w:r>
                </w:p>
              </w:tc>
              <w:tc>
                <w:tcPr>
                  <w:tcW w:w="896" w:type="dxa"/>
                  <w:noWrap w:val="0"/>
                  <w:tcMar>
                    <w:top w:w="15" w:type="dxa"/>
                    <w:left w:w="15" w:type="dxa"/>
                    <w:bottom w:w="0" w:type="dxa"/>
                    <w:right w:w="15" w:type="dxa"/>
                  </w:tcMar>
                  <w:vAlign w:val="center"/>
                </w:tcPr>
                <w:p w14:paraId="6D827CA7">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3285F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79BF3C6E">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w:t>
                  </w:r>
                </w:p>
              </w:tc>
              <w:tc>
                <w:tcPr>
                  <w:tcW w:w="685" w:type="dxa"/>
                  <w:noWrap w:val="0"/>
                  <w:tcMar>
                    <w:top w:w="15" w:type="dxa"/>
                    <w:left w:w="15" w:type="dxa"/>
                    <w:bottom w:w="0" w:type="dxa"/>
                    <w:right w:w="15" w:type="dxa"/>
                  </w:tcMar>
                  <w:vAlign w:val="center"/>
                </w:tcPr>
                <w:p w14:paraId="56E2AA7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沥青泵1</w:t>
                  </w:r>
                </w:p>
              </w:tc>
              <w:tc>
                <w:tcPr>
                  <w:tcW w:w="683" w:type="dxa"/>
                  <w:noWrap w:val="0"/>
                  <w:tcMar>
                    <w:top w:w="15" w:type="dxa"/>
                    <w:left w:w="15" w:type="dxa"/>
                    <w:bottom w:w="0" w:type="dxa"/>
                    <w:right w:w="15" w:type="dxa"/>
                  </w:tcMar>
                  <w:vAlign w:val="center"/>
                </w:tcPr>
                <w:p w14:paraId="5922A13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75</w:t>
                  </w:r>
                </w:p>
              </w:tc>
              <w:tc>
                <w:tcPr>
                  <w:tcW w:w="783" w:type="dxa"/>
                  <w:noWrap w:val="0"/>
                  <w:tcMar>
                    <w:top w:w="15" w:type="dxa"/>
                    <w:left w:w="15" w:type="dxa"/>
                    <w:bottom w:w="0" w:type="dxa"/>
                    <w:right w:w="15" w:type="dxa"/>
                  </w:tcMar>
                  <w:vAlign w:val="center"/>
                </w:tcPr>
                <w:p w14:paraId="0D197050">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tcMar>
                    <w:top w:w="15" w:type="dxa"/>
                    <w:left w:w="15" w:type="dxa"/>
                    <w:bottom w:w="0" w:type="dxa"/>
                    <w:right w:w="15" w:type="dxa"/>
                  </w:tcMar>
                  <w:vAlign w:val="center"/>
                </w:tcPr>
                <w:p w14:paraId="208599EC">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1BA9D9C3">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tcMar>
                    <w:top w:w="15" w:type="dxa"/>
                    <w:left w:w="15" w:type="dxa"/>
                    <w:bottom w:w="0" w:type="dxa"/>
                    <w:right w:w="15" w:type="dxa"/>
                  </w:tcMar>
                  <w:vAlign w:val="center"/>
                </w:tcPr>
                <w:p w14:paraId="0487D5BE">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8</w:t>
                  </w:r>
                  <w:r>
                    <w:rPr>
                      <w:rStyle w:val="70"/>
                      <w:rFonts w:hint="default" w:ascii="Times New Roman" w:hAnsi="Times New Roman" w:eastAsia="宋体" w:cs="Times New Roman"/>
                      <w:b w:val="0"/>
                      <w:bCs w:val="0"/>
                      <w:color w:val="auto"/>
                      <w:sz w:val="18"/>
                      <w:szCs w:val="18"/>
                    </w:rPr>
                    <w:t>8</w:t>
                  </w:r>
                </w:p>
              </w:tc>
              <w:tc>
                <w:tcPr>
                  <w:tcW w:w="494" w:type="dxa"/>
                  <w:noWrap/>
                  <w:tcMar>
                    <w:top w:w="15" w:type="dxa"/>
                    <w:left w:w="15" w:type="dxa"/>
                    <w:bottom w:w="0" w:type="dxa"/>
                    <w:right w:w="15" w:type="dxa"/>
                  </w:tcMar>
                  <w:vAlign w:val="center"/>
                </w:tcPr>
                <w:p w14:paraId="06FCB81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w:t>
                  </w:r>
                  <w:r>
                    <w:rPr>
                      <w:rFonts w:hint="eastAsia" w:cs="Times New Roman"/>
                      <w:b w:val="0"/>
                      <w:bCs w:val="0"/>
                      <w:color w:val="auto"/>
                      <w:sz w:val="18"/>
                      <w:szCs w:val="18"/>
                      <w:lang w:val="en-US" w:eastAsia="zh-CN"/>
                    </w:rPr>
                    <w:t>3</w:t>
                  </w:r>
                  <w:r>
                    <w:rPr>
                      <w:rFonts w:hint="eastAsia" w:ascii="Times New Roman" w:hAnsi="Times New Roman" w:eastAsia="宋体" w:cs="Times New Roman"/>
                      <w:b w:val="0"/>
                      <w:bCs w:val="0"/>
                      <w:color w:val="auto"/>
                      <w:sz w:val="18"/>
                      <w:szCs w:val="18"/>
                      <w:lang w:val="en-US" w:eastAsia="zh-CN"/>
                    </w:rPr>
                    <w:t>5</w:t>
                  </w:r>
                </w:p>
              </w:tc>
              <w:tc>
                <w:tcPr>
                  <w:tcW w:w="262" w:type="dxa"/>
                  <w:noWrap/>
                  <w:tcMar>
                    <w:top w:w="15" w:type="dxa"/>
                    <w:left w:w="15" w:type="dxa"/>
                    <w:bottom w:w="0" w:type="dxa"/>
                    <w:right w:w="15" w:type="dxa"/>
                  </w:tcMar>
                  <w:vAlign w:val="center"/>
                </w:tcPr>
                <w:p w14:paraId="5E61EE2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0.5</w:t>
                  </w:r>
                </w:p>
              </w:tc>
              <w:tc>
                <w:tcPr>
                  <w:tcW w:w="571" w:type="dxa"/>
                  <w:noWrap w:val="0"/>
                  <w:tcMar>
                    <w:top w:w="15" w:type="dxa"/>
                    <w:left w:w="15" w:type="dxa"/>
                    <w:bottom w:w="0" w:type="dxa"/>
                    <w:right w:w="15" w:type="dxa"/>
                  </w:tcMar>
                  <w:vAlign w:val="center"/>
                </w:tcPr>
                <w:p w14:paraId="68A463A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0130A44E">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61</w:t>
                  </w:r>
                </w:p>
              </w:tc>
              <w:tc>
                <w:tcPr>
                  <w:tcW w:w="1001" w:type="dxa"/>
                  <w:noWrap w:val="0"/>
                  <w:tcMar>
                    <w:top w:w="15" w:type="dxa"/>
                    <w:left w:w="15" w:type="dxa"/>
                    <w:bottom w:w="0" w:type="dxa"/>
                    <w:right w:w="15" w:type="dxa"/>
                  </w:tcMar>
                  <w:vAlign w:val="center"/>
                </w:tcPr>
                <w:p w14:paraId="7AE78EC5">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2A898999">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41</w:t>
                  </w:r>
                </w:p>
              </w:tc>
              <w:tc>
                <w:tcPr>
                  <w:tcW w:w="896" w:type="dxa"/>
                  <w:noWrap w:val="0"/>
                  <w:tcMar>
                    <w:top w:w="15" w:type="dxa"/>
                    <w:left w:w="15" w:type="dxa"/>
                    <w:bottom w:w="0" w:type="dxa"/>
                    <w:right w:w="15" w:type="dxa"/>
                  </w:tcMar>
                  <w:vAlign w:val="center"/>
                </w:tcPr>
                <w:p w14:paraId="183F8CA3">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2660CB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6796FCD2">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685" w:type="dxa"/>
                  <w:noWrap w:val="0"/>
                  <w:tcMar>
                    <w:top w:w="15" w:type="dxa"/>
                    <w:left w:w="15" w:type="dxa"/>
                    <w:bottom w:w="0" w:type="dxa"/>
                    <w:right w:w="15" w:type="dxa"/>
                  </w:tcMar>
                  <w:vAlign w:val="center"/>
                </w:tcPr>
                <w:p w14:paraId="11C7F521">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沥青泵2</w:t>
                  </w:r>
                </w:p>
              </w:tc>
              <w:tc>
                <w:tcPr>
                  <w:tcW w:w="683" w:type="dxa"/>
                  <w:noWrap w:val="0"/>
                  <w:tcMar>
                    <w:top w:w="15" w:type="dxa"/>
                    <w:left w:w="15" w:type="dxa"/>
                    <w:bottom w:w="0" w:type="dxa"/>
                    <w:right w:w="15" w:type="dxa"/>
                  </w:tcMar>
                  <w:vAlign w:val="center"/>
                </w:tcPr>
                <w:p w14:paraId="3EC185F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75</w:t>
                  </w:r>
                </w:p>
              </w:tc>
              <w:tc>
                <w:tcPr>
                  <w:tcW w:w="783" w:type="dxa"/>
                  <w:noWrap w:val="0"/>
                  <w:tcMar>
                    <w:top w:w="15" w:type="dxa"/>
                    <w:left w:w="15" w:type="dxa"/>
                    <w:bottom w:w="0" w:type="dxa"/>
                    <w:right w:w="15" w:type="dxa"/>
                  </w:tcMar>
                  <w:vAlign w:val="center"/>
                </w:tcPr>
                <w:p w14:paraId="7D953DC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w:t>
                  </w:r>
                </w:p>
              </w:tc>
              <w:tc>
                <w:tcPr>
                  <w:tcW w:w="997" w:type="dxa"/>
                  <w:noWrap w:val="0"/>
                  <w:tcMar>
                    <w:top w:w="15" w:type="dxa"/>
                    <w:left w:w="15" w:type="dxa"/>
                    <w:bottom w:w="0" w:type="dxa"/>
                    <w:right w:w="15" w:type="dxa"/>
                  </w:tcMar>
                  <w:vAlign w:val="center"/>
                </w:tcPr>
                <w:p w14:paraId="4D8D4E72">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减振</w:t>
                  </w:r>
                </w:p>
              </w:tc>
              <w:tc>
                <w:tcPr>
                  <w:tcW w:w="663" w:type="dxa"/>
                  <w:noWrap w:val="0"/>
                  <w:vAlign w:val="center"/>
                </w:tcPr>
                <w:p w14:paraId="26A80CF9">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8</w:t>
                  </w:r>
                </w:p>
              </w:tc>
              <w:tc>
                <w:tcPr>
                  <w:tcW w:w="494" w:type="dxa"/>
                  <w:noWrap/>
                  <w:tcMar>
                    <w:top w:w="15" w:type="dxa"/>
                    <w:left w:w="15" w:type="dxa"/>
                    <w:bottom w:w="0" w:type="dxa"/>
                    <w:right w:w="15" w:type="dxa"/>
                  </w:tcMar>
                  <w:vAlign w:val="center"/>
                </w:tcPr>
                <w:p w14:paraId="53ED5EB6">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lang w:val="en-US" w:eastAsia="zh-CN"/>
                    </w:rPr>
                  </w:pPr>
                  <w:r>
                    <w:rPr>
                      <w:rStyle w:val="70"/>
                      <w:rFonts w:hint="eastAsia" w:eastAsia="宋体" w:cs="Times New Roman"/>
                      <w:b w:val="0"/>
                      <w:bCs w:val="0"/>
                      <w:color w:val="auto"/>
                      <w:sz w:val="18"/>
                      <w:szCs w:val="18"/>
                      <w:lang w:val="en-US" w:eastAsia="zh-CN"/>
                    </w:rPr>
                    <w:t>8</w:t>
                  </w:r>
                  <w:r>
                    <w:rPr>
                      <w:rStyle w:val="70"/>
                      <w:rFonts w:hint="default" w:ascii="Times New Roman" w:hAnsi="Times New Roman" w:eastAsia="宋体" w:cs="Times New Roman"/>
                      <w:b w:val="0"/>
                      <w:bCs w:val="0"/>
                      <w:color w:val="auto"/>
                      <w:sz w:val="18"/>
                      <w:szCs w:val="18"/>
                    </w:rPr>
                    <w:t>8</w:t>
                  </w:r>
                </w:p>
              </w:tc>
              <w:tc>
                <w:tcPr>
                  <w:tcW w:w="494" w:type="dxa"/>
                  <w:noWrap/>
                  <w:tcMar>
                    <w:top w:w="15" w:type="dxa"/>
                    <w:left w:w="15" w:type="dxa"/>
                    <w:bottom w:w="0" w:type="dxa"/>
                    <w:right w:w="15" w:type="dxa"/>
                  </w:tcMar>
                  <w:vAlign w:val="center"/>
                </w:tcPr>
                <w:p w14:paraId="70E5432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b w:val="0"/>
                      <w:bCs w:val="0"/>
                      <w:color w:val="auto"/>
                      <w:sz w:val="18"/>
                      <w:szCs w:val="18"/>
                      <w:lang w:val="en-US" w:eastAsia="zh-CN"/>
                    </w:rPr>
                    <w:t>1</w:t>
                  </w:r>
                  <w:r>
                    <w:rPr>
                      <w:rFonts w:hint="eastAsia" w:cs="Times New Roman"/>
                      <w:b w:val="0"/>
                      <w:bCs w:val="0"/>
                      <w:color w:val="auto"/>
                      <w:sz w:val="18"/>
                      <w:szCs w:val="18"/>
                      <w:lang w:val="en-US" w:eastAsia="zh-CN"/>
                    </w:rPr>
                    <w:t>3</w:t>
                  </w:r>
                  <w:r>
                    <w:rPr>
                      <w:rFonts w:hint="eastAsia" w:ascii="Times New Roman" w:hAnsi="Times New Roman" w:eastAsia="宋体" w:cs="Times New Roman"/>
                      <w:b w:val="0"/>
                      <w:bCs w:val="0"/>
                      <w:color w:val="auto"/>
                      <w:sz w:val="18"/>
                      <w:szCs w:val="18"/>
                      <w:lang w:val="en-US" w:eastAsia="zh-CN"/>
                    </w:rPr>
                    <w:t>6</w:t>
                  </w:r>
                </w:p>
              </w:tc>
              <w:tc>
                <w:tcPr>
                  <w:tcW w:w="262" w:type="dxa"/>
                  <w:noWrap/>
                  <w:tcMar>
                    <w:top w:w="15" w:type="dxa"/>
                    <w:left w:w="15" w:type="dxa"/>
                    <w:bottom w:w="0" w:type="dxa"/>
                    <w:right w:w="15" w:type="dxa"/>
                  </w:tcMar>
                  <w:vAlign w:val="center"/>
                </w:tcPr>
                <w:p w14:paraId="79C76EDA">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0.5</w:t>
                  </w:r>
                </w:p>
              </w:tc>
              <w:tc>
                <w:tcPr>
                  <w:tcW w:w="571" w:type="dxa"/>
                  <w:noWrap w:val="0"/>
                  <w:tcMar>
                    <w:top w:w="15" w:type="dxa"/>
                    <w:left w:w="15" w:type="dxa"/>
                    <w:bottom w:w="0" w:type="dxa"/>
                    <w:right w:w="15" w:type="dxa"/>
                  </w:tcMar>
                  <w:vAlign w:val="center"/>
                </w:tcPr>
                <w:p w14:paraId="3711FEEB">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365AED06">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61</w:t>
                  </w:r>
                </w:p>
              </w:tc>
              <w:tc>
                <w:tcPr>
                  <w:tcW w:w="1001" w:type="dxa"/>
                  <w:noWrap w:val="0"/>
                  <w:tcMar>
                    <w:top w:w="15" w:type="dxa"/>
                    <w:left w:w="15" w:type="dxa"/>
                    <w:bottom w:w="0" w:type="dxa"/>
                    <w:right w:w="15" w:type="dxa"/>
                  </w:tcMar>
                  <w:vAlign w:val="center"/>
                </w:tcPr>
                <w:p w14:paraId="320901DE">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20</w:t>
                  </w:r>
                </w:p>
              </w:tc>
              <w:tc>
                <w:tcPr>
                  <w:tcW w:w="683" w:type="dxa"/>
                  <w:noWrap w:val="0"/>
                  <w:tcMar>
                    <w:top w:w="15" w:type="dxa"/>
                    <w:left w:w="15" w:type="dxa"/>
                    <w:bottom w:w="0" w:type="dxa"/>
                    <w:right w:w="15" w:type="dxa"/>
                  </w:tcMar>
                  <w:vAlign w:val="center"/>
                </w:tcPr>
                <w:p w14:paraId="0602447D">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41</w:t>
                  </w:r>
                </w:p>
              </w:tc>
              <w:tc>
                <w:tcPr>
                  <w:tcW w:w="896" w:type="dxa"/>
                  <w:noWrap w:val="0"/>
                  <w:tcMar>
                    <w:top w:w="15" w:type="dxa"/>
                    <w:left w:w="15" w:type="dxa"/>
                    <w:bottom w:w="0" w:type="dxa"/>
                    <w:right w:w="15" w:type="dxa"/>
                  </w:tcMar>
                  <w:vAlign w:val="center"/>
                </w:tcPr>
                <w:p w14:paraId="3FC06542">
                  <w:pPr>
                    <w:pStyle w:val="180"/>
                    <w:keepNext w:val="0"/>
                    <w:suppressLineNumbers w:val="0"/>
                    <w:spacing w:beforeAutospacing="0" w:afterAutospacing="0"/>
                    <w:ind w:left="0" w:right="0"/>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1</w:t>
                  </w:r>
                </w:p>
              </w:tc>
            </w:tr>
            <w:tr w14:paraId="5527B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37485A7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9</w:t>
                  </w:r>
                </w:p>
              </w:tc>
              <w:tc>
                <w:tcPr>
                  <w:tcW w:w="685" w:type="dxa"/>
                  <w:shd w:val="clear" w:color="auto" w:fill="auto"/>
                  <w:noWrap w:val="0"/>
                  <w:tcMar>
                    <w:top w:w="15" w:type="dxa"/>
                    <w:left w:w="15" w:type="dxa"/>
                    <w:bottom w:w="0" w:type="dxa"/>
                    <w:right w:w="15" w:type="dxa"/>
                  </w:tcMar>
                  <w:vAlign w:val="center"/>
                </w:tcPr>
                <w:p w14:paraId="448491A6">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导热油炉</w:t>
                  </w:r>
                </w:p>
              </w:tc>
              <w:tc>
                <w:tcPr>
                  <w:tcW w:w="683" w:type="dxa"/>
                  <w:shd w:val="clear" w:color="auto" w:fill="auto"/>
                  <w:noWrap w:val="0"/>
                  <w:tcMar>
                    <w:top w:w="15" w:type="dxa"/>
                    <w:left w:w="15" w:type="dxa"/>
                    <w:bottom w:w="0" w:type="dxa"/>
                    <w:right w:w="15" w:type="dxa"/>
                  </w:tcMar>
                  <w:vAlign w:val="center"/>
                </w:tcPr>
                <w:p w14:paraId="05D3735B">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70</w:t>
                  </w:r>
                </w:p>
              </w:tc>
              <w:tc>
                <w:tcPr>
                  <w:tcW w:w="783" w:type="dxa"/>
                  <w:shd w:val="clear" w:color="auto" w:fill="auto"/>
                  <w:noWrap w:val="0"/>
                  <w:tcMar>
                    <w:top w:w="15" w:type="dxa"/>
                    <w:left w:w="15" w:type="dxa"/>
                    <w:bottom w:w="0" w:type="dxa"/>
                    <w:right w:w="15" w:type="dxa"/>
                  </w:tcMar>
                  <w:vAlign w:val="center"/>
                </w:tcPr>
                <w:p w14:paraId="48E5AD69">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w:t>
                  </w:r>
                </w:p>
              </w:tc>
              <w:tc>
                <w:tcPr>
                  <w:tcW w:w="997" w:type="dxa"/>
                  <w:shd w:val="clear" w:color="auto" w:fill="auto"/>
                  <w:noWrap w:val="0"/>
                  <w:tcMar>
                    <w:top w:w="15" w:type="dxa"/>
                    <w:left w:w="15" w:type="dxa"/>
                    <w:bottom w:w="0" w:type="dxa"/>
                    <w:right w:w="15" w:type="dxa"/>
                  </w:tcMar>
                  <w:vAlign w:val="center"/>
                </w:tcPr>
                <w:p w14:paraId="6FCF426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减振</w:t>
                  </w:r>
                </w:p>
              </w:tc>
              <w:tc>
                <w:tcPr>
                  <w:tcW w:w="663" w:type="dxa"/>
                  <w:shd w:val="clear" w:color="auto" w:fill="auto"/>
                  <w:noWrap w:val="0"/>
                  <w:vAlign w:val="center"/>
                </w:tcPr>
                <w:p w14:paraId="60ECDB86">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8</w:t>
                  </w:r>
                </w:p>
              </w:tc>
              <w:tc>
                <w:tcPr>
                  <w:tcW w:w="494" w:type="dxa"/>
                  <w:shd w:val="clear" w:color="auto" w:fill="auto"/>
                  <w:noWrap/>
                  <w:tcMar>
                    <w:top w:w="15" w:type="dxa"/>
                    <w:left w:w="15" w:type="dxa"/>
                    <w:bottom w:w="0" w:type="dxa"/>
                    <w:right w:w="15" w:type="dxa"/>
                  </w:tcMar>
                  <w:vAlign w:val="center"/>
                </w:tcPr>
                <w:p w14:paraId="4A4AE78B">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eastAsia" w:eastAsia="宋体" w:cs="Times New Roman"/>
                      <w:b w:val="0"/>
                      <w:bCs w:val="0"/>
                      <w:color w:val="auto"/>
                      <w:sz w:val="18"/>
                      <w:szCs w:val="18"/>
                      <w:lang w:val="en-US" w:eastAsia="zh-CN"/>
                    </w:rPr>
                    <w:t>8</w:t>
                  </w:r>
                  <w:r>
                    <w:rPr>
                      <w:rStyle w:val="70"/>
                      <w:rFonts w:hint="default" w:ascii="Times New Roman" w:hAnsi="Times New Roman" w:eastAsia="宋体" w:cs="Times New Roman"/>
                      <w:b w:val="0"/>
                      <w:bCs w:val="0"/>
                      <w:color w:val="auto"/>
                      <w:sz w:val="18"/>
                      <w:szCs w:val="18"/>
                    </w:rPr>
                    <w:t>8</w:t>
                  </w:r>
                </w:p>
              </w:tc>
              <w:tc>
                <w:tcPr>
                  <w:tcW w:w="494" w:type="dxa"/>
                  <w:shd w:val="clear" w:color="auto" w:fill="auto"/>
                  <w:noWrap/>
                  <w:tcMar>
                    <w:top w:w="15" w:type="dxa"/>
                    <w:left w:w="15" w:type="dxa"/>
                    <w:bottom w:w="0" w:type="dxa"/>
                    <w:right w:w="15" w:type="dxa"/>
                  </w:tcMar>
                  <w:vAlign w:val="center"/>
                </w:tcPr>
                <w:p w14:paraId="23492A7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18"/>
                      <w:szCs w:val="18"/>
                      <w:lang w:val="en-US" w:eastAsia="zh-CN" w:bidi="ar-SA"/>
                    </w:rPr>
                  </w:pPr>
                  <w:r>
                    <w:rPr>
                      <w:rFonts w:hint="eastAsia" w:ascii="Times New Roman" w:hAnsi="Times New Roman" w:eastAsia="宋体" w:cs="Times New Roman"/>
                      <w:b w:val="0"/>
                      <w:bCs w:val="0"/>
                      <w:color w:val="auto"/>
                      <w:kern w:val="2"/>
                      <w:sz w:val="18"/>
                      <w:szCs w:val="18"/>
                      <w:lang w:val="en-US" w:eastAsia="zh-CN" w:bidi="ar-SA"/>
                    </w:rPr>
                    <w:t>1</w:t>
                  </w:r>
                  <w:r>
                    <w:rPr>
                      <w:rFonts w:hint="eastAsia" w:cs="Times New Roman"/>
                      <w:b w:val="0"/>
                      <w:bCs w:val="0"/>
                      <w:color w:val="auto"/>
                      <w:kern w:val="2"/>
                      <w:sz w:val="18"/>
                      <w:szCs w:val="18"/>
                      <w:lang w:val="en-US" w:eastAsia="zh-CN" w:bidi="ar-SA"/>
                    </w:rPr>
                    <w:t>5</w:t>
                  </w:r>
                  <w:r>
                    <w:rPr>
                      <w:rFonts w:hint="eastAsia" w:ascii="Times New Roman" w:hAnsi="Times New Roman" w:eastAsia="宋体" w:cs="Times New Roman"/>
                      <w:b w:val="0"/>
                      <w:bCs w:val="0"/>
                      <w:color w:val="auto"/>
                      <w:kern w:val="2"/>
                      <w:sz w:val="18"/>
                      <w:szCs w:val="18"/>
                      <w:lang w:val="en-US" w:eastAsia="zh-CN" w:bidi="ar-SA"/>
                    </w:rPr>
                    <w:t>5</w:t>
                  </w:r>
                </w:p>
              </w:tc>
              <w:tc>
                <w:tcPr>
                  <w:tcW w:w="262" w:type="dxa"/>
                  <w:shd w:val="clear" w:color="auto" w:fill="auto"/>
                  <w:noWrap/>
                  <w:tcMar>
                    <w:top w:w="15" w:type="dxa"/>
                    <w:left w:w="15" w:type="dxa"/>
                    <w:bottom w:w="0" w:type="dxa"/>
                    <w:right w:w="15" w:type="dxa"/>
                  </w:tcMar>
                  <w:vAlign w:val="center"/>
                </w:tcPr>
                <w:p w14:paraId="72B2F14B">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1.0</w:t>
                  </w:r>
                </w:p>
              </w:tc>
              <w:tc>
                <w:tcPr>
                  <w:tcW w:w="571" w:type="dxa"/>
                  <w:shd w:val="clear" w:color="auto" w:fill="auto"/>
                  <w:noWrap w:val="0"/>
                  <w:tcMar>
                    <w:top w:w="15" w:type="dxa"/>
                    <w:left w:w="15" w:type="dxa"/>
                    <w:bottom w:w="0" w:type="dxa"/>
                    <w:right w:w="15" w:type="dxa"/>
                  </w:tcMar>
                  <w:vAlign w:val="center"/>
                </w:tcPr>
                <w:p w14:paraId="3B83C01D">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1.5</w:t>
                  </w:r>
                </w:p>
              </w:tc>
              <w:tc>
                <w:tcPr>
                  <w:tcW w:w="683" w:type="dxa"/>
                  <w:shd w:val="clear" w:color="auto" w:fill="auto"/>
                  <w:noWrap w:val="0"/>
                  <w:tcMar>
                    <w:top w:w="15" w:type="dxa"/>
                    <w:left w:w="15" w:type="dxa"/>
                    <w:bottom w:w="0" w:type="dxa"/>
                    <w:right w:w="15" w:type="dxa"/>
                  </w:tcMar>
                  <w:vAlign w:val="center"/>
                </w:tcPr>
                <w:p w14:paraId="646CE638">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5</w:t>
                  </w:r>
                  <w:r>
                    <w:rPr>
                      <w:rFonts w:hint="default" w:ascii="Times New Roman" w:hAnsi="Times New Roman" w:eastAsia="宋体" w:cs="Times New Roman"/>
                      <w:b w:val="0"/>
                      <w:bCs w:val="0"/>
                      <w:color w:val="auto"/>
                      <w:sz w:val="18"/>
                      <w:szCs w:val="18"/>
                      <w:lang w:val="en-US" w:eastAsia="zh-CN"/>
                    </w:rPr>
                    <w:t>8</w:t>
                  </w:r>
                </w:p>
              </w:tc>
              <w:tc>
                <w:tcPr>
                  <w:tcW w:w="1001" w:type="dxa"/>
                  <w:shd w:val="clear" w:color="auto" w:fill="auto"/>
                  <w:noWrap w:val="0"/>
                  <w:tcMar>
                    <w:top w:w="15" w:type="dxa"/>
                    <w:left w:w="15" w:type="dxa"/>
                    <w:bottom w:w="0" w:type="dxa"/>
                    <w:right w:w="15" w:type="dxa"/>
                  </w:tcMar>
                  <w:vAlign w:val="center"/>
                </w:tcPr>
                <w:p w14:paraId="77D6938A">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20</w:t>
                  </w:r>
                </w:p>
              </w:tc>
              <w:tc>
                <w:tcPr>
                  <w:tcW w:w="683" w:type="dxa"/>
                  <w:shd w:val="clear" w:color="auto" w:fill="auto"/>
                  <w:noWrap w:val="0"/>
                  <w:tcMar>
                    <w:top w:w="15" w:type="dxa"/>
                    <w:left w:w="15" w:type="dxa"/>
                    <w:bottom w:w="0" w:type="dxa"/>
                    <w:right w:w="15" w:type="dxa"/>
                  </w:tcMar>
                  <w:vAlign w:val="center"/>
                </w:tcPr>
                <w:p w14:paraId="1614B4C6">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3</w:t>
                  </w:r>
                  <w:r>
                    <w:rPr>
                      <w:rFonts w:hint="default" w:ascii="Times New Roman" w:hAnsi="Times New Roman" w:eastAsia="宋体" w:cs="Times New Roman"/>
                      <w:b w:val="0"/>
                      <w:bCs w:val="0"/>
                      <w:color w:val="auto"/>
                      <w:sz w:val="18"/>
                      <w:szCs w:val="18"/>
                      <w:lang w:val="en-US" w:eastAsia="zh-CN"/>
                    </w:rPr>
                    <w:t>8</w:t>
                  </w:r>
                </w:p>
              </w:tc>
              <w:tc>
                <w:tcPr>
                  <w:tcW w:w="896" w:type="dxa"/>
                  <w:shd w:val="clear" w:color="auto" w:fill="auto"/>
                  <w:noWrap w:val="0"/>
                  <w:tcMar>
                    <w:top w:w="15" w:type="dxa"/>
                    <w:left w:w="15" w:type="dxa"/>
                    <w:bottom w:w="0" w:type="dxa"/>
                    <w:right w:w="15" w:type="dxa"/>
                  </w:tcMar>
                  <w:vAlign w:val="center"/>
                </w:tcPr>
                <w:p w14:paraId="38245BAB">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1</w:t>
                  </w:r>
                </w:p>
              </w:tc>
            </w:tr>
            <w:tr w14:paraId="672DC4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7850BEB7">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10</w:t>
                  </w:r>
                </w:p>
              </w:tc>
              <w:tc>
                <w:tcPr>
                  <w:tcW w:w="685" w:type="dxa"/>
                  <w:shd w:val="clear" w:color="auto" w:fill="auto"/>
                  <w:noWrap w:val="0"/>
                  <w:tcMar>
                    <w:top w:w="15" w:type="dxa"/>
                    <w:left w:w="15" w:type="dxa"/>
                    <w:bottom w:w="0" w:type="dxa"/>
                    <w:right w:w="15" w:type="dxa"/>
                  </w:tcMar>
                  <w:vAlign w:val="center"/>
                </w:tcPr>
                <w:p w14:paraId="6A41BF8B">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风机1</w:t>
                  </w:r>
                </w:p>
              </w:tc>
              <w:tc>
                <w:tcPr>
                  <w:tcW w:w="683" w:type="dxa"/>
                  <w:shd w:val="clear" w:color="auto" w:fill="auto"/>
                  <w:noWrap w:val="0"/>
                  <w:tcMar>
                    <w:top w:w="15" w:type="dxa"/>
                    <w:left w:w="15" w:type="dxa"/>
                    <w:bottom w:w="0" w:type="dxa"/>
                    <w:right w:w="15" w:type="dxa"/>
                  </w:tcMar>
                  <w:vAlign w:val="center"/>
                </w:tcPr>
                <w:p w14:paraId="194F4310">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80</w:t>
                  </w:r>
                </w:p>
              </w:tc>
              <w:tc>
                <w:tcPr>
                  <w:tcW w:w="783" w:type="dxa"/>
                  <w:shd w:val="clear" w:color="auto" w:fill="auto"/>
                  <w:noWrap w:val="0"/>
                  <w:tcMar>
                    <w:top w:w="15" w:type="dxa"/>
                    <w:left w:w="15" w:type="dxa"/>
                    <w:bottom w:w="0" w:type="dxa"/>
                    <w:right w:w="15" w:type="dxa"/>
                  </w:tcMar>
                  <w:vAlign w:val="center"/>
                </w:tcPr>
                <w:p w14:paraId="427681DD">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w:t>
                  </w:r>
                </w:p>
              </w:tc>
              <w:tc>
                <w:tcPr>
                  <w:tcW w:w="997" w:type="dxa"/>
                  <w:shd w:val="clear" w:color="auto" w:fill="auto"/>
                  <w:noWrap w:val="0"/>
                  <w:tcMar>
                    <w:top w:w="15" w:type="dxa"/>
                    <w:left w:w="15" w:type="dxa"/>
                    <w:bottom w:w="0" w:type="dxa"/>
                    <w:right w:w="15" w:type="dxa"/>
                  </w:tcMar>
                  <w:vAlign w:val="center"/>
                </w:tcPr>
                <w:p w14:paraId="5369DB36">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进风口安装消声器</w:t>
                  </w:r>
                </w:p>
              </w:tc>
              <w:tc>
                <w:tcPr>
                  <w:tcW w:w="663" w:type="dxa"/>
                  <w:shd w:val="clear" w:color="auto" w:fill="auto"/>
                  <w:noWrap w:val="0"/>
                  <w:vAlign w:val="center"/>
                </w:tcPr>
                <w:p w14:paraId="14A5BCED">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12</w:t>
                  </w:r>
                </w:p>
              </w:tc>
              <w:tc>
                <w:tcPr>
                  <w:tcW w:w="494" w:type="dxa"/>
                  <w:shd w:val="clear" w:color="auto" w:fill="auto"/>
                  <w:noWrap/>
                  <w:tcMar>
                    <w:top w:w="15" w:type="dxa"/>
                    <w:left w:w="15" w:type="dxa"/>
                    <w:bottom w:w="0" w:type="dxa"/>
                    <w:right w:w="15" w:type="dxa"/>
                  </w:tcMar>
                  <w:vAlign w:val="center"/>
                </w:tcPr>
                <w:p w14:paraId="1A0E45A7">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eastAsia" w:eastAsia="宋体" w:cs="Times New Roman"/>
                      <w:b w:val="0"/>
                      <w:bCs w:val="0"/>
                      <w:color w:val="auto"/>
                      <w:sz w:val="18"/>
                      <w:szCs w:val="18"/>
                      <w:lang w:val="en-US" w:eastAsia="zh-CN"/>
                    </w:rPr>
                    <w:t>9</w:t>
                  </w:r>
                  <w:r>
                    <w:rPr>
                      <w:rStyle w:val="70"/>
                      <w:rFonts w:hint="default" w:ascii="Times New Roman" w:hAnsi="Times New Roman" w:eastAsia="宋体" w:cs="Times New Roman"/>
                      <w:b w:val="0"/>
                      <w:bCs w:val="0"/>
                      <w:color w:val="auto"/>
                      <w:sz w:val="18"/>
                      <w:szCs w:val="18"/>
                    </w:rPr>
                    <w:t>2</w:t>
                  </w:r>
                </w:p>
              </w:tc>
              <w:tc>
                <w:tcPr>
                  <w:tcW w:w="494" w:type="dxa"/>
                  <w:shd w:val="clear" w:color="auto" w:fill="auto"/>
                  <w:noWrap/>
                  <w:tcMar>
                    <w:top w:w="15" w:type="dxa"/>
                    <w:left w:w="15" w:type="dxa"/>
                    <w:bottom w:w="0" w:type="dxa"/>
                    <w:right w:w="15" w:type="dxa"/>
                  </w:tcMar>
                  <w:vAlign w:val="center"/>
                </w:tcPr>
                <w:p w14:paraId="6AD89A1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18"/>
                      <w:szCs w:val="18"/>
                      <w:lang w:val="en-US" w:eastAsia="zh-CN" w:bidi="ar-SA"/>
                    </w:rPr>
                  </w:pPr>
                  <w:r>
                    <w:rPr>
                      <w:rFonts w:hint="eastAsia" w:ascii="Times New Roman" w:hAnsi="Times New Roman" w:eastAsia="宋体" w:cs="Times New Roman"/>
                      <w:b w:val="0"/>
                      <w:bCs w:val="0"/>
                      <w:color w:val="auto"/>
                      <w:kern w:val="2"/>
                      <w:sz w:val="18"/>
                      <w:szCs w:val="18"/>
                      <w:lang w:val="en-US" w:eastAsia="zh-CN" w:bidi="ar-SA"/>
                    </w:rPr>
                    <w:t>1</w:t>
                  </w:r>
                  <w:r>
                    <w:rPr>
                      <w:rFonts w:hint="eastAsia" w:cs="Times New Roman"/>
                      <w:b w:val="0"/>
                      <w:bCs w:val="0"/>
                      <w:color w:val="auto"/>
                      <w:kern w:val="2"/>
                      <w:sz w:val="18"/>
                      <w:szCs w:val="18"/>
                      <w:lang w:val="en-US" w:eastAsia="zh-CN" w:bidi="ar-SA"/>
                    </w:rPr>
                    <w:t>4</w:t>
                  </w:r>
                  <w:r>
                    <w:rPr>
                      <w:rFonts w:hint="eastAsia" w:ascii="Times New Roman" w:hAnsi="Times New Roman" w:eastAsia="宋体" w:cs="Times New Roman"/>
                      <w:b w:val="0"/>
                      <w:bCs w:val="0"/>
                      <w:color w:val="auto"/>
                      <w:kern w:val="2"/>
                      <w:sz w:val="18"/>
                      <w:szCs w:val="18"/>
                      <w:lang w:val="en-US" w:eastAsia="zh-CN" w:bidi="ar-SA"/>
                    </w:rPr>
                    <w:t>6</w:t>
                  </w:r>
                </w:p>
              </w:tc>
              <w:tc>
                <w:tcPr>
                  <w:tcW w:w="262" w:type="dxa"/>
                  <w:shd w:val="clear" w:color="auto" w:fill="auto"/>
                  <w:noWrap/>
                  <w:tcMar>
                    <w:top w:w="15" w:type="dxa"/>
                    <w:left w:w="15" w:type="dxa"/>
                    <w:bottom w:w="0" w:type="dxa"/>
                    <w:right w:w="15" w:type="dxa"/>
                  </w:tcMar>
                  <w:vAlign w:val="center"/>
                </w:tcPr>
                <w:p w14:paraId="2FDA280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w:t>
                  </w:r>
                </w:p>
              </w:tc>
              <w:tc>
                <w:tcPr>
                  <w:tcW w:w="571" w:type="dxa"/>
                  <w:shd w:val="clear" w:color="auto" w:fill="auto"/>
                  <w:noWrap w:val="0"/>
                  <w:tcMar>
                    <w:top w:w="15" w:type="dxa"/>
                    <w:left w:w="15" w:type="dxa"/>
                    <w:bottom w:w="0" w:type="dxa"/>
                    <w:right w:w="15" w:type="dxa"/>
                  </w:tcMar>
                  <w:vAlign w:val="center"/>
                </w:tcPr>
                <w:p w14:paraId="2A9CBF4E">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1.0</w:t>
                  </w:r>
                </w:p>
              </w:tc>
              <w:tc>
                <w:tcPr>
                  <w:tcW w:w="683" w:type="dxa"/>
                  <w:shd w:val="clear" w:color="auto" w:fill="auto"/>
                  <w:noWrap w:val="0"/>
                  <w:tcMar>
                    <w:top w:w="15" w:type="dxa"/>
                    <w:left w:w="15" w:type="dxa"/>
                    <w:bottom w:w="0" w:type="dxa"/>
                    <w:right w:w="15" w:type="dxa"/>
                  </w:tcMar>
                  <w:vAlign w:val="center"/>
                </w:tcPr>
                <w:p w14:paraId="4270F853">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68</w:t>
                  </w:r>
                </w:p>
              </w:tc>
              <w:tc>
                <w:tcPr>
                  <w:tcW w:w="1001" w:type="dxa"/>
                  <w:shd w:val="clear" w:color="auto" w:fill="auto"/>
                  <w:noWrap w:val="0"/>
                  <w:tcMar>
                    <w:top w:w="15" w:type="dxa"/>
                    <w:left w:w="15" w:type="dxa"/>
                    <w:bottom w:w="0" w:type="dxa"/>
                    <w:right w:w="15" w:type="dxa"/>
                  </w:tcMar>
                  <w:vAlign w:val="center"/>
                </w:tcPr>
                <w:p w14:paraId="3F2FE32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20</w:t>
                  </w:r>
                </w:p>
              </w:tc>
              <w:tc>
                <w:tcPr>
                  <w:tcW w:w="683" w:type="dxa"/>
                  <w:shd w:val="clear" w:color="auto" w:fill="auto"/>
                  <w:noWrap w:val="0"/>
                  <w:tcMar>
                    <w:top w:w="15" w:type="dxa"/>
                    <w:left w:w="15" w:type="dxa"/>
                    <w:bottom w:w="0" w:type="dxa"/>
                    <w:right w:w="15" w:type="dxa"/>
                  </w:tcMar>
                  <w:vAlign w:val="center"/>
                </w:tcPr>
                <w:p w14:paraId="28C2986A">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48</w:t>
                  </w:r>
                </w:p>
              </w:tc>
              <w:tc>
                <w:tcPr>
                  <w:tcW w:w="896" w:type="dxa"/>
                  <w:shd w:val="clear" w:color="auto" w:fill="auto"/>
                  <w:noWrap w:val="0"/>
                  <w:tcMar>
                    <w:top w:w="15" w:type="dxa"/>
                    <w:left w:w="15" w:type="dxa"/>
                    <w:bottom w:w="0" w:type="dxa"/>
                    <w:right w:w="15" w:type="dxa"/>
                  </w:tcMar>
                  <w:vAlign w:val="center"/>
                </w:tcPr>
                <w:p w14:paraId="1830CE0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1</w:t>
                  </w:r>
                </w:p>
              </w:tc>
            </w:tr>
            <w:tr w14:paraId="5CC67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8" w:type="dxa"/>
                  <w:noWrap w:val="0"/>
                  <w:tcMar>
                    <w:top w:w="15" w:type="dxa"/>
                    <w:left w:w="15" w:type="dxa"/>
                    <w:bottom w:w="0" w:type="dxa"/>
                    <w:right w:w="15" w:type="dxa"/>
                  </w:tcMar>
                  <w:vAlign w:val="center"/>
                </w:tcPr>
                <w:p w14:paraId="1B7FE045">
                  <w:pPr>
                    <w:pStyle w:val="180"/>
                    <w:keepNext w:val="0"/>
                    <w:suppressLineNumbers w:val="0"/>
                    <w:spacing w:beforeAutospacing="0" w:afterAutospacing="0"/>
                    <w:ind w:left="0" w:right="0"/>
                    <w:rPr>
                      <w:rStyle w:val="70"/>
                      <w:rFonts w:hint="default" w:ascii="Times New Roman" w:hAnsi="Times New Roman" w:eastAsia="宋体" w:cs="Times New Roman"/>
                      <w:b w:val="0"/>
                      <w:bCs w:val="0"/>
                      <w:color w:val="auto"/>
                      <w:sz w:val="18"/>
                      <w:szCs w:val="18"/>
                    </w:rPr>
                  </w:pPr>
                  <w:r>
                    <w:rPr>
                      <w:rStyle w:val="70"/>
                      <w:rFonts w:hint="default" w:ascii="Times New Roman" w:hAnsi="Times New Roman" w:eastAsia="宋体" w:cs="Times New Roman"/>
                      <w:b w:val="0"/>
                      <w:bCs w:val="0"/>
                      <w:color w:val="auto"/>
                      <w:sz w:val="18"/>
                      <w:szCs w:val="18"/>
                    </w:rPr>
                    <w:t>11</w:t>
                  </w:r>
                </w:p>
              </w:tc>
              <w:tc>
                <w:tcPr>
                  <w:tcW w:w="685" w:type="dxa"/>
                  <w:shd w:val="clear" w:color="auto" w:fill="auto"/>
                  <w:noWrap w:val="0"/>
                  <w:tcMar>
                    <w:top w:w="15" w:type="dxa"/>
                    <w:left w:w="15" w:type="dxa"/>
                    <w:bottom w:w="0" w:type="dxa"/>
                    <w:right w:w="15" w:type="dxa"/>
                  </w:tcMar>
                  <w:vAlign w:val="center"/>
                </w:tcPr>
                <w:p w14:paraId="06BE8507">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风机2</w:t>
                  </w:r>
                </w:p>
              </w:tc>
              <w:tc>
                <w:tcPr>
                  <w:tcW w:w="683" w:type="dxa"/>
                  <w:shd w:val="clear" w:color="auto" w:fill="auto"/>
                  <w:noWrap w:val="0"/>
                  <w:tcMar>
                    <w:top w:w="15" w:type="dxa"/>
                    <w:left w:w="15" w:type="dxa"/>
                    <w:bottom w:w="0" w:type="dxa"/>
                    <w:right w:w="15" w:type="dxa"/>
                  </w:tcMar>
                  <w:vAlign w:val="center"/>
                </w:tcPr>
                <w:p w14:paraId="71C994D1">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80</w:t>
                  </w:r>
                </w:p>
              </w:tc>
              <w:tc>
                <w:tcPr>
                  <w:tcW w:w="783" w:type="dxa"/>
                  <w:shd w:val="clear" w:color="auto" w:fill="auto"/>
                  <w:noWrap w:val="0"/>
                  <w:tcMar>
                    <w:top w:w="15" w:type="dxa"/>
                    <w:left w:w="15" w:type="dxa"/>
                    <w:bottom w:w="0" w:type="dxa"/>
                    <w:right w:w="15" w:type="dxa"/>
                  </w:tcMar>
                  <w:vAlign w:val="center"/>
                </w:tcPr>
                <w:p w14:paraId="081D8C3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w:t>
                  </w:r>
                </w:p>
              </w:tc>
              <w:tc>
                <w:tcPr>
                  <w:tcW w:w="997" w:type="dxa"/>
                  <w:shd w:val="clear" w:color="auto" w:fill="auto"/>
                  <w:noWrap w:val="0"/>
                  <w:tcMar>
                    <w:top w:w="15" w:type="dxa"/>
                    <w:left w:w="15" w:type="dxa"/>
                    <w:bottom w:w="0" w:type="dxa"/>
                    <w:right w:w="15" w:type="dxa"/>
                  </w:tcMar>
                  <w:vAlign w:val="center"/>
                </w:tcPr>
                <w:p w14:paraId="0E6BB4E5">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进风口安装消声器</w:t>
                  </w:r>
                </w:p>
              </w:tc>
              <w:tc>
                <w:tcPr>
                  <w:tcW w:w="663" w:type="dxa"/>
                  <w:shd w:val="clear" w:color="auto" w:fill="auto"/>
                  <w:noWrap w:val="0"/>
                  <w:vAlign w:val="center"/>
                </w:tcPr>
                <w:p w14:paraId="17FB31D7">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12</w:t>
                  </w:r>
                </w:p>
              </w:tc>
              <w:tc>
                <w:tcPr>
                  <w:tcW w:w="494" w:type="dxa"/>
                  <w:shd w:val="clear" w:color="auto" w:fill="auto"/>
                  <w:noWrap/>
                  <w:tcMar>
                    <w:top w:w="15" w:type="dxa"/>
                    <w:left w:w="15" w:type="dxa"/>
                    <w:bottom w:w="0" w:type="dxa"/>
                    <w:right w:w="15" w:type="dxa"/>
                  </w:tcMar>
                  <w:vAlign w:val="center"/>
                </w:tcPr>
                <w:p w14:paraId="550E66DA">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eastAsia" w:eastAsia="宋体" w:cs="Times New Roman"/>
                      <w:b w:val="0"/>
                      <w:bCs w:val="0"/>
                      <w:color w:val="auto"/>
                      <w:sz w:val="18"/>
                      <w:szCs w:val="18"/>
                      <w:lang w:val="en-US" w:eastAsia="zh-CN"/>
                    </w:rPr>
                    <w:t>9</w:t>
                  </w:r>
                  <w:r>
                    <w:rPr>
                      <w:rStyle w:val="70"/>
                      <w:rFonts w:hint="default" w:ascii="Times New Roman" w:hAnsi="Times New Roman" w:eastAsia="宋体" w:cs="Times New Roman"/>
                      <w:b w:val="0"/>
                      <w:bCs w:val="0"/>
                      <w:color w:val="auto"/>
                      <w:sz w:val="18"/>
                      <w:szCs w:val="18"/>
                    </w:rPr>
                    <w:t>2</w:t>
                  </w:r>
                </w:p>
              </w:tc>
              <w:tc>
                <w:tcPr>
                  <w:tcW w:w="494" w:type="dxa"/>
                  <w:shd w:val="clear" w:color="auto" w:fill="auto"/>
                  <w:noWrap/>
                  <w:tcMar>
                    <w:top w:w="15" w:type="dxa"/>
                    <w:left w:w="15" w:type="dxa"/>
                    <w:bottom w:w="0" w:type="dxa"/>
                    <w:right w:w="15" w:type="dxa"/>
                  </w:tcMar>
                  <w:vAlign w:val="center"/>
                </w:tcPr>
                <w:p w14:paraId="4F179E4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18"/>
                      <w:szCs w:val="18"/>
                      <w:lang w:val="en-US" w:eastAsia="zh-CN" w:bidi="ar-SA"/>
                    </w:rPr>
                  </w:pPr>
                  <w:r>
                    <w:rPr>
                      <w:rFonts w:hint="eastAsia" w:ascii="Times New Roman" w:hAnsi="Times New Roman" w:eastAsia="宋体" w:cs="Times New Roman"/>
                      <w:b w:val="0"/>
                      <w:bCs w:val="0"/>
                      <w:color w:val="auto"/>
                      <w:sz w:val="18"/>
                      <w:szCs w:val="18"/>
                      <w:lang w:val="en-US" w:eastAsia="zh-CN"/>
                    </w:rPr>
                    <w:t>1</w:t>
                  </w:r>
                  <w:r>
                    <w:rPr>
                      <w:rFonts w:hint="eastAsia" w:cs="Times New Roman"/>
                      <w:b w:val="0"/>
                      <w:bCs w:val="0"/>
                      <w:color w:val="auto"/>
                      <w:sz w:val="18"/>
                      <w:szCs w:val="18"/>
                      <w:lang w:val="en-US" w:eastAsia="zh-CN"/>
                    </w:rPr>
                    <w:t>4</w:t>
                  </w:r>
                  <w:r>
                    <w:rPr>
                      <w:rFonts w:hint="eastAsia" w:ascii="Times New Roman" w:hAnsi="Times New Roman" w:eastAsia="宋体" w:cs="Times New Roman"/>
                      <w:b w:val="0"/>
                      <w:bCs w:val="0"/>
                      <w:color w:val="auto"/>
                      <w:sz w:val="18"/>
                      <w:szCs w:val="18"/>
                      <w:lang w:val="en-US" w:eastAsia="zh-CN"/>
                    </w:rPr>
                    <w:t>8</w:t>
                  </w:r>
                </w:p>
              </w:tc>
              <w:tc>
                <w:tcPr>
                  <w:tcW w:w="262" w:type="dxa"/>
                  <w:shd w:val="clear" w:color="auto" w:fill="auto"/>
                  <w:noWrap/>
                  <w:tcMar>
                    <w:top w:w="15" w:type="dxa"/>
                    <w:left w:w="15" w:type="dxa"/>
                    <w:bottom w:w="0" w:type="dxa"/>
                    <w:right w:w="15" w:type="dxa"/>
                  </w:tcMar>
                  <w:vAlign w:val="center"/>
                </w:tcPr>
                <w:p w14:paraId="56FD5EE8">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w:t>
                  </w:r>
                </w:p>
              </w:tc>
              <w:tc>
                <w:tcPr>
                  <w:tcW w:w="571" w:type="dxa"/>
                  <w:shd w:val="clear" w:color="auto" w:fill="auto"/>
                  <w:noWrap w:val="0"/>
                  <w:tcMar>
                    <w:top w:w="15" w:type="dxa"/>
                    <w:left w:w="15" w:type="dxa"/>
                    <w:bottom w:w="0" w:type="dxa"/>
                    <w:right w:w="15" w:type="dxa"/>
                  </w:tcMar>
                  <w:vAlign w:val="center"/>
                </w:tcPr>
                <w:p w14:paraId="279D859C">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Style w:val="70"/>
                      <w:rFonts w:hint="default" w:ascii="Times New Roman" w:hAnsi="Times New Roman" w:eastAsia="宋体" w:cs="Times New Roman"/>
                      <w:b w:val="0"/>
                      <w:bCs w:val="0"/>
                      <w:color w:val="auto"/>
                      <w:sz w:val="18"/>
                      <w:szCs w:val="18"/>
                    </w:rPr>
                    <w:t>1.0</w:t>
                  </w:r>
                </w:p>
              </w:tc>
              <w:tc>
                <w:tcPr>
                  <w:tcW w:w="683" w:type="dxa"/>
                  <w:shd w:val="clear" w:color="auto" w:fill="auto"/>
                  <w:noWrap w:val="0"/>
                  <w:tcMar>
                    <w:top w:w="15" w:type="dxa"/>
                    <w:left w:w="15" w:type="dxa"/>
                    <w:bottom w:w="0" w:type="dxa"/>
                    <w:right w:w="15" w:type="dxa"/>
                  </w:tcMar>
                  <w:vAlign w:val="center"/>
                </w:tcPr>
                <w:p w14:paraId="0AFE8787">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68</w:t>
                  </w:r>
                </w:p>
              </w:tc>
              <w:tc>
                <w:tcPr>
                  <w:tcW w:w="1001" w:type="dxa"/>
                  <w:shd w:val="clear" w:color="auto" w:fill="auto"/>
                  <w:noWrap w:val="0"/>
                  <w:tcMar>
                    <w:top w:w="15" w:type="dxa"/>
                    <w:left w:w="15" w:type="dxa"/>
                    <w:bottom w:w="0" w:type="dxa"/>
                    <w:right w:w="15" w:type="dxa"/>
                  </w:tcMar>
                  <w:vAlign w:val="center"/>
                </w:tcPr>
                <w:p w14:paraId="1469BC22">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20</w:t>
                  </w:r>
                </w:p>
              </w:tc>
              <w:tc>
                <w:tcPr>
                  <w:tcW w:w="683" w:type="dxa"/>
                  <w:shd w:val="clear" w:color="auto" w:fill="auto"/>
                  <w:noWrap w:val="0"/>
                  <w:tcMar>
                    <w:top w:w="15" w:type="dxa"/>
                    <w:left w:w="15" w:type="dxa"/>
                    <w:bottom w:w="0" w:type="dxa"/>
                    <w:right w:w="15" w:type="dxa"/>
                  </w:tcMar>
                  <w:vAlign w:val="center"/>
                </w:tcPr>
                <w:p w14:paraId="69D1A0FD">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48</w:t>
                  </w:r>
                </w:p>
              </w:tc>
              <w:tc>
                <w:tcPr>
                  <w:tcW w:w="896" w:type="dxa"/>
                  <w:shd w:val="clear" w:color="auto" w:fill="auto"/>
                  <w:noWrap w:val="0"/>
                  <w:tcMar>
                    <w:top w:w="15" w:type="dxa"/>
                    <w:left w:w="15" w:type="dxa"/>
                    <w:bottom w:w="0" w:type="dxa"/>
                    <w:right w:w="15" w:type="dxa"/>
                  </w:tcMar>
                  <w:vAlign w:val="center"/>
                </w:tcPr>
                <w:p w14:paraId="0FD9BE04">
                  <w:pPr>
                    <w:pStyle w:val="180"/>
                    <w:keepNext w:val="0"/>
                    <w:suppressLineNumbers w:val="0"/>
                    <w:spacing w:beforeAutospacing="0" w:afterAutospacing="0"/>
                    <w:ind w:left="0" w:right="0"/>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rPr>
                    <w:t>1</w:t>
                  </w:r>
                </w:p>
              </w:tc>
            </w:tr>
          </w:tbl>
          <w:p w14:paraId="2ED842D0">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根据《环境影响评价技术导则声环境》（HJ2.4-2021）的要求，本项目声环境影响预测模型采用导则中附录A（规范性附录）户外声传播的衰减和附录B（规范性附录）中“B.1工业噪声预测计算模型”。</w:t>
            </w:r>
          </w:p>
          <w:p w14:paraId="684546A4">
            <w:pPr>
              <w:pStyle w:val="181"/>
              <w:keepNext w:val="0"/>
              <w:keepLines w:val="0"/>
              <w:suppressLineNumbers w:val="0"/>
              <w:adjustRightInd w:val="0"/>
              <w:snapToGrid w:val="0"/>
              <w:spacing w:before="0" w:beforeAutospacing="0" w:after="0" w:afterAutospacing="0" w:line="360" w:lineRule="auto"/>
              <w:ind w:left="0" w:right="0" w:firstLine="480" w:firstLineChars="200"/>
              <w:textAlignment w:val="center"/>
              <w:rPr>
                <w:rFonts w:hint="default"/>
                <w:color w:val="auto"/>
                <w:sz w:val="24"/>
                <w:szCs w:val="24"/>
              </w:rPr>
            </w:pPr>
            <w:r>
              <w:rPr>
                <w:rFonts w:hint="eastAsia" w:asciiTheme="minorEastAsia" w:hAnsiTheme="minorEastAsia" w:eastAsiaTheme="minorEastAsia"/>
                <w:color w:val="auto"/>
                <w:sz w:val="24"/>
              </w:rPr>
              <w:t>①</w:t>
            </w:r>
            <w:r>
              <w:rPr>
                <w:rFonts w:hint="default"/>
                <w:color w:val="auto"/>
                <w:sz w:val="24"/>
                <w:szCs w:val="24"/>
              </w:rPr>
              <w:t>无指向性点声源几何发散衰减的基本公式是：</w:t>
            </w:r>
          </w:p>
          <w:p w14:paraId="62921BB8">
            <w:pPr>
              <w:pStyle w:val="181"/>
              <w:keepNext w:val="0"/>
              <w:keepLines w:val="0"/>
              <w:suppressLineNumbers w:val="0"/>
              <w:adjustRightInd w:val="0"/>
              <w:snapToGrid w:val="0"/>
              <w:spacing w:before="0" w:beforeAutospacing="0" w:after="0" w:afterAutospacing="0" w:line="360" w:lineRule="auto"/>
              <w:ind w:left="0" w:right="0" w:firstLine="198"/>
              <w:jc w:val="center"/>
              <w:textAlignment w:val="center"/>
              <w:rPr>
                <w:rFonts w:hint="default"/>
                <w:color w:val="auto"/>
                <w:sz w:val="24"/>
                <w:szCs w:val="24"/>
              </w:rPr>
            </w:pPr>
            <w:r>
              <w:rPr>
                <w:rFonts w:hint="default"/>
                <w:color w:val="auto"/>
                <w:position w:val="-30"/>
                <w:sz w:val="24"/>
                <w:szCs w:val="24"/>
              </w:rPr>
              <w:object>
                <v:shape id="_x0000_i1026" o:spt="75" type="#_x0000_t75" style="height:35.15pt;width:132.3pt;" o:ole="t" filled="f" coordsize="21600,21600">
                  <v:path/>
                  <v:fill on="f" focussize="0,0"/>
                  <v:stroke/>
                  <v:imagedata r:id="rId25" o:title=""/>
                  <o:lock v:ext="edit" aspectratio="t"/>
                  <w10:wrap type="none"/>
                  <w10:anchorlock/>
                </v:shape>
                <o:OLEObject Type="Embed" ProgID="Equation.3" ShapeID="_x0000_i1026" DrawAspect="Content" ObjectID="_1468075726" r:id="rId24">
                  <o:LockedField>false</o:LockedField>
                </o:OLEObject>
              </w:object>
            </w:r>
          </w:p>
          <w:p w14:paraId="54C28DCF">
            <w:pPr>
              <w:keepNext w:val="0"/>
              <w:keepLines w:val="0"/>
              <w:suppressLineNumbers w:val="0"/>
              <w:spacing w:before="0" w:beforeAutospacing="0" w:after="0" w:afterAutospacing="0" w:line="360" w:lineRule="auto"/>
              <w:ind w:left="0" w:right="0" w:firstLine="480"/>
              <w:textAlignment w:val="center"/>
              <w:rPr>
                <w:rFonts w:hint="default"/>
                <w:color w:val="auto"/>
                <w:sz w:val="24"/>
              </w:rPr>
            </w:pPr>
            <w:r>
              <w:rPr>
                <w:rFonts w:hint="default"/>
                <w:color w:val="auto"/>
                <w:sz w:val="24"/>
              </w:rPr>
              <w:t>式中：</w:t>
            </w:r>
            <w:r>
              <w:rPr>
                <w:rFonts w:hint="default"/>
                <w:i/>
                <w:color w:val="auto"/>
                <w:sz w:val="24"/>
              </w:rPr>
              <w:t>L</w:t>
            </w:r>
            <w:r>
              <w:rPr>
                <w:rFonts w:hint="default"/>
                <w:color w:val="auto"/>
                <w:sz w:val="24"/>
                <w:vertAlign w:val="subscript"/>
              </w:rPr>
              <w:t>p</w:t>
            </w:r>
            <w:r>
              <w:rPr>
                <w:rFonts w:hint="default"/>
                <w:color w:val="auto"/>
                <w:sz w:val="24"/>
              </w:rPr>
              <w:t>(</w:t>
            </w:r>
            <w:r>
              <w:rPr>
                <w:rFonts w:hint="default"/>
                <w:i/>
                <w:color w:val="auto"/>
                <w:sz w:val="24"/>
              </w:rPr>
              <w:t>r</w:t>
            </w:r>
            <w:r>
              <w:rPr>
                <w:rFonts w:hint="default"/>
                <w:color w:val="auto"/>
                <w:sz w:val="24"/>
              </w:rPr>
              <w:t>)—预测点处声压级，dB；</w:t>
            </w:r>
          </w:p>
          <w:p w14:paraId="67BDEE89">
            <w:pPr>
              <w:keepNext w:val="0"/>
              <w:keepLines w:val="0"/>
              <w:suppressLineNumbers w:val="0"/>
              <w:spacing w:before="0" w:beforeAutospacing="0" w:after="0" w:afterAutospacing="0" w:line="360" w:lineRule="auto"/>
              <w:ind w:left="0" w:right="0" w:firstLine="948" w:firstLineChars="395"/>
              <w:textAlignment w:val="center"/>
              <w:rPr>
                <w:rFonts w:hint="default"/>
                <w:color w:val="auto"/>
                <w:sz w:val="24"/>
              </w:rPr>
            </w:pPr>
            <w:r>
              <w:rPr>
                <w:rFonts w:hint="default"/>
                <w:i/>
                <w:color w:val="auto"/>
                <w:sz w:val="24"/>
              </w:rPr>
              <w:t>L</w:t>
            </w:r>
            <w:r>
              <w:rPr>
                <w:rFonts w:hint="default"/>
                <w:color w:val="auto"/>
                <w:sz w:val="24"/>
                <w:vertAlign w:val="subscript"/>
              </w:rPr>
              <w:t>p</w:t>
            </w:r>
            <w:r>
              <w:rPr>
                <w:rFonts w:hint="default"/>
                <w:color w:val="auto"/>
                <w:sz w:val="24"/>
              </w:rPr>
              <w:t>(</w:t>
            </w:r>
            <w:r>
              <w:rPr>
                <w:rFonts w:hint="default"/>
                <w:i/>
                <w:color w:val="auto"/>
                <w:sz w:val="24"/>
              </w:rPr>
              <w:t>r</w:t>
            </w:r>
            <w:r>
              <w:rPr>
                <w:rFonts w:hint="default"/>
                <w:i/>
                <w:color w:val="auto"/>
                <w:sz w:val="24"/>
                <w:vertAlign w:val="subscript"/>
              </w:rPr>
              <w:t>0</w:t>
            </w:r>
            <w:r>
              <w:rPr>
                <w:rFonts w:hint="default"/>
                <w:color w:val="auto"/>
                <w:sz w:val="24"/>
              </w:rPr>
              <w:t>)—参考位置</w:t>
            </w:r>
            <w:r>
              <w:rPr>
                <w:rFonts w:hint="default"/>
                <w:i/>
                <w:color w:val="auto"/>
                <w:sz w:val="24"/>
              </w:rPr>
              <w:t>r</w:t>
            </w:r>
            <w:r>
              <w:rPr>
                <w:rFonts w:hint="default"/>
                <w:color w:val="auto"/>
                <w:sz w:val="24"/>
                <w:vertAlign w:val="subscript"/>
              </w:rPr>
              <w:t>0</w:t>
            </w:r>
            <w:r>
              <w:rPr>
                <w:rFonts w:hint="default"/>
                <w:color w:val="auto"/>
                <w:sz w:val="24"/>
              </w:rPr>
              <w:t>处的声压级，dB；</w:t>
            </w:r>
          </w:p>
          <w:p w14:paraId="2755C9C7">
            <w:pPr>
              <w:pStyle w:val="181"/>
              <w:keepNext w:val="0"/>
              <w:keepLines w:val="0"/>
              <w:suppressLineNumbers w:val="0"/>
              <w:spacing w:before="0" w:beforeAutospacing="0" w:after="0" w:afterAutospacing="0" w:line="360" w:lineRule="auto"/>
              <w:ind w:left="0" w:right="0" w:firstLine="916" w:firstLineChars="382"/>
              <w:textAlignment w:val="center"/>
              <w:rPr>
                <w:rFonts w:hint="default"/>
                <w:color w:val="auto"/>
                <w:sz w:val="24"/>
                <w:szCs w:val="24"/>
              </w:rPr>
            </w:pPr>
            <w:r>
              <w:rPr>
                <w:rFonts w:hint="default"/>
                <w:i/>
                <w:color w:val="auto"/>
                <w:sz w:val="24"/>
                <w:szCs w:val="24"/>
              </w:rPr>
              <w:t>r</w:t>
            </w:r>
            <w:r>
              <w:rPr>
                <w:rFonts w:hint="default"/>
                <w:color w:val="auto"/>
                <w:sz w:val="24"/>
                <w:szCs w:val="24"/>
              </w:rPr>
              <w:t>—预测点距声源的距离；</w:t>
            </w:r>
          </w:p>
          <w:p w14:paraId="449C1888">
            <w:pPr>
              <w:pStyle w:val="181"/>
              <w:keepNext w:val="0"/>
              <w:keepLines w:val="0"/>
              <w:suppressLineNumbers w:val="0"/>
              <w:spacing w:before="0" w:beforeAutospacing="0" w:after="0" w:afterAutospacing="0" w:line="360" w:lineRule="auto"/>
              <w:ind w:left="0" w:right="0" w:firstLine="916" w:firstLineChars="382"/>
              <w:textAlignment w:val="center"/>
              <w:rPr>
                <w:rFonts w:hint="default"/>
                <w:color w:val="auto"/>
                <w:sz w:val="24"/>
                <w:szCs w:val="24"/>
              </w:rPr>
            </w:pPr>
            <w:r>
              <w:rPr>
                <w:rFonts w:hint="default"/>
                <w:i/>
                <w:color w:val="auto"/>
                <w:sz w:val="24"/>
                <w:szCs w:val="24"/>
              </w:rPr>
              <w:t>r</w:t>
            </w:r>
            <w:r>
              <w:rPr>
                <w:rFonts w:hint="default"/>
                <w:color w:val="auto"/>
                <w:sz w:val="24"/>
                <w:szCs w:val="24"/>
                <w:vertAlign w:val="subscript"/>
              </w:rPr>
              <w:t>0</w:t>
            </w:r>
            <w:r>
              <w:rPr>
                <w:rFonts w:hint="default"/>
                <w:color w:val="auto"/>
                <w:sz w:val="24"/>
                <w:szCs w:val="24"/>
              </w:rPr>
              <w:t>—参考位置距声源的距离，m。</w:t>
            </w:r>
          </w:p>
          <w:p w14:paraId="53FB913E">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ascii="宋体" w:hAnsi="宋体" w:cs="宋体"/>
                <w:color w:val="auto"/>
                <w:sz w:val="24"/>
              </w:rPr>
              <w:t>②</w:t>
            </w:r>
            <w:r>
              <w:rPr>
                <w:rFonts w:hint="default"/>
                <w:color w:val="auto"/>
                <w:sz w:val="24"/>
              </w:rPr>
              <w:t>建设项目声源在预测点产生的等效声级贡献值(L</w:t>
            </w:r>
            <w:r>
              <w:rPr>
                <w:rFonts w:hint="default"/>
                <w:color w:val="auto"/>
                <w:sz w:val="24"/>
                <w:vertAlign w:val="subscript"/>
              </w:rPr>
              <w:t>eqg</w:t>
            </w:r>
            <w:r>
              <w:rPr>
                <w:rFonts w:hint="default"/>
                <w:color w:val="auto"/>
                <w:sz w:val="24"/>
              </w:rPr>
              <w:t>)计算公式：</w:t>
            </w:r>
          </w:p>
          <w:p w14:paraId="29F1A878">
            <w:pPr>
              <w:keepNext w:val="0"/>
              <w:keepLines w:val="0"/>
              <w:suppressLineNumbers w:val="0"/>
              <w:spacing w:before="0" w:beforeAutospacing="0" w:after="0" w:afterAutospacing="0" w:line="360" w:lineRule="auto"/>
              <w:ind w:left="0" w:right="0"/>
              <w:jc w:val="center"/>
              <w:rPr>
                <w:rFonts w:hint="default"/>
                <w:color w:val="auto"/>
                <w:sz w:val="24"/>
              </w:rPr>
            </w:pPr>
            <w:r>
              <w:rPr>
                <w:rFonts w:hint="default"/>
                <w:color w:val="auto"/>
                <w:sz w:val="24"/>
              </w:rPr>
              <w:drawing>
                <wp:inline distT="0" distB="0" distL="0" distR="0">
                  <wp:extent cx="1837690" cy="466090"/>
                  <wp:effectExtent l="0" t="0" r="0" b="10795"/>
                  <wp:docPr id="23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61"/>
                          <pic:cNvPicPr>
                            <a:picLocks noChangeAspect="1" noChangeArrowheads="1"/>
                          </pic:cNvPicPr>
                        </pic:nvPicPr>
                        <pic:blipFill>
                          <a:blip r:embed="rId26" cstate="print"/>
                          <a:srcRect/>
                          <a:stretch>
                            <a:fillRect/>
                          </a:stretch>
                        </pic:blipFill>
                        <pic:spPr>
                          <a:xfrm>
                            <a:off x="0" y="0"/>
                            <a:ext cx="1837690" cy="466090"/>
                          </a:xfrm>
                          <a:prstGeom prst="rect">
                            <a:avLst/>
                          </a:prstGeom>
                          <a:noFill/>
                          <a:ln w="9525">
                            <a:noFill/>
                            <a:miter lim="800000"/>
                            <a:headEnd/>
                            <a:tailEnd/>
                          </a:ln>
                        </pic:spPr>
                      </pic:pic>
                    </a:graphicData>
                  </a:graphic>
                </wp:inline>
              </w:drawing>
            </w:r>
          </w:p>
          <w:p w14:paraId="1FBF73D5">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L</w:t>
            </w:r>
            <w:r>
              <w:rPr>
                <w:rFonts w:hint="default"/>
                <w:color w:val="auto"/>
                <w:sz w:val="24"/>
                <w:vertAlign w:val="subscript"/>
              </w:rPr>
              <w:t>eqg</w:t>
            </w:r>
            <w:r>
              <w:rPr>
                <w:rFonts w:hint="default"/>
                <w:color w:val="auto"/>
                <w:sz w:val="24"/>
              </w:rPr>
              <w:t>——建设项目声源在预测点的等效声级贡献值，dB(A)；</w:t>
            </w:r>
          </w:p>
          <w:p w14:paraId="73515BCE">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L</w:t>
            </w:r>
            <w:r>
              <w:rPr>
                <w:rFonts w:hint="default"/>
                <w:color w:val="auto"/>
                <w:sz w:val="24"/>
                <w:vertAlign w:val="subscript"/>
              </w:rPr>
              <w:t>Ai</w:t>
            </w:r>
            <w:r>
              <w:rPr>
                <w:rFonts w:hint="default"/>
                <w:color w:val="auto"/>
                <w:sz w:val="24"/>
              </w:rPr>
              <w:t>——i声源在预测点产生的A声级，dB(A)；</w:t>
            </w:r>
          </w:p>
          <w:p w14:paraId="51EC1FC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T——预测计算的时间段，s；</w:t>
            </w:r>
          </w:p>
          <w:p w14:paraId="5A065AEC">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t</w:t>
            </w:r>
            <w:r>
              <w:rPr>
                <w:rFonts w:hint="default"/>
                <w:color w:val="auto"/>
                <w:sz w:val="24"/>
                <w:vertAlign w:val="subscript"/>
              </w:rPr>
              <w:t>i</w:t>
            </w:r>
            <w:r>
              <w:rPr>
                <w:rFonts w:hint="default"/>
                <w:color w:val="auto"/>
                <w:sz w:val="24"/>
              </w:rPr>
              <w:t>——i声源在T时段内的运行时间，s。</w:t>
            </w:r>
          </w:p>
          <w:p w14:paraId="3BFA8866">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ascii="宋体" w:hAnsi="宋体" w:cs="宋体"/>
                <w:color w:val="auto"/>
                <w:sz w:val="24"/>
              </w:rPr>
              <w:t>③</w:t>
            </w:r>
            <w:r>
              <w:rPr>
                <w:rFonts w:hint="default"/>
                <w:color w:val="auto"/>
                <w:sz w:val="24"/>
              </w:rPr>
              <w:t>预测点的预测等效声级（L</w:t>
            </w:r>
            <w:r>
              <w:rPr>
                <w:rFonts w:hint="default"/>
                <w:color w:val="auto"/>
                <w:sz w:val="24"/>
                <w:vertAlign w:val="subscript"/>
              </w:rPr>
              <w:t>eq</w:t>
            </w:r>
            <w:r>
              <w:rPr>
                <w:rFonts w:hint="default"/>
                <w:color w:val="auto"/>
                <w:sz w:val="24"/>
              </w:rPr>
              <w:t>）计算公式：</w:t>
            </w:r>
          </w:p>
          <w:p w14:paraId="4E5578E4">
            <w:pPr>
              <w:keepNext w:val="0"/>
              <w:keepLines w:val="0"/>
              <w:suppressLineNumbers w:val="0"/>
              <w:spacing w:before="0" w:beforeAutospacing="0" w:after="0" w:afterAutospacing="0" w:line="360" w:lineRule="auto"/>
              <w:ind w:left="0" w:right="0" w:firstLine="480" w:firstLineChars="200"/>
              <w:jc w:val="center"/>
              <w:rPr>
                <w:rFonts w:hint="default"/>
                <w:color w:val="auto"/>
                <w:sz w:val="24"/>
              </w:rPr>
            </w:pPr>
            <w:r>
              <w:rPr>
                <w:rFonts w:hint="default"/>
                <w:color w:val="auto"/>
                <w:sz w:val="24"/>
              </w:rPr>
              <w:drawing>
                <wp:inline distT="0" distB="0" distL="0" distR="0">
                  <wp:extent cx="2087880" cy="284480"/>
                  <wp:effectExtent l="0" t="0" r="0" b="1270"/>
                  <wp:docPr id="23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62"/>
                          <pic:cNvPicPr>
                            <a:picLocks noChangeAspect="1" noChangeArrowheads="1"/>
                          </pic:cNvPicPr>
                        </pic:nvPicPr>
                        <pic:blipFill>
                          <a:blip r:embed="rId27" cstate="print"/>
                          <a:srcRect/>
                          <a:stretch>
                            <a:fillRect/>
                          </a:stretch>
                        </pic:blipFill>
                        <pic:spPr>
                          <a:xfrm>
                            <a:off x="0" y="0"/>
                            <a:ext cx="2087880" cy="284480"/>
                          </a:xfrm>
                          <a:prstGeom prst="rect">
                            <a:avLst/>
                          </a:prstGeom>
                          <a:noFill/>
                          <a:ln w="9525">
                            <a:noFill/>
                            <a:miter lim="800000"/>
                            <a:headEnd/>
                            <a:tailEnd/>
                          </a:ln>
                        </pic:spPr>
                      </pic:pic>
                    </a:graphicData>
                  </a:graphic>
                </wp:inline>
              </w:drawing>
            </w:r>
          </w:p>
          <w:p w14:paraId="163E42F9">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式中：L</w:t>
            </w:r>
            <w:r>
              <w:rPr>
                <w:rFonts w:hint="default"/>
                <w:color w:val="auto"/>
                <w:sz w:val="24"/>
                <w:vertAlign w:val="subscript"/>
              </w:rPr>
              <w:t>eqg</w:t>
            </w:r>
            <w:r>
              <w:rPr>
                <w:rFonts w:hint="default"/>
                <w:color w:val="auto"/>
                <w:sz w:val="24"/>
              </w:rPr>
              <w:t>——建设项目声源在预测点的等效声级贡献值，dB(A)；</w:t>
            </w:r>
          </w:p>
          <w:p w14:paraId="07FB14A9">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L</w:t>
            </w:r>
            <w:r>
              <w:rPr>
                <w:rFonts w:hint="default"/>
                <w:color w:val="auto"/>
                <w:sz w:val="24"/>
                <w:vertAlign w:val="subscript"/>
              </w:rPr>
              <w:t>eqb</w:t>
            </w:r>
            <w:r>
              <w:rPr>
                <w:rFonts w:hint="default"/>
                <w:color w:val="auto"/>
                <w:sz w:val="24"/>
              </w:rPr>
              <w:t>——预测点的背景值，dB（A）。</w:t>
            </w:r>
          </w:p>
          <w:p w14:paraId="2E021F6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ascii="宋体" w:hAnsi="宋体"/>
                <w:color w:val="auto"/>
                <w:sz w:val="24"/>
              </w:rPr>
              <w:t>④</w:t>
            </w:r>
            <w:r>
              <w:rPr>
                <w:rFonts w:hint="default"/>
                <w:color w:val="auto"/>
                <w:sz w:val="24"/>
              </w:rPr>
              <w:t>户外声传播衰减计算</w:t>
            </w:r>
          </w:p>
          <w:p w14:paraId="5D1AC94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户外声传播衰减包括几何发散（A</w:t>
            </w:r>
            <w:r>
              <w:rPr>
                <w:rFonts w:hint="default"/>
                <w:color w:val="auto"/>
                <w:sz w:val="24"/>
                <w:vertAlign w:val="subscript"/>
              </w:rPr>
              <w:t>div</w:t>
            </w:r>
            <w:r>
              <w:rPr>
                <w:rFonts w:hint="default"/>
                <w:color w:val="auto"/>
                <w:sz w:val="24"/>
              </w:rPr>
              <w:t>）、大气吸收（A</w:t>
            </w:r>
            <w:r>
              <w:rPr>
                <w:rFonts w:hint="default"/>
                <w:color w:val="auto"/>
                <w:sz w:val="24"/>
                <w:vertAlign w:val="subscript"/>
              </w:rPr>
              <w:t>atm</w:t>
            </w:r>
            <w:r>
              <w:rPr>
                <w:rFonts w:hint="default"/>
                <w:color w:val="auto"/>
                <w:sz w:val="24"/>
              </w:rPr>
              <w:t>）、地面效应（A</w:t>
            </w:r>
            <w:r>
              <w:rPr>
                <w:rFonts w:hint="default"/>
                <w:color w:val="auto"/>
                <w:sz w:val="24"/>
                <w:vertAlign w:val="subscript"/>
              </w:rPr>
              <w:t>gr</w:t>
            </w:r>
            <w:r>
              <w:rPr>
                <w:rFonts w:hint="default"/>
                <w:color w:val="auto"/>
                <w:sz w:val="24"/>
              </w:rPr>
              <w:t>）、屏障屏蔽（A</w:t>
            </w:r>
            <w:r>
              <w:rPr>
                <w:rFonts w:hint="default"/>
                <w:color w:val="auto"/>
                <w:sz w:val="24"/>
                <w:vertAlign w:val="subscript"/>
              </w:rPr>
              <w:t>bar</w:t>
            </w:r>
            <w:r>
              <w:rPr>
                <w:rFonts w:hint="default"/>
                <w:color w:val="auto"/>
                <w:sz w:val="24"/>
              </w:rPr>
              <w:t>）、其他多方面效应（A</w:t>
            </w:r>
            <w:r>
              <w:rPr>
                <w:rFonts w:hint="default"/>
                <w:color w:val="auto"/>
                <w:sz w:val="24"/>
                <w:vertAlign w:val="subscript"/>
              </w:rPr>
              <w:t>misc</w:t>
            </w:r>
            <w:r>
              <w:rPr>
                <w:rFonts w:hint="default"/>
                <w:color w:val="auto"/>
                <w:sz w:val="24"/>
              </w:rPr>
              <w:t>）引起的衰减。</w:t>
            </w:r>
          </w:p>
          <w:p w14:paraId="0388D5D3">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距声源点r处的A声级按下式计算：</w:t>
            </w:r>
          </w:p>
          <w:p w14:paraId="39226C5C">
            <w:pPr>
              <w:keepNext w:val="0"/>
              <w:keepLines w:val="0"/>
              <w:suppressLineNumbers w:val="0"/>
              <w:spacing w:before="0" w:beforeAutospacing="0" w:after="0" w:afterAutospacing="0" w:line="360" w:lineRule="auto"/>
              <w:ind w:left="0" w:right="0"/>
              <w:jc w:val="center"/>
              <w:rPr>
                <w:rFonts w:hint="default"/>
                <w:color w:val="auto"/>
                <w:sz w:val="24"/>
              </w:rPr>
            </w:pPr>
            <w:r>
              <w:rPr>
                <w:rFonts w:hint="default"/>
                <w:color w:val="auto"/>
                <w:sz w:val="24"/>
              </w:rPr>
              <w:drawing>
                <wp:inline distT="0" distB="0" distL="0" distR="0">
                  <wp:extent cx="3924935" cy="336550"/>
                  <wp:effectExtent l="0" t="0" r="18415" b="6350"/>
                  <wp:docPr id="244"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3144"/>
                          <pic:cNvPicPr>
                            <a:picLocks noChangeAspect="1" noChangeArrowheads="1"/>
                          </pic:cNvPicPr>
                        </pic:nvPicPr>
                        <pic:blipFill>
                          <a:blip r:embed="rId28" cstate="print"/>
                          <a:srcRect/>
                          <a:stretch>
                            <a:fillRect/>
                          </a:stretch>
                        </pic:blipFill>
                        <pic:spPr>
                          <a:xfrm>
                            <a:off x="0" y="0"/>
                            <a:ext cx="3924935" cy="336550"/>
                          </a:xfrm>
                          <a:prstGeom prst="rect">
                            <a:avLst/>
                          </a:prstGeom>
                          <a:noFill/>
                          <a:ln w="9525">
                            <a:noFill/>
                            <a:miter lim="800000"/>
                            <a:headEnd/>
                            <a:tailEnd/>
                          </a:ln>
                        </pic:spPr>
                      </pic:pic>
                    </a:graphicData>
                  </a:graphic>
                </wp:inline>
              </w:drawing>
            </w:r>
          </w:p>
          <w:p w14:paraId="1C23623B">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在预测中考虑反射引起的修正、屏障引起的衰减、双绕射、室内声源等效室外声源等影响和计算方法。</w:t>
            </w:r>
          </w:p>
          <w:p w14:paraId="577C2FF7">
            <w:pPr>
              <w:keepNext w:val="0"/>
              <w:keepLines w:val="0"/>
              <w:suppressLineNumbers w:val="0"/>
              <w:spacing w:before="0" w:beforeAutospacing="0" w:after="0" w:afterAutospacing="0"/>
              <w:ind w:left="0" w:right="0"/>
              <w:jc w:val="center"/>
              <w:rPr>
                <w:rFonts w:hint="default"/>
                <w:b/>
                <w:color w:val="auto"/>
                <w:sz w:val="24"/>
              </w:rPr>
            </w:pPr>
            <w:r>
              <w:rPr>
                <w:rFonts w:hint="default"/>
                <w:b/>
                <w:color w:val="auto"/>
                <w:sz w:val="24"/>
              </w:rPr>
              <w:t>表4-</w:t>
            </w:r>
            <w:r>
              <w:rPr>
                <w:rFonts w:hint="eastAsia"/>
                <w:b/>
                <w:color w:val="auto"/>
                <w:sz w:val="24"/>
                <w:lang w:val="en-US" w:eastAsia="zh-CN"/>
              </w:rPr>
              <w:t>8</w:t>
            </w:r>
            <w:r>
              <w:rPr>
                <w:rFonts w:hint="default"/>
                <w:b/>
                <w:color w:val="auto"/>
                <w:sz w:val="24"/>
              </w:rPr>
              <w:t>噪声预测结果</w:t>
            </w:r>
            <w:r>
              <w:rPr>
                <w:rFonts w:hint="default"/>
                <w:color w:val="auto"/>
                <w:sz w:val="24"/>
              </w:rPr>
              <w:t>单位：dB（A）</w:t>
            </w:r>
          </w:p>
          <w:tbl>
            <w:tblPr>
              <w:tblStyle w:val="35"/>
              <w:tblW w:w="8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361"/>
              <w:gridCol w:w="1176"/>
              <w:gridCol w:w="1089"/>
              <w:gridCol w:w="1485"/>
              <w:gridCol w:w="2232"/>
            </w:tblGrid>
            <w:tr w14:paraId="1183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682" w:type="pct"/>
                  <w:vAlign w:val="center"/>
                </w:tcPr>
                <w:p w14:paraId="7F0460F4">
                  <w:pPr>
                    <w:keepNext w:val="0"/>
                    <w:keepLines w:val="0"/>
                    <w:suppressLineNumbers w:val="0"/>
                    <w:spacing w:before="0" w:beforeAutospacing="0" w:after="0" w:afterAutospacing="0"/>
                    <w:ind w:left="0" w:right="0"/>
                    <w:jc w:val="center"/>
                    <w:rPr>
                      <w:rFonts w:hint="default"/>
                      <w:color w:val="auto"/>
                      <w:szCs w:val="21"/>
                    </w:rPr>
                  </w:pPr>
                  <w:r>
                    <w:rPr>
                      <w:rFonts w:hint="default"/>
                      <w:color w:val="auto"/>
                    </w:rPr>
                    <w:t>预测点位</w:t>
                  </w:r>
                </w:p>
              </w:tc>
              <w:tc>
                <w:tcPr>
                  <w:tcW w:w="800" w:type="pct"/>
                  <w:vAlign w:val="center"/>
                </w:tcPr>
                <w:p w14:paraId="506503DA">
                  <w:pPr>
                    <w:keepNext w:val="0"/>
                    <w:keepLines w:val="0"/>
                    <w:suppressLineNumbers w:val="0"/>
                    <w:spacing w:before="0" w:beforeAutospacing="0" w:after="0" w:afterAutospacing="0"/>
                    <w:ind w:left="0" w:right="0"/>
                    <w:jc w:val="center"/>
                    <w:rPr>
                      <w:rFonts w:hint="default"/>
                      <w:color w:val="auto"/>
                      <w:szCs w:val="21"/>
                    </w:rPr>
                  </w:pPr>
                  <w:r>
                    <w:rPr>
                      <w:rFonts w:hint="default"/>
                      <w:color w:val="auto"/>
                    </w:rPr>
                    <w:t>预测时段</w:t>
                  </w:r>
                </w:p>
              </w:tc>
              <w:tc>
                <w:tcPr>
                  <w:tcW w:w="691" w:type="pct"/>
                  <w:vAlign w:val="center"/>
                </w:tcPr>
                <w:p w14:paraId="0AB45689">
                  <w:pPr>
                    <w:keepNext w:val="0"/>
                    <w:keepLines w:val="0"/>
                    <w:suppressLineNumbers w:val="0"/>
                    <w:spacing w:before="0" w:beforeAutospacing="0" w:after="0" w:afterAutospacing="0"/>
                    <w:ind w:left="0" w:right="0"/>
                    <w:jc w:val="center"/>
                    <w:rPr>
                      <w:rFonts w:hint="eastAsia" w:eastAsia="宋体"/>
                      <w:color w:val="auto"/>
                      <w:szCs w:val="21"/>
                      <w:lang w:val="en-US" w:eastAsia="zh-CN"/>
                    </w:rPr>
                  </w:pPr>
                  <w:r>
                    <w:rPr>
                      <w:rFonts w:hint="eastAsia"/>
                      <w:color w:val="auto"/>
                      <w:szCs w:val="21"/>
                      <w:lang w:val="en-US" w:eastAsia="zh-CN"/>
                    </w:rPr>
                    <w:t>现状值</w:t>
                  </w:r>
                </w:p>
              </w:tc>
              <w:tc>
                <w:tcPr>
                  <w:tcW w:w="640" w:type="pct"/>
                  <w:vAlign w:val="center"/>
                </w:tcPr>
                <w:p w14:paraId="6FFDF7AE">
                  <w:pPr>
                    <w:keepNext w:val="0"/>
                    <w:keepLines w:val="0"/>
                    <w:suppressLineNumbers w:val="0"/>
                    <w:spacing w:before="0" w:beforeAutospacing="0" w:after="0" w:afterAutospacing="0"/>
                    <w:ind w:left="0" w:right="0"/>
                    <w:jc w:val="center"/>
                    <w:rPr>
                      <w:rFonts w:hint="default"/>
                      <w:color w:val="auto"/>
                    </w:rPr>
                  </w:pPr>
                  <w:r>
                    <w:rPr>
                      <w:rFonts w:hint="default"/>
                      <w:color w:val="auto"/>
                    </w:rPr>
                    <w:t>贡献值</w:t>
                  </w:r>
                </w:p>
              </w:tc>
              <w:tc>
                <w:tcPr>
                  <w:tcW w:w="873" w:type="pct"/>
                  <w:vAlign w:val="center"/>
                </w:tcPr>
                <w:p w14:paraId="49D76E95">
                  <w:pPr>
                    <w:keepNext w:val="0"/>
                    <w:keepLines w:val="0"/>
                    <w:suppressLineNumbers w:val="0"/>
                    <w:spacing w:before="0" w:beforeAutospacing="0" w:after="0" w:afterAutospacing="0"/>
                    <w:ind w:left="0" w:right="0"/>
                    <w:jc w:val="center"/>
                    <w:rPr>
                      <w:rFonts w:hint="eastAsia" w:eastAsia="宋体"/>
                      <w:color w:val="auto"/>
                      <w:lang w:val="en-US" w:eastAsia="zh-CN"/>
                    </w:rPr>
                  </w:pPr>
                  <w:r>
                    <w:rPr>
                      <w:rFonts w:hint="eastAsia"/>
                      <w:color w:val="auto"/>
                      <w:lang w:val="en-US" w:eastAsia="zh-CN"/>
                    </w:rPr>
                    <w:t>预测值</w:t>
                  </w:r>
                </w:p>
              </w:tc>
              <w:tc>
                <w:tcPr>
                  <w:tcW w:w="1312" w:type="pct"/>
                  <w:vAlign w:val="center"/>
                </w:tcPr>
                <w:p w14:paraId="070E3313">
                  <w:pPr>
                    <w:keepNext w:val="0"/>
                    <w:keepLines w:val="0"/>
                    <w:suppressLineNumbers w:val="0"/>
                    <w:spacing w:before="0" w:beforeAutospacing="0" w:after="0" w:afterAutospacing="0"/>
                    <w:ind w:left="0" w:right="0"/>
                    <w:jc w:val="center"/>
                    <w:rPr>
                      <w:rFonts w:hint="default"/>
                      <w:color w:val="auto"/>
                      <w:szCs w:val="21"/>
                    </w:rPr>
                  </w:pPr>
                  <w:r>
                    <w:rPr>
                      <w:rFonts w:hint="default"/>
                      <w:color w:val="auto"/>
                    </w:rPr>
                    <w:t>标准限值</w:t>
                  </w:r>
                </w:p>
              </w:tc>
            </w:tr>
            <w:tr w14:paraId="7689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82" w:type="pct"/>
                  <w:vMerge w:val="restart"/>
                  <w:vAlign w:val="center"/>
                </w:tcPr>
                <w:p w14:paraId="4E133D2E">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东侧厂界</w:t>
                  </w:r>
                </w:p>
              </w:tc>
              <w:tc>
                <w:tcPr>
                  <w:tcW w:w="800" w:type="pct"/>
                  <w:vAlign w:val="center"/>
                </w:tcPr>
                <w:p w14:paraId="5FE6C988">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昼</w:t>
                  </w:r>
                </w:p>
              </w:tc>
              <w:tc>
                <w:tcPr>
                  <w:tcW w:w="691" w:type="pct"/>
                  <w:vAlign w:val="center"/>
                </w:tcPr>
                <w:p w14:paraId="3201DBDE">
                  <w:pPr>
                    <w:keepNext w:val="0"/>
                    <w:keepLines w:val="0"/>
                    <w:suppressLineNumbers w:val="0"/>
                    <w:spacing w:before="0" w:beforeAutospacing="0" w:after="0" w:afterAutospacing="0"/>
                    <w:ind w:left="0" w:right="0"/>
                    <w:jc w:val="center"/>
                    <w:rPr>
                      <w:rFonts w:hint="eastAsia" w:eastAsia="宋体"/>
                      <w:bCs/>
                      <w:color w:val="auto"/>
                      <w:szCs w:val="21"/>
                      <w:lang w:val="en-US" w:eastAsia="zh-CN"/>
                    </w:rPr>
                  </w:pPr>
                  <w:r>
                    <w:rPr>
                      <w:rFonts w:hint="eastAsia"/>
                      <w:bCs/>
                      <w:color w:val="auto"/>
                      <w:szCs w:val="21"/>
                      <w:lang w:val="en-US" w:eastAsia="zh-CN"/>
                    </w:rPr>
                    <w:t>/</w:t>
                  </w:r>
                </w:p>
              </w:tc>
              <w:tc>
                <w:tcPr>
                  <w:tcW w:w="640" w:type="pct"/>
                  <w:vAlign w:val="center"/>
                </w:tcPr>
                <w:p w14:paraId="513B0792">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40</w:t>
                  </w:r>
                </w:p>
              </w:tc>
              <w:tc>
                <w:tcPr>
                  <w:tcW w:w="873" w:type="pct"/>
                  <w:vAlign w:val="center"/>
                </w:tcPr>
                <w:p w14:paraId="3B742CE0">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40</w:t>
                  </w:r>
                </w:p>
              </w:tc>
              <w:tc>
                <w:tcPr>
                  <w:tcW w:w="1312" w:type="pct"/>
                  <w:vMerge w:val="restart"/>
                  <w:vAlign w:val="center"/>
                </w:tcPr>
                <w:p w14:paraId="7150140C">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bCs/>
                      <w:color w:val="auto"/>
                    </w:rPr>
                    <w:t>厂界噪声执行《工业企业厂界环境噪声排放标准》（GB12348-2008）中</w:t>
                  </w:r>
                  <w:r>
                    <w:rPr>
                      <w:rFonts w:hint="eastAsia"/>
                      <w:bCs/>
                      <w:color w:val="auto"/>
                    </w:rPr>
                    <w:t>2</w:t>
                  </w:r>
                  <w:r>
                    <w:rPr>
                      <w:rFonts w:hint="default"/>
                      <w:bCs/>
                      <w:color w:val="auto"/>
                    </w:rPr>
                    <w:t>类标准</w:t>
                  </w:r>
                  <w:r>
                    <w:rPr>
                      <w:rFonts w:hint="default"/>
                      <w:color w:val="auto"/>
                    </w:rPr>
                    <w:t>（昼间噪声≤</w:t>
                  </w:r>
                  <w:r>
                    <w:rPr>
                      <w:rFonts w:hint="eastAsia"/>
                      <w:color w:val="auto"/>
                    </w:rPr>
                    <w:t>60</w:t>
                  </w:r>
                  <w:r>
                    <w:rPr>
                      <w:rFonts w:hint="default"/>
                      <w:color w:val="auto"/>
                    </w:rPr>
                    <w:t>，夜间噪声≤</w:t>
                  </w:r>
                  <w:r>
                    <w:rPr>
                      <w:rFonts w:hint="eastAsia"/>
                      <w:color w:val="auto"/>
                    </w:rPr>
                    <w:t>50</w:t>
                  </w:r>
                  <w:r>
                    <w:rPr>
                      <w:rFonts w:hint="default"/>
                      <w:color w:val="auto"/>
                    </w:rPr>
                    <w:t>）</w:t>
                  </w:r>
                </w:p>
              </w:tc>
            </w:tr>
            <w:tr w14:paraId="6AEE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682" w:type="pct"/>
                  <w:vMerge w:val="continue"/>
                  <w:vAlign w:val="center"/>
                </w:tcPr>
                <w:p w14:paraId="1C51931C">
                  <w:pPr>
                    <w:keepNext w:val="0"/>
                    <w:keepLines w:val="0"/>
                    <w:suppressLineNumbers w:val="0"/>
                    <w:spacing w:before="0" w:beforeAutospacing="0" w:after="0" w:afterAutospacing="0" w:line="0" w:lineRule="atLeast"/>
                    <w:ind w:left="0" w:right="0"/>
                    <w:jc w:val="center"/>
                    <w:rPr>
                      <w:rFonts w:hint="default"/>
                      <w:color w:val="auto"/>
                    </w:rPr>
                  </w:pPr>
                </w:p>
              </w:tc>
              <w:tc>
                <w:tcPr>
                  <w:tcW w:w="800" w:type="pct"/>
                  <w:vAlign w:val="center"/>
                </w:tcPr>
                <w:p w14:paraId="58207E1E">
                  <w:pPr>
                    <w:keepNext w:val="0"/>
                    <w:keepLines w:val="0"/>
                    <w:suppressLineNumbers w:val="0"/>
                    <w:spacing w:before="0" w:beforeAutospacing="0" w:after="0" w:afterAutospacing="0" w:line="0" w:lineRule="atLeast"/>
                    <w:ind w:left="0" w:right="0"/>
                    <w:jc w:val="center"/>
                    <w:rPr>
                      <w:rFonts w:hint="default"/>
                      <w:color w:val="auto"/>
                    </w:rPr>
                  </w:pPr>
                  <w:r>
                    <w:rPr>
                      <w:rFonts w:hint="default"/>
                      <w:color w:val="auto"/>
                    </w:rPr>
                    <w:t>夜</w:t>
                  </w:r>
                </w:p>
              </w:tc>
              <w:tc>
                <w:tcPr>
                  <w:tcW w:w="691" w:type="pct"/>
                  <w:vAlign w:val="center"/>
                </w:tcPr>
                <w:p w14:paraId="353FB98E">
                  <w:pPr>
                    <w:keepNext w:val="0"/>
                    <w:keepLines w:val="0"/>
                    <w:suppressLineNumbers w:val="0"/>
                    <w:spacing w:before="0" w:beforeAutospacing="0" w:after="0" w:afterAutospacing="0"/>
                    <w:ind w:left="0" w:right="0"/>
                    <w:jc w:val="center"/>
                    <w:rPr>
                      <w:rFonts w:hint="eastAsia" w:eastAsia="宋体"/>
                      <w:bCs/>
                      <w:color w:val="auto"/>
                      <w:szCs w:val="21"/>
                      <w:lang w:val="en-US" w:eastAsia="zh-CN"/>
                    </w:rPr>
                  </w:pPr>
                  <w:r>
                    <w:rPr>
                      <w:rFonts w:hint="eastAsia"/>
                      <w:bCs/>
                      <w:color w:val="auto"/>
                      <w:szCs w:val="21"/>
                      <w:lang w:val="en-US" w:eastAsia="zh-CN"/>
                    </w:rPr>
                    <w:t>/</w:t>
                  </w:r>
                </w:p>
              </w:tc>
              <w:tc>
                <w:tcPr>
                  <w:tcW w:w="640" w:type="pct"/>
                  <w:vAlign w:val="center"/>
                </w:tcPr>
                <w:p w14:paraId="5B9651B8">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40</w:t>
                  </w:r>
                </w:p>
              </w:tc>
              <w:tc>
                <w:tcPr>
                  <w:tcW w:w="873" w:type="pct"/>
                  <w:vAlign w:val="center"/>
                </w:tcPr>
                <w:p w14:paraId="0FDFFC6D">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40</w:t>
                  </w:r>
                </w:p>
              </w:tc>
              <w:tc>
                <w:tcPr>
                  <w:tcW w:w="1312" w:type="pct"/>
                  <w:vMerge w:val="continue"/>
                  <w:vAlign w:val="center"/>
                </w:tcPr>
                <w:p w14:paraId="45DDBA87">
                  <w:pPr>
                    <w:keepNext w:val="0"/>
                    <w:keepLines w:val="0"/>
                    <w:suppressLineNumbers w:val="0"/>
                    <w:spacing w:before="0" w:beforeAutospacing="0" w:after="0" w:afterAutospacing="0" w:line="0" w:lineRule="atLeast"/>
                    <w:ind w:left="0" w:right="0"/>
                    <w:jc w:val="center"/>
                    <w:rPr>
                      <w:rFonts w:hint="default"/>
                      <w:bCs/>
                      <w:color w:val="auto"/>
                    </w:rPr>
                  </w:pPr>
                </w:p>
              </w:tc>
            </w:tr>
            <w:tr w14:paraId="67A8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682" w:type="pct"/>
                  <w:vMerge w:val="restart"/>
                  <w:vAlign w:val="center"/>
                </w:tcPr>
                <w:p w14:paraId="57390C85">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南侧厂界</w:t>
                  </w:r>
                </w:p>
              </w:tc>
              <w:tc>
                <w:tcPr>
                  <w:tcW w:w="800" w:type="pct"/>
                  <w:vAlign w:val="center"/>
                </w:tcPr>
                <w:p w14:paraId="681347CD">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昼</w:t>
                  </w:r>
                </w:p>
              </w:tc>
              <w:tc>
                <w:tcPr>
                  <w:tcW w:w="691" w:type="pct"/>
                  <w:vAlign w:val="center"/>
                </w:tcPr>
                <w:p w14:paraId="715F3797">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w:t>
                  </w:r>
                </w:p>
              </w:tc>
              <w:tc>
                <w:tcPr>
                  <w:tcW w:w="640" w:type="pct"/>
                  <w:vAlign w:val="center"/>
                </w:tcPr>
                <w:p w14:paraId="6869BD5B">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58</w:t>
                  </w:r>
                </w:p>
              </w:tc>
              <w:tc>
                <w:tcPr>
                  <w:tcW w:w="873" w:type="pct"/>
                  <w:vAlign w:val="center"/>
                </w:tcPr>
                <w:p w14:paraId="03BFFBE0">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58</w:t>
                  </w:r>
                </w:p>
              </w:tc>
              <w:tc>
                <w:tcPr>
                  <w:tcW w:w="1312" w:type="pct"/>
                  <w:vMerge w:val="continue"/>
                  <w:vAlign w:val="center"/>
                </w:tcPr>
                <w:p w14:paraId="6A44FCC7">
                  <w:pPr>
                    <w:keepNext w:val="0"/>
                    <w:keepLines w:val="0"/>
                    <w:widowControl/>
                    <w:suppressLineNumbers w:val="0"/>
                    <w:spacing w:before="0" w:beforeAutospacing="0" w:after="0" w:afterAutospacing="0"/>
                    <w:ind w:left="0" w:right="0"/>
                    <w:jc w:val="left"/>
                    <w:rPr>
                      <w:rFonts w:hint="default"/>
                      <w:color w:val="auto"/>
                      <w:szCs w:val="21"/>
                    </w:rPr>
                  </w:pPr>
                </w:p>
              </w:tc>
            </w:tr>
            <w:tr w14:paraId="3BCD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82" w:type="pct"/>
                  <w:vMerge w:val="continue"/>
                  <w:vAlign w:val="center"/>
                </w:tcPr>
                <w:p w14:paraId="2E7B6640">
                  <w:pPr>
                    <w:keepNext w:val="0"/>
                    <w:keepLines w:val="0"/>
                    <w:suppressLineNumbers w:val="0"/>
                    <w:spacing w:before="0" w:beforeAutospacing="0" w:after="0" w:afterAutospacing="0" w:line="0" w:lineRule="atLeast"/>
                    <w:ind w:left="0" w:right="0"/>
                    <w:jc w:val="center"/>
                    <w:rPr>
                      <w:rFonts w:hint="default"/>
                      <w:color w:val="auto"/>
                    </w:rPr>
                  </w:pPr>
                </w:p>
              </w:tc>
              <w:tc>
                <w:tcPr>
                  <w:tcW w:w="800" w:type="pct"/>
                  <w:vAlign w:val="center"/>
                </w:tcPr>
                <w:p w14:paraId="717759AD">
                  <w:pPr>
                    <w:keepNext w:val="0"/>
                    <w:keepLines w:val="0"/>
                    <w:suppressLineNumbers w:val="0"/>
                    <w:spacing w:before="0" w:beforeAutospacing="0" w:after="0" w:afterAutospacing="0" w:line="0" w:lineRule="atLeast"/>
                    <w:ind w:left="0" w:right="0"/>
                    <w:jc w:val="center"/>
                    <w:rPr>
                      <w:rFonts w:hint="default"/>
                      <w:color w:val="auto"/>
                    </w:rPr>
                  </w:pPr>
                  <w:r>
                    <w:rPr>
                      <w:rFonts w:hint="default"/>
                      <w:color w:val="auto"/>
                    </w:rPr>
                    <w:t>夜</w:t>
                  </w:r>
                </w:p>
              </w:tc>
              <w:tc>
                <w:tcPr>
                  <w:tcW w:w="691" w:type="pct"/>
                  <w:vAlign w:val="center"/>
                </w:tcPr>
                <w:p w14:paraId="7C35D986">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w:t>
                  </w:r>
                </w:p>
              </w:tc>
              <w:tc>
                <w:tcPr>
                  <w:tcW w:w="640" w:type="pct"/>
                  <w:vAlign w:val="center"/>
                </w:tcPr>
                <w:p w14:paraId="7D80A266">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58</w:t>
                  </w:r>
                </w:p>
              </w:tc>
              <w:tc>
                <w:tcPr>
                  <w:tcW w:w="873" w:type="pct"/>
                  <w:vAlign w:val="center"/>
                </w:tcPr>
                <w:p w14:paraId="693EA5C7">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w:t>
                  </w:r>
                  <w:r>
                    <w:rPr>
                      <w:rFonts w:hint="eastAsia"/>
                      <w:color w:val="auto"/>
                      <w:szCs w:val="21"/>
                    </w:rPr>
                    <w:t>2.</w:t>
                  </w:r>
                  <w:r>
                    <w:rPr>
                      <w:rFonts w:hint="eastAsia"/>
                      <w:color w:val="auto"/>
                      <w:szCs w:val="21"/>
                      <w:lang w:val="en-US" w:eastAsia="zh-CN"/>
                    </w:rPr>
                    <w:t>58</w:t>
                  </w:r>
                </w:p>
              </w:tc>
              <w:tc>
                <w:tcPr>
                  <w:tcW w:w="1312" w:type="pct"/>
                  <w:vMerge w:val="continue"/>
                  <w:vAlign w:val="center"/>
                </w:tcPr>
                <w:p w14:paraId="6A271CF9">
                  <w:pPr>
                    <w:keepNext w:val="0"/>
                    <w:keepLines w:val="0"/>
                    <w:widowControl/>
                    <w:suppressLineNumbers w:val="0"/>
                    <w:spacing w:before="0" w:beforeAutospacing="0" w:after="0" w:afterAutospacing="0"/>
                    <w:ind w:left="0" w:right="0"/>
                    <w:jc w:val="left"/>
                    <w:rPr>
                      <w:rFonts w:hint="default"/>
                      <w:color w:val="auto"/>
                      <w:szCs w:val="21"/>
                    </w:rPr>
                  </w:pPr>
                </w:p>
              </w:tc>
            </w:tr>
            <w:tr w14:paraId="4917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682" w:type="pct"/>
                  <w:vMerge w:val="restart"/>
                  <w:vAlign w:val="center"/>
                </w:tcPr>
                <w:p w14:paraId="0F2E3E3C">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西侧厂界</w:t>
                  </w:r>
                </w:p>
              </w:tc>
              <w:tc>
                <w:tcPr>
                  <w:tcW w:w="800" w:type="pct"/>
                  <w:vAlign w:val="center"/>
                </w:tcPr>
                <w:p w14:paraId="51E7C59F">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昼</w:t>
                  </w:r>
                </w:p>
              </w:tc>
              <w:tc>
                <w:tcPr>
                  <w:tcW w:w="691" w:type="pct"/>
                  <w:vAlign w:val="center"/>
                </w:tcPr>
                <w:p w14:paraId="5B799570">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w:t>
                  </w:r>
                </w:p>
              </w:tc>
              <w:tc>
                <w:tcPr>
                  <w:tcW w:w="640" w:type="pct"/>
                  <w:vAlign w:val="center"/>
                </w:tcPr>
                <w:p w14:paraId="54EB2185">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34</w:t>
                  </w:r>
                  <w:r>
                    <w:rPr>
                      <w:rFonts w:hint="eastAsia"/>
                      <w:color w:val="auto"/>
                      <w:szCs w:val="21"/>
                    </w:rPr>
                    <w:t>.</w:t>
                  </w:r>
                  <w:r>
                    <w:rPr>
                      <w:rFonts w:hint="eastAsia"/>
                      <w:color w:val="auto"/>
                      <w:szCs w:val="21"/>
                      <w:lang w:val="en-US" w:eastAsia="zh-CN"/>
                    </w:rPr>
                    <w:t>07</w:t>
                  </w:r>
                </w:p>
              </w:tc>
              <w:tc>
                <w:tcPr>
                  <w:tcW w:w="873" w:type="pct"/>
                  <w:vAlign w:val="center"/>
                </w:tcPr>
                <w:p w14:paraId="402AB766">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34</w:t>
                  </w:r>
                  <w:r>
                    <w:rPr>
                      <w:rFonts w:hint="eastAsia"/>
                      <w:color w:val="auto"/>
                      <w:szCs w:val="21"/>
                    </w:rPr>
                    <w:t>.</w:t>
                  </w:r>
                  <w:r>
                    <w:rPr>
                      <w:rFonts w:hint="eastAsia"/>
                      <w:color w:val="auto"/>
                      <w:szCs w:val="21"/>
                      <w:lang w:val="en-US" w:eastAsia="zh-CN"/>
                    </w:rPr>
                    <w:t>07</w:t>
                  </w:r>
                </w:p>
              </w:tc>
              <w:tc>
                <w:tcPr>
                  <w:tcW w:w="1312" w:type="pct"/>
                  <w:vMerge w:val="continue"/>
                  <w:vAlign w:val="center"/>
                </w:tcPr>
                <w:p w14:paraId="589C2CFF">
                  <w:pPr>
                    <w:keepNext w:val="0"/>
                    <w:keepLines w:val="0"/>
                    <w:widowControl/>
                    <w:suppressLineNumbers w:val="0"/>
                    <w:spacing w:before="0" w:beforeAutospacing="0" w:after="0" w:afterAutospacing="0"/>
                    <w:ind w:left="0" w:right="0"/>
                    <w:jc w:val="left"/>
                    <w:rPr>
                      <w:rFonts w:hint="default"/>
                      <w:color w:val="auto"/>
                      <w:szCs w:val="21"/>
                    </w:rPr>
                  </w:pPr>
                </w:p>
              </w:tc>
            </w:tr>
            <w:tr w14:paraId="053D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82" w:type="pct"/>
                  <w:vMerge w:val="continue"/>
                  <w:vAlign w:val="center"/>
                </w:tcPr>
                <w:p w14:paraId="3D0E788A">
                  <w:pPr>
                    <w:keepNext w:val="0"/>
                    <w:keepLines w:val="0"/>
                    <w:suppressLineNumbers w:val="0"/>
                    <w:spacing w:before="0" w:beforeAutospacing="0" w:after="0" w:afterAutospacing="0" w:line="0" w:lineRule="atLeast"/>
                    <w:ind w:left="0" w:right="0"/>
                    <w:jc w:val="center"/>
                    <w:rPr>
                      <w:rFonts w:hint="default"/>
                      <w:color w:val="auto"/>
                    </w:rPr>
                  </w:pPr>
                </w:p>
              </w:tc>
              <w:tc>
                <w:tcPr>
                  <w:tcW w:w="800" w:type="pct"/>
                  <w:vAlign w:val="center"/>
                </w:tcPr>
                <w:p w14:paraId="2DC481BC">
                  <w:pPr>
                    <w:keepNext w:val="0"/>
                    <w:keepLines w:val="0"/>
                    <w:suppressLineNumbers w:val="0"/>
                    <w:spacing w:before="0" w:beforeAutospacing="0" w:after="0" w:afterAutospacing="0" w:line="0" w:lineRule="atLeast"/>
                    <w:ind w:left="0" w:right="0"/>
                    <w:jc w:val="center"/>
                    <w:rPr>
                      <w:rFonts w:hint="default"/>
                      <w:color w:val="auto"/>
                    </w:rPr>
                  </w:pPr>
                  <w:r>
                    <w:rPr>
                      <w:rFonts w:hint="default"/>
                      <w:color w:val="auto"/>
                    </w:rPr>
                    <w:t>夜</w:t>
                  </w:r>
                </w:p>
              </w:tc>
              <w:tc>
                <w:tcPr>
                  <w:tcW w:w="691" w:type="pct"/>
                  <w:vAlign w:val="center"/>
                </w:tcPr>
                <w:p w14:paraId="4B7EF916">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w:t>
                  </w:r>
                </w:p>
              </w:tc>
              <w:tc>
                <w:tcPr>
                  <w:tcW w:w="640" w:type="pct"/>
                  <w:vAlign w:val="center"/>
                </w:tcPr>
                <w:p w14:paraId="262D4616">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34</w:t>
                  </w:r>
                  <w:r>
                    <w:rPr>
                      <w:rFonts w:hint="eastAsia"/>
                      <w:color w:val="auto"/>
                      <w:szCs w:val="21"/>
                    </w:rPr>
                    <w:t>.</w:t>
                  </w:r>
                  <w:r>
                    <w:rPr>
                      <w:rFonts w:hint="eastAsia"/>
                      <w:color w:val="auto"/>
                      <w:szCs w:val="21"/>
                      <w:lang w:val="en-US" w:eastAsia="zh-CN"/>
                    </w:rPr>
                    <w:t>07</w:t>
                  </w:r>
                </w:p>
              </w:tc>
              <w:tc>
                <w:tcPr>
                  <w:tcW w:w="873" w:type="pct"/>
                  <w:vAlign w:val="center"/>
                </w:tcPr>
                <w:p w14:paraId="201622BE">
                  <w:pPr>
                    <w:keepNext w:val="0"/>
                    <w:keepLines w:val="0"/>
                    <w:suppressLineNumbers w:val="0"/>
                    <w:spacing w:before="0" w:beforeAutospacing="0" w:after="0" w:afterAutospacing="0"/>
                    <w:ind w:left="0" w:right="0"/>
                    <w:jc w:val="center"/>
                    <w:rPr>
                      <w:rFonts w:hint="eastAsia"/>
                      <w:color w:val="auto"/>
                      <w:szCs w:val="21"/>
                      <w:lang w:val="en-US" w:eastAsia="zh-CN"/>
                    </w:rPr>
                  </w:pPr>
                  <w:r>
                    <w:rPr>
                      <w:rFonts w:hint="eastAsia"/>
                      <w:color w:val="auto"/>
                      <w:szCs w:val="21"/>
                      <w:lang w:val="en-US" w:eastAsia="zh-CN"/>
                    </w:rPr>
                    <w:t>34</w:t>
                  </w:r>
                  <w:r>
                    <w:rPr>
                      <w:rFonts w:hint="eastAsia"/>
                      <w:color w:val="auto"/>
                      <w:szCs w:val="21"/>
                    </w:rPr>
                    <w:t>.</w:t>
                  </w:r>
                  <w:r>
                    <w:rPr>
                      <w:rFonts w:hint="eastAsia"/>
                      <w:color w:val="auto"/>
                      <w:szCs w:val="21"/>
                      <w:lang w:val="en-US" w:eastAsia="zh-CN"/>
                    </w:rPr>
                    <w:t>07</w:t>
                  </w:r>
                </w:p>
              </w:tc>
              <w:tc>
                <w:tcPr>
                  <w:tcW w:w="1312" w:type="pct"/>
                  <w:vMerge w:val="continue"/>
                  <w:vAlign w:val="center"/>
                </w:tcPr>
                <w:p w14:paraId="1A48D001">
                  <w:pPr>
                    <w:keepNext w:val="0"/>
                    <w:keepLines w:val="0"/>
                    <w:widowControl/>
                    <w:suppressLineNumbers w:val="0"/>
                    <w:spacing w:before="0" w:beforeAutospacing="0" w:after="0" w:afterAutospacing="0"/>
                    <w:ind w:left="0" w:right="0"/>
                    <w:jc w:val="left"/>
                    <w:rPr>
                      <w:rFonts w:hint="default"/>
                      <w:color w:val="auto"/>
                      <w:szCs w:val="21"/>
                    </w:rPr>
                  </w:pPr>
                </w:p>
              </w:tc>
            </w:tr>
            <w:tr w14:paraId="4A2B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682" w:type="pct"/>
                  <w:vMerge w:val="restart"/>
                  <w:vAlign w:val="center"/>
                </w:tcPr>
                <w:p w14:paraId="048897CF">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北侧厂界</w:t>
                  </w:r>
                </w:p>
              </w:tc>
              <w:tc>
                <w:tcPr>
                  <w:tcW w:w="800" w:type="pct"/>
                  <w:vAlign w:val="center"/>
                </w:tcPr>
                <w:p w14:paraId="02101BE6">
                  <w:pPr>
                    <w:keepNext w:val="0"/>
                    <w:keepLines w:val="0"/>
                    <w:suppressLineNumbers w:val="0"/>
                    <w:spacing w:before="0" w:beforeAutospacing="0" w:after="0" w:afterAutospacing="0" w:line="0" w:lineRule="atLeast"/>
                    <w:ind w:left="0" w:right="0"/>
                    <w:jc w:val="center"/>
                    <w:rPr>
                      <w:rFonts w:hint="default"/>
                      <w:color w:val="auto"/>
                      <w:szCs w:val="21"/>
                    </w:rPr>
                  </w:pPr>
                  <w:r>
                    <w:rPr>
                      <w:rFonts w:hint="default"/>
                      <w:color w:val="auto"/>
                    </w:rPr>
                    <w:t>昼</w:t>
                  </w:r>
                </w:p>
              </w:tc>
              <w:tc>
                <w:tcPr>
                  <w:tcW w:w="691" w:type="pct"/>
                  <w:vAlign w:val="center"/>
                </w:tcPr>
                <w:p w14:paraId="6222A297">
                  <w:pPr>
                    <w:keepNext w:val="0"/>
                    <w:keepLines w:val="0"/>
                    <w:suppressLineNumbers w:val="0"/>
                    <w:spacing w:before="0" w:beforeAutospacing="0" w:after="0" w:afterAutospacing="0"/>
                    <w:ind w:left="0" w:right="0"/>
                    <w:jc w:val="center"/>
                    <w:rPr>
                      <w:rFonts w:hint="eastAsia" w:eastAsia="宋体"/>
                      <w:color w:val="auto"/>
                      <w:szCs w:val="21"/>
                      <w:lang w:val="en-US" w:eastAsia="zh-CN"/>
                    </w:rPr>
                  </w:pPr>
                  <w:r>
                    <w:rPr>
                      <w:rFonts w:hint="eastAsia"/>
                      <w:color w:val="auto"/>
                      <w:szCs w:val="21"/>
                      <w:lang w:val="en-US" w:eastAsia="zh-CN"/>
                    </w:rPr>
                    <w:t>/</w:t>
                  </w:r>
                </w:p>
              </w:tc>
              <w:tc>
                <w:tcPr>
                  <w:tcW w:w="640" w:type="pct"/>
                  <w:vAlign w:val="center"/>
                </w:tcPr>
                <w:p w14:paraId="4E5E12A4">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39</w:t>
                  </w:r>
                  <w:r>
                    <w:rPr>
                      <w:rFonts w:hint="eastAsia"/>
                      <w:color w:val="auto"/>
                      <w:szCs w:val="21"/>
                    </w:rPr>
                    <w:t>.</w:t>
                  </w:r>
                  <w:r>
                    <w:rPr>
                      <w:rFonts w:hint="eastAsia"/>
                      <w:color w:val="auto"/>
                      <w:szCs w:val="21"/>
                      <w:lang w:val="en-US" w:eastAsia="zh-CN"/>
                    </w:rPr>
                    <w:t>15</w:t>
                  </w:r>
                </w:p>
              </w:tc>
              <w:tc>
                <w:tcPr>
                  <w:tcW w:w="873" w:type="pct"/>
                  <w:vAlign w:val="center"/>
                </w:tcPr>
                <w:p w14:paraId="12F58F34">
                  <w:pPr>
                    <w:keepNext w:val="0"/>
                    <w:keepLines w:val="0"/>
                    <w:suppressLineNumbers w:val="0"/>
                    <w:spacing w:before="0" w:beforeAutospacing="0" w:after="0" w:afterAutospacing="0"/>
                    <w:ind w:left="0" w:right="0"/>
                    <w:jc w:val="center"/>
                    <w:rPr>
                      <w:rFonts w:hint="default"/>
                      <w:color w:val="auto"/>
                      <w:szCs w:val="21"/>
                      <w:lang w:val="en-US"/>
                    </w:rPr>
                  </w:pPr>
                  <w:r>
                    <w:rPr>
                      <w:rFonts w:hint="eastAsia"/>
                      <w:color w:val="auto"/>
                      <w:szCs w:val="21"/>
                      <w:lang w:val="en-US" w:eastAsia="zh-CN"/>
                    </w:rPr>
                    <w:t>39</w:t>
                  </w:r>
                  <w:r>
                    <w:rPr>
                      <w:rFonts w:hint="eastAsia"/>
                      <w:color w:val="auto"/>
                      <w:szCs w:val="21"/>
                    </w:rPr>
                    <w:t>.</w:t>
                  </w:r>
                  <w:r>
                    <w:rPr>
                      <w:rFonts w:hint="eastAsia"/>
                      <w:color w:val="auto"/>
                      <w:szCs w:val="21"/>
                      <w:lang w:val="en-US" w:eastAsia="zh-CN"/>
                    </w:rPr>
                    <w:t>15</w:t>
                  </w:r>
                </w:p>
              </w:tc>
              <w:tc>
                <w:tcPr>
                  <w:tcW w:w="1312" w:type="pct"/>
                  <w:vMerge w:val="continue"/>
                  <w:vAlign w:val="center"/>
                </w:tcPr>
                <w:p w14:paraId="279DB751">
                  <w:pPr>
                    <w:keepNext w:val="0"/>
                    <w:keepLines w:val="0"/>
                    <w:widowControl/>
                    <w:suppressLineNumbers w:val="0"/>
                    <w:spacing w:before="0" w:beforeAutospacing="0" w:after="0" w:afterAutospacing="0"/>
                    <w:ind w:left="0" w:right="0"/>
                    <w:jc w:val="left"/>
                    <w:rPr>
                      <w:rFonts w:hint="default"/>
                      <w:color w:val="auto"/>
                      <w:szCs w:val="21"/>
                    </w:rPr>
                  </w:pPr>
                </w:p>
              </w:tc>
            </w:tr>
            <w:tr w14:paraId="271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682" w:type="pct"/>
                  <w:vMerge w:val="continue"/>
                  <w:vAlign w:val="center"/>
                </w:tcPr>
                <w:p w14:paraId="2FD49243">
                  <w:pPr>
                    <w:keepNext w:val="0"/>
                    <w:keepLines w:val="0"/>
                    <w:suppressLineNumbers w:val="0"/>
                    <w:spacing w:before="0" w:beforeAutospacing="0" w:after="0" w:afterAutospacing="0" w:line="0" w:lineRule="atLeast"/>
                    <w:ind w:left="0" w:right="0"/>
                    <w:jc w:val="center"/>
                    <w:rPr>
                      <w:rFonts w:hint="default"/>
                      <w:color w:val="auto"/>
                    </w:rPr>
                  </w:pPr>
                </w:p>
              </w:tc>
              <w:tc>
                <w:tcPr>
                  <w:tcW w:w="800" w:type="pct"/>
                  <w:vAlign w:val="center"/>
                </w:tcPr>
                <w:p w14:paraId="2DFC2DAB">
                  <w:pPr>
                    <w:keepNext w:val="0"/>
                    <w:keepLines w:val="0"/>
                    <w:suppressLineNumbers w:val="0"/>
                    <w:spacing w:before="0" w:beforeAutospacing="0" w:after="0" w:afterAutospacing="0" w:line="0" w:lineRule="atLeast"/>
                    <w:ind w:left="0" w:right="0"/>
                    <w:jc w:val="center"/>
                    <w:rPr>
                      <w:rFonts w:hint="default"/>
                      <w:color w:val="auto"/>
                    </w:rPr>
                  </w:pPr>
                  <w:r>
                    <w:rPr>
                      <w:rFonts w:hint="default"/>
                      <w:color w:val="auto"/>
                    </w:rPr>
                    <w:t>夜</w:t>
                  </w:r>
                </w:p>
              </w:tc>
              <w:tc>
                <w:tcPr>
                  <w:tcW w:w="691" w:type="pct"/>
                  <w:vAlign w:val="center"/>
                </w:tcPr>
                <w:p w14:paraId="22CBD2EF">
                  <w:pPr>
                    <w:keepNext w:val="0"/>
                    <w:keepLines w:val="0"/>
                    <w:suppressLineNumbers w:val="0"/>
                    <w:spacing w:before="0" w:beforeAutospacing="0" w:after="0" w:afterAutospacing="0"/>
                    <w:ind w:left="0" w:right="0"/>
                    <w:jc w:val="center"/>
                    <w:rPr>
                      <w:rFonts w:hint="eastAsia" w:eastAsia="宋体"/>
                      <w:color w:val="auto"/>
                      <w:szCs w:val="21"/>
                      <w:lang w:val="en-US" w:eastAsia="zh-CN"/>
                    </w:rPr>
                  </w:pPr>
                  <w:r>
                    <w:rPr>
                      <w:rFonts w:hint="eastAsia"/>
                      <w:color w:val="auto"/>
                      <w:szCs w:val="21"/>
                      <w:lang w:val="en-US" w:eastAsia="zh-CN"/>
                    </w:rPr>
                    <w:t>/</w:t>
                  </w:r>
                </w:p>
              </w:tc>
              <w:tc>
                <w:tcPr>
                  <w:tcW w:w="640" w:type="pct"/>
                  <w:vAlign w:val="center"/>
                </w:tcPr>
                <w:p w14:paraId="5758320C">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39</w:t>
                  </w:r>
                  <w:r>
                    <w:rPr>
                      <w:rFonts w:hint="eastAsia"/>
                      <w:color w:val="auto"/>
                      <w:szCs w:val="21"/>
                    </w:rPr>
                    <w:t>.</w:t>
                  </w:r>
                  <w:r>
                    <w:rPr>
                      <w:rFonts w:hint="eastAsia"/>
                      <w:color w:val="auto"/>
                      <w:szCs w:val="21"/>
                      <w:lang w:val="en-US" w:eastAsia="zh-CN"/>
                    </w:rPr>
                    <w:t>15</w:t>
                  </w:r>
                </w:p>
              </w:tc>
              <w:tc>
                <w:tcPr>
                  <w:tcW w:w="873" w:type="pct"/>
                  <w:vAlign w:val="center"/>
                </w:tcPr>
                <w:p w14:paraId="4D098EB0">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39</w:t>
                  </w:r>
                  <w:r>
                    <w:rPr>
                      <w:rFonts w:hint="eastAsia"/>
                      <w:color w:val="auto"/>
                      <w:szCs w:val="21"/>
                    </w:rPr>
                    <w:t>.</w:t>
                  </w:r>
                  <w:r>
                    <w:rPr>
                      <w:rFonts w:hint="eastAsia"/>
                      <w:color w:val="auto"/>
                      <w:szCs w:val="21"/>
                      <w:lang w:val="en-US" w:eastAsia="zh-CN"/>
                    </w:rPr>
                    <w:t>15</w:t>
                  </w:r>
                </w:p>
              </w:tc>
              <w:tc>
                <w:tcPr>
                  <w:tcW w:w="1312" w:type="pct"/>
                  <w:vMerge w:val="continue"/>
                  <w:vAlign w:val="center"/>
                </w:tcPr>
                <w:p w14:paraId="30772791">
                  <w:pPr>
                    <w:keepNext w:val="0"/>
                    <w:keepLines w:val="0"/>
                    <w:widowControl/>
                    <w:suppressLineNumbers w:val="0"/>
                    <w:spacing w:before="0" w:beforeAutospacing="0" w:after="0" w:afterAutospacing="0"/>
                    <w:ind w:left="0" w:right="0"/>
                    <w:jc w:val="left"/>
                    <w:rPr>
                      <w:rFonts w:hint="default"/>
                      <w:color w:val="auto"/>
                      <w:szCs w:val="21"/>
                    </w:rPr>
                  </w:pPr>
                </w:p>
              </w:tc>
            </w:tr>
            <w:tr w14:paraId="2E8D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682" w:type="pct"/>
                  <w:vMerge w:val="restart"/>
                  <w:vAlign w:val="center"/>
                </w:tcPr>
                <w:p w14:paraId="17D4267D">
                  <w:pPr>
                    <w:keepNext w:val="0"/>
                    <w:keepLines w:val="0"/>
                    <w:suppressLineNumbers w:val="0"/>
                    <w:spacing w:before="0" w:beforeAutospacing="0" w:after="0" w:afterAutospacing="0" w:line="0" w:lineRule="atLeast"/>
                    <w:ind w:left="0" w:right="0"/>
                    <w:jc w:val="center"/>
                    <w:rPr>
                      <w:rFonts w:hint="default" w:eastAsia="宋体"/>
                      <w:color w:val="auto"/>
                      <w:lang w:val="en-US" w:eastAsia="zh-CN"/>
                    </w:rPr>
                  </w:pPr>
                  <w:r>
                    <w:rPr>
                      <w:rFonts w:hint="eastAsia" w:cs="Times New Roman"/>
                      <w:color w:val="auto"/>
                      <w:szCs w:val="21"/>
                      <w:lang w:val="en-US" w:eastAsia="zh-CN"/>
                    </w:rPr>
                    <w:t>红旗村</w:t>
                  </w:r>
                </w:p>
              </w:tc>
              <w:tc>
                <w:tcPr>
                  <w:tcW w:w="800" w:type="pct"/>
                  <w:vAlign w:val="center"/>
                </w:tcPr>
                <w:p w14:paraId="419BE147">
                  <w:pPr>
                    <w:keepNext w:val="0"/>
                    <w:keepLines w:val="0"/>
                    <w:suppressLineNumbers w:val="0"/>
                    <w:spacing w:before="0" w:beforeAutospacing="0" w:after="0" w:afterAutospacing="0" w:line="0" w:lineRule="atLeast"/>
                    <w:ind w:left="0" w:right="0"/>
                    <w:jc w:val="center"/>
                    <w:rPr>
                      <w:rFonts w:hint="default"/>
                      <w:color w:val="auto"/>
                      <w:highlight w:val="none"/>
                    </w:rPr>
                  </w:pPr>
                  <w:r>
                    <w:rPr>
                      <w:rFonts w:hint="default"/>
                      <w:color w:val="auto"/>
                      <w:highlight w:val="none"/>
                    </w:rPr>
                    <w:t>昼</w:t>
                  </w:r>
                </w:p>
              </w:tc>
              <w:tc>
                <w:tcPr>
                  <w:tcW w:w="691" w:type="pct"/>
                  <w:vAlign w:val="center"/>
                </w:tcPr>
                <w:p w14:paraId="43EDE1CE">
                  <w:pPr>
                    <w:keepNext w:val="0"/>
                    <w:keepLines w:val="0"/>
                    <w:suppressLineNumbers w:val="0"/>
                    <w:spacing w:before="0" w:beforeAutospacing="0" w:after="0" w:afterAutospacing="0"/>
                    <w:ind w:left="0" w:right="0"/>
                    <w:jc w:val="center"/>
                    <w:rPr>
                      <w:rFonts w:hint="default"/>
                      <w:color w:val="auto"/>
                      <w:szCs w:val="21"/>
                      <w:lang w:val="en-US" w:eastAsia="zh-CN"/>
                    </w:rPr>
                  </w:pPr>
                  <w:r>
                    <w:rPr>
                      <w:rFonts w:hint="eastAsia"/>
                      <w:color w:val="auto"/>
                      <w:szCs w:val="21"/>
                      <w:lang w:val="en-US" w:eastAsia="zh-CN"/>
                    </w:rPr>
                    <w:t>54</w:t>
                  </w:r>
                </w:p>
              </w:tc>
              <w:tc>
                <w:tcPr>
                  <w:tcW w:w="640" w:type="pct"/>
                  <w:vAlign w:val="center"/>
                </w:tcPr>
                <w:p w14:paraId="58F0819C">
                  <w:pPr>
                    <w:keepNext w:val="0"/>
                    <w:keepLines w:val="0"/>
                    <w:suppressLineNumbers w:val="0"/>
                    <w:spacing w:before="0" w:beforeAutospacing="0" w:after="0" w:afterAutospacing="0"/>
                    <w:ind w:left="0" w:right="0"/>
                    <w:jc w:val="center"/>
                    <w:rPr>
                      <w:rFonts w:hint="default"/>
                      <w:color w:val="auto"/>
                      <w:szCs w:val="21"/>
                      <w:lang w:val="en-US" w:eastAsia="zh-CN"/>
                    </w:rPr>
                  </w:pPr>
                  <w:r>
                    <w:rPr>
                      <w:rFonts w:hint="eastAsia"/>
                      <w:color w:val="auto"/>
                      <w:szCs w:val="21"/>
                      <w:lang w:val="en-US" w:eastAsia="zh-CN"/>
                    </w:rPr>
                    <w:t>32.01</w:t>
                  </w:r>
                </w:p>
              </w:tc>
              <w:tc>
                <w:tcPr>
                  <w:tcW w:w="873" w:type="pct"/>
                  <w:vAlign w:val="center"/>
                </w:tcPr>
                <w:p w14:paraId="795B3A3E">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54.1</w:t>
                  </w:r>
                </w:p>
              </w:tc>
              <w:tc>
                <w:tcPr>
                  <w:tcW w:w="1312" w:type="pct"/>
                  <w:vMerge w:val="restart"/>
                  <w:vAlign w:val="center"/>
                </w:tcPr>
                <w:p w14:paraId="6074F68C">
                  <w:pPr>
                    <w:keepNext w:val="0"/>
                    <w:keepLines w:val="0"/>
                    <w:widowControl/>
                    <w:suppressLineNumbers w:val="0"/>
                    <w:spacing w:before="0" w:beforeAutospacing="0" w:after="0" w:afterAutospacing="0"/>
                    <w:ind w:left="0" w:right="0"/>
                    <w:jc w:val="left"/>
                    <w:rPr>
                      <w:rFonts w:hint="default"/>
                      <w:color w:val="auto"/>
                      <w:szCs w:val="21"/>
                    </w:rPr>
                  </w:pPr>
                  <w:r>
                    <w:rPr>
                      <w:rFonts w:hint="eastAsia"/>
                      <w:color w:val="auto"/>
                      <w:sz w:val="21"/>
                      <w:szCs w:val="21"/>
                      <w:highlight w:val="none"/>
                      <w:lang w:eastAsia="zh-CN"/>
                    </w:rPr>
                    <w:t>《声环境质量标准》（</w:t>
                  </w:r>
                  <w:r>
                    <w:rPr>
                      <w:rFonts w:hint="eastAsia"/>
                      <w:color w:val="auto"/>
                      <w:sz w:val="21"/>
                      <w:szCs w:val="21"/>
                      <w:highlight w:val="none"/>
                      <w:lang w:val="en-US" w:eastAsia="zh-CN"/>
                    </w:rPr>
                    <w:t>GB3096-2008</w:t>
                  </w:r>
                  <w:r>
                    <w:rPr>
                      <w:rFonts w:hint="eastAsia"/>
                      <w:color w:val="auto"/>
                      <w:sz w:val="21"/>
                      <w:szCs w:val="21"/>
                      <w:highlight w:val="none"/>
                      <w:lang w:eastAsia="zh-CN"/>
                    </w:rPr>
                    <w:t>）</w:t>
                  </w:r>
                  <w:r>
                    <w:rPr>
                      <w:rFonts w:hint="eastAsia"/>
                      <w:color w:val="auto"/>
                      <w:sz w:val="21"/>
                      <w:szCs w:val="21"/>
                      <w:highlight w:val="none"/>
                      <w:lang w:val="en-US" w:eastAsia="zh-CN"/>
                    </w:rPr>
                    <w:t>2类区标准要求</w:t>
                  </w:r>
                </w:p>
              </w:tc>
            </w:tr>
            <w:tr w14:paraId="5027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682" w:type="pct"/>
                  <w:vMerge w:val="continue"/>
                  <w:vAlign w:val="center"/>
                </w:tcPr>
                <w:p w14:paraId="4C91A015">
                  <w:pPr>
                    <w:keepNext w:val="0"/>
                    <w:keepLines w:val="0"/>
                    <w:suppressLineNumbers w:val="0"/>
                    <w:spacing w:before="0" w:beforeAutospacing="0" w:after="0" w:afterAutospacing="0" w:line="0" w:lineRule="atLeast"/>
                    <w:ind w:left="0" w:right="0"/>
                    <w:jc w:val="center"/>
                    <w:rPr>
                      <w:rFonts w:hint="default"/>
                      <w:color w:val="auto"/>
                    </w:rPr>
                  </w:pPr>
                </w:p>
              </w:tc>
              <w:tc>
                <w:tcPr>
                  <w:tcW w:w="800" w:type="pct"/>
                  <w:vAlign w:val="center"/>
                </w:tcPr>
                <w:p w14:paraId="0A303E27">
                  <w:pPr>
                    <w:keepNext w:val="0"/>
                    <w:keepLines w:val="0"/>
                    <w:suppressLineNumbers w:val="0"/>
                    <w:spacing w:before="0" w:beforeAutospacing="0" w:after="0" w:afterAutospacing="0" w:line="0" w:lineRule="atLeast"/>
                    <w:ind w:left="0" w:right="0"/>
                    <w:jc w:val="center"/>
                    <w:rPr>
                      <w:rFonts w:hint="default"/>
                      <w:color w:val="auto"/>
                      <w:highlight w:val="none"/>
                    </w:rPr>
                  </w:pPr>
                  <w:r>
                    <w:rPr>
                      <w:rFonts w:hint="default"/>
                      <w:color w:val="auto"/>
                      <w:highlight w:val="none"/>
                    </w:rPr>
                    <w:t>夜</w:t>
                  </w:r>
                </w:p>
              </w:tc>
              <w:tc>
                <w:tcPr>
                  <w:tcW w:w="691" w:type="pct"/>
                  <w:vAlign w:val="center"/>
                </w:tcPr>
                <w:p w14:paraId="7E1F9094">
                  <w:pPr>
                    <w:keepNext w:val="0"/>
                    <w:keepLines w:val="0"/>
                    <w:suppressLineNumbers w:val="0"/>
                    <w:spacing w:before="0" w:beforeAutospacing="0" w:after="0" w:afterAutospacing="0"/>
                    <w:ind w:left="0" w:right="0"/>
                    <w:jc w:val="center"/>
                    <w:rPr>
                      <w:rFonts w:hint="default"/>
                      <w:color w:val="auto"/>
                      <w:szCs w:val="21"/>
                      <w:lang w:val="en-US" w:eastAsia="zh-CN"/>
                    </w:rPr>
                  </w:pPr>
                  <w:r>
                    <w:rPr>
                      <w:rFonts w:hint="eastAsia"/>
                      <w:color w:val="auto"/>
                      <w:szCs w:val="21"/>
                      <w:lang w:val="en-US" w:eastAsia="zh-CN"/>
                    </w:rPr>
                    <w:t>44</w:t>
                  </w:r>
                </w:p>
              </w:tc>
              <w:tc>
                <w:tcPr>
                  <w:tcW w:w="640" w:type="pct"/>
                  <w:vAlign w:val="center"/>
                </w:tcPr>
                <w:p w14:paraId="51EBE6FB">
                  <w:pPr>
                    <w:keepNext w:val="0"/>
                    <w:keepLines w:val="0"/>
                    <w:suppressLineNumbers w:val="0"/>
                    <w:spacing w:before="0" w:beforeAutospacing="0" w:after="0" w:afterAutospacing="0"/>
                    <w:ind w:left="0" w:right="0"/>
                    <w:jc w:val="center"/>
                    <w:rPr>
                      <w:rFonts w:hint="eastAsia"/>
                      <w:color w:val="auto"/>
                      <w:szCs w:val="21"/>
                    </w:rPr>
                  </w:pPr>
                  <w:r>
                    <w:rPr>
                      <w:rFonts w:hint="eastAsia"/>
                      <w:color w:val="auto"/>
                      <w:szCs w:val="21"/>
                      <w:lang w:val="en-US" w:eastAsia="zh-CN"/>
                    </w:rPr>
                    <w:t>32.01</w:t>
                  </w:r>
                </w:p>
              </w:tc>
              <w:tc>
                <w:tcPr>
                  <w:tcW w:w="873" w:type="pct"/>
                  <w:vAlign w:val="center"/>
                </w:tcPr>
                <w:p w14:paraId="30638010">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eastAsia"/>
                      <w:color w:val="auto"/>
                      <w:szCs w:val="21"/>
                      <w:lang w:val="en-US" w:eastAsia="zh-CN"/>
                    </w:rPr>
                    <w:t>32.1</w:t>
                  </w:r>
                </w:p>
              </w:tc>
              <w:tc>
                <w:tcPr>
                  <w:tcW w:w="1312" w:type="pct"/>
                  <w:vMerge w:val="continue"/>
                  <w:vAlign w:val="center"/>
                </w:tcPr>
                <w:p w14:paraId="2FB77D26">
                  <w:pPr>
                    <w:keepNext w:val="0"/>
                    <w:keepLines w:val="0"/>
                    <w:widowControl/>
                    <w:suppressLineNumbers w:val="0"/>
                    <w:spacing w:before="0" w:beforeAutospacing="0" w:after="0" w:afterAutospacing="0"/>
                    <w:ind w:left="0" w:right="0"/>
                    <w:jc w:val="left"/>
                    <w:rPr>
                      <w:rFonts w:hint="default"/>
                      <w:color w:val="auto"/>
                      <w:szCs w:val="21"/>
                    </w:rPr>
                  </w:pPr>
                </w:p>
              </w:tc>
            </w:tr>
          </w:tbl>
          <w:p w14:paraId="5311A54F">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rPr>
            </w:pPr>
            <w:r>
              <w:rPr>
                <w:rFonts w:hint="eastAsia" w:eastAsiaTheme="majorEastAsia"/>
                <w:color w:val="auto"/>
                <w:kern w:val="0"/>
                <w:highlight w:val="none"/>
              </w:rPr>
              <w:t>本项目主要噪声防治措施为：使用低噪音设备，基础减震，合理布局设备安装位置，加强设备日常维护等措施。</w:t>
            </w:r>
          </w:p>
          <w:p w14:paraId="0DB8A1F6">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rPr>
            </w:pPr>
            <w:r>
              <w:rPr>
                <w:rFonts w:hint="eastAsia" w:eastAsiaTheme="majorEastAsia"/>
                <w:color w:val="auto"/>
                <w:kern w:val="0"/>
                <w:highlight w:val="none"/>
                <w:lang w:eastAsia="zh-CN"/>
              </w:rPr>
              <w:t>本项目西侧存在声环境敏感点，</w:t>
            </w:r>
            <w:r>
              <w:rPr>
                <w:rFonts w:hint="eastAsia" w:eastAsiaTheme="majorEastAsia"/>
                <w:color w:val="auto"/>
                <w:kern w:val="0"/>
                <w:highlight w:val="none"/>
              </w:rPr>
              <w:t>为了进一步减少项目噪声对周围环境的影响，本环评建议以下几点：</w:t>
            </w:r>
          </w:p>
          <w:p w14:paraId="4C4D41E3">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rPr>
            </w:pPr>
            <w:r>
              <w:rPr>
                <w:rFonts w:hint="eastAsia" w:eastAsiaTheme="majorEastAsia"/>
                <w:color w:val="auto"/>
                <w:kern w:val="0"/>
                <w:highlight w:val="none"/>
              </w:rPr>
              <w:t>①加强管理，提高职工的环保意识教育，提倡文明生产，降低人为噪声，夜间</w:t>
            </w:r>
            <w:r>
              <w:rPr>
                <w:rFonts w:hint="eastAsia" w:eastAsiaTheme="majorEastAsia"/>
                <w:color w:val="auto"/>
                <w:kern w:val="0"/>
                <w:highlight w:val="none"/>
                <w:lang w:eastAsia="zh-CN"/>
              </w:rPr>
              <w:t>不进行</w:t>
            </w:r>
            <w:r>
              <w:rPr>
                <w:rFonts w:hint="eastAsia" w:eastAsiaTheme="majorEastAsia"/>
                <w:color w:val="auto"/>
                <w:kern w:val="0"/>
                <w:highlight w:val="none"/>
              </w:rPr>
              <w:t>生产活动；</w:t>
            </w:r>
          </w:p>
          <w:p w14:paraId="0FB6C635">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rPr>
            </w:pPr>
            <w:r>
              <w:rPr>
                <w:rFonts w:hint="eastAsia" w:eastAsiaTheme="majorEastAsia"/>
                <w:color w:val="auto"/>
                <w:kern w:val="0"/>
                <w:highlight w:val="none"/>
              </w:rPr>
              <w:t>②建立设备定期维护、保养的管理制度，以防止设备故障时非正常生产噪声；适当种植树木，利用绿植进行隔音减噪。</w:t>
            </w:r>
          </w:p>
          <w:p w14:paraId="6C76201D">
            <w:pPr>
              <w:pStyle w:val="88"/>
              <w:keepNext w:val="0"/>
              <w:keepLines w:val="0"/>
              <w:suppressLineNumbers w:val="0"/>
              <w:spacing w:beforeLines="0" w:beforeAutospacing="0" w:afterLines="0" w:afterAutospacing="0" w:line="360" w:lineRule="auto"/>
              <w:ind w:left="0" w:right="0" w:firstLine="480"/>
              <w:contextualSpacing/>
              <w:rPr>
                <w:rFonts w:hint="eastAsia" w:eastAsiaTheme="majorEastAsia"/>
                <w:color w:val="auto"/>
                <w:kern w:val="0"/>
                <w:highlight w:val="none"/>
                <w:lang w:eastAsia="zh-CN"/>
              </w:rPr>
            </w:pPr>
            <w:r>
              <w:rPr>
                <w:rFonts w:hint="eastAsia" w:eastAsiaTheme="majorEastAsia"/>
                <w:color w:val="auto"/>
                <w:kern w:val="0"/>
                <w:highlight w:val="none"/>
              </w:rPr>
              <w:t>③</w:t>
            </w:r>
            <w:r>
              <w:rPr>
                <w:rFonts w:hint="eastAsia" w:eastAsiaTheme="majorEastAsia"/>
                <w:color w:val="auto"/>
                <w:kern w:val="0"/>
                <w:highlight w:val="none"/>
                <w:lang w:eastAsia="zh-CN"/>
              </w:rPr>
              <w:t>优化总平面布置，根据现场平面布置图，本项目临近红旗一侧为办公用房，主要产噪设备布置与厂区中部及东部，远离敏感目标。</w:t>
            </w:r>
          </w:p>
          <w:p w14:paraId="2264BF06">
            <w:pPr>
              <w:pStyle w:val="88"/>
              <w:keepNext w:val="0"/>
              <w:keepLines w:val="0"/>
              <w:suppressLineNumbers w:val="0"/>
              <w:spacing w:beforeLines="0" w:beforeAutospacing="0" w:afterLines="0" w:afterAutospacing="0" w:line="360" w:lineRule="auto"/>
              <w:ind w:left="0" w:right="0" w:firstLine="480"/>
              <w:contextualSpacing/>
              <w:rPr>
                <w:rFonts w:hint="eastAsia"/>
                <w:color w:val="auto"/>
                <w:sz w:val="24"/>
                <w:highlight w:val="none"/>
                <w:lang w:val="en-US" w:eastAsia="zh-CN"/>
              </w:rPr>
            </w:pPr>
            <w:r>
              <w:rPr>
                <w:rFonts w:hint="eastAsia" w:eastAsiaTheme="majorEastAsia"/>
                <w:color w:val="auto"/>
                <w:kern w:val="0"/>
                <w:highlight w:val="none"/>
                <w:lang w:eastAsia="zh-CN"/>
              </w:rPr>
              <w:t>采取以上措施后，</w:t>
            </w:r>
            <w:r>
              <w:rPr>
                <w:rFonts w:hint="eastAsia" w:eastAsiaTheme="majorEastAsia"/>
                <w:color w:val="auto"/>
                <w:kern w:val="0"/>
                <w:highlight w:val="none"/>
              </w:rPr>
              <w:t>厂界噪声</w:t>
            </w:r>
            <w:r>
              <w:rPr>
                <w:rFonts w:hint="eastAsia" w:eastAsiaTheme="majorEastAsia"/>
                <w:color w:val="auto"/>
                <w:kern w:val="0"/>
                <w:highlight w:val="none"/>
                <w:lang w:eastAsia="zh-CN"/>
              </w:rPr>
              <w:t>可以</w:t>
            </w:r>
            <w:r>
              <w:rPr>
                <w:rFonts w:hint="eastAsia" w:eastAsiaTheme="majorEastAsia"/>
                <w:color w:val="auto"/>
                <w:kern w:val="0"/>
                <w:highlight w:val="none"/>
              </w:rPr>
              <w:t>满足《工业企业厂界环境噪声排放标准》(GB12348-2008)中</w:t>
            </w:r>
            <w:r>
              <w:rPr>
                <w:rFonts w:hint="eastAsia" w:eastAsiaTheme="majorEastAsia"/>
                <w:color w:val="auto"/>
                <w:kern w:val="0"/>
                <w:highlight w:val="none"/>
                <w:lang w:val="en-US" w:eastAsia="zh-CN"/>
              </w:rPr>
              <w:t>2</w:t>
            </w:r>
            <w:r>
              <w:rPr>
                <w:rFonts w:hint="eastAsia" w:eastAsiaTheme="majorEastAsia"/>
                <w:color w:val="auto"/>
                <w:kern w:val="0"/>
                <w:highlight w:val="none"/>
              </w:rPr>
              <w:t>类标准要求</w:t>
            </w:r>
            <w:r>
              <w:rPr>
                <w:rFonts w:hint="eastAsia" w:eastAsiaTheme="majorEastAsia"/>
                <w:color w:val="auto"/>
                <w:kern w:val="0"/>
                <w:highlight w:val="none"/>
                <w:lang w:eastAsia="zh-CN"/>
              </w:rPr>
              <w:t>，敏感点红旗村可以满足</w:t>
            </w:r>
            <w:r>
              <w:rPr>
                <w:rFonts w:hint="eastAsia"/>
                <w:color w:val="auto"/>
                <w:sz w:val="24"/>
                <w:highlight w:val="none"/>
                <w:lang w:eastAsia="zh-CN"/>
              </w:rPr>
              <w:t>《声环境质量标准》（</w:t>
            </w:r>
            <w:r>
              <w:rPr>
                <w:rFonts w:hint="eastAsia"/>
                <w:color w:val="auto"/>
                <w:sz w:val="24"/>
                <w:highlight w:val="none"/>
                <w:lang w:val="en-US" w:eastAsia="zh-CN"/>
              </w:rPr>
              <w:t>GB3096-2008</w:t>
            </w:r>
            <w:r>
              <w:rPr>
                <w:rFonts w:hint="eastAsia"/>
                <w:color w:val="auto"/>
                <w:sz w:val="24"/>
                <w:highlight w:val="none"/>
                <w:lang w:eastAsia="zh-CN"/>
              </w:rPr>
              <w:t>）</w:t>
            </w:r>
            <w:r>
              <w:rPr>
                <w:rFonts w:hint="eastAsia"/>
                <w:color w:val="auto"/>
                <w:sz w:val="24"/>
                <w:highlight w:val="none"/>
                <w:lang w:val="en-US" w:eastAsia="zh-CN"/>
              </w:rPr>
              <w:t>2类区标准要求。</w:t>
            </w:r>
          </w:p>
          <w:p w14:paraId="0B22DB42">
            <w:pPr>
              <w:keepNext w:val="0"/>
              <w:keepLines w:val="0"/>
              <w:suppressLineNumbers w:val="0"/>
              <w:spacing w:before="0" w:beforeAutospacing="0" w:after="0" w:afterAutospacing="0" w:line="360" w:lineRule="auto"/>
              <w:ind w:left="0" w:right="0" w:firstLine="480" w:firstLineChars="200"/>
              <w:contextualSpacing/>
              <w:rPr>
                <w:rFonts w:hint="default"/>
                <w:b/>
                <w:bCs/>
                <w:color w:val="auto"/>
                <w:sz w:val="24"/>
                <w:highlight w:val="none"/>
              </w:rPr>
            </w:pPr>
            <w:r>
              <w:rPr>
                <w:rFonts w:hint="eastAsia"/>
                <w:b/>
                <w:bCs/>
                <w:color w:val="auto"/>
                <w:sz w:val="24"/>
                <w:highlight w:val="none"/>
              </w:rPr>
              <w:t>2、监测计划</w:t>
            </w:r>
          </w:p>
          <w:p w14:paraId="62536C7F">
            <w:pPr>
              <w:keepNext w:val="0"/>
              <w:keepLines w:val="0"/>
              <w:suppressLineNumbers w:val="0"/>
              <w:spacing w:before="0" w:beforeAutospacing="0" w:after="0" w:afterAutospacing="0" w:line="360" w:lineRule="auto"/>
              <w:ind w:left="0" w:right="0" w:firstLine="480" w:firstLineChars="200"/>
              <w:contextualSpacing/>
              <w:rPr>
                <w:rFonts w:hint="eastAsia" w:eastAsia="宋体"/>
                <w:color w:val="auto"/>
                <w:sz w:val="24"/>
                <w:highlight w:val="none"/>
                <w:lang w:eastAsia="zh-CN"/>
              </w:rPr>
            </w:pPr>
            <w:r>
              <w:rPr>
                <w:rFonts w:hint="default" w:hAnsi="宋体"/>
                <w:color w:val="auto"/>
                <w:sz w:val="24"/>
                <w:highlight w:val="none"/>
              </w:rPr>
              <w:t>根据《排污单位自行监测技术指南总则》（</w:t>
            </w:r>
            <w:r>
              <w:rPr>
                <w:rFonts w:hint="default"/>
                <w:color w:val="auto"/>
                <w:sz w:val="24"/>
                <w:highlight w:val="none"/>
              </w:rPr>
              <w:t>H</w:t>
            </w:r>
            <w:r>
              <w:rPr>
                <w:rFonts w:hint="eastAsia"/>
                <w:color w:val="auto"/>
                <w:sz w:val="24"/>
                <w:highlight w:val="none"/>
              </w:rPr>
              <w:t>J</w:t>
            </w:r>
            <w:r>
              <w:rPr>
                <w:rFonts w:hint="default"/>
                <w:color w:val="auto"/>
                <w:sz w:val="24"/>
                <w:highlight w:val="none"/>
              </w:rPr>
              <w:t>819-2017</w:t>
            </w:r>
            <w:r>
              <w:rPr>
                <w:rFonts w:hint="default" w:hAnsi="宋体"/>
                <w:color w:val="auto"/>
                <w:sz w:val="24"/>
                <w:highlight w:val="none"/>
              </w:rPr>
              <w:t>），制定本项目噪声监测计划如下</w:t>
            </w:r>
            <w:r>
              <w:rPr>
                <w:rFonts w:hint="eastAsia" w:hAnsi="宋体"/>
                <w:color w:val="auto"/>
                <w:sz w:val="24"/>
                <w:highlight w:val="none"/>
                <w:lang w:eastAsia="zh-CN"/>
              </w:rPr>
              <w:t>：</w:t>
            </w:r>
          </w:p>
          <w:p w14:paraId="26FE8D9E">
            <w:pPr>
              <w:keepNext w:val="0"/>
              <w:keepLines w:val="0"/>
              <w:suppressLineNumbers w:val="0"/>
              <w:spacing w:before="0" w:beforeAutospacing="0" w:after="0" w:afterAutospacing="0" w:line="240" w:lineRule="auto"/>
              <w:ind w:left="0" w:right="0"/>
              <w:contextualSpacing/>
              <w:jc w:val="center"/>
              <w:rPr>
                <w:rFonts w:hint="default"/>
                <w:b/>
                <w:color w:val="auto"/>
                <w:sz w:val="24"/>
                <w:highlight w:val="none"/>
              </w:rPr>
            </w:pPr>
            <w:r>
              <w:rPr>
                <w:rFonts w:hint="default" w:hAnsi="宋体"/>
                <w:b/>
                <w:color w:val="auto"/>
                <w:sz w:val="24"/>
                <w:highlight w:val="none"/>
              </w:rPr>
              <w:t>表</w:t>
            </w:r>
            <w:r>
              <w:rPr>
                <w:rFonts w:hint="default"/>
                <w:b/>
                <w:color w:val="auto"/>
                <w:sz w:val="24"/>
                <w:highlight w:val="none"/>
              </w:rPr>
              <w:t>4</w:t>
            </w:r>
            <w:r>
              <w:rPr>
                <w:rFonts w:hint="eastAsia"/>
                <w:b/>
                <w:color w:val="auto"/>
                <w:sz w:val="24"/>
                <w:highlight w:val="none"/>
              </w:rPr>
              <w:t>-</w:t>
            </w:r>
            <w:r>
              <w:rPr>
                <w:rFonts w:hint="eastAsia"/>
                <w:b/>
                <w:color w:val="auto"/>
                <w:sz w:val="24"/>
                <w:highlight w:val="none"/>
                <w:lang w:val="en-US" w:eastAsia="zh-CN"/>
              </w:rPr>
              <w:t>9</w:t>
            </w:r>
            <w:r>
              <w:rPr>
                <w:rFonts w:hint="default" w:hAnsi="宋体"/>
                <w:b/>
                <w:color w:val="auto"/>
                <w:sz w:val="24"/>
                <w:highlight w:val="none"/>
              </w:rPr>
              <w:t>项目噪声监测计划表</w:t>
            </w:r>
          </w:p>
          <w:tbl>
            <w:tblPr>
              <w:tblStyle w:val="36"/>
              <w:tblW w:w="881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1701"/>
              <w:gridCol w:w="2410"/>
              <w:gridCol w:w="3078"/>
            </w:tblGrid>
            <w:tr w14:paraId="7CABC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28" w:type="dxa"/>
                  <w:vAlign w:val="center"/>
                </w:tcPr>
                <w:p w14:paraId="6C05A6B4">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类别</w:t>
                  </w:r>
                </w:p>
              </w:tc>
              <w:tc>
                <w:tcPr>
                  <w:tcW w:w="1701" w:type="dxa"/>
                  <w:vAlign w:val="center"/>
                </w:tcPr>
                <w:p w14:paraId="5ACB5B8D">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监测点位</w:t>
                  </w:r>
                </w:p>
              </w:tc>
              <w:tc>
                <w:tcPr>
                  <w:tcW w:w="2410" w:type="dxa"/>
                  <w:vAlign w:val="center"/>
                </w:tcPr>
                <w:p w14:paraId="02A0168D">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监测项目</w:t>
                  </w:r>
                </w:p>
              </w:tc>
              <w:tc>
                <w:tcPr>
                  <w:tcW w:w="3078" w:type="dxa"/>
                  <w:vAlign w:val="center"/>
                </w:tcPr>
                <w:p w14:paraId="467DDF45">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监测频次</w:t>
                  </w:r>
                </w:p>
              </w:tc>
            </w:tr>
            <w:tr w14:paraId="33DF0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28" w:type="dxa"/>
                  <w:vAlign w:val="center"/>
                </w:tcPr>
                <w:p w14:paraId="159E465E">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厂界噪声</w:t>
                  </w:r>
                </w:p>
              </w:tc>
              <w:tc>
                <w:tcPr>
                  <w:tcW w:w="1701" w:type="dxa"/>
                  <w:vAlign w:val="center"/>
                </w:tcPr>
                <w:p w14:paraId="4A50DF8E">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厂界四周</w:t>
                  </w:r>
                </w:p>
              </w:tc>
              <w:tc>
                <w:tcPr>
                  <w:tcW w:w="2410" w:type="dxa"/>
                  <w:vAlign w:val="center"/>
                </w:tcPr>
                <w:p w14:paraId="1C7BEF55">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等效连续A声级</w:t>
                  </w:r>
                </w:p>
              </w:tc>
              <w:tc>
                <w:tcPr>
                  <w:tcW w:w="3078" w:type="dxa"/>
                  <w:vAlign w:val="center"/>
                </w:tcPr>
                <w:p w14:paraId="26A9439B">
                  <w:pPr>
                    <w:keepNext w:val="0"/>
                    <w:keepLines w:val="0"/>
                    <w:suppressLineNumbers w:val="0"/>
                    <w:spacing w:before="0" w:beforeAutospacing="0" w:after="0" w:afterAutospacing="0"/>
                    <w:ind w:left="0" w:right="0"/>
                    <w:contextualSpacing/>
                    <w:jc w:val="center"/>
                    <w:rPr>
                      <w:rFonts w:hint="default" w:hAnsi="宋体"/>
                      <w:color w:val="auto"/>
                      <w:kern w:val="0"/>
                      <w:szCs w:val="21"/>
                      <w:highlight w:val="none"/>
                    </w:rPr>
                  </w:pPr>
                  <w:r>
                    <w:rPr>
                      <w:rFonts w:hint="eastAsia" w:hAnsi="宋体"/>
                      <w:color w:val="auto"/>
                      <w:kern w:val="0"/>
                      <w:szCs w:val="21"/>
                      <w:highlight w:val="none"/>
                    </w:rPr>
                    <w:t>1次/季度</w:t>
                  </w:r>
                </w:p>
              </w:tc>
            </w:tr>
          </w:tbl>
          <w:p w14:paraId="1913A6EB">
            <w:pPr>
              <w:keepNext w:val="0"/>
              <w:keepLines w:val="0"/>
              <w:suppressLineNumbers w:val="0"/>
              <w:spacing w:before="0" w:beforeAutospacing="0" w:after="0" w:afterAutospacing="0" w:line="500" w:lineRule="exact"/>
              <w:ind w:left="0" w:right="0" w:firstLine="480" w:firstLineChars="200"/>
              <w:jc w:val="left"/>
              <w:rPr>
                <w:rFonts w:hint="default" w:eastAsia="宋体"/>
                <w:color w:val="auto"/>
                <w:sz w:val="24"/>
                <w:szCs w:val="24"/>
                <w:lang w:val="en-US" w:eastAsia="zh-CN"/>
              </w:rPr>
            </w:pPr>
            <w:r>
              <w:rPr>
                <w:rFonts w:hint="eastAsia"/>
                <w:color w:val="auto"/>
                <w:sz w:val="24"/>
                <w:szCs w:val="24"/>
                <w:lang w:val="en-US" w:eastAsia="zh-CN"/>
              </w:rPr>
              <w:t>四、固体废物</w:t>
            </w:r>
          </w:p>
          <w:p w14:paraId="77876AFE">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本项目营运期产生的固废包括一般固废和危险废物。</w:t>
            </w:r>
          </w:p>
          <w:p w14:paraId="10C318E5">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（1）一般固废：主要为废石料、除尘器收集的粉尘、职工生活垃圾。</w:t>
            </w:r>
          </w:p>
          <w:p w14:paraId="23DADF26">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①石料</w:t>
            </w:r>
          </w:p>
          <w:p w14:paraId="714E959E">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石料经干燥后进入振动筛筛选，筛选出粒度不合格（过大）的废石料。废石料产生量与供应商供应的石料质量有关，根据类比调查，振动筛筛选出来的废石料产生量约为</w:t>
            </w:r>
            <w:r>
              <w:rPr>
                <w:rFonts w:hint="eastAsia"/>
                <w:color w:val="auto"/>
                <w:sz w:val="24"/>
                <w:highlight w:val="none"/>
                <w:lang w:val="en-US" w:eastAsia="zh-CN"/>
              </w:rPr>
              <w:t>40</w:t>
            </w:r>
            <w:r>
              <w:rPr>
                <w:rFonts w:hint="default"/>
                <w:color w:val="auto"/>
                <w:sz w:val="24"/>
                <w:highlight w:val="none"/>
              </w:rPr>
              <w:t>t/a。废石料集中收集，由石料供应企业回收。</w:t>
            </w:r>
          </w:p>
          <w:p w14:paraId="3C6F3182">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②除尘器收集的粉尘</w:t>
            </w:r>
          </w:p>
          <w:p w14:paraId="092FAE34">
            <w:pPr>
              <w:keepNext w:val="0"/>
              <w:keepLines w:val="0"/>
              <w:suppressLineNumbers w:val="0"/>
              <w:spacing w:before="0" w:beforeAutospacing="0" w:after="0" w:afterAutospacing="0" w:line="500" w:lineRule="exact"/>
              <w:ind w:left="0" w:right="0" w:firstLine="480" w:firstLineChars="200"/>
              <w:jc w:val="left"/>
              <w:rPr>
                <w:rFonts w:hint="default" w:eastAsia="宋体"/>
                <w:color w:val="auto"/>
                <w:sz w:val="28"/>
                <w:szCs w:val="28"/>
              </w:rPr>
            </w:pPr>
            <w:r>
              <w:rPr>
                <w:rFonts w:hint="default"/>
                <w:color w:val="auto"/>
                <w:sz w:val="24"/>
                <w:highlight w:val="none"/>
              </w:rPr>
              <w:t>本项目布袋除尘器收尘约为</w:t>
            </w:r>
            <w:r>
              <w:rPr>
                <w:rFonts w:hint="eastAsia"/>
                <w:color w:val="auto"/>
                <w:sz w:val="24"/>
                <w:highlight w:val="none"/>
                <w:lang w:val="en-US" w:eastAsia="zh-CN"/>
              </w:rPr>
              <w:t>2.18</w:t>
            </w:r>
            <w:r>
              <w:rPr>
                <w:rFonts w:hint="default"/>
                <w:color w:val="auto"/>
                <w:sz w:val="24"/>
                <w:highlight w:val="none"/>
              </w:rPr>
              <w:t>t/a，除尘器收集的粉尘</w:t>
            </w:r>
            <w:r>
              <w:rPr>
                <w:rFonts w:hint="eastAsia"/>
                <w:color w:val="auto"/>
                <w:sz w:val="24"/>
                <w:highlight w:val="none"/>
              </w:rPr>
              <w:t>回收作为原料重新进入生产工序</w:t>
            </w:r>
            <w:r>
              <w:rPr>
                <w:rFonts w:hint="default"/>
                <w:color w:val="auto"/>
                <w:sz w:val="24"/>
                <w:highlight w:val="none"/>
              </w:rPr>
              <w:t>。</w:t>
            </w:r>
          </w:p>
          <w:p w14:paraId="3427B893">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（2）危险废物</w:t>
            </w:r>
            <w:r>
              <w:rPr>
                <w:rFonts w:hint="eastAsia"/>
                <w:color w:val="auto"/>
                <w:sz w:val="24"/>
                <w:highlight w:val="none"/>
              </w:rPr>
              <w:t>：</w:t>
            </w:r>
          </w:p>
          <w:p w14:paraId="563EBE70">
            <w:pPr>
              <w:keepNext w:val="0"/>
              <w:keepLines w:val="0"/>
              <w:suppressLineNumbers w:val="0"/>
              <w:spacing w:before="0" w:beforeAutospacing="0" w:after="0" w:afterAutospacing="0" w:line="500" w:lineRule="exact"/>
              <w:ind w:left="0" w:right="0" w:firstLine="448" w:firstLineChars="200"/>
              <w:jc w:val="left"/>
              <w:rPr>
                <w:rFonts w:hint="default"/>
                <w:color w:val="auto"/>
                <w:sz w:val="24"/>
                <w:highlight w:val="none"/>
              </w:rPr>
            </w:pPr>
            <w:r>
              <w:rPr>
                <w:rFonts w:hint="eastAsia" w:ascii="宋体" w:hAnsi="宋体" w:eastAsia="宋体" w:cs="宋体"/>
                <w:color w:val="auto"/>
                <w:spacing w:val="-8"/>
                <w:sz w:val="24"/>
                <w:szCs w:val="24"/>
                <w:lang w:eastAsia="zh-CN"/>
              </w:rPr>
              <w:t>废活性炭：</w:t>
            </w:r>
            <w:r>
              <w:rPr>
                <w:rFonts w:hint="default" w:ascii="宋体" w:hAnsi="宋体" w:eastAsia="宋体" w:cs="宋体"/>
                <w:color w:val="auto"/>
                <w:spacing w:val="-8"/>
                <w:sz w:val="24"/>
                <w:szCs w:val="24"/>
              </w:rPr>
              <w:t>本项目净化沥</w:t>
            </w:r>
            <w:r>
              <w:rPr>
                <w:rFonts w:hint="default" w:ascii="宋体" w:hAnsi="宋体" w:eastAsia="宋体" w:cs="宋体"/>
                <w:color w:val="auto"/>
                <w:spacing w:val="-6"/>
                <w:sz w:val="24"/>
                <w:szCs w:val="24"/>
              </w:rPr>
              <w:t>青</w:t>
            </w:r>
            <w:r>
              <w:rPr>
                <w:rFonts w:hint="default" w:ascii="宋体" w:hAnsi="宋体" w:eastAsia="宋体" w:cs="宋体"/>
                <w:color w:val="auto"/>
                <w:spacing w:val="-4"/>
                <w:sz w:val="24"/>
                <w:szCs w:val="24"/>
              </w:rPr>
              <w:t>烟气</w:t>
            </w:r>
            <w:r>
              <w:rPr>
                <w:rFonts w:hint="eastAsia" w:ascii="宋体" w:hAnsi="宋体" w:eastAsia="宋体" w:cs="宋体"/>
                <w:color w:val="auto"/>
                <w:spacing w:val="-4"/>
                <w:sz w:val="24"/>
                <w:szCs w:val="24"/>
                <w:lang w:eastAsia="zh-CN"/>
              </w:rPr>
              <w:t>产生废</w:t>
            </w:r>
            <w:r>
              <w:rPr>
                <w:rFonts w:hint="default" w:ascii="宋体" w:hAnsi="宋体" w:eastAsia="宋体" w:cs="宋体"/>
                <w:color w:val="auto"/>
                <w:spacing w:val="-4"/>
                <w:sz w:val="24"/>
                <w:szCs w:val="24"/>
              </w:rPr>
              <w:t>活性炭</w:t>
            </w:r>
            <w:r>
              <w:rPr>
                <w:rFonts w:hint="eastAsia" w:ascii="宋体" w:hAnsi="宋体" w:eastAsia="宋体" w:cs="宋体"/>
                <w:color w:val="auto"/>
                <w:spacing w:val="-4"/>
                <w:sz w:val="24"/>
                <w:szCs w:val="24"/>
                <w:lang w:eastAsia="zh-CN"/>
              </w:rPr>
              <w:t>，废</w:t>
            </w:r>
            <w:r>
              <w:rPr>
                <w:rFonts w:hint="default" w:ascii="宋体" w:hAnsi="宋体" w:eastAsia="宋体" w:cs="宋体"/>
                <w:color w:val="auto"/>
                <w:sz w:val="24"/>
                <w:szCs w:val="24"/>
              </w:rPr>
              <w:t>活性炭</w:t>
            </w:r>
            <w:r>
              <w:rPr>
                <w:rFonts w:hint="eastAsia" w:ascii="宋体" w:hAnsi="宋体" w:eastAsia="宋体" w:cs="宋体"/>
                <w:color w:val="auto"/>
                <w:sz w:val="24"/>
                <w:szCs w:val="24"/>
                <w:lang w:eastAsia="zh-CN"/>
              </w:rPr>
              <w:t>产生</w:t>
            </w:r>
            <w:r>
              <w:rPr>
                <w:rFonts w:hint="default" w:ascii="宋体" w:hAnsi="宋体" w:eastAsia="宋体" w:cs="宋体"/>
                <w:color w:val="auto"/>
                <w:spacing w:val="-2"/>
                <w:sz w:val="24"/>
                <w:szCs w:val="24"/>
              </w:rPr>
              <w:t>量为</w:t>
            </w:r>
            <w:r>
              <w:rPr>
                <w:rFonts w:hint="eastAsia" w:ascii="Times New Roman" w:hAnsi="Times New Roman" w:eastAsia="宋体" w:cs="Times New Roman"/>
                <w:color w:val="auto"/>
                <w:spacing w:val="-2"/>
                <w:sz w:val="24"/>
                <w:szCs w:val="24"/>
                <w:lang w:val="en-US" w:eastAsia="zh-CN"/>
              </w:rPr>
              <w:t>0.5</w:t>
            </w:r>
            <w:r>
              <w:rPr>
                <w:rFonts w:hint="default" w:ascii="Times New Roman" w:hAnsi="Times New Roman" w:eastAsia="Times New Roman" w:cs="Times New Roman"/>
                <w:color w:val="auto"/>
                <w:spacing w:val="-1"/>
                <w:sz w:val="24"/>
                <w:szCs w:val="24"/>
              </w:rPr>
              <w:t>t</w:t>
            </w:r>
            <w:r>
              <w:rPr>
                <w:rFonts w:hint="default" w:ascii="Times New Roman" w:hAnsi="Times New Roman" w:eastAsia="Times New Roman" w:cs="Times New Roman"/>
                <w:color w:val="auto"/>
                <w:spacing w:val="-2"/>
                <w:sz w:val="24"/>
                <w:szCs w:val="24"/>
              </w:rPr>
              <w:t>/</w:t>
            </w:r>
            <w:r>
              <w:rPr>
                <w:rFonts w:hint="default" w:ascii="Times New Roman" w:hAnsi="Times New Roman" w:eastAsia="Times New Roman" w:cs="Times New Roman"/>
                <w:color w:val="auto"/>
                <w:spacing w:val="-1"/>
                <w:sz w:val="24"/>
                <w:szCs w:val="24"/>
              </w:rPr>
              <w:t>a</w:t>
            </w:r>
            <w:r>
              <w:rPr>
                <w:rFonts w:hint="default" w:ascii="宋体" w:hAnsi="宋体" w:eastAsia="宋体" w:cs="宋体"/>
                <w:color w:val="auto"/>
                <w:spacing w:val="-1"/>
                <w:sz w:val="24"/>
                <w:szCs w:val="24"/>
              </w:rPr>
              <w:t>。本项目产生的废活性炭由于其中吸附有苯</w:t>
            </w:r>
            <w:r>
              <w:rPr>
                <w:rFonts w:hint="default" w:ascii="宋体" w:hAnsi="宋体" w:eastAsia="宋体" w:cs="宋体"/>
                <w:color w:val="auto"/>
                <w:spacing w:val="-8"/>
                <w:sz w:val="24"/>
                <w:szCs w:val="24"/>
              </w:rPr>
              <w:t>并</w:t>
            </w:r>
            <w:r>
              <w:rPr>
                <w:rFonts w:hint="default" w:ascii="Times New Roman" w:hAnsi="Times New Roman" w:eastAsia="Times New Roman" w:cs="Times New Roman"/>
                <w:color w:val="auto"/>
                <w:spacing w:val="-5"/>
                <w:sz w:val="24"/>
                <w:szCs w:val="24"/>
              </w:rPr>
              <w:t>[</w:t>
            </w:r>
            <w:r>
              <w:rPr>
                <w:rFonts w:hint="default" w:ascii="Times New Roman" w:hAnsi="Times New Roman" w:eastAsia="Times New Roman" w:cs="Times New Roman"/>
                <w:color w:val="auto"/>
                <w:spacing w:val="-4"/>
                <w:sz w:val="24"/>
                <w:szCs w:val="24"/>
              </w:rPr>
              <w:t>a]</w:t>
            </w:r>
            <w:r>
              <w:rPr>
                <w:rFonts w:hint="default" w:ascii="宋体" w:hAnsi="宋体" w:eastAsia="宋体" w:cs="宋体"/>
                <w:color w:val="auto"/>
                <w:spacing w:val="-4"/>
                <w:sz w:val="24"/>
                <w:szCs w:val="24"/>
              </w:rPr>
              <w:t>芘，因此属于</w:t>
            </w:r>
            <w:r>
              <w:rPr>
                <w:rFonts w:hint="default" w:ascii="宋体" w:hAnsi="宋体" w:cs="宋体"/>
                <w:color w:val="auto"/>
                <w:spacing w:val="-4"/>
                <w:sz w:val="24"/>
              </w:rPr>
              <w:t>《国家危险废物名录(</w:t>
            </w:r>
            <w:r>
              <w:rPr>
                <w:rFonts w:hint="default" w:eastAsia="Times New Roman"/>
                <w:color w:val="auto"/>
                <w:spacing w:val="-4"/>
                <w:sz w:val="24"/>
              </w:rPr>
              <w:t>202</w:t>
            </w:r>
            <w:r>
              <w:rPr>
                <w:rFonts w:hint="eastAsia" w:eastAsia="宋体"/>
                <w:color w:val="auto"/>
                <w:spacing w:val="-4"/>
                <w:sz w:val="24"/>
                <w:lang w:val="en-US" w:eastAsia="zh-CN"/>
              </w:rPr>
              <w:t>5</w:t>
            </w:r>
            <w:r>
              <w:rPr>
                <w:rFonts w:hint="default" w:ascii="宋体" w:hAnsi="宋体" w:cs="宋体"/>
                <w:color w:val="auto"/>
                <w:spacing w:val="-4"/>
                <w:sz w:val="24"/>
              </w:rPr>
              <w:t>年版)》中</w:t>
            </w:r>
            <w:r>
              <w:rPr>
                <w:rFonts w:hint="default" w:ascii="Times New Roman" w:hAnsi="Times New Roman" w:cs="Times New Roman"/>
                <w:color w:val="auto"/>
                <w:sz w:val="24"/>
                <w:szCs w:val="24"/>
                <w:highlight w:val="none"/>
                <w:lang w:val="en-US" w:eastAsia="zh-CN"/>
              </w:rPr>
              <w:t>类别为HW49其他废物（废物代码：900-039-49，“烟气、VOCs治理过程（不包括餐饮行业油烟治理过程）产生的废活性炭，化学原料和化学制品脱色（不包括有机合成食品添加剂脱色）、除杂、净化过程产生的废活性炭（不包括900-405-06、772-005-18、261-053-29、265-002-29、384-003-29、387-001-29类危险废物）”）</w:t>
            </w:r>
            <w:r>
              <w:rPr>
                <w:rFonts w:hint="default" w:ascii="宋体" w:hAnsi="宋体" w:eastAsia="宋体" w:cs="宋体"/>
                <w:color w:val="auto"/>
                <w:spacing w:val="-4"/>
                <w:sz w:val="24"/>
                <w:szCs w:val="24"/>
              </w:rPr>
              <w:t>，因此在厂区危废暂存间暂存后送有资质的单位处理。</w:t>
            </w:r>
          </w:p>
          <w:p w14:paraId="1115ACB4">
            <w:pPr>
              <w:keepNext w:val="0"/>
              <w:keepLines w:val="0"/>
              <w:suppressLineNumbers w:val="0"/>
              <w:spacing w:before="0" w:beforeAutospacing="0" w:after="0" w:afterAutospacing="0" w:line="500" w:lineRule="exact"/>
              <w:ind w:left="0" w:right="0" w:firstLine="480" w:firstLineChars="200"/>
              <w:jc w:val="left"/>
              <w:rPr>
                <w:rFonts w:hint="default"/>
                <w:color w:val="auto"/>
                <w:sz w:val="24"/>
                <w:highlight w:val="none"/>
              </w:rPr>
            </w:pPr>
            <w:r>
              <w:rPr>
                <w:rFonts w:hint="default"/>
                <w:color w:val="auto"/>
                <w:sz w:val="24"/>
                <w:highlight w:val="none"/>
              </w:rPr>
              <w:t>废导热油</w:t>
            </w:r>
            <w:r>
              <w:rPr>
                <w:rFonts w:hint="eastAsia"/>
                <w:color w:val="auto"/>
                <w:sz w:val="24"/>
                <w:highlight w:val="none"/>
                <w:lang w:eastAsia="zh-CN"/>
              </w:rPr>
              <w:t>：</w:t>
            </w:r>
            <w:r>
              <w:rPr>
                <w:rFonts w:hint="default"/>
                <w:color w:val="auto"/>
                <w:sz w:val="24"/>
                <w:highlight w:val="none"/>
              </w:rPr>
              <w:t>导热油炉运行过程中会产生一定量的废导热油，产生量0.1t/a，属于</w:t>
            </w:r>
            <w:r>
              <w:rPr>
                <w:rFonts w:hint="default"/>
                <w:color w:val="auto"/>
                <w:sz w:val="24"/>
              </w:rPr>
              <w:t>《国家危险废物名录(202</w:t>
            </w:r>
            <w:r>
              <w:rPr>
                <w:rFonts w:hint="eastAsia"/>
                <w:color w:val="auto"/>
                <w:sz w:val="24"/>
                <w:lang w:val="en-US" w:eastAsia="zh-CN"/>
              </w:rPr>
              <w:t>5</w:t>
            </w:r>
            <w:r>
              <w:rPr>
                <w:rFonts w:hint="default"/>
                <w:color w:val="auto"/>
                <w:sz w:val="24"/>
              </w:rPr>
              <w:t>年版)》中编号为HW08废矿物油，废物代码900-214-08“车辆、轮船及其它机械维修过程中产生的废发动机油、制动器油、自动变速器油、齿轮油等废润滑油”</w:t>
            </w:r>
            <w:r>
              <w:rPr>
                <w:rFonts w:hint="default"/>
                <w:color w:val="auto"/>
                <w:sz w:val="24"/>
                <w:highlight w:val="none"/>
              </w:rPr>
              <w:t>，因此在厂区危废暂存间暂存后送有资质的单位处理。</w:t>
            </w:r>
          </w:p>
          <w:p w14:paraId="736867BA">
            <w:pPr>
              <w:keepNext w:val="0"/>
              <w:keepLines w:val="0"/>
              <w:suppressLineNumbers w:val="0"/>
              <w:spacing w:before="0" w:beforeAutospacing="0" w:after="0" w:afterAutospacing="0" w:line="348" w:lineRule="auto"/>
              <w:ind w:left="0" w:right="0" w:firstLine="480" w:firstLineChars="200"/>
              <w:rPr>
                <w:rFonts w:hint="default"/>
                <w:snapToGrid w:val="0"/>
                <w:color w:val="auto"/>
                <w:kern w:val="0"/>
                <w:sz w:val="24"/>
                <w:highlight w:val="none"/>
              </w:rPr>
            </w:pPr>
            <w:r>
              <w:rPr>
                <w:rFonts w:hint="default"/>
                <w:snapToGrid w:val="0"/>
                <w:color w:val="auto"/>
                <w:kern w:val="0"/>
                <w:sz w:val="24"/>
                <w:highlight w:val="none"/>
              </w:rPr>
              <w:t>本项目危险废物汇总表见下表。</w:t>
            </w:r>
          </w:p>
          <w:p w14:paraId="6AF40D0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eastAsia="宋体"/>
                <w:color w:val="auto"/>
                <w:sz w:val="22"/>
                <w:szCs w:val="22"/>
                <w:highlight w:val="none"/>
                <w:lang w:eastAsia="zh-CN"/>
              </w:rPr>
            </w:pPr>
            <w:r>
              <w:rPr>
                <w:rFonts w:hint="default"/>
                <w:b/>
                <w:color w:val="auto"/>
                <w:sz w:val="22"/>
                <w:szCs w:val="22"/>
                <w:highlight w:val="none"/>
              </w:rPr>
              <w:t>表4-</w:t>
            </w:r>
            <w:r>
              <w:rPr>
                <w:rFonts w:hint="eastAsia"/>
                <w:b/>
                <w:color w:val="auto"/>
                <w:sz w:val="22"/>
                <w:szCs w:val="22"/>
                <w:highlight w:val="none"/>
                <w:lang w:val="en-US" w:eastAsia="zh-CN"/>
              </w:rPr>
              <w:t>10</w:t>
            </w:r>
            <w:r>
              <w:rPr>
                <w:rFonts w:hint="default"/>
                <w:b/>
                <w:color w:val="auto"/>
                <w:sz w:val="22"/>
                <w:szCs w:val="22"/>
                <w:highlight w:val="none"/>
              </w:rPr>
              <w:t>危险废物汇总表</w:t>
            </w:r>
          </w:p>
          <w:tbl>
            <w:tblPr>
              <w:tblStyle w:val="3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498"/>
              <w:gridCol w:w="839"/>
              <w:gridCol w:w="1001"/>
              <w:gridCol w:w="1273"/>
              <w:gridCol w:w="652"/>
              <w:gridCol w:w="915"/>
              <w:gridCol w:w="698"/>
              <w:gridCol w:w="1010"/>
              <w:gridCol w:w="789"/>
              <w:gridCol w:w="604"/>
              <w:gridCol w:w="541"/>
            </w:tblGrid>
            <w:tr w14:paraId="1AEB6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855" w:hRule="atLeast"/>
                <w:jc w:val="center"/>
              </w:trPr>
              <w:tc>
                <w:tcPr>
                  <w:tcW w:w="282" w:type="pct"/>
                  <w:vAlign w:val="center"/>
                </w:tcPr>
                <w:p w14:paraId="5675C761">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序号</w:t>
                  </w:r>
                </w:p>
              </w:tc>
              <w:tc>
                <w:tcPr>
                  <w:tcW w:w="475" w:type="pct"/>
                  <w:vAlign w:val="center"/>
                </w:tcPr>
                <w:p w14:paraId="595B8EF2">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危险废物名称</w:t>
                  </w:r>
                </w:p>
              </w:tc>
              <w:tc>
                <w:tcPr>
                  <w:tcW w:w="567" w:type="pct"/>
                  <w:vAlign w:val="center"/>
                </w:tcPr>
                <w:p w14:paraId="06C143FA">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危险废物类别</w:t>
                  </w:r>
                </w:p>
              </w:tc>
              <w:tc>
                <w:tcPr>
                  <w:tcW w:w="721" w:type="pct"/>
                  <w:vAlign w:val="center"/>
                </w:tcPr>
                <w:p w14:paraId="36DE8D86">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危险废物代码</w:t>
                  </w:r>
                </w:p>
              </w:tc>
              <w:tc>
                <w:tcPr>
                  <w:tcW w:w="369" w:type="pct"/>
                  <w:vAlign w:val="center"/>
                </w:tcPr>
                <w:p w14:paraId="4B6A1AF6">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产生量（t/a）</w:t>
                  </w:r>
                </w:p>
              </w:tc>
              <w:tc>
                <w:tcPr>
                  <w:tcW w:w="518" w:type="pct"/>
                  <w:vAlign w:val="center"/>
                </w:tcPr>
                <w:p w14:paraId="12FB59CC">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产生工序及装置</w:t>
                  </w:r>
                </w:p>
              </w:tc>
              <w:tc>
                <w:tcPr>
                  <w:tcW w:w="395" w:type="pct"/>
                  <w:vAlign w:val="center"/>
                </w:tcPr>
                <w:p w14:paraId="4B041447">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形态</w:t>
                  </w:r>
                </w:p>
              </w:tc>
              <w:tc>
                <w:tcPr>
                  <w:tcW w:w="572" w:type="pct"/>
                  <w:vAlign w:val="center"/>
                </w:tcPr>
                <w:p w14:paraId="20A706F8">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主要成分</w:t>
                  </w:r>
                </w:p>
              </w:tc>
              <w:tc>
                <w:tcPr>
                  <w:tcW w:w="447" w:type="pct"/>
                  <w:vAlign w:val="center"/>
                </w:tcPr>
                <w:p w14:paraId="58108B21">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有害成分</w:t>
                  </w:r>
                </w:p>
              </w:tc>
              <w:tc>
                <w:tcPr>
                  <w:tcW w:w="342" w:type="pct"/>
                  <w:vAlign w:val="center"/>
                </w:tcPr>
                <w:p w14:paraId="3BE0875D">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产废周期</w:t>
                  </w:r>
                </w:p>
              </w:tc>
              <w:tc>
                <w:tcPr>
                  <w:tcW w:w="306" w:type="pct"/>
                  <w:vAlign w:val="center"/>
                </w:tcPr>
                <w:p w14:paraId="21A41D6B">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危险</w:t>
                  </w:r>
                </w:p>
                <w:p w14:paraId="4AAC51F0">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特性</w:t>
                  </w:r>
                </w:p>
              </w:tc>
            </w:tr>
            <w:tr w14:paraId="5017CA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463" w:hRule="atLeast"/>
                <w:jc w:val="center"/>
              </w:trPr>
              <w:tc>
                <w:tcPr>
                  <w:tcW w:w="282" w:type="pct"/>
                  <w:vAlign w:val="center"/>
                </w:tcPr>
                <w:p w14:paraId="268C93F7">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lang w:val="en-US" w:eastAsia="zh-CN"/>
                    </w:rPr>
                  </w:pPr>
                  <w:r>
                    <w:rPr>
                      <w:rFonts w:hint="eastAsia"/>
                      <w:color w:val="auto"/>
                      <w:kern w:val="0"/>
                      <w:szCs w:val="21"/>
                      <w:highlight w:val="none"/>
                      <w:lang w:val="en-US" w:eastAsia="zh-CN"/>
                    </w:rPr>
                    <w:t>1</w:t>
                  </w:r>
                </w:p>
              </w:tc>
              <w:tc>
                <w:tcPr>
                  <w:tcW w:w="475" w:type="pct"/>
                  <w:shd w:val="clear" w:color="auto" w:fill="auto"/>
                  <w:vAlign w:val="center"/>
                </w:tcPr>
                <w:p w14:paraId="5EB1A114">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废活性炭</w:t>
                  </w:r>
                </w:p>
              </w:tc>
              <w:tc>
                <w:tcPr>
                  <w:tcW w:w="567" w:type="pct"/>
                  <w:shd w:val="clear" w:color="auto" w:fill="auto"/>
                  <w:vAlign w:val="center"/>
                </w:tcPr>
                <w:p w14:paraId="2552FC89">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HW49其他废物</w:t>
                  </w:r>
                </w:p>
              </w:tc>
              <w:tc>
                <w:tcPr>
                  <w:tcW w:w="721" w:type="pct"/>
                  <w:shd w:val="clear" w:color="auto" w:fill="auto"/>
                  <w:vAlign w:val="center"/>
                </w:tcPr>
                <w:p w14:paraId="419DE13C">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900-0</w:t>
                  </w:r>
                  <w:r>
                    <w:rPr>
                      <w:rFonts w:hint="eastAsia"/>
                      <w:color w:val="auto"/>
                      <w:kern w:val="0"/>
                      <w:szCs w:val="21"/>
                      <w:highlight w:val="none"/>
                      <w:lang w:val="en-US" w:eastAsia="zh-CN"/>
                    </w:rPr>
                    <w:t>39</w:t>
                  </w:r>
                  <w:r>
                    <w:rPr>
                      <w:rFonts w:hint="default"/>
                      <w:color w:val="auto"/>
                      <w:kern w:val="0"/>
                      <w:szCs w:val="21"/>
                      <w:highlight w:val="none"/>
                    </w:rPr>
                    <w:t>-49</w:t>
                  </w:r>
                </w:p>
              </w:tc>
              <w:tc>
                <w:tcPr>
                  <w:tcW w:w="369" w:type="pct"/>
                  <w:shd w:val="clear" w:color="auto" w:fill="auto"/>
                  <w:vAlign w:val="center"/>
                </w:tcPr>
                <w:p w14:paraId="4DA2EC25">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0.5</w:t>
                  </w:r>
                </w:p>
              </w:tc>
              <w:tc>
                <w:tcPr>
                  <w:tcW w:w="518" w:type="pct"/>
                  <w:shd w:val="clear" w:color="auto" w:fill="auto"/>
                  <w:vAlign w:val="center"/>
                </w:tcPr>
                <w:p w14:paraId="1A57F376">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环保措施</w:t>
                  </w:r>
                </w:p>
              </w:tc>
              <w:tc>
                <w:tcPr>
                  <w:tcW w:w="395" w:type="pct"/>
                  <w:shd w:val="clear" w:color="auto" w:fill="auto"/>
                  <w:vAlign w:val="center"/>
                </w:tcPr>
                <w:p w14:paraId="3ED8D9B2">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固态</w:t>
                  </w:r>
                </w:p>
              </w:tc>
              <w:tc>
                <w:tcPr>
                  <w:tcW w:w="572" w:type="pct"/>
                  <w:shd w:val="clear" w:color="auto" w:fill="auto"/>
                  <w:vAlign w:val="center"/>
                </w:tcPr>
                <w:p w14:paraId="7FD993C8">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lang w:val="en-US" w:eastAsia="zh-CN"/>
                    </w:rPr>
                    <w:t>苯并[a]芘</w:t>
                  </w:r>
                </w:p>
              </w:tc>
              <w:tc>
                <w:tcPr>
                  <w:tcW w:w="447" w:type="pct"/>
                  <w:shd w:val="clear" w:color="auto" w:fill="auto"/>
                  <w:vAlign w:val="center"/>
                </w:tcPr>
                <w:p w14:paraId="442035E2">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苯并[a]芘</w:t>
                  </w:r>
                </w:p>
              </w:tc>
              <w:tc>
                <w:tcPr>
                  <w:tcW w:w="342" w:type="pct"/>
                  <w:shd w:val="clear" w:color="auto" w:fill="auto"/>
                  <w:vAlign w:val="center"/>
                </w:tcPr>
                <w:p w14:paraId="2E9396C3">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1a</w:t>
                  </w:r>
                </w:p>
              </w:tc>
              <w:tc>
                <w:tcPr>
                  <w:tcW w:w="306" w:type="pct"/>
                  <w:shd w:val="clear" w:color="auto" w:fill="auto"/>
                  <w:vAlign w:val="center"/>
                </w:tcPr>
                <w:p w14:paraId="4B166EBF">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T</w:t>
                  </w:r>
                </w:p>
              </w:tc>
            </w:tr>
            <w:tr w14:paraId="47306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463" w:hRule="atLeast"/>
                <w:jc w:val="center"/>
              </w:trPr>
              <w:tc>
                <w:tcPr>
                  <w:tcW w:w="282" w:type="pct"/>
                  <w:vAlign w:val="center"/>
                </w:tcPr>
                <w:p w14:paraId="1EF9BE8D">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lang w:val="en-US" w:eastAsia="zh-CN"/>
                    </w:rPr>
                  </w:pPr>
                  <w:r>
                    <w:rPr>
                      <w:rFonts w:hint="eastAsia"/>
                      <w:color w:val="auto"/>
                      <w:kern w:val="0"/>
                      <w:szCs w:val="21"/>
                      <w:highlight w:val="none"/>
                      <w:lang w:val="en-US" w:eastAsia="zh-CN"/>
                    </w:rPr>
                    <w:t>2</w:t>
                  </w:r>
                </w:p>
              </w:tc>
              <w:tc>
                <w:tcPr>
                  <w:tcW w:w="475" w:type="pct"/>
                  <w:shd w:val="clear" w:color="auto" w:fill="auto"/>
                  <w:vAlign w:val="center"/>
                </w:tcPr>
                <w:p w14:paraId="7282C70B">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废导热油</w:t>
                  </w:r>
                </w:p>
              </w:tc>
              <w:tc>
                <w:tcPr>
                  <w:tcW w:w="567" w:type="pct"/>
                  <w:shd w:val="clear" w:color="auto" w:fill="auto"/>
                  <w:vAlign w:val="top"/>
                </w:tcPr>
                <w:p w14:paraId="4427108A">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废矿物油</w:t>
                  </w:r>
                </w:p>
                <w:p w14:paraId="15522598">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与含矿物</w:t>
                  </w:r>
                </w:p>
                <w:p w14:paraId="0961F53B">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油废物</w:t>
                  </w:r>
                </w:p>
                <w:p w14:paraId="44ADF4E6">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HW08</w:t>
                  </w:r>
                </w:p>
              </w:tc>
              <w:tc>
                <w:tcPr>
                  <w:tcW w:w="721" w:type="pct"/>
                  <w:shd w:val="clear" w:color="auto" w:fill="auto"/>
                  <w:vAlign w:val="top"/>
                </w:tcPr>
                <w:p w14:paraId="4D94C144">
                  <w:pPr>
                    <w:keepNext w:val="0"/>
                    <w:keepLines w:val="0"/>
                    <w:suppressLineNumbers w:val="0"/>
                    <w:topLinePunct/>
                    <w:adjustRightInd w:val="0"/>
                    <w:snapToGrid w:val="0"/>
                    <w:spacing w:before="0" w:beforeAutospacing="0" w:after="0" w:afterAutospacing="0"/>
                    <w:ind w:left="0" w:right="0"/>
                    <w:jc w:val="center"/>
                    <w:rPr>
                      <w:rFonts w:hint="default"/>
                      <w:color w:val="auto"/>
                      <w:kern w:val="0"/>
                      <w:szCs w:val="21"/>
                      <w:highlight w:val="none"/>
                    </w:rPr>
                  </w:pPr>
                </w:p>
                <w:p w14:paraId="092A05AF">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900-214-08</w:t>
                  </w:r>
                </w:p>
              </w:tc>
              <w:tc>
                <w:tcPr>
                  <w:tcW w:w="369" w:type="pct"/>
                  <w:shd w:val="clear" w:color="auto" w:fill="auto"/>
                  <w:vAlign w:val="center"/>
                </w:tcPr>
                <w:p w14:paraId="3BAC1CC3">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0.1</w:t>
                  </w:r>
                </w:p>
              </w:tc>
              <w:tc>
                <w:tcPr>
                  <w:tcW w:w="518" w:type="pct"/>
                  <w:shd w:val="clear" w:color="auto" w:fill="auto"/>
                  <w:vAlign w:val="center"/>
                </w:tcPr>
                <w:p w14:paraId="5F55E96C">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导热油炉</w:t>
                  </w:r>
                </w:p>
              </w:tc>
              <w:tc>
                <w:tcPr>
                  <w:tcW w:w="395" w:type="pct"/>
                  <w:shd w:val="clear" w:color="auto" w:fill="auto"/>
                  <w:vAlign w:val="center"/>
                </w:tcPr>
                <w:p w14:paraId="49F239A0">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液态</w:t>
                  </w:r>
                </w:p>
              </w:tc>
              <w:tc>
                <w:tcPr>
                  <w:tcW w:w="572" w:type="pct"/>
                  <w:shd w:val="clear" w:color="auto" w:fill="auto"/>
                  <w:vAlign w:val="center"/>
                </w:tcPr>
                <w:p w14:paraId="1CA0B5FC">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废矿物油</w:t>
                  </w:r>
                </w:p>
              </w:tc>
              <w:tc>
                <w:tcPr>
                  <w:tcW w:w="447" w:type="pct"/>
                  <w:shd w:val="clear" w:color="auto" w:fill="auto"/>
                  <w:vAlign w:val="center"/>
                </w:tcPr>
                <w:p w14:paraId="317E0BEB">
                  <w:pPr>
                    <w:keepNext w:val="0"/>
                    <w:keepLines w:val="0"/>
                    <w:suppressLineNumbers w:val="0"/>
                    <w:topLinePunct/>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废矿物油</w:t>
                  </w:r>
                </w:p>
              </w:tc>
              <w:tc>
                <w:tcPr>
                  <w:tcW w:w="342" w:type="pct"/>
                  <w:shd w:val="clear" w:color="auto" w:fill="auto"/>
                  <w:vAlign w:val="center"/>
                </w:tcPr>
                <w:p w14:paraId="64EA8D8F">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1a</w:t>
                  </w:r>
                </w:p>
              </w:tc>
              <w:tc>
                <w:tcPr>
                  <w:tcW w:w="306" w:type="pct"/>
                  <w:shd w:val="clear" w:color="auto" w:fill="auto"/>
                  <w:vAlign w:val="center"/>
                </w:tcPr>
                <w:p w14:paraId="40DDA431">
                  <w:pPr>
                    <w:keepNext w:val="0"/>
                    <w:keepLines w:val="0"/>
                    <w:suppressLineNumbers w:val="0"/>
                    <w:topLinePunct/>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color w:val="auto"/>
                      <w:kern w:val="0"/>
                      <w:szCs w:val="21"/>
                      <w:highlight w:val="none"/>
                    </w:rPr>
                    <w:t>T</w:t>
                  </w:r>
                </w:p>
              </w:tc>
            </w:tr>
          </w:tbl>
          <w:p w14:paraId="6CE27963">
            <w:pPr>
              <w:keepNext w:val="0"/>
              <w:keepLines w:val="0"/>
              <w:suppressLineNumbers w:val="0"/>
              <w:snapToGrid w:val="0"/>
              <w:spacing w:before="0" w:beforeLines="50" w:beforeAutospacing="0" w:after="0" w:afterAutospacing="0" w:line="360" w:lineRule="auto"/>
              <w:ind w:left="0" w:right="0" w:firstLine="480" w:firstLineChars="200"/>
              <w:rPr>
                <w:rFonts w:hint="default"/>
                <w:color w:val="auto"/>
                <w:sz w:val="24"/>
                <w:highlight w:val="none"/>
              </w:rPr>
            </w:pPr>
            <w:r>
              <w:rPr>
                <w:rFonts w:hint="default"/>
                <w:color w:val="auto"/>
                <w:sz w:val="24"/>
                <w:highlight w:val="none"/>
              </w:rPr>
              <w:t>本项目危险废物产生</w:t>
            </w:r>
            <w:r>
              <w:rPr>
                <w:rFonts w:hint="eastAsia"/>
                <w:color w:val="auto"/>
                <w:sz w:val="24"/>
                <w:highlight w:val="none"/>
                <w:lang w:val="en-US" w:eastAsia="zh-CN"/>
              </w:rPr>
              <w:t>在</w:t>
            </w:r>
            <w:r>
              <w:rPr>
                <w:rFonts w:hint="default"/>
                <w:color w:val="auto"/>
                <w:sz w:val="24"/>
                <w:highlight w:val="none"/>
              </w:rPr>
              <w:t>危险废物暂存间暂存，运输环节在厂内，不会因厂内运输过程中撒漏等导致排放到环境中；外运由有资质单位采用专用车辆运输，运输过程中对环境影响小。</w:t>
            </w:r>
          </w:p>
          <w:p w14:paraId="1993D010">
            <w:pPr>
              <w:keepNext w:val="0"/>
              <w:keepLines w:val="0"/>
              <w:widowControl/>
              <w:suppressLineNumbers w:val="0"/>
              <w:spacing w:before="0" w:beforeAutospacing="0" w:after="0" w:afterAutospacing="0" w:line="360" w:lineRule="auto"/>
              <w:ind w:left="0" w:right="0" w:firstLine="720" w:firstLineChars="300"/>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a</w:t>
            </w:r>
            <w:r>
              <w:rPr>
                <w:rFonts w:hint="default" w:ascii="Times New Roman" w:hAnsi="Times New Roman" w:eastAsia="宋体" w:cs="Times New Roman"/>
                <w:bCs/>
                <w:color w:val="auto"/>
                <w:kern w:val="2"/>
                <w:sz w:val="24"/>
                <w:szCs w:val="24"/>
                <w:highlight w:val="none"/>
                <w:lang w:val="en-US" w:eastAsia="zh-CN" w:bidi="ar-SA"/>
              </w:rPr>
              <w:t>分类收集</w:t>
            </w:r>
          </w:p>
          <w:p w14:paraId="5013CEA5">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企业产生的危险废物在未外送之前临时贮存参照《危险废物贮存污染控制标准》（GB18597-2023）中关于一般要求、贮存容器、贮存设施设计原则、运行管理和安全防护等内容执行。建设单位收集、临时储存危险废物应严格执行《危险废物贮存污染控制标准》（GB18597-2023），危险废物收集、暂存要求如下：</w:t>
            </w:r>
          </w:p>
          <w:p w14:paraId="005B7144">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对</w:t>
            </w:r>
            <w:r>
              <w:rPr>
                <w:rFonts w:hint="eastAsia" w:ascii="Times New Roman" w:hAnsi="Times New Roman" w:eastAsia="宋体" w:cs="Times New Roman"/>
                <w:bCs/>
                <w:color w:val="auto"/>
                <w:kern w:val="2"/>
                <w:sz w:val="24"/>
                <w:szCs w:val="24"/>
                <w:highlight w:val="none"/>
                <w:lang w:val="en-US" w:eastAsia="zh-CN" w:bidi="ar-SA"/>
              </w:rPr>
              <w:t>危险废物</w:t>
            </w:r>
            <w:r>
              <w:rPr>
                <w:rFonts w:hint="default" w:ascii="Times New Roman" w:hAnsi="Times New Roman" w:eastAsia="宋体" w:cs="Times New Roman"/>
                <w:bCs/>
                <w:color w:val="auto"/>
                <w:kern w:val="2"/>
                <w:sz w:val="24"/>
                <w:szCs w:val="24"/>
                <w:highlight w:val="none"/>
                <w:lang w:val="en-US" w:eastAsia="zh-CN" w:bidi="ar-SA"/>
              </w:rPr>
              <w:t>进行分类存储和标识，对危险废物暂存区设立明显的警示标志，</w:t>
            </w:r>
            <w:r>
              <w:rPr>
                <w:rFonts w:hint="eastAsia" w:ascii="Times New Roman" w:hAnsi="Times New Roman" w:eastAsia="宋体" w:cs="Times New Roman"/>
                <w:bCs/>
                <w:color w:val="auto"/>
                <w:kern w:val="2"/>
                <w:sz w:val="24"/>
                <w:szCs w:val="24"/>
                <w:highlight w:val="none"/>
                <w:lang w:val="en-US" w:eastAsia="zh-CN" w:bidi="ar-SA"/>
              </w:rPr>
              <w:t>生产</w:t>
            </w:r>
            <w:r>
              <w:rPr>
                <w:rFonts w:hint="default" w:ascii="Times New Roman" w:hAnsi="Times New Roman" w:eastAsia="宋体" w:cs="Times New Roman"/>
                <w:bCs/>
                <w:color w:val="auto"/>
                <w:kern w:val="2"/>
                <w:sz w:val="24"/>
                <w:szCs w:val="24"/>
                <w:highlight w:val="none"/>
                <w:lang w:val="en-US" w:eastAsia="zh-CN" w:bidi="ar-SA"/>
              </w:rPr>
              <w:t>过程产生的危险废物应按照类别分别放置在专门的收集容器和暂存设施内。</w:t>
            </w:r>
          </w:p>
          <w:p w14:paraId="2EF2208C">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贮存设施按照</w:t>
            </w:r>
            <w:r>
              <w:rPr>
                <w:rFonts w:hint="eastAsia" w:ascii="Times New Roman" w:hAnsi="Times New Roman" w:eastAsia="宋体" w:cs="Times New Roman"/>
                <w:bCs/>
                <w:color w:val="auto"/>
                <w:kern w:val="2"/>
                <w:sz w:val="24"/>
                <w:szCs w:val="24"/>
                <w:highlight w:val="none"/>
                <w:lang w:val="en-US" w:eastAsia="zh-CN" w:bidi="ar-SA"/>
              </w:rPr>
              <w:t>《危险废物贮存污染控制标准》（GB18597-2023）要求</w:t>
            </w:r>
            <w:r>
              <w:rPr>
                <w:rFonts w:hint="default" w:ascii="Times New Roman" w:hAnsi="Times New Roman" w:eastAsia="宋体" w:cs="Times New Roman"/>
                <w:bCs/>
                <w:color w:val="auto"/>
                <w:kern w:val="2"/>
                <w:sz w:val="24"/>
                <w:szCs w:val="24"/>
                <w:highlight w:val="none"/>
                <w:lang w:val="en-US" w:eastAsia="zh-CN" w:bidi="ar-SA"/>
              </w:rPr>
              <w:t>设置明显的警示标志，标明具体物质名称。</w:t>
            </w:r>
            <w:r>
              <w:rPr>
                <w:rFonts w:hint="eastAsia" w:ascii="Times New Roman" w:hAnsi="Times New Roman" w:eastAsia="宋体" w:cs="Times New Roman"/>
                <w:bCs/>
                <w:color w:val="auto"/>
                <w:kern w:val="2"/>
                <w:sz w:val="24"/>
                <w:szCs w:val="24"/>
                <w:highlight w:val="none"/>
                <w:lang w:val="en-US" w:eastAsia="zh-CN" w:bidi="ar-SA"/>
              </w:rPr>
              <w:t>生产过程</w:t>
            </w:r>
            <w:r>
              <w:rPr>
                <w:rFonts w:hint="default" w:ascii="Times New Roman" w:hAnsi="Times New Roman" w:eastAsia="宋体" w:cs="Times New Roman"/>
                <w:bCs/>
                <w:color w:val="auto"/>
                <w:kern w:val="2"/>
                <w:sz w:val="24"/>
                <w:szCs w:val="24"/>
                <w:highlight w:val="none"/>
                <w:lang w:val="en-US" w:eastAsia="zh-CN" w:bidi="ar-SA"/>
              </w:rPr>
              <w:t>产生的各种危险废物在厂区内的暂存时间不得超过1年，并制定危险废物贮存的台账制度。</w:t>
            </w:r>
          </w:p>
          <w:p w14:paraId="4D17F53F">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b</w:t>
            </w:r>
            <w:r>
              <w:rPr>
                <w:rFonts w:hint="default" w:ascii="Times New Roman" w:hAnsi="Times New Roman" w:eastAsia="宋体" w:cs="Times New Roman"/>
                <w:bCs/>
                <w:color w:val="auto"/>
                <w:kern w:val="2"/>
                <w:sz w:val="24"/>
                <w:szCs w:val="24"/>
                <w:highlight w:val="none"/>
                <w:lang w:val="en-US" w:eastAsia="zh-CN" w:bidi="ar-SA"/>
              </w:rPr>
              <w:t>贮存场所（设施）</w:t>
            </w:r>
          </w:p>
          <w:p w14:paraId="3E188C54">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定期进行日常性检查。本项目</w:t>
            </w:r>
            <w:r>
              <w:rPr>
                <w:rFonts w:hint="eastAsia" w:ascii="Times New Roman" w:hAnsi="Times New Roman" w:eastAsia="宋体" w:cs="Times New Roman"/>
                <w:bCs/>
                <w:color w:val="auto"/>
                <w:kern w:val="2"/>
                <w:sz w:val="24"/>
                <w:szCs w:val="24"/>
                <w:highlight w:val="none"/>
                <w:lang w:val="en-US" w:eastAsia="zh-CN" w:bidi="ar-SA"/>
              </w:rPr>
              <w:t>危废贮存点</w:t>
            </w:r>
            <w:r>
              <w:rPr>
                <w:rFonts w:hint="default" w:ascii="Times New Roman" w:hAnsi="Times New Roman" w:eastAsia="宋体" w:cs="Times New Roman"/>
                <w:bCs/>
                <w:color w:val="auto"/>
                <w:kern w:val="2"/>
                <w:sz w:val="24"/>
                <w:szCs w:val="24"/>
                <w:highlight w:val="none"/>
                <w:lang w:val="en-US" w:eastAsia="zh-CN" w:bidi="ar-SA"/>
              </w:rPr>
              <w:t>采用</w:t>
            </w:r>
            <w:r>
              <w:rPr>
                <w:rFonts w:hint="eastAsia" w:ascii="Times New Roman" w:hAnsi="Times New Roman" w:eastAsia="宋体" w:cs="Times New Roman"/>
                <w:bCs/>
                <w:color w:val="auto"/>
                <w:kern w:val="2"/>
                <w:sz w:val="24"/>
                <w:szCs w:val="24"/>
                <w:highlight w:val="none"/>
                <w:lang w:val="en-US" w:eastAsia="zh-CN" w:bidi="ar-SA"/>
              </w:rPr>
              <w:t>重点</w:t>
            </w:r>
            <w:r>
              <w:rPr>
                <w:rFonts w:hint="default" w:ascii="Times New Roman" w:hAnsi="Times New Roman" w:eastAsia="宋体" w:cs="Times New Roman"/>
                <w:bCs/>
                <w:color w:val="auto"/>
                <w:kern w:val="2"/>
                <w:sz w:val="24"/>
                <w:szCs w:val="24"/>
                <w:highlight w:val="none"/>
                <w:lang w:val="en-US" w:eastAsia="zh-CN" w:bidi="ar-SA"/>
              </w:rPr>
              <w:t>防渗，地面与裙脚采用坚固防渗的材料建造，防风、防晒、防雨；基础</w:t>
            </w:r>
            <w:r>
              <w:rPr>
                <w:rFonts w:hint="eastAsia" w:ascii="Times New Roman" w:hAnsi="Times New Roman" w:eastAsia="宋体" w:cs="Times New Roman"/>
                <w:bCs/>
                <w:color w:val="auto"/>
                <w:kern w:val="2"/>
                <w:sz w:val="24"/>
                <w:szCs w:val="24"/>
                <w:highlight w:val="none"/>
                <w:lang w:val="en-US" w:eastAsia="zh-CN" w:bidi="ar-SA"/>
              </w:rPr>
              <w:t>敷设</w:t>
            </w:r>
            <w:r>
              <w:rPr>
                <w:rFonts w:hint="default" w:ascii="Times New Roman" w:hAnsi="Times New Roman" w:eastAsia="宋体" w:cs="Times New Roman"/>
                <w:bCs/>
                <w:color w:val="auto"/>
                <w:kern w:val="2"/>
                <w:sz w:val="24"/>
                <w:szCs w:val="24"/>
                <w:highlight w:val="none"/>
                <w:lang w:val="en-US" w:eastAsia="zh-CN" w:bidi="ar-SA"/>
              </w:rPr>
              <w:t>至少2mm厚的高密度聚乙烯防水层，上部敷设10cm厚水泥层，渗透系数应≤1×10</w:t>
            </w:r>
            <w:r>
              <w:rPr>
                <w:rFonts w:hint="default" w:ascii="Times New Roman" w:hAnsi="Times New Roman" w:eastAsia="宋体" w:cs="Times New Roman"/>
                <w:bCs/>
                <w:color w:val="auto"/>
                <w:kern w:val="2"/>
                <w:sz w:val="24"/>
                <w:szCs w:val="24"/>
                <w:highlight w:val="none"/>
                <w:vertAlign w:val="superscript"/>
                <w:lang w:val="en-US" w:eastAsia="zh-CN" w:bidi="ar-SA"/>
              </w:rPr>
              <w:t>-10</w:t>
            </w:r>
            <w:r>
              <w:rPr>
                <w:rFonts w:hint="default" w:ascii="Times New Roman" w:hAnsi="Times New Roman" w:eastAsia="宋体" w:cs="Times New Roman"/>
                <w:bCs/>
                <w:color w:val="auto"/>
                <w:kern w:val="2"/>
                <w:sz w:val="24"/>
                <w:szCs w:val="24"/>
                <w:highlight w:val="none"/>
                <w:lang w:val="en-US" w:eastAsia="zh-CN" w:bidi="ar-SA"/>
              </w:rPr>
              <w:t>cm/s，并张贴醒目的标识，并张贴醒目的标识。企业在运行过程中应定期对</w:t>
            </w:r>
            <w:r>
              <w:rPr>
                <w:rFonts w:hint="eastAsia" w:ascii="Times New Roman" w:hAnsi="Times New Roman" w:eastAsia="宋体" w:cs="Times New Roman"/>
                <w:bCs/>
                <w:color w:val="auto"/>
                <w:kern w:val="2"/>
                <w:sz w:val="24"/>
                <w:szCs w:val="24"/>
                <w:highlight w:val="none"/>
                <w:lang w:val="en-US" w:eastAsia="zh-CN" w:bidi="ar-SA"/>
              </w:rPr>
              <w:t>危废贮存点</w:t>
            </w:r>
            <w:r>
              <w:rPr>
                <w:rFonts w:hint="default" w:ascii="Times New Roman" w:hAnsi="Times New Roman" w:eastAsia="宋体" w:cs="Times New Roman"/>
                <w:bCs/>
                <w:color w:val="auto"/>
                <w:kern w:val="2"/>
                <w:sz w:val="24"/>
                <w:szCs w:val="24"/>
                <w:highlight w:val="none"/>
                <w:lang w:val="en-US" w:eastAsia="zh-CN" w:bidi="ar-SA"/>
              </w:rPr>
              <w:t>地面进行检查，一旦发现异常，应立即采取修补措施。本项目贮存场所（设施）严格按照《危险废物贮存污染控制标准》（GB18597-2023）的要求进行，对地下水、土壤造成的影响较小，因此本项目贮存场所（设施）设置合理。</w:t>
            </w:r>
          </w:p>
          <w:p w14:paraId="75E27ED6">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c</w:t>
            </w:r>
            <w:r>
              <w:rPr>
                <w:rFonts w:hint="default" w:ascii="Times New Roman" w:hAnsi="Times New Roman" w:eastAsia="宋体" w:cs="Times New Roman"/>
                <w:bCs/>
                <w:color w:val="auto"/>
                <w:kern w:val="2"/>
                <w:sz w:val="24"/>
                <w:szCs w:val="24"/>
                <w:highlight w:val="none"/>
                <w:lang w:val="en-US" w:eastAsia="zh-CN" w:bidi="ar-SA"/>
              </w:rPr>
              <w:t>运输过程</w:t>
            </w:r>
          </w:p>
          <w:p w14:paraId="6B94F96E">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color w:val="auto"/>
                <w:sz w:val="24"/>
                <w:szCs w:val="24"/>
              </w:rPr>
              <w:t>危险废物在转运过程中如遇恶劣天气、驾驶人员操作不当或运输车辆行驶部件、装卸系统、安全附件、储运容器的安全性能不好均会造成危险废物的泄露，对沿线居民和环境质量造成影响。</w:t>
            </w:r>
          </w:p>
          <w:p w14:paraId="0A5A6A40">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d</w:t>
            </w:r>
            <w:r>
              <w:rPr>
                <w:rFonts w:hint="default" w:ascii="Times New Roman" w:hAnsi="Times New Roman" w:eastAsia="宋体" w:cs="Times New Roman"/>
                <w:bCs/>
                <w:color w:val="auto"/>
                <w:kern w:val="2"/>
                <w:sz w:val="24"/>
                <w:szCs w:val="24"/>
                <w:highlight w:val="none"/>
                <w:lang w:val="en-US" w:eastAsia="zh-CN" w:bidi="ar-SA"/>
              </w:rPr>
              <w:t>委托利用或者处置方式</w:t>
            </w:r>
          </w:p>
          <w:p w14:paraId="6B51823F">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建设单位在运行投产前，应委托有危险废物处置资质的单位并签订委托协议。</w:t>
            </w:r>
          </w:p>
          <w:p w14:paraId="06DD2783">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rPr>
            </w:pPr>
            <w:r>
              <w:rPr>
                <w:rFonts w:hint="default"/>
                <w:snapToGrid w:val="0"/>
                <w:color w:val="auto"/>
                <w:kern w:val="0"/>
                <w:sz w:val="24"/>
              </w:rPr>
              <w:t>采取上述措施后，运营期产生的固体废物均可得到有效处理处置，不会对周边环境产生危害性影响。</w:t>
            </w:r>
          </w:p>
          <w:p w14:paraId="304D98F3">
            <w:pPr>
              <w:keepNext w:val="0"/>
              <w:keepLines w:val="0"/>
              <w:suppressLineNumbers w:val="0"/>
              <w:spacing w:before="0" w:beforeAutospacing="0" w:after="0" w:afterAutospacing="0" w:line="360" w:lineRule="auto"/>
              <w:ind w:left="0" w:right="0" w:firstLine="480" w:firstLineChars="200"/>
              <w:contextualSpacing/>
              <w:rPr>
                <w:rFonts w:hint="default"/>
                <w:b/>
                <w:bCs/>
                <w:color w:val="auto"/>
                <w:sz w:val="24"/>
                <w:highlight w:val="none"/>
              </w:rPr>
            </w:pPr>
            <w:r>
              <w:rPr>
                <w:rFonts w:hint="eastAsia"/>
                <w:b/>
                <w:bCs/>
                <w:color w:val="auto"/>
                <w:sz w:val="24"/>
                <w:highlight w:val="none"/>
              </w:rPr>
              <w:t>（五）地下水、土壤</w:t>
            </w:r>
          </w:p>
          <w:p w14:paraId="505A9907">
            <w:pPr>
              <w:keepNext w:val="0"/>
              <w:keepLines w:val="0"/>
              <w:suppressLineNumbers w:val="0"/>
              <w:spacing w:before="0" w:beforeAutospacing="0" w:after="0" w:afterAutospacing="0" w:line="500" w:lineRule="exact"/>
              <w:ind w:left="0" w:right="0" w:firstLine="480" w:firstLineChars="200"/>
              <w:jc w:val="left"/>
              <w:rPr>
                <w:rFonts w:hint="eastAsia" w:eastAsia="宋体"/>
                <w:color w:val="auto"/>
                <w:kern w:val="0"/>
                <w:sz w:val="24"/>
                <w:highlight w:val="none"/>
                <w:lang w:eastAsia="zh-CN"/>
              </w:rPr>
            </w:pPr>
            <w:r>
              <w:rPr>
                <w:rFonts w:hint="eastAsia"/>
                <w:color w:val="auto"/>
                <w:kern w:val="0"/>
                <w:sz w:val="24"/>
                <w:highlight w:val="none"/>
              </w:rPr>
              <w:t>本项目主要污染物为粉尘、苯并[a]芘等，最终通过自降和降水淋溶等途径进入土壤及地下水环境。而粉尘进入土壤将从物理、化学和物理化学等方面影响周围土壤的孔隙度、团粒结构、酸碱度、土壤肥力及微量元素含量等，必须坚持预防为主，防治结合的原则。</w:t>
            </w:r>
          </w:p>
          <w:p w14:paraId="6FAB805B">
            <w:pPr>
              <w:keepNext w:val="0"/>
              <w:keepLines w:val="0"/>
              <w:suppressLineNumbers w:val="0"/>
              <w:spacing w:before="0" w:beforeAutospacing="0" w:after="0" w:afterAutospacing="0" w:line="500" w:lineRule="exact"/>
              <w:ind w:left="0" w:right="0" w:firstLine="480" w:firstLineChars="200"/>
              <w:jc w:val="left"/>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1</w:t>
            </w:r>
            <w:r>
              <w:rPr>
                <w:rFonts w:hint="eastAsia"/>
                <w:color w:val="auto"/>
                <w:kern w:val="0"/>
                <w:sz w:val="24"/>
                <w:highlight w:val="none"/>
                <w:lang w:eastAsia="zh-CN"/>
              </w:rPr>
              <w:t>）</w:t>
            </w:r>
            <w:r>
              <w:rPr>
                <w:rFonts w:hint="eastAsia"/>
                <w:color w:val="auto"/>
                <w:kern w:val="0"/>
                <w:sz w:val="24"/>
                <w:highlight w:val="none"/>
              </w:rPr>
              <w:t>源头控制</w:t>
            </w:r>
          </w:p>
          <w:p w14:paraId="25CE6A2B">
            <w:pPr>
              <w:keepNext w:val="0"/>
              <w:keepLines w:val="0"/>
              <w:suppressLineNumbers w:val="0"/>
              <w:spacing w:before="0" w:beforeAutospacing="0" w:after="0" w:afterAutospacing="0" w:line="500" w:lineRule="exact"/>
              <w:ind w:left="0" w:right="0" w:firstLine="480" w:firstLineChars="200"/>
              <w:jc w:val="left"/>
              <w:rPr>
                <w:rFonts w:hint="eastAsia" w:eastAsia="宋体"/>
                <w:color w:val="auto"/>
                <w:kern w:val="0"/>
                <w:sz w:val="24"/>
                <w:highlight w:val="none"/>
                <w:lang w:eastAsia="zh-CN"/>
              </w:rPr>
            </w:pPr>
            <w:r>
              <w:rPr>
                <w:rFonts w:hint="eastAsia"/>
                <w:color w:val="auto"/>
                <w:kern w:val="0"/>
                <w:sz w:val="24"/>
                <w:highlight w:val="none"/>
              </w:rPr>
              <w:t>通过先进生产工艺降低粉尘、苯并[a]芘排放，设置相应布袋除尘器、活性炭吸附装置等处理措施，废气达标排放，降低直接外排量。</w:t>
            </w:r>
          </w:p>
          <w:p w14:paraId="774E4196">
            <w:pPr>
              <w:keepNext w:val="0"/>
              <w:keepLines w:val="0"/>
              <w:suppressLineNumbers w:val="0"/>
              <w:spacing w:before="0" w:beforeAutospacing="0" w:after="0" w:afterAutospacing="0" w:line="500" w:lineRule="exact"/>
              <w:ind w:left="0" w:right="0" w:firstLine="480" w:firstLineChars="200"/>
              <w:jc w:val="left"/>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2</w:t>
            </w:r>
            <w:r>
              <w:rPr>
                <w:rFonts w:hint="eastAsia"/>
                <w:color w:val="auto"/>
                <w:kern w:val="0"/>
                <w:sz w:val="24"/>
                <w:highlight w:val="none"/>
                <w:lang w:eastAsia="zh-CN"/>
              </w:rPr>
              <w:t>）</w:t>
            </w:r>
            <w:r>
              <w:rPr>
                <w:rFonts w:hint="eastAsia"/>
                <w:color w:val="auto"/>
                <w:kern w:val="0"/>
                <w:sz w:val="24"/>
                <w:highlight w:val="none"/>
              </w:rPr>
              <w:t>过程防控</w:t>
            </w:r>
          </w:p>
          <w:p w14:paraId="04F8979D">
            <w:pPr>
              <w:keepNext w:val="0"/>
              <w:keepLines w:val="0"/>
              <w:suppressLineNumbers w:val="0"/>
              <w:spacing w:before="0" w:beforeAutospacing="0" w:after="0" w:afterAutospacing="0" w:line="500" w:lineRule="exact"/>
              <w:ind w:left="0" w:right="0" w:firstLine="480" w:firstLineChars="200"/>
              <w:jc w:val="left"/>
              <w:rPr>
                <w:rFonts w:hint="eastAsia" w:eastAsia="宋体"/>
                <w:color w:val="auto"/>
                <w:kern w:val="0"/>
                <w:sz w:val="24"/>
                <w:highlight w:val="none"/>
                <w:lang w:eastAsia="zh-CN"/>
              </w:rPr>
            </w:pPr>
            <w:r>
              <w:rPr>
                <w:rFonts w:hint="eastAsia"/>
                <w:color w:val="auto"/>
                <w:kern w:val="0"/>
                <w:sz w:val="24"/>
                <w:highlight w:val="none"/>
              </w:rPr>
              <w:t>根据工艺设置情况，生产工艺区进行厂区硬化，阻断粉尘、直接降落对土壤及地下水的影响。项目厂区范围内采取绿化措施，种植具有较强吸附能力的植物，降低粉尘、苯并芘等对土壤的影响。</w:t>
            </w:r>
          </w:p>
          <w:p w14:paraId="7F9D567E">
            <w:pPr>
              <w:keepNext w:val="0"/>
              <w:keepLines w:val="0"/>
              <w:suppressLineNumbers w:val="0"/>
              <w:spacing w:before="0" w:beforeAutospacing="0" w:after="0" w:afterAutospacing="0" w:line="500" w:lineRule="exact"/>
              <w:ind w:left="0" w:right="0" w:firstLine="480" w:firstLineChars="200"/>
              <w:jc w:val="left"/>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3</w:t>
            </w:r>
            <w:r>
              <w:rPr>
                <w:rFonts w:hint="eastAsia"/>
                <w:color w:val="auto"/>
                <w:kern w:val="0"/>
                <w:sz w:val="24"/>
                <w:highlight w:val="none"/>
                <w:lang w:eastAsia="zh-CN"/>
              </w:rPr>
              <w:t>）</w:t>
            </w:r>
            <w:r>
              <w:rPr>
                <w:rFonts w:hint="eastAsia"/>
                <w:color w:val="auto"/>
                <w:kern w:val="0"/>
                <w:sz w:val="24"/>
                <w:highlight w:val="none"/>
              </w:rPr>
              <w:t>防渗工程</w:t>
            </w:r>
          </w:p>
          <w:p w14:paraId="5F8E7806">
            <w:pPr>
              <w:keepNext w:val="0"/>
              <w:keepLines w:val="0"/>
              <w:suppressLineNumbers w:val="0"/>
              <w:spacing w:before="0" w:beforeAutospacing="0" w:after="0" w:afterAutospacing="0" w:line="500" w:lineRule="exact"/>
              <w:ind w:left="0" w:right="0" w:firstLine="480" w:firstLineChars="200"/>
              <w:jc w:val="left"/>
              <w:rPr>
                <w:rFonts w:hint="eastAsia"/>
                <w:color w:val="auto"/>
                <w:kern w:val="0"/>
                <w:sz w:val="24"/>
                <w:highlight w:val="none"/>
              </w:rPr>
            </w:pPr>
            <w:r>
              <w:rPr>
                <w:rFonts w:hint="eastAsia"/>
                <w:color w:val="auto"/>
                <w:kern w:val="0"/>
                <w:sz w:val="24"/>
                <w:highlight w:val="none"/>
              </w:rPr>
              <w:t>根据各厂区可能泄漏至地面区域污染物的性质和生产单元的构筑方式，以及潜在的地下水污染源分类分析，将厂区划分为简单防渗区和</w:t>
            </w:r>
            <w:r>
              <w:rPr>
                <w:rFonts w:hint="eastAsia"/>
                <w:color w:val="auto"/>
                <w:kern w:val="0"/>
                <w:sz w:val="24"/>
                <w:highlight w:val="none"/>
                <w:lang w:eastAsia="zh-CN"/>
              </w:rPr>
              <w:t>重点</w:t>
            </w:r>
            <w:r>
              <w:rPr>
                <w:rFonts w:hint="eastAsia"/>
                <w:color w:val="auto"/>
                <w:kern w:val="0"/>
                <w:sz w:val="24"/>
                <w:highlight w:val="none"/>
              </w:rPr>
              <w:t>防渗区。本项目的简单防渗区为厂房内其他地面及地上建构筑物。本项目的</w:t>
            </w:r>
            <w:r>
              <w:rPr>
                <w:rFonts w:hint="eastAsia"/>
                <w:color w:val="auto"/>
                <w:kern w:val="0"/>
                <w:sz w:val="24"/>
                <w:highlight w:val="none"/>
                <w:lang w:eastAsia="zh-CN"/>
              </w:rPr>
              <w:t>重点</w:t>
            </w:r>
            <w:r>
              <w:rPr>
                <w:rFonts w:hint="eastAsia"/>
                <w:color w:val="auto"/>
                <w:kern w:val="0"/>
                <w:sz w:val="24"/>
                <w:highlight w:val="none"/>
              </w:rPr>
              <w:t>防渗区为设备区(主要为柴油储罐区及导热油炉)及危废暂存间。基础必须防渗，防渗层至少1m厚黏土层(渗透系数≤10</w:t>
            </w:r>
            <w:r>
              <w:rPr>
                <w:rFonts w:hint="eastAsia"/>
                <w:color w:val="auto"/>
                <w:kern w:val="0"/>
                <w:sz w:val="24"/>
                <w:highlight w:val="none"/>
                <w:vertAlign w:val="superscript"/>
              </w:rPr>
              <w:t>-7</w:t>
            </w:r>
            <w:r>
              <w:rPr>
                <w:rFonts w:hint="eastAsia"/>
                <w:color w:val="auto"/>
                <w:kern w:val="0"/>
                <w:sz w:val="24"/>
                <w:highlight w:val="none"/>
              </w:rPr>
              <w:t>cm/s)，渗透系数≤10</w:t>
            </w:r>
            <w:r>
              <w:rPr>
                <w:rFonts w:hint="eastAsia"/>
                <w:color w:val="auto"/>
                <w:kern w:val="0"/>
                <w:sz w:val="24"/>
                <w:highlight w:val="none"/>
                <w:vertAlign w:val="superscript"/>
              </w:rPr>
              <w:t>-10</w:t>
            </w:r>
            <w:r>
              <w:rPr>
                <w:rFonts w:hint="eastAsia"/>
                <w:color w:val="auto"/>
                <w:kern w:val="0"/>
                <w:sz w:val="24"/>
                <w:highlight w:val="none"/>
              </w:rPr>
              <w:t>cm/s。</w:t>
            </w:r>
          </w:p>
          <w:p w14:paraId="4919D2EB">
            <w:pPr>
              <w:keepNext w:val="0"/>
              <w:keepLines w:val="0"/>
              <w:suppressLineNumbers w:val="0"/>
              <w:spacing w:before="0" w:beforeAutospacing="0" w:after="0" w:afterAutospacing="0" w:line="500" w:lineRule="exact"/>
              <w:ind w:left="0" w:right="0" w:firstLine="480" w:firstLineChars="200"/>
              <w:jc w:val="left"/>
              <w:rPr>
                <w:rFonts w:hint="eastAsia"/>
                <w:color w:val="auto"/>
                <w:kern w:val="0"/>
                <w:sz w:val="24"/>
                <w:highlight w:val="none"/>
              </w:rPr>
            </w:pPr>
            <w:r>
              <w:rPr>
                <w:rFonts w:hint="eastAsia"/>
                <w:color w:val="auto"/>
                <w:kern w:val="0"/>
                <w:sz w:val="24"/>
                <w:highlight w:val="none"/>
                <w:lang w:eastAsia="zh-CN"/>
              </w:rPr>
              <w:t>（</w:t>
            </w:r>
            <w:r>
              <w:rPr>
                <w:rFonts w:hint="eastAsia"/>
                <w:color w:val="auto"/>
                <w:kern w:val="0"/>
                <w:sz w:val="24"/>
                <w:highlight w:val="none"/>
                <w:lang w:val="en-US" w:eastAsia="zh-CN"/>
              </w:rPr>
              <w:t>4</w:t>
            </w:r>
            <w:r>
              <w:rPr>
                <w:rFonts w:hint="eastAsia"/>
                <w:color w:val="auto"/>
                <w:kern w:val="0"/>
                <w:sz w:val="24"/>
                <w:highlight w:val="none"/>
                <w:lang w:eastAsia="zh-CN"/>
              </w:rPr>
              <w:t>）</w:t>
            </w:r>
            <w:r>
              <w:rPr>
                <w:rFonts w:hint="eastAsia"/>
                <w:color w:val="auto"/>
                <w:kern w:val="0"/>
                <w:sz w:val="24"/>
                <w:highlight w:val="none"/>
              </w:rPr>
              <w:t>跟踪监测要求</w:t>
            </w:r>
          </w:p>
          <w:p w14:paraId="77C368DD">
            <w:pPr>
              <w:keepNext w:val="0"/>
              <w:keepLines w:val="0"/>
              <w:suppressLineNumbers w:val="0"/>
              <w:spacing w:before="0" w:beforeAutospacing="0" w:after="0" w:afterAutospacing="0" w:line="500" w:lineRule="exact"/>
              <w:ind w:left="0" w:right="0" w:firstLine="480" w:firstLineChars="200"/>
              <w:jc w:val="left"/>
              <w:rPr>
                <w:rFonts w:hint="eastAsia" w:eastAsia="宋体"/>
                <w:color w:val="auto"/>
                <w:kern w:val="0"/>
                <w:sz w:val="24"/>
                <w:highlight w:val="none"/>
                <w:lang w:eastAsia="zh-CN"/>
              </w:rPr>
            </w:pPr>
            <w:r>
              <w:rPr>
                <w:rFonts w:hint="eastAsia"/>
                <w:color w:val="auto"/>
                <w:kern w:val="0"/>
                <w:sz w:val="24"/>
                <w:highlight w:val="none"/>
              </w:rPr>
              <w:t>参照《环境影响评价技术导则地下水环境》(HJ610-2016)，本项目为地下水环境影响评价项目类别为Ⅳ类，Ⅳ类项目无地下水环境跟踪监测要求；参照《环境影响评价技术导则-土壤环境(试行)》(HJ964-2018)，本项目需在必要时展开跟踪监测，每5年进行一次跟踪监测</w:t>
            </w:r>
            <w:r>
              <w:rPr>
                <w:rFonts w:hint="eastAsia"/>
                <w:color w:val="auto"/>
                <w:kern w:val="0"/>
                <w:sz w:val="24"/>
                <w:highlight w:val="none"/>
                <w:lang w:eastAsia="zh-CN"/>
              </w:rPr>
              <w:t>，主要监测因子为石油烃及苯并[a]芘。</w:t>
            </w:r>
          </w:p>
          <w:p w14:paraId="4D7D606D">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eastAsia="zh-CN"/>
              </w:rPr>
              <w:t>（</w:t>
            </w:r>
            <w:r>
              <w:rPr>
                <w:rFonts w:hint="eastAsia" w:ascii="Times New Roman" w:hAnsi="Times New Roman" w:eastAsia="宋体" w:cs="Times New Roman"/>
                <w:b/>
                <w:bCs/>
                <w:color w:val="auto"/>
                <w:sz w:val="24"/>
                <w:highlight w:val="none"/>
                <w:lang w:val="en-US" w:eastAsia="zh-CN"/>
              </w:rPr>
              <w:t>七</w:t>
            </w:r>
            <w:r>
              <w:rPr>
                <w:rFonts w:hint="eastAsia" w:ascii="Times New Roman" w:hAnsi="Times New Roman" w:eastAsia="宋体" w:cs="Times New Roman"/>
                <w:b/>
                <w:bCs/>
                <w:color w:val="auto"/>
                <w:sz w:val="24"/>
                <w:highlight w:val="none"/>
                <w:lang w:eastAsia="zh-CN"/>
              </w:rPr>
              <w:t>）</w:t>
            </w:r>
            <w:r>
              <w:rPr>
                <w:rFonts w:hint="eastAsia" w:ascii="Times New Roman" w:hAnsi="Times New Roman" w:eastAsia="宋体" w:cs="Times New Roman"/>
                <w:b/>
                <w:bCs/>
                <w:color w:val="auto"/>
                <w:sz w:val="24"/>
                <w:highlight w:val="none"/>
                <w:lang w:val="en-US" w:eastAsia="zh-CN"/>
              </w:rPr>
              <w:t>环境风险</w:t>
            </w:r>
          </w:p>
          <w:p w14:paraId="6521E8C3">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1、风险调查及风险潜势初判</w:t>
            </w:r>
          </w:p>
          <w:p w14:paraId="7B35A3F1">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rPr>
              <w:t>按照《建设项目环境风险评价技术导则》（HJ169-2018）附录B，本项目主要风险源包括</w:t>
            </w:r>
            <w:r>
              <w:rPr>
                <w:rFonts w:hint="eastAsia" w:cs="Times New Roman"/>
                <w:color w:val="auto"/>
                <w:kern w:val="0"/>
                <w:sz w:val="24"/>
                <w:highlight w:val="none"/>
                <w:lang w:eastAsia="zh-CN"/>
              </w:rPr>
              <w:t>柴油、重油</w:t>
            </w:r>
            <w:r>
              <w:rPr>
                <w:rFonts w:hint="eastAsia" w:ascii="Times New Roman" w:hAnsi="Times New Roman" w:eastAsia="宋体" w:cs="Times New Roman"/>
                <w:color w:val="auto"/>
                <w:kern w:val="0"/>
                <w:sz w:val="24"/>
                <w:highlight w:val="none"/>
              </w:rPr>
              <w:t>、废机油等物质。</w:t>
            </w:r>
            <w:r>
              <w:rPr>
                <w:rFonts w:hint="eastAsia" w:cs="Times New Roman"/>
                <w:color w:val="auto"/>
                <w:kern w:val="0"/>
                <w:sz w:val="24"/>
                <w:highlight w:val="none"/>
                <w:lang w:eastAsia="zh-CN"/>
              </w:rPr>
              <w:t>柴油及重油</w:t>
            </w:r>
            <w:r>
              <w:rPr>
                <w:rFonts w:hint="eastAsia" w:ascii="Times New Roman" w:hAnsi="Times New Roman" w:eastAsia="宋体" w:cs="Times New Roman"/>
                <w:color w:val="auto"/>
                <w:kern w:val="0"/>
                <w:sz w:val="24"/>
                <w:highlight w:val="none"/>
              </w:rPr>
              <w:t>存放位置为储罐，位于厂区中间位置储罐区；废机油暂存位置为危废暂存间</w:t>
            </w:r>
            <w:r>
              <w:rPr>
                <w:rFonts w:hint="eastAsia" w:ascii="Times New Roman" w:hAnsi="Times New Roman" w:eastAsia="宋体" w:cs="Times New Roman"/>
                <w:color w:val="auto"/>
                <w:kern w:val="0"/>
                <w:sz w:val="24"/>
                <w:highlight w:val="none"/>
                <w:lang w:val="en-US" w:eastAsia="zh-CN"/>
              </w:rPr>
              <w:t>，</w:t>
            </w:r>
            <w:r>
              <w:rPr>
                <w:rFonts w:hint="eastAsia" w:cs="Times New Roman"/>
                <w:color w:val="auto"/>
                <w:kern w:val="0"/>
                <w:sz w:val="24"/>
                <w:highlight w:val="none"/>
                <w:lang w:val="en-US" w:eastAsia="zh-CN"/>
              </w:rPr>
              <w:t>本项目油类物质合计存储量为40.11t，油类存储临界值为2500t，故本项目危险物质数量与临界量比值(Q)为Q=40.11/2500=0.0160(&lt;1.0)，本项目风险潜式为Ⅰ</w:t>
            </w:r>
            <w:r>
              <w:rPr>
                <w:rFonts w:hint="eastAsia" w:ascii="Times New Roman" w:hAnsi="Times New Roman" w:eastAsia="宋体" w:cs="Times New Roman"/>
                <w:color w:val="auto"/>
                <w:kern w:val="0"/>
                <w:sz w:val="24"/>
                <w:highlight w:val="none"/>
                <w:lang w:val="en-US" w:eastAsia="zh-CN"/>
              </w:rPr>
              <w:t>。</w:t>
            </w:r>
            <w:r>
              <w:rPr>
                <w:rFonts w:hint="eastAsia"/>
                <w:color w:val="0000FF"/>
                <w:sz w:val="24"/>
                <w:szCs w:val="24"/>
                <w:lang w:val="en-US" w:eastAsia="zh-CN"/>
              </w:rPr>
              <w:t>本项目风险评价级别简单分析。</w:t>
            </w:r>
          </w:p>
          <w:p w14:paraId="1CF3106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2、</w:t>
            </w:r>
            <w:r>
              <w:rPr>
                <w:rFonts w:hint="eastAsia" w:ascii="Times New Roman" w:hAnsi="Times New Roman" w:eastAsia="宋体" w:cs="Times New Roman"/>
                <w:color w:val="auto"/>
                <w:kern w:val="0"/>
                <w:sz w:val="24"/>
                <w:highlight w:val="none"/>
                <w:lang w:val="en-US" w:eastAsia="zh-CN"/>
              </w:rPr>
              <w:t>环境敏感目标概况</w:t>
            </w:r>
          </w:p>
          <w:p w14:paraId="70E5BBC4">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《建设项目环境风险评价技术导则》(HJ169-2018)中风险潜势为</w:t>
            </w:r>
            <w:r>
              <w:rPr>
                <w:rFonts w:hint="eastAsia" w:cs="Times New Roman"/>
                <w:color w:val="auto"/>
                <w:kern w:val="0"/>
                <w:sz w:val="24"/>
                <w:highlight w:val="none"/>
                <w:lang w:val="en-US" w:eastAsia="zh-CN"/>
              </w:rPr>
              <w:t>Ⅰ</w:t>
            </w:r>
            <w:r>
              <w:rPr>
                <w:rFonts w:hint="eastAsia" w:ascii="Times New Roman" w:hAnsi="Times New Roman" w:eastAsia="宋体" w:cs="Times New Roman"/>
                <w:color w:val="auto"/>
                <w:kern w:val="0"/>
                <w:sz w:val="24"/>
                <w:highlight w:val="none"/>
                <w:lang w:val="en-US" w:eastAsia="zh-CN"/>
              </w:rPr>
              <w:t>的建设项目尚未明确具体的评价范围。</w:t>
            </w:r>
          </w:p>
          <w:p w14:paraId="1F886B34">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3、</w:t>
            </w:r>
            <w:r>
              <w:rPr>
                <w:rFonts w:hint="eastAsia" w:ascii="Times New Roman" w:hAnsi="Times New Roman" w:eastAsia="宋体" w:cs="Times New Roman"/>
                <w:color w:val="auto"/>
                <w:kern w:val="0"/>
                <w:sz w:val="24"/>
                <w:highlight w:val="none"/>
                <w:lang w:val="en-US" w:eastAsia="zh-CN"/>
              </w:rPr>
              <w:t>环境风险识别</w:t>
            </w:r>
          </w:p>
          <w:p w14:paraId="62B294B4">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①环境空气：油类燃烧释放的大量的有害气体，造成大气环境污染。</w:t>
            </w:r>
          </w:p>
          <w:p w14:paraId="2EC1CA0E">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②地表水环境：油类物质泄漏可能会对地表水环境造成一定的影响。</w:t>
            </w:r>
          </w:p>
          <w:p w14:paraId="50857A79">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③地下水、土壤环境：油类物质泄漏可能导致对地下水、土壤环境造成污染</w:t>
            </w:r>
          </w:p>
          <w:p w14:paraId="67690439">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4、</w:t>
            </w:r>
            <w:r>
              <w:rPr>
                <w:rFonts w:hint="eastAsia" w:ascii="Times New Roman" w:hAnsi="Times New Roman" w:eastAsia="宋体" w:cs="Times New Roman"/>
                <w:color w:val="auto"/>
                <w:kern w:val="0"/>
                <w:sz w:val="24"/>
                <w:highlight w:val="none"/>
                <w:lang w:val="en-US" w:eastAsia="zh-CN"/>
              </w:rPr>
              <w:t>风险防范措施</w:t>
            </w:r>
          </w:p>
          <w:p w14:paraId="6616EA40">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“预防为主”是安全生产的原则，加强预防工作，从管理着手，把风险事故的发生和影响降到最低程度，针对本项目的生产特点，特别要注意以下几点：</w:t>
            </w:r>
          </w:p>
          <w:p w14:paraId="1C0A7213">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严格按照工业安全生产规定，设置安全监控点，按中华全国总工会职业危害安全监控法执行；对生产设备进行定期检测，对关键设备进行不定期探伤测试；安排专人对储罐进行定期检修及管理，做到责任到人，加强安全检查值班制度的落实，发现问题及时汇报；自带储罐地面进行硬化、防渗并建设围堰；员工熟练掌握站内各种设备的技术性能和使用方法；储罐区设置灭火器、消防沙等消防器材；编制突发环境事件应急预案并定期进行安全演练。</w:t>
            </w:r>
          </w:p>
          <w:p w14:paraId="68494E6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针对本项目环境风险，本环评建议采取如下风险防范措施：</w:t>
            </w:r>
          </w:p>
          <w:p w14:paraId="1C9A2C8C">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①本项目在平面布置中，应严格执行安全和防火的相关技术规范，项目与周边设施及项目内设备之间的防火间距要满足规范要求。</w:t>
            </w:r>
          </w:p>
          <w:p w14:paraId="0BB6321C">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②加强岗位人员的技术培训和安全知识培训工作的业务素质。加强岗位操作管理，严格执行操作规程和工艺指标。</w:t>
            </w:r>
          </w:p>
          <w:p w14:paraId="44C6E112">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③应加强火灾风险防范措施，包括加强明火管理，严禁擅自乱拉、乱接电源线路，不得随意增设电器设备；各电气设备的导线、接点、开关不得有断线、老化、裸漏、破损等。加强消防通道、安全疏散通道的管理，保障其通畅。加强公司假日及夜间消防安全管理等。</w:t>
            </w:r>
          </w:p>
          <w:p w14:paraId="5B7D8E0D">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④配备一定数目的小型移动式灭火器，用以扑灭初期小型火灾。同时应加强员工培训，使其熟练掌握灭火器的使用。另外还应加强对灭火器的维护保养，灭火器应正立在固定场所，严禁潮湿，日晒，撞击，定期检查筒内或瓶内干粉是否结块，CO</w:t>
            </w:r>
            <w:r>
              <w:rPr>
                <w:rFonts w:hint="eastAsia" w:ascii="Times New Roman" w:hAnsi="Times New Roman" w:eastAsia="宋体" w:cs="Times New Roman"/>
                <w:color w:val="auto"/>
                <w:kern w:val="0"/>
                <w:sz w:val="24"/>
                <w:highlight w:val="none"/>
                <w:vertAlign w:val="subscript"/>
                <w:lang w:val="en-US" w:eastAsia="zh-CN"/>
              </w:rPr>
              <w:t>2</w:t>
            </w:r>
            <w:r>
              <w:rPr>
                <w:rFonts w:hint="eastAsia" w:ascii="Times New Roman" w:hAnsi="Times New Roman" w:eastAsia="宋体" w:cs="Times New Roman"/>
                <w:color w:val="auto"/>
                <w:kern w:val="0"/>
                <w:sz w:val="24"/>
                <w:highlight w:val="none"/>
                <w:lang w:val="en-US" w:eastAsia="zh-CN"/>
              </w:rPr>
              <w:t>是否充足。</w:t>
            </w:r>
          </w:p>
          <w:p w14:paraId="45E23A29">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⑤在罐区设防渗围堰防止沥青泄露污染地下水。</w:t>
            </w:r>
          </w:p>
          <w:p w14:paraId="5792BA67">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⑥如发生废矿物油泄露事故，切断污染源的基本方案泄漏：用泵将泄漏油罐中的残油转移至槽车或专用收集器内。抢险救护组可对泄漏处进行堵漏，避免持续泄漏；少量泄漏可以允许油品储罐内的油品暂存于防泄露池内，大量泄漏应将油品罐内油品用防爆泵抽至罐车，带油罐检修结束后再导入罐内，围堰内残余油品抽走外委处理。</w:t>
            </w:r>
          </w:p>
          <w:p w14:paraId="5E591BDA">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(5)应急预案</w:t>
            </w:r>
          </w:p>
          <w:p w14:paraId="0365E140">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根据《企业事业单位突发环境事件应急预案备案管理办法(试行)》(环发[2015]4号)及《关于进一步加强环境影响评价管理防范环境风险的通知》(环发[2012]71号)，企业应自行或委托相关单位编制突发环境事件应急预案，报当地环保部门备案，定期做好应急演练。</w:t>
            </w:r>
          </w:p>
          <w:p w14:paraId="2AC315A2">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环境应急预案内容一般包括：</w:t>
            </w:r>
          </w:p>
          <w:p w14:paraId="17EA987B">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a.总则，包括编制依据、适用范围和工作原则等；</w:t>
            </w:r>
          </w:p>
          <w:p w14:paraId="42EE60D0">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b.基本情况，包括公司基本概况、环境污染事故分析源基本情况、企业周边环境概况等；</w:t>
            </w:r>
          </w:p>
          <w:p w14:paraId="2D7B74B5">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c环境风险源及环境风险评价，包括环境污染事故污染源识别、环境污染事</w:t>
            </w:r>
          </w:p>
          <w:p w14:paraId="1E62B125">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故污染源风险分析、事故状态下排放污染物分析、最大可信事故等；</w:t>
            </w:r>
          </w:p>
          <w:p w14:paraId="5F0A9F56">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d.组织机构与职责，包括指挥机构及职责；</w:t>
            </w:r>
          </w:p>
          <w:p w14:paraId="14B937BA">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e.预防与预警，包括环境污染事故危险源监控、预警行动等；f.信息报告和通报，包括信息报告与通过、信息上报、通报等；</w:t>
            </w:r>
          </w:p>
          <w:p w14:paraId="16CC40F3">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g.应急响应和救援措施，包括启动条件、应急救援等；</w:t>
            </w:r>
          </w:p>
          <w:p w14:paraId="4DBC453C">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h.应急监测；</w:t>
            </w:r>
          </w:p>
          <w:p w14:paraId="5804A6E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i.现场保护与现场洗消；</w:t>
            </w:r>
          </w:p>
          <w:p w14:paraId="7D339FB9">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j.应急终止；</w:t>
            </w:r>
          </w:p>
          <w:p w14:paraId="1C5BA007">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k.应急终止后的行动；</w:t>
            </w:r>
          </w:p>
          <w:p w14:paraId="1818747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l.善后处置；</w:t>
            </w:r>
          </w:p>
          <w:p w14:paraId="6BDFBD1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m.应急演练，包括演习方案、演习记录与总结；</w:t>
            </w:r>
          </w:p>
          <w:p w14:paraId="7AC8475F">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n.保证措施，包括通讯与信息保障、应急物资准备保障、经费保障；</w:t>
            </w:r>
          </w:p>
          <w:p w14:paraId="519049A7">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o.预案实施和生效时间；</w:t>
            </w:r>
          </w:p>
          <w:p w14:paraId="66DC1E95">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p.相关附件及附则。</w:t>
            </w:r>
          </w:p>
          <w:p w14:paraId="0873D458">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应急预案具体内容应根据《企业事业单位突发环境事件应急预案备案管理办法(试行)》(环发[2015]4号)及《关于进一步加强环境影响评价管理防范环境风险的通知》(环发[2012]71号)编制应急预案并进行评估备案。</w:t>
            </w:r>
          </w:p>
          <w:p w14:paraId="08A713B7">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(6)风险评价结论</w:t>
            </w:r>
          </w:p>
          <w:p w14:paraId="6DD21550">
            <w:pPr>
              <w:keepNext w:val="0"/>
              <w:keepLines w:val="0"/>
              <w:suppressLineNumbers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本项目的环境风险主要表现为废矿物油发生的泄漏事故导致的大气、水体以及土壤的环境污染。企业按照要求建设环保设施，做好物料的运输、储存工作，严格做好安全生产工作，尽量避免泄漏事故的发生，同时制定紧急预案，使事故得到及时有效的控制，缩短事故发生的持续时间，可以大大降低对周围环境的影响。</w:t>
            </w:r>
          </w:p>
          <w:p w14:paraId="3E035615">
            <w:pPr>
              <w:keepNext w:val="0"/>
              <w:keepLines w:val="0"/>
              <w:suppressLineNumbers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kern w:val="0"/>
                <w:sz w:val="24"/>
                <w:highlight w:val="none"/>
                <w:lang w:val="en-US" w:eastAsia="zh-CN"/>
              </w:rPr>
            </w:pPr>
          </w:p>
          <w:p w14:paraId="77A7FCBF">
            <w:pPr>
              <w:pStyle w:val="27"/>
              <w:keepNext w:val="0"/>
              <w:keepLines w:val="0"/>
              <w:suppressLineNumbers w:val="0"/>
              <w:spacing w:before="0" w:beforeAutospacing="0" w:after="0" w:afterAutospacing="0"/>
              <w:ind w:left="0" w:leftChars="0" w:right="0" w:firstLine="0" w:firstLineChars="0"/>
              <w:rPr>
                <w:rFonts w:hint="default"/>
                <w:color w:val="auto"/>
              </w:rPr>
            </w:pPr>
          </w:p>
        </w:tc>
      </w:tr>
    </w:tbl>
    <w:p w14:paraId="1C462B37">
      <w:pPr>
        <w:adjustRightInd w:val="0"/>
        <w:snapToGrid w:val="0"/>
        <w:spacing w:line="360" w:lineRule="auto"/>
        <w:rPr>
          <w:rFonts w:hint="default" w:ascii="Times New Roman" w:hAnsi="Times New Roman" w:cs="Times New Roman"/>
          <w:b/>
          <w:color w:val="auto"/>
          <w:kern w:val="0"/>
          <w:sz w:val="28"/>
          <w:szCs w:val="28"/>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p w14:paraId="630ECFB0">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rPr>
      </w:pPr>
      <w:bookmarkStart w:id="79" w:name="_Toc24709"/>
      <w:bookmarkStart w:id="80" w:name="_Toc12979"/>
      <w:r>
        <w:rPr>
          <w:rFonts w:hint="default" w:ascii="Times New Roman" w:hAnsi="Times New Roman" w:eastAsia="黑体" w:cs="Times New Roman"/>
          <w:snapToGrid w:val="0"/>
          <w:color w:val="auto"/>
          <w:sz w:val="30"/>
          <w:szCs w:val="30"/>
        </w:rPr>
        <w:t>五、</w:t>
      </w:r>
      <w:bookmarkStart w:id="81" w:name="_Hlk54167917"/>
      <w:r>
        <w:rPr>
          <w:rFonts w:hint="default" w:ascii="Times New Roman" w:hAnsi="Times New Roman" w:eastAsia="黑体" w:cs="Times New Roman"/>
          <w:snapToGrid w:val="0"/>
          <w:color w:val="auto"/>
          <w:sz w:val="30"/>
          <w:szCs w:val="30"/>
        </w:rPr>
        <w:t>环境保护措施监督检查清单</w:t>
      </w:r>
      <w:bookmarkEnd w:id="79"/>
      <w:bookmarkEnd w:id="80"/>
      <w:bookmarkEnd w:id="81"/>
    </w:p>
    <w:tbl>
      <w:tblPr>
        <w:tblStyle w:val="144"/>
        <w:tblW w:w="8800" w:type="dxa"/>
        <w:tblInd w:w="10" w:type="dxa"/>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1261"/>
        <w:gridCol w:w="1696"/>
        <w:gridCol w:w="1700"/>
        <w:gridCol w:w="1980"/>
        <w:gridCol w:w="2163"/>
      </w:tblGrid>
      <w:tr w14:paraId="7A7E1828">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261" w:type="dxa"/>
            <w:vMerge w:val="restart"/>
            <w:tcBorders>
              <w:tl2br w:val="nil"/>
              <w:tr2bl w:val="nil"/>
            </w:tcBorders>
            <w:vAlign w:val="top"/>
          </w:tcPr>
          <w:p w14:paraId="457F4108">
            <w:pPr>
              <w:spacing w:before="49" w:line="227" w:lineRule="auto"/>
              <w:ind w:left="106" w:right="192" w:firstLine="508"/>
              <w:rPr>
                <w:rFonts w:ascii="宋体" w:hAnsi="宋体" w:eastAsia="宋体" w:cs="宋体"/>
                <w:color w:val="auto"/>
                <w:sz w:val="24"/>
                <w:szCs w:val="24"/>
                <w:u w:val="none" w:color="auto"/>
              </w:rPr>
            </w:pPr>
            <w:r>
              <w:rPr>
                <w:rFonts w:ascii="宋体" w:hAnsi="宋体" w:eastAsia="宋体" w:cs="宋体"/>
                <w:color w:val="auto"/>
                <w:spacing w:val="-20"/>
                <w:sz w:val="24"/>
                <w:szCs w:val="24"/>
                <w:u w:val="none" w:color="auto"/>
              </w:rPr>
              <w:t>内</w:t>
            </w:r>
            <w:r>
              <w:rPr>
                <w:rFonts w:ascii="宋体" w:hAnsi="宋体" w:eastAsia="宋体" w:cs="宋体"/>
                <w:color w:val="auto"/>
                <w:spacing w:val="-19"/>
                <w:sz w:val="24"/>
                <w:szCs w:val="24"/>
                <w:u w:val="none" w:color="auto"/>
              </w:rPr>
              <w:t>容</w:t>
            </w:r>
            <w:r>
              <w:rPr>
                <w:rFonts w:ascii="宋体" w:hAnsi="宋体" w:eastAsia="宋体" w:cs="宋体"/>
                <w:color w:val="auto"/>
                <w:spacing w:val="-4"/>
                <w:sz w:val="24"/>
                <w:szCs w:val="24"/>
                <w:u w:val="none" w:color="auto"/>
              </w:rPr>
              <w:t>要</w:t>
            </w:r>
            <w:r>
              <w:rPr>
                <w:rFonts w:ascii="宋体" w:hAnsi="宋体" w:eastAsia="宋体" w:cs="宋体"/>
                <w:color w:val="auto"/>
                <w:spacing w:val="-2"/>
                <w:sz w:val="24"/>
                <w:szCs w:val="24"/>
                <w:u w:val="none" w:color="auto"/>
              </w:rPr>
              <w:t>素</w:t>
            </w:r>
          </w:p>
        </w:tc>
        <w:tc>
          <w:tcPr>
            <w:tcW w:w="1696" w:type="dxa"/>
            <w:tcBorders>
              <w:tl2br w:val="nil"/>
              <w:tr2bl w:val="nil"/>
            </w:tcBorders>
            <w:vAlign w:val="top"/>
          </w:tcPr>
          <w:p w14:paraId="2EA81732">
            <w:pPr>
              <w:spacing w:before="5" w:line="291" w:lineRule="exact"/>
              <w:ind w:left="107"/>
              <w:rPr>
                <w:rFonts w:ascii="宋体" w:hAnsi="宋体" w:eastAsia="宋体" w:cs="宋体"/>
                <w:color w:val="auto"/>
                <w:sz w:val="24"/>
                <w:szCs w:val="24"/>
                <w:u w:val="none" w:color="auto"/>
              </w:rPr>
            </w:pPr>
            <w:r>
              <w:rPr>
                <w:rFonts w:ascii="宋体" w:hAnsi="宋体" w:eastAsia="宋体" w:cs="宋体"/>
                <w:color w:val="auto"/>
                <w:spacing w:val="24"/>
                <w:position w:val="2"/>
                <w:sz w:val="24"/>
                <w:szCs w:val="24"/>
                <w:u w:val="none" w:color="auto"/>
              </w:rPr>
              <w:t>排</w:t>
            </w:r>
            <w:r>
              <w:rPr>
                <w:rFonts w:ascii="宋体" w:hAnsi="宋体" w:eastAsia="宋体" w:cs="宋体"/>
                <w:color w:val="auto"/>
                <w:spacing w:val="21"/>
                <w:position w:val="2"/>
                <w:sz w:val="24"/>
                <w:szCs w:val="24"/>
                <w:u w:val="none" w:color="auto"/>
              </w:rPr>
              <w:t>放口</w:t>
            </w:r>
            <w:r>
              <w:rPr>
                <w:rFonts w:ascii="Times New Roman" w:hAnsi="Times New Roman" w:eastAsia="Times New Roman" w:cs="Times New Roman"/>
                <w:color w:val="auto"/>
                <w:spacing w:val="21"/>
                <w:position w:val="2"/>
                <w:sz w:val="24"/>
                <w:szCs w:val="24"/>
                <w:u w:val="none" w:color="auto"/>
              </w:rPr>
              <w:t>(</w:t>
            </w:r>
            <w:r>
              <w:rPr>
                <w:rFonts w:ascii="宋体" w:hAnsi="宋体" w:eastAsia="宋体" w:cs="宋体"/>
                <w:color w:val="auto"/>
                <w:spacing w:val="21"/>
                <w:position w:val="2"/>
                <w:sz w:val="24"/>
                <w:szCs w:val="24"/>
                <w:u w:val="none" w:color="auto"/>
              </w:rPr>
              <w:t>编号、</w:t>
            </w:r>
          </w:p>
        </w:tc>
        <w:tc>
          <w:tcPr>
            <w:tcW w:w="1700" w:type="dxa"/>
            <w:vMerge w:val="restart"/>
            <w:tcBorders>
              <w:tl2br w:val="nil"/>
              <w:tr2bl w:val="nil"/>
            </w:tcBorders>
            <w:vAlign w:val="top"/>
          </w:tcPr>
          <w:p w14:paraId="29E7C8AF">
            <w:pPr>
              <w:spacing w:before="204" w:line="220" w:lineRule="auto"/>
              <w:ind w:left="253"/>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污</w:t>
            </w:r>
            <w:r>
              <w:rPr>
                <w:rFonts w:ascii="宋体" w:hAnsi="宋体" w:eastAsia="宋体" w:cs="宋体"/>
                <w:color w:val="auto"/>
                <w:spacing w:val="-2"/>
                <w:sz w:val="24"/>
                <w:szCs w:val="24"/>
                <w:u w:val="none" w:color="auto"/>
              </w:rPr>
              <w:t>染物项目</w:t>
            </w:r>
          </w:p>
        </w:tc>
        <w:tc>
          <w:tcPr>
            <w:tcW w:w="1980" w:type="dxa"/>
            <w:vMerge w:val="restart"/>
            <w:tcBorders>
              <w:tl2br w:val="nil"/>
              <w:tr2bl w:val="nil"/>
            </w:tcBorders>
            <w:vAlign w:val="top"/>
          </w:tcPr>
          <w:p w14:paraId="5EB03202">
            <w:pPr>
              <w:spacing w:before="205" w:line="220" w:lineRule="auto"/>
              <w:ind w:left="275"/>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环境</w:t>
            </w:r>
            <w:r>
              <w:rPr>
                <w:rFonts w:ascii="宋体" w:hAnsi="宋体" w:eastAsia="宋体" w:cs="宋体"/>
                <w:color w:val="auto"/>
                <w:spacing w:val="-1"/>
                <w:sz w:val="24"/>
                <w:szCs w:val="24"/>
                <w:u w:val="none" w:color="auto"/>
              </w:rPr>
              <w:t>保护措施</w:t>
            </w:r>
          </w:p>
        </w:tc>
        <w:tc>
          <w:tcPr>
            <w:tcW w:w="2163" w:type="dxa"/>
            <w:vMerge w:val="restart"/>
            <w:tcBorders>
              <w:tl2br w:val="nil"/>
              <w:tr2bl w:val="nil"/>
            </w:tcBorders>
            <w:vAlign w:val="top"/>
          </w:tcPr>
          <w:p w14:paraId="5C2A95B0">
            <w:pPr>
              <w:spacing w:before="204" w:line="220" w:lineRule="auto"/>
              <w:ind w:left="607"/>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执行标准</w:t>
            </w:r>
          </w:p>
        </w:tc>
      </w:tr>
      <w:tr w14:paraId="0E631E3A">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261" w:type="dxa"/>
            <w:vMerge w:val="continue"/>
            <w:tcBorders>
              <w:tl2br w:val="nil"/>
              <w:tr2bl w:val="nil"/>
            </w:tcBorders>
            <w:vAlign w:val="top"/>
          </w:tcPr>
          <w:p w14:paraId="012E0641">
            <w:pPr>
              <w:rPr>
                <w:rFonts w:ascii="Arial"/>
                <w:color w:val="auto"/>
                <w:sz w:val="24"/>
                <w:szCs w:val="24"/>
                <w:u w:val="none" w:color="auto"/>
              </w:rPr>
            </w:pPr>
          </w:p>
        </w:tc>
        <w:tc>
          <w:tcPr>
            <w:tcW w:w="1696" w:type="dxa"/>
            <w:tcBorders>
              <w:tl2br w:val="nil"/>
              <w:tr2bl w:val="nil"/>
            </w:tcBorders>
            <w:vAlign w:val="top"/>
          </w:tcPr>
          <w:p w14:paraId="22C7266E">
            <w:pPr>
              <w:spacing w:before="15" w:line="259" w:lineRule="auto"/>
              <w:ind w:left="178"/>
              <w:rPr>
                <w:rFonts w:ascii="宋体" w:hAnsi="宋体" w:eastAsia="宋体" w:cs="宋体"/>
                <w:color w:val="auto"/>
                <w:sz w:val="24"/>
                <w:szCs w:val="24"/>
                <w:u w:val="none" w:color="auto"/>
              </w:rPr>
            </w:pPr>
            <w:r>
              <w:rPr>
                <w:rFonts w:ascii="宋体" w:hAnsi="宋体" w:eastAsia="宋体" w:cs="宋体"/>
                <w:color w:val="auto"/>
                <w:spacing w:val="9"/>
                <w:sz w:val="24"/>
                <w:szCs w:val="24"/>
                <w:u w:val="none" w:color="auto"/>
              </w:rPr>
              <w:t>名</w:t>
            </w:r>
            <w:r>
              <w:rPr>
                <w:rFonts w:ascii="宋体" w:hAnsi="宋体" w:eastAsia="宋体" w:cs="宋体"/>
                <w:color w:val="auto"/>
                <w:spacing w:val="6"/>
                <w:sz w:val="24"/>
                <w:szCs w:val="24"/>
                <w:u w:val="none" w:color="auto"/>
              </w:rPr>
              <w:t>称</w:t>
            </w:r>
            <w:r>
              <w:rPr>
                <w:rFonts w:ascii="Times New Roman" w:hAnsi="Times New Roman" w:eastAsia="Times New Roman" w:cs="Times New Roman"/>
                <w:color w:val="auto"/>
                <w:spacing w:val="6"/>
                <w:sz w:val="24"/>
                <w:szCs w:val="24"/>
                <w:u w:val="none" w:color="auto"/>
              </w:rPr>
              <w:t>)/</w:t>
            </w:r>
            <w:r>
              <w:rPr>
                <w:rFonts w:ascii="宋体" w:hAnsi="宋体" w:eastAsia="宋体" w:cs="宋体"/>
                <w:color w:val="auto"/>
                <w:spacing w:val="6"/>
                <w:sz w:val="24"/>
                <w:szCs w:val="24"/>
                <w:u w:val="none" w:color="auto"/>
              </w:rPr>
              <w:t>污染源</w:t>
            </w:r>
          </w:p>
        </w:tc>
        <w:tc>
          <w:tcPr>
            <w:tcW w:w="1700" w:type="dxa"/>
            <w:vMerge w:val="continue"/>
            <w:tcBorders>
              <w:tl2br w:val="nil"/>
              <w:tr2bl w:val="nil"/>
            </w:tcBorders>
            <w:vAlign w:val="top"/>
          </w:tcPr>
          <w:p w14:paraId="517942B3">
            <w:pPr>
              <w:rPr>
                <w:rFonts w:ascii="Arial"/>
                <w:color w:val="auto"/>
                <w:sz w:val="24"/>
                <w:szCs w:val="24"/>
                <w:u w:val="none" w:color="auto"/>
              </w:rPr>
            </w:pPr>
          </w:p>
        </w:tc>
        <w:tc>
          <w:tcPr>
            <w:tcW w:w="1980" w:type="dxa"/>
            <w:vMerge w:val="continue"/>
            <w:tcBorders>
              <w:tl2br w:val="nil"/>
              <w:tr2bl w:val="nil"/>
            </w:tcBorders>
            <w:vAlign w:val="top"/>
          </w:tcPr>
          <w:p w14:paraId="418AD878">
            <w:pPr>
              <w:rPr>
                <w:rFonts w:ascii="Arial"/>
                <w:color w:val="auto"/>
                <w:sz w:val="24"/>
                <w:szCs w:val="24"/>
                <w:u w:val="none" w:color="auto"/>
              </w:rPr>
            </w:pPr>
          </w:p>
        </w:tc>
        <w:tc>
          <w:tcPr>
            <w:tcW w:w="2163" w:type="dxa"/>
            <w:vMerge w:val="continue"/>
            <w:tcBorders>
              <w:tl2br w:val="nil"/>
              <w:tr2bl w:val="nil"/>
            </w:tcBorders>
            <w:vAlign w:val="top"/>
          </w:tcPr>
          <w:p w14:paraId="26D0A61F">
            <w:pPr>
              <w:rPr>
                <w:rFonts w:ascii="Arial"/>
                <w:color w:val="auto"/>
                <w:sz w:val="24"/>
                <w:szCs w:val="24"/>
                <w:u w:val="none" w:color="auto"/>
              </w:rPr>
            </w:pPr>
          </w:p>
        </w:tc>
      </w:tr>
      <w:tr w14:paraId="776E235D">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vMerge w:val="restart"/>
            <w:tcBorders>
              <w:tl2br w:val="nil"/>
              <w:tr2bl w:val="nil"/>
            </w:tcBorders>
            <w:vAlign w:val="top"/>
          </w:tcPr>
          <w:p w14:paraId="37E5D0EC">
            <w:pPr>
              <w:spacing w:before="78" w:line="219" w:lineRule="auto"/>
              <w:ind w:left="144"/>
              <w:rPr>
                <w:rFonts w:ascii="宋体" w:hAnsi="宋体" w:eastAsia="宋体" w:cs="宋体"/>
                <w:color w:val="auto"/>
                <w:spacing w:val="-4"/>
                <w:sz w:val="24"/>
                <w:szCs w:val="24"/>
                <w:u w:val="none" w:color="auto"/>
              </w:rPr>
            </w:pPr>
          </w:p>
          <w:p w14:paraId="444CF34E">
            <w:pPr>
              <w:spacing w:before="78" w:line="219" w:lineRule="auto"/>
              <w:ind w:left="144"/>
              <w:rPr>
                <w:rFonts w:ascii="宋体" w:hAnsi="宋体" w:eastAsia="宋体" w:cs="宋体"/>
                <w:color w:val="auto"/>
                <w:spacing w:val="-4"/>
                <w:sz w:val="24"/>
                <w:szCs w:val="24"/>
                <w:u w:val="none" w:color="auto"/>
              </w:rPr>
            </w:pPr>
          </w:p>
          <w:p w14:paraId="02FBE942">
            <w:pPr>
              <w:spacing w:before="78" w:line="219" w:lineRule="auto"/>
              <w:ind w:left="144"/>
              <w:rPr>
                <w:rFonts w:ascii="宋体" w:hAnsi="宋体" w:eastAsia="宋体" w:cs="宋体"/>
                <w:color w:val="auto"/>
                <w:spacing w:val="-4"/>
                <w:sz w:val="24"/>
                <w:szCs w:val="24"/>
                <w:u w:val="none" w:color="auto"/>
              </w:rPr>
            </w:pPr>
          </w:p>
          <w:p w14:paraId="3F2E4F52">
            <w:pPr>
              <w:spacing w:before="78" w:line="219" w:lineRule="auto"/>
              <w:ind w:left="144"/>
              <w:rPr>
                <w:rFonts w:ascii="宋体" w:hAnsi="宋体" w:eastAsia="宋体" w:cs="宋体"/>
                <w:color w:val="auto"/>
                <w:spacing w:val="-4"/>
                <w:sz w:val="24"/>
                <w:szCs w:val="24"/>
                <w:u w:val="none" w:color="auto"/>
              </w:rPr>
            </w:pPr>
          </w:p>
          <w:p w14:paraId="3A0BF5C4">
            <w:pPr>
              <w:spacing w:before="78" w:line="219" w:lineRule="auto"/>
              <w:ind w:left="144"/>
              <w:rPr>
                <w:rFonts w:ascii="宋体" w:hAnsi="宋体" w:eastAsia="宋体" w:cs="宋体"/>
                <w:color w:val="auto"/>
                <w:spacing w:val="-4"/>
                <w:sz w:val="24"/>
                <w:szCs w:val="24"/>
                <w:u w:val="none" w:color="auto"/>
              </w:rPr>
            </w:pPr>
          </w:p>
          <w:p w14:paraId="709402F7">
            <w:pPr>
              <w:spacing w:before="78" w:line="219" w:lineRule="auto"/>
              <w:ind w:left="144"/>
              <w:rPr>
                <w:rFonts w:ascii="宋体" w:hAnsi="宋体" w:eastAsia="宋体" w:cs="宋体"/>
                <w:color w:val="auto"/>
                <w:spacing w:val="-4"/>
                <w:sz w:val="24"/>
                <w:szCs w:val="24"/>
                <w:u w:val="none" w:color="auto"/>
              </w:rPr>
            </w:pPr>
          </w:p>
          <w:p w14:paraId="1565B02D">
            <w:pPr>
              <w:spacing w:before="78" w:line="219" w:lineRule="auto"/>
              <w:ind w:left="144"/>
              <w:rPr>
                <w:rFonts w:ascii="宋体" w:hAnsi="宋体" w:eastAsia="宋体" w:cs="宋体"/>
                <w:color w:val="auto"/>
                <w:spacing w:val="-4"/>
                <w:sz w:val="24"/>
                <w:szCs w:val="24"/>
                <w:u w:val="none" w:color="auto"/>
              </w:rPr>
            </w:pPr>
          </w:p>
          <w:p w14:paraId="7E309ABA">
            <w:pPr>
              <w:spacing w:before="78" w:line="219" w:lineRule="auto"/>
              <w:ind w:left="144"/>
              <w:rPr>
                <w:rFonts w:ascii="宋体" w:hAnsi="宋体" w:eastAsia="宋体" w:cs="宋体"/>
                <w:color w:val="auto"/>
                <w:spacing w:val="-4"/>
                <w:sz w:val="24"/>
                <w:szCs w:val="24"/>
                <w:u w:val="none" w:color="auto"/>
              </w:rPr>
            </w:pPr>
          </w:p>
          <w:p w14:paraId="59A6D6A0">
            <w:pPr>
              <w:spacing w:before="78" w:line="219" w:lineRule="auto"/>
              <w:ind w:left="144"/>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大</w:t>
            </w:r>
            <w:r>
              <w:rPr>
                <w:rFonts w:ascii="宋体" w:hAnsi="宋体" w:eastAsia="宋体" w:cs="宋体"/>
                <w:color w:val="auto"/>
                <w:spacing w:val="-2"/>
                <w:sz w:val="24"/>
                <w:szCs w:val="24"/>
                <w:u w:val="none" w:color="auto"/>
              </w:rPr>
              <w:t>气环境</w:t>
            </w:r>
          </w:p>
        </w:tc>
        <w:tc>
          <w:tcPr>
            <w:tcW w:w="1696" w:type="dxa"/>
            <w:vMerge w:val="restart"/>
            <w:tcBorders>
              <w:tl2br w:val="nil"/>
              <w:tr2bl w:val="nil"/>
            </w:tcBorders>
            <w:vAlign w:val="top"/>
          </w:tcPr>
          <w:p w14:paraId="3C93E03B">
            <w:pPr>
              <w:spacing w:line="294" w:lineRule="auto"/>
              <w:rPr>
                <w:rFonts w:ascii="Arial"/>
                <w:color w:val="auto"/>
                <w:sz w:val="24"/>
                <w:szCs w:val="24"/>
                <w:u w:val="none" w:color="auto"/>
              </w:rPr>
            </w:pPr>
          </w:p>
          <w:p w14:paraId="26EB5D21">
            <w:pPr>
              <w:spacing w:before="78" w:line="220" w:lineRule="auto"/>
              <w:ind w:left="102"/>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骨料</w:t>
            </w:r>
            <w:r>
              <w:rPr>
                <w:rFonts w:hint="eastAsia" w:ascii="宋体" w:hAnsi="宋体" w:cs="宋体"/>
                <w:color w:val="auto"/>
                <w:spacing w:val="-1"/>
                <w:sz w:val="24"/>
                <w:szCs w:val="24"/>
                <w:u w:val="none" w:color="auto"/>
                <w:lang w:eastAsia="zh-CN"/>
              </w:rPr>
              <w:t>烘干</w:t>
            </w:r>
            <w:r>
              <w:rPr>
                <w:rFonts w:ascii="宋体" w:hAnsi="宋体" w:eastAsia="宋体" w:cs="宋体"/>
                <w:color w:val="auto"/>
                <w:spacing w:val="-1"/>
                <w:sz w:val="24"/>
                <w:szCs w:val="24"/>
                <w:u w:val="none" w:color="auto"/>
              </w:rPr>
              <w:t>粉</w:t>
            </w:r>
            <w:r>
              <w:rPr>
                <w:rFonts w:ascii="宋体" w:hAnsi="宋体" w:eastAsia="宋体" w:cs="宋体"/>
                <w:color w:val="auto"/>
                <w:spacing w:val="-16"/>
                <w:sz w:val="24"/>
                <w:szCs w:val="24"/>
                <w:u w:val="none" w:color="auto"/>
              </w:rPr>
              <w:t>尘</w:t>
            </w:r>
            <w:r>
              <w:rPr>
                <w:rFonts w:ascii="宋体" w:hAnsi="宋体" w:eastAsia="宋体" w:cs="宋体"/>
                <w:color w:val="auto"/>
                <w:spacing w:val="-15"/>
                <w:sz w:val="24"/>
                <w:szCs w:val="24"/>
                <w:u w:val="none" w:color="auto"/>
              </w:rPr>
              <w:t>、沥青烟、</w:t>
            </w:r>
            <w:r>
              <w:rPr>
                <w:rFonts w:ascii="宋体" w:hAnsi="宋体" w:eastAsia="宋体" w:cs="宋体"/>
                <w:color w:val="auto"/>
                <w:spacing w:val="-2"/>
                <w:sz w:val="24"/>
                <w:szCs w:val="24"/>
                <w:u w:val="none" w:color="auto"/>
              </w:rPr>
              <w:t>燃烧器烟</w:t>
            </w:r>
            <w:r>
              <w:rPr>
                <w:rFonts w:ascii="宋体" w:hAnsi="宋体" w:eastAsia="宋体" w:cs="宋体"/>
                <w:color w:val="auto"/>
                <w:spacing w:val="-1"/>
                <w:sz w:val="24"/>
                <w:szCs w:val="24"/>
                <w:u w:val="none" w:color="auto"/>
              </w:rPr>
              <w:t>气</w:t>
            </w:r>
          </w:p>
        </w:tc>
        <w:tc>
          <w:tcPr>
            <w:tcW w:w="1700" w:type="dxa"/>
            <w:tcBorders>
              <w:tl2br w:val="nil"/>
              <w:tr2bl w:val="nil"/>
            </w:tcBorders>
            <w:vAlign w:val="top"/>
          </w:tcPr>
          <w:p w14:paraId="604F4629">
            <w:pPr>
              <w:spacing w:before="191" w:line="220" w:lineRule="auto"/>
              <w:ind w:left="490"/>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颗粒物</w:t>
            </w:r>
          </w:p>
        </w:tc>
        <w:tc>
          <w:tcPr>
            <w:tcW w:w="1980" w:type="dxa"/>
            <w:vMerge w:val="restart"/>
            <w:tcBorders>
              <w:tl2br w:val="nil"/>
              <w:tr2bl w:val="nil"/>
            </w:tcBorders>
            <w:vAlign w:val="top"/>
          </w:tcPr>
          <w:p w14:paraId="1BDE946C">
            <w:pPr>
              <w:spacing w:before="1" w:line="251" w:lineRule="auto"/>
              <w:ind w:left="521" w:right="229" w:hanging="290"/>
              <w:rPr>
                <w:rFonts w:ascii="宋体" w:hAnsi="宋体" w:eastAsia="宋体" w:cs="宋体"/>
                <w:color w:val="auto"/>
                <w:sz w:val="24"/>
                <w:szCs w:val="24"/>
                <w:u w:val="none" w:color="auto"/>
              </w:rPr>
            </w:pPr>
            <w:r>
              <w:rPr>
                <w:rFonts w:hint="eastAsia" w:ascii="宋体" w:hAnsi="宋体" w:eastAsia="宋体" w:cs="宋体"/>
                <w:color w:val="auto"/>
                <w:spacing w:val="8"/>
                <w:sz w:val="24"/>
                <w:szCs w:val="24"/>
                <w:u w:val="none" w:color="auto"/>
                <w:lang w:eastAsia="zh-CN"/>
              </w:rPr>
              <w:t>二级除尘</w:t>
            </w:r>
            <w:r>
              <w:rPr>
                <w:rFonts w:hint="eastAsia" w:ascii="Times New Roman" w:hAnsi="Times New Roman" w:eastAsia="宋体" w:cs="Times New Roman"/>
                <w:color w:val="auto"/>
                <w:spacing w:val="8"/>
                <w:sz w:val="24"/>
                <w:szCs w:val="24"/>
                <w:u w:val="none" w:color="auto"/>
                <w:lang w:val="en-US" w:eastAsia="zh-CN"/>
              </w:rPr>
              <w:t>+</w:t>
            </w:r>
            <w:r>
              <w:rPr>
                <w:rFonts w:hint="eastAsia" w:cs="Times New Roman"/>
                <w:color w:val="auto"/>
                <w:spacing w:val="8"/>
                <w:sz w:val="24"/>
                <w:szCs w:val="24"/>
                <w:u w:val="none" w:color="auto"/>
                <w:lang w:val="en-US" w:eastAsia="zh-CN"/>
              </w:rPr>
              <w:t>低氮燃烧+</w:t>
            </w:r>
            <w:r>
              <w:rPr>
                <w:rFonts w:ascii="宋体" w:hAnsi="宋体" w:eastAsia="宋体" w:cs="宋体"/>
                <w:color w:val="auto"/>
                <w:spacing w:val="4"/>
                <w:sz w:val="24"/>
                <w:szCs w:val="24"/>
                <w:u w:val="none" w:color="auto"/>
              </w:rPr>
              <w:t>活</w:t>
            </w:r>
            <w:r>
              <w:rPr>
                <w:rFonts w:ascii="宋体" w:hAnsi="宋体" w:eastAsia="宋体" w:cs="宋体"/>
                <w:color w:val="auto"/>
                <w:spacing w:val="-2"/>
                <w:sz w:val="24"/>
                <w:szCs w:val="24"/>
                <w:u w:val="none" w:color="auto"/>
              </w:rPr>
              <w:t>性炭吸附装</w:t>
            </w:r>
            <w:r>
              <w:rPr>
                <w:rFonts w:ascii="宋体" w:hAnsi="宋体" w:eastAsia="宋体" w:cs="宋体"/>
                <w:color w:val="auto"/>
                <w:spacing w:val="-1"/>
                <w:sz w:val="24"/>
                <w:szCs w:val="24"/>
                <w:u w:val="none" w:color="auto"/>
              </w:rPr>
              <w:t>置</w:t>
            </w:r>
            <w:r>
              <w:rPr>
                <w:rFonts w:ascii="Times New Roman" w:hAnsi="Times New Roman" w:eastAsia="Times New Roman" w:cs="Times New Roman"/>
                <w:color w:val="auto"/>
                <w:spacing w:val="17"/>
                <w:sz w:val="24"/>
                <w:szCs w:val="24"/>
                <w:u w:val="none" w:color="auto"/>
              </w:rPr>
              <w:t>+</w:t>
            </w:r>
            <w:r>
              <w:rPr>
                <w:rFonts w:ascii="Times New Roman" w:hAnsi="Times New Roman" w:eastAsia="Times New Roman" w:cs="Times New Roman"/>
                <w:color w:val="auto"/>
                <w:spacing w:val="16"/>
                <w:sz w:val="24"/>
                <w:szCs w:val="24"/>
                <w:u w:val="none" w:color="auto"/>
              </w:rPr>
              <w:t>15</w:t>
            </w:r>
            <w:r>
              <w:rPr>
                <w:rFonts w:ascii="Times New Roman" w:hAnsi="Times New Roman" w:eastAsia="Times New Roman" w:cs="Times New Roman"/>
                <w:color w:val="auto"/>
                <w:sz w:val="24"/>
                <w:szCs w:val="24"/>
                <w:u w:val="none" w:color="auto"/>
              </w:rPr>
              <w:t>m</w:t>
            </w:r>
            <w:r>
              <w:rPr>
                <w:rFonts w:ascii="宋体" w:hAnsi="宋体" w:eastAsia="宋体" w:cs="宋体"/>
                <w:color w:val="auto"/>
                <w:spacing w:val="16"/>
                <w:sz w:val="24"/>
                <w:szCs w:val="24"/>
                <w:u w:val="none" w:color="auto"/>
              </w:rPr>
              <w:t>高排气筒</w:t>
            </w:r>
          </w:p>
        </w:tc>
        <w:tc>
          <w:tcPr>
            <w:tcW w:w="2163" w:type="dxa"/>
            <w:vMerge w:val="restart"/>
            <w:tcBorders>
              <w:tl2br w:val="nil"/>
              <w:tr2bl w:val="nil"/>
            </w:tcBorders>
            <w:vAlign w:val="top"/>
          </w:tcPr>
          <w:p w14:paraId="5FE84EB6">
            <w:pPr>
              <w:spacing w:line="294" w:lineRule="auto"/>
              <w:rPr>
                <w:rFonts w:ascii="Arial"/>
                <w:color w:val="auto"/>
                <w:sz w:val="24"/>
                <w:szCs w:val="24"/>
                <w:u w:val="none" w:color="auto"/>
              </w:rPr>
            </w:pPr>
          </w:p>
          <w:p w14:paraId="739F6AF0">
            <w:pPr>
              <w:tabs>
                <w:tab w:val="left" w:pos="247"/>
              </w:tabs>
              <w:spacing w:before="78" w:line="219" w:lineRule="auto"/>
              <w:ind w:left="118"/>
              <w:rPr>
                <w:rFonts w:ascii="宋体" w:hAnsi="宋体" w:eastAsia="宋体" w:cs="宋体"/>
                <w:color w:val="auto"/>
                <w:sz w:val="24"/>
                <w:szCs w:val="24"/>
                <w:u w:val="none" w:color="auto"/>
              </w:rPr>
            </w:pPr>
            <w:r>
              <w:rPr>
                <w:rFonts w:ascii="宋体" w:hAnsi="宋体" w:eastAsia="宋体" w:cs="宋体"/>
                <w:color w:val="auto"/>
                <w:sz w:val="24"/>
                <w:szCs w:val="24"/>
                <w:u w:val="none" w:color="auto"/>
              </w:rPr>
              <w:tab/>
            </w:r>
            <w:r>
              <w:rPr>
                <w:rFonts w:ascii="宋体" w:hAnsi="宋体" w:eastAsia="宋体" w:cs="宋体"/>
                <w:color w:val="auto"/>
                <w:spacing w:val="-18"/>
                <w:sz w:val="24"/>
                <w:szCs w:val="24"/>
                <w:u w:val="none" w:color="auto"/>
              </w:rPr>
              <w:t>《</w:t>
            </w:r>
            <w:r>
              <w:rPr>
                <w:rFonts w:ascii="宋体" w:hAnsi="宋体" w:eastAsia="宋体" w:cs="宋体"/>
                <w:color w:val="auto"/>
                <w:spacing w:val="-16"/>
                <w:sz w:val="24"/>
                <w:szCs w:val="24"/>
                <w:u w:val="none" w:color="auto"/>
              </w:rPr>
              <w:t>大气污染物综合</w:t>
            </w:r>
            <w:r>
              <w:rPr>
                <w:rFonts w:ascii="宋体" w:hAnsi="宋体" w:eastAsia="宋体" w:cs="宋体"/>
                <w:color w:val="auto"/>
                <w:spacing w:val="-3"/>
                <w:sz w:val="24"/>
                <w:szCs w:val="24"/>
                <w:u w:val="none" w:color="auto"/>
              </w:rPr>
              <w:t>排放标准》</w:t>
            </w:r>
            <w:r>
              <w:rPr>
                <w:rFonts w:ascii="宋体" w:hAnsi="宋体" w:eastAsia="宋体" w:cs="宋体"/>
                <w:color w:val="auto"/>
                <w:spacing w:val="6"/>
                <w:sz w:val="24"/>
                <w:szCs w:val="24"/>
                <w:u w:val="none" w:color="auto"/>
              </w:rPr>
              <w:t>(</w:t>
            </w:r>
            <w:r>
              <w:rPr>
                <w:rFonts w:ascii="Times New Roman" w:hAnsi="Times New Roman" w:eastAsia="Times New Roman" w:cs="Times New Roman"/>
                <w:color w:val="auto"/>
                <w:sz w:val="24"/>
                <w:szCs w:val="24"/>
                <w:u w:val="none" w:color="auto"/>
              </w:rPr>
              <w:t>GB</w:t>
            </w:r>
            <w:r>
              <w:rPr>
                <w:rFonts w:ascii="Times New Roman" w:hAnsi="Times New Roman" w:eastAsia="Times New Roman" w:cs="Times New Roman"/>
                <w:color w:val="auto"/>
                <w:spacing w:val="3"/>
                <w:sz w:val="24"/>
                <w:szCs w:val="24"/>
                <w:u w:val="none" w:color="auto"/>
              </w:rPr>
              <w:t>16297-1996</w:t>
            </w:r>
            <w:r>
              <w:rPr>
                <w:rFonts w:ascii="宋体" w:hAnsi="宋体" w:eastAsia="宋体" w:cs="宋体"/>
                <w:color w:val="auto"/>
                <w:spacing w:val="3"/>
                <w:sz w:val="24"/>
                <w:szCs w:val="24"/>
                <w:u w:val="none" w:color="auto"/>
              </w:rPr>
              <w:t>)</w:t>
            </w:r>
          </w:p>
        </w:tc>
      </w:tr>
      <w:tr w14:paraId="60A2FFDD">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61" w:type="dxa"/>
            <w:vMerge w:val="continue"/>
            <w:tcBorders>
              <w:tl2br w:val="nil"/>
              <w:tr2bl w:val="nil"/>
            </w:tcBorders>
            <w:vAlign w:val="top"/>
          </w:tcPr>
          <w:p w14:paraId="20385B82">
            <w:pPr>
              <w:rPr>
                <w:rFonts w:ascii="Arial"/>
                <w:color w:val="auto"/>
                <w:sz w:val="24"/>
                <w:szCs w:val="24"/>
                <w:u w:val="none" w:color="auto"/>
              </w:rPr>
            </w:pPr>
          </w:p>
        </w:tc>
        <w:tc>
          <w:tcPr>
            <w:tcW w:w="1696" w:type="dxa"/>
            <w:vMerge w:val="continue"/>
            <w:tcBorders>
              <w:tl2br w:val="nil"/>
              <w:tr2bl w:val="nil"/>
            </w:tcBorders>
            <w:vAlign w:val="top"/>
          </w:tcPr>
          <w:p w14:paraId="5CF92688">
            <w:pPr>
              <w:rPr>
                <w:rFonts w:ascii="Arial"/>
                <w:color w:val="auto"/>
                <w:sz w:val="24"/>
                <w:szCs w:val="24"/>
                <w:u w:val="none" w:color="auto"/>
              </w:rPr>
            </w:pPr>
          </w:p>
        </w:tc>
        <w:tc>
          <w:tcPr>
            <w:tcW w:w="1700" w:type="dxa"/>
            <w:tcBorders>
              <w:tl2br w:val="nil"/>
              <w:tr2bl w:val="nil"/>
            </w:tcBorders>
            <w:vAlign w:val="top"/>
          </w:tcPr>
          <w:p w14:paraId="4F947F27">
            <w:pPr>
              <w:spacing w:before="39" w:line="215" w:lineRule="auto"/>
              <w:ind w:left="491"/>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沥</w:t>
            </w:r>
            <w:r>
              <w:rPr>
                <w:rFonts w:ascii="宋体" w:hAnsi="宋体" w:eastAsia="宋体" w:cs="宋体"/>
                <w:color w:val="auto"/>
                <w:spacing w:val="-2"/>
                <w:sz w:val="24"/>
                <w:szCs w:val="24"/>
                <w:u w:val="none" w:color="auto"/>
              </w:rPr>
              <w:t>青烟</w:t>
            </w:r>
          </w:p>
        </w:tc>
        <w:tc>
          <w:tcPr>
            <w:tcW w:w="1980" w:type="dxa"/>
            <w:vMerge w:val="continue"/>
            <w:tcBorders>
              <w:tl2br w:val="nil"/>
              <w:tr2bl w:val="nil"/>
            </w:tcBorders>
            <w:vAlign w:val="top"/>
          </w:tcPr>
          <w:p w14:paraId="03EF5D0E">
            <w:pPr>
              <w:spacing w:line="259" w:lineRule="auto"/>
              <w:ind w:left="198"/>
              <w:rPr>
                <w:rFonts w:ascii="宋体" w:hAnsi="宋体" w:eastAsia="宋体" w:cs="宋体"/>
                <w:color w:val="auto"/>
                <w:sz w:val="24"/>
                <w:szCs w:val="24"/>
                <w:u w:val="none" w:color="auto"/>
              </w:rPr>
            </w:pPr>
          </w:p>
        </w:tc>
        <w:tc>
          <w:tcPr>
            <w:tcW w:w="2163" w:type="dxa"/>
            <w:vMerge w:val="continue"/>
            <w:tcBorders>
              <w:tl2br w:val="nil"/>
              <w:tr2bl w:val="nil"/>
            </w:tcBorders>
            <w:vAlign w:val="top"/>
          </w:tcPr>
          <w:p w14:paraId="0540A7AF">
            <w:pPr>
              <w:rPr>
                <w:rFonts w:ascii="Arial"/>
                <w:color w:val="auto"/>
                <w:sz w:val="24"/>
                <w:szCs w:val="24"/>
                <w:u w:val="none" w:color="auto"/>
              </w:rPr>
            </w:pPr>
          </w:p>
        </w:tc>
      </w:tr>
      <w:tr w14:paraId="7A6758C1">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1" w:type="dxa"/>
            <w:vMerge w:val="continue"/>
            <w:tcBorders>
              <w:tl2br w:val="nil"/>
              <w:tr2bl w:val="nil"/>
            </w:tcBorders>
            <w:vAlign w:val="top"/>
          </w:tcPr>
          <w:p w14:paraId="0BA28F9D">
            <w:pPr>
              <w:rPr>
                <w:rFonts w:ascii="Arial"/>
                <w:color w:val="auto"/>
                <w:sz w:val="24"/>
                <w:szCs w:val="24"/>
                <w:u w:val="none" w:color="auto"/>
              </w:rPr>
            </w:pPr>
          </w:p>
        </w:tc>
        <w:tc>
          <w:tcPr>
            <w:tcW w:w="1696" w:type="dxa"/>
            <w:vMerge w:val="continue"/>
            <w:tcBorders>
              <w:tl2br w:val="nil"/>
              <w:tr2bl w:val="nil"/>
            </w:tcBorders>
            <w:vAlign w:val="top"/>
          </w:tcPr>
          <w:p w14:paraId="20A3AB41">
            <w:pPr>
              <w:rPr>
                <w:rFonts w:ascii="Arial"/>
                <w:color w:val="auto"/>
                <w:sz w:val="24"/>
                <w:szCs w:val="24"/>
                <w:u w:val="none" w:color="auto"/>
              </w:rPr>
            </w:pPr>
          </w:p>
        </w:tc>
        <w:tc>
          <w:tcPr>
            <w:tcW w:w="1700" w:type="dxa"/>
            <w:tcBorders>
              <w:tl2br w:val="nil"/>
              <w:tr2bl w:val="nil"/>
            </w:tcBorders>
            <w:vAlign w:val="top"/>
          </w:tcPr>
          <w:p w14:paraId="4DB02997">
            <w:pPr>
              <w:spacing w:before="143" w:line="266" w:lineRule="auto"/>
              <w:ind w:left="362"/>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苯并</w:t>
            </w:r>
            <w:r>
              <w:rPr>
                <w:rFonts w:ascii="Times New Roman" w:hAnsi="Times New Roman" w:eastAsia="Times New Roman" w:cs="Times New Roman"/>
                <w:color w:val="auto"/>
                <w:spacing w:val="-2"/>
                <w:sz w:val="24"/>
                <w:szCs w:val="24"/>
                <w:u w:val="none" w:color="auto"/>
              </w:rPr>
              <w:t>[</w:t>
            </w:r>
            <w:r>
              <w:rPr>
                <w:rFonts w:ascii="Times New Roman" w:hAnsi="Times New Roman" w:eastAsia="Times New Roman" w:cs="Times New Roman"/>
                <w:color w:val="auto"/>
                <w:spacing w:val="-1"/>
                <w:sz w:val="24"/>
                <w:szCs w:val="24"/>
                <w:u w:val="none" w:color="auto"/>
              </w:rPr>
              <w:t>a</w:t>
            </w:r>
            <w:r>
              <w:rPr>
                <w:rFonts w:ascii="Times New Roman" w:hAnsi="Times New Roman" w:eastAsia="Times New Roman" w:cs="Times New Roman"/>
                <w:color w:val="auto"/>
                <w:spacing w:val="-2"/>
                <w:sz w:val="24"/>
                <w:szCs w:val="24"/>
                <w:u w:val="none" w:color="auto"/>
              </w:rPr>
              <w:t>]</w:t>
            </w:r>
            <w:r>
              <w:rPr>
                <w:rFonts w:ascii="宋体" w:hAnsi="宋体" w:eastAsia="宋体" w:cs="宋体"/>
                <w:color w:val="auto"/>
                <w:spacing w:val="-2"/>
                <w:sz w:val="24"/>
                <w:szCs w:val="24"/>
                <w:u w:val="none" w:color="auto"/>
              </w:rPr>
              <w:t>芘</w:t>
            </w:r>
          </w:p>
        </w:tc>
        <w:tc>
          <w:tcPr>
            <w:tcW w:w="1980" w:type="dxa"/>
            <w:vMerge w:val="continue"/>
            <w:tcBorders>
              <w:tl2br w:val="nil"/>
              <w:tr2bl w:val="nil"/>
            </w:tcBorders>
            <w:vAlign w:val="top"/>
          </w:tcPr>
          <w:p w14:paraId="53D5B520">
            <w:pPr>
              <w:rPr>
                <w:rFonts w:ascii="Arial"/>
                <w:color w:val="auto"/>
                <w:sz w:val="24"/>
                <w:szCs w:val="24"/>
                <w:u w:val="none" w:color="auto"/>
              </w:rPr>
            </w:pPr>
          </w:p>
        </w:tc>
        <w:tc>
          <w:tcPr>
            <w:tcW w:w="2163" w:type="dxa"/>
            <w:vMerge w:val="continue"/>
            <w:tcBorders>
              <w:tl2br w:val="nil"/>
              <w:tr2bl w:val="nil"/>
            </w:tcBorders>
            <w:vAlign w:val="top"/>
          </w:tcPr>
          <w:p w14:paraId="536813CE">
            <w:pPr>
              <w:rPr>
                <w:rFonts w:ascii="Arial"/>
                <w:color w:val="auto"/>
                <w:sz w:val="24"/>
                <w:szCs w:val="24"/>
                <w:u w:val="none" w:color="auto"/>
              </w:rPr>
            </w:pPr>
          </w:p>
        </w:tc>
      </w:tr>
      <w:tr w14:paraId="564BBA87">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261" w:type="dxa"/>
            <w:vMerge w:val="continue"/>
            <w:tcBorders>
              <w:tl2br w:val="nil"/>
              <w:tr2bl w:val="nil"/>
            </w:tcBorders>
            <w:vAlign w:val="top"/>
          </w:tcPr>
          <w:p w14:paraId="4E5E0058">
            <w:pPr>
              <w:rPr>
                <w:rFonts w:ascii="Arial"/>
                <w:color w:val="auto"/>
                <w:sz w:val="24"/>
                <w:szCs w:val="24"/>
                <w:u w:val="none" w:color="auto"/>
              </w:rPr>
            </w:pPr>
          </w:p>
        </w:tc>
        <w:tc>
          <w:tcPr>
            <w:tcW w:w="1696" w:type="dxa"/>
            <w:vMerge w:val="continue"/>
            <w:tcBorders>
              <w:tl2br w:val="nil"/>
              <w:tr2bl w:val="nil"/>
            </w:tcBorders>
            <w:vAlign w:val="top"/>
          </w:tcPr>
          <w:p w14:paraId="7F8DBE58">
            <w:pPr>
              <w:rPr>
                <w:rFonts w:ascii="Arial"/>
                <w:color w:val="auto"/>
                <w:sz w:val="24"/>
                <w:szCs w:val="24"/>
                <w:u w:val="none" w:color="auto"/>
              </w:rPr>
            </w:pPr>
          </w:p>
        </w:tc>
        <w:tc>
          <w:tcPr>
            <w:tcW w:w="1700" w:type="dxa"/>
            <w:tcBorders>
              <w:tl2br w:val="nil"/>
              <w:tr2bl w:val="nil"/>
            </w:tcBorders>
            <w:vAlign w:val="top"/>
          </w:tcPr>
          <w:p w14:paraId="0D4FB023">
            <w:pPr>
              <w:spacing w:before="67" w:line="229" w:lineRule="auto"/>
              <w:ind w:left="607" w:right="43" w:hanging="490"/>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10"/>
                <w:sz w:val="24"/>
                <w:szCs w:val="24"/>
                <w:u w:val="none" w:color="auto"/>
              </w:rPr>
              <w:t>SO</w:t>
            </w:r>
            <w:r>
              <w:rPr>
                <w:rFonts w:ascii="Times New Roman" w:hAnsi="Times New Roman" w:eastAsia="Times New Roman" w:cs="Times New Roman"/>
                <w:color w:val="auto"/>
                <w:spacing w:val="-13"/>
                <w:position w:val="-1"/>
                <w:sz w:val="24"/>
                <w:szCs w:val="24"/>
                <w:u w:val="none" w:color="auto"/>
                <w:vertAlign w:val="subscript"/>
              </w:rPr>
              <w:t>2</w:t>
            </w:r>
            <w:r>
              <w:rPr>
                <w:rFonts w:ascii="宋体" w:hAnsi="宋体" w:eastAsia="宋体" w:cs="宋体"/>
                <w:color w:val="auto"/>
                <w:spacing w:val="-10"/>
                <w:sz w:val="24"/>
                <w:szCs w:val="24"/>
                <w:u w:val="none" w:color="auto"/>
              </w:rPr>
              <w:t>、颗粒物、</w:t>
            </w:r>
            <w:r>
              <w:rPr>
                <w:rFonts w:ascii="Times New Roman" w:hAnsi="Times New Roman" w:eastAsia="Times New Roman" w:cs="Times New Roman"/>
                <w:color w:val="auto"/>
                <w:spacing w:val="1"/>
                <w:sz w:val="24"/>
                <w:szCs w:val="24"/>
                <w:u w:val="none" w:color="auto"/>
              </w:rPr>
              <w:t>N</w:t>
            </w:r>
            <w:r>
              <w:rPr>
                <w:rFonts w:ascii="Times New Roman" w:hAnsi="Times New Roman" w:eastAsia="Times New Roman" w:cs="Times New Roman"/>
                <w:color w:val="auto"/>
                <w:sz w:val="24"/>
                <w:szCs w:val="24"/>
                <w:u w:val="none" w:color="auto"/>
              </w:rPr>
              <w:t>O</w:t>
            </w:r>
            <w:r>
              <w:rPr>
                <w:rFonts w:ascii="Times New Roman" w:hAnsi="Times New Roman" w:eastAsia="Times New Roman" w:cs="Times New Roman"/>
                <w:color w:val="auto"/>
                <w:position w:val="-1"/>
                <w:sz w:val="24"/>
                <w:szCs w:val="24"/>
                <w:u w:val="none" w:color="auto"/>
                <w:vertAlign w:val="subscript"/>
              </w:rPr>
              <w:t>X</w:t>
            </w:r>
          </w:p>
        </w:tc>
        <w:tc>
          <w:tcPr>
            <w:tcW w:w="1980" w:type="dxa"/>
            <w:vMerge w:val="continue"/>
            <w:tcBorders>
              <w:tl2br w:val="nil"/>
              <w:tr2bl w:val="nil"/>
            </w:tcBorders>
            <w:vAlign w:val="top"/>
          </w:tcPr>
          <w:p w14:paraId="09EADF19">
            <w:pPr>
              <w:spacing w:before="8" w:line="241" w:lineRule="auto"/>
              <w:ind w:left="521" w:right="229" w:hanging="291"/>
              <w:rPr>
                <w:rFonts w:ascii="宋体" w:hAnsi="宋体" w:eastAsia="宋体" w:cs="宋体"/>
                <w:color w:val="auto"/>
                <w:sz w:val="24"/>
                <w:szCs w:val="24"/>
                <w:u w:val="none" w:color="auto"/>
              </w:rPr>
            </w:pPr>
          </w:p>
        </w:tc>
        <w:tc>
          <w:tcPr>
            <w:tcW w:w="2163" w:type="dxa"/>
            <w:vMerge w:val="continue"/>
            <w:tcBorders>
              <w:tl2br w:val="nil"/>
              <w:tr2bl w:val="nil"/>
            </w:tcBorders>
            <w:vAlign w:val="top"/>
          </w:tcPr>
          <w:p w14:paraId="363D87F0">
            <w:pPr>
              <w:rPr>
                <w:rFonts w:ascii="Arial"/>
                <w:color w:val="auto"/>
                <w:sz w:val="24"/>
                <w:szCs w:val="24"/>
                <w:u w:val="none" w:color="auto"/>
              </w:rPr>
            </w:pPr>
          </w:p>
        </w:tc>
      </w:tr>
      <w:tr w14:paraId="3BA2A059">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461" w:hRule="atLeast"/>
        </w:trPr>
        <w:tc>
          <w:tcPr>
            <w:tcW w:w="1261" w:type="dxa"/>
            <w:vMerge w:val="continue"/>
            <w:tcBorders>
              <w:tl2br w:val="nil"/>
              <w:tr2bl w:val="nil"/>
            </w:tcBorders>
            <w:vAlign w:val="top"/>
          </w:tcPr>
          <w:p w14:paraId="7F29223F">
            <w:pPr>
              <w:rPr>
                <w:rFonts w:ascii="Arial"/>
                <w:color w:val="auto"/>
                <w:sz w:val="24"/>
                <w:szCs w:val="24"/>
                <w:u w:val="none" w:color="auto"/>
              </w:rPr>
            </w:pPr>
          </w:p>
        </w:tc>
        <w:tc>
          <w:tcPr>
            <w:tcW w:w="1696" w:type="dxa"/>
            <w:tcBorders>
              <w:tl2br w:val="nil"/>
              <w:tr2bl w:val="nil"/>
            </w:tcBorders>
            <w:vAlign w:val="top"/>
          </w:tcPr>
          <w:p w14:paraId="662C3C42">
            <w:pPr>
              <w:spacing w:line="273" w:lineRule="auto"/>
              <w:rPr>
                <w:rFonts w:ascii="Arial"/>
                <w:color w:val="auto"/>
                <w:sz w:val="24"/>
                <w:szCs w:val="24"/>
                <w:u w:val="none" w:color="auto"/>
              </w:rPr>
            </w:pPr>
          </w:p>
          <w:p w14:paraId="277BFBD4">
            <w:pPr>
              <w:spacing w:before="78" w:line="254" w:lineRule="auto"/>
              <w:ind w:left="490" w:right="108" w:hanging="388"/>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导热油</w:t>
            </w:r>
            <w:r>
              <w:rPr>
                <w:rFonts w:ascii="宋体" w:hAnsi="宋体" w:eastAsia="宋体" w:cs="宋体"/>
                <w:color w:val="auto"/>
                <w:spacing w:val="-5"/>
                <w:sz w:val="24"/>
                <w:szCs w:val="24"/>
                <w:u w:val="none" w:color="auto"/>
              </w:rPr>
              <w:t>炉</w:t>
            </w:r>
            <w:r>
              <w:rPr>
                <w:rFonts w:ascii="宋体" w:hAnsi="宋体" w:eastAsia="宋体" w:cs="宋体"/>
                <w:color w:val="auto"/>
                <w:spacing w:val="-4"/>
                <w:sz w:val="24"/>
                <w:szCs w:val="24"/>
                <w:u w:val="none" w:color="auto"/>
              </w:rPr>
              <w:t>烟气</w:t>
            </w:r>
          </w:p>
        </w:tc>
        <w:tc>
          <w:tcPr>
            <w:tcW w:w="1700" w:type="dxa"/>
            <w:tcBorders>
              <w:tl2br w:val="nil"/>
              <w:tr2bl w:val="nil"/>
            </w:tcBorders>
            <w:vAlign w:val="top"/>
          </w:tcPr>
          <w:p w14:paraId="0E89872E">
            <w:pPr>
              <w:spacing w:line="291" w:lineRule="auto"/>
              <w:rPr>
                <w:rFonts w:ascii="Arial"/>
                <w:color w:val="auto"/>
                <w:sz w:val="24"/>
                <w:szCs w:val="24"/>
                <w:u w:val="none" w:color="auto"/>
              </w:rPr>
            </w:pPr>
          </w:p>
          <w:p w14:paraId="19826601">
            <w:pPr>
              <w:spacing w:before="78" w:line="260" w:lineRule="auto"/>
              <w:ind w:left="606" w:right="180" w:hanging="428"/>
              <w:rPr>
                <w:rFonts w:ascii="Times New Roman" w:hAnsi="Times New Roman" w:eastAsia="Times New Roman" w:cs="Times New Roman"/>
                <w:color w:val="auto"/>
                <w:sz w:val="24"/>
                <w:szCs w:val="24"/>
                <w:u w:val="none" w:color="auto"/>
              </w:rPr>
            </w:pPr>
            <w:r>
              <w:rPr>
                <w:rFonts w:ascii="宋体" w:hAnsi="宋体" w:eastAsia="宋体" w:cs="宋体"/>
                <w:color w:val="auto"/>
                <w:spacing w:val="-20"/>
                <w:sz w:val="24"/>
                <w:szCs w:val="24"/>
                <w:u w:val="none" w:color="auto"/>
              </w:rPr>
              <w:t>颗</w:t>
            </w:r>
            <w:r>
              <w:rPr>
                <w:rFonts w:ascii="宋体" w:hAnsi="宋体" w:eastAsia="宋体" w:cs="宋体"/>
                <w:color w:val="auto"/>
                <w:spacing w:val="-16"/>
                <w:sz w:val="24"/>
                <w:szCs w:val="24"/>
                <w:u w:val="none" w:color="auto"/>
              </w:rPr>
              <w:t>粒物、</w:t>
            </w:r>
            <w:r>
              <w:rPr>
                <w:rFonts w:ascii="Times New Roman" w:hAnsi="Times New Roman" w:eastAsia="Times New Roman" w:cs="Times New Roman"/>
                <w:color w:val="auto"/>
                <w:spacing w:val="-16"/>
                <w:sz w:val="24"/>
                <w:szCs w:val="24"/>
                <w:u w:val="none" w:color="auto"/>
              </w:rPr>
              <w:t>SO</w:t>
            </w:r>
            <w:r>
              <w:rPr>
                <w:rFonts w:ascii="Times New Roman" w:hAnsi="Times New Roman" w:eastAsia="Times New Roman" w:cs="Times New Roman"/>
                <w:color w:val="auto"/>
                <w:spacing w:val="-16"/>
                <w:position w:val="-1"/>
                <w:sz w:val="24"/>
                <w:szCs w:val="24"/>
                <w:u w:val="none" w:color="auto"/>
                <w:vertAlign w:val="subscript"/>
              </w:rPr>
              <w:t>2</w:t>
            </w:r>
            <w:r>
              <w:rPr>
                <w:rFonts w:ascii="Times New Roman" w:hAnsi="Times New Roman" w:eastAsia="Times New Roman" w:cs="Times New Roman"/>
                <w:color w:val="auto"/>
                <w:sz w:val="24"/>
                <w:szCs w:val="24"/>
                <w:u w:val="none" w:color="auto"/>
              </w:rPr>
              <w:t>NOx</w:t>
            </w:r>
          </w:p>
        </w:tc>
        <w:tc>
          <w:tcPr>
            <w:tcW w:w="1980" w:type="dxa"/>
            <w:tcBorders>
              <w:tl2br w:val="nil"/>
              <w:tr2bl w:val="nil"/>
            </w:tcBorders>
            <w:vAlign w:val="top"/>
          </w:tcPr>
          <w:p w14:paraId="2D4328EC">
            <w:pPr>
              <w:spacing w:before="310" w:line="257" w:lineRule="auto"/>
              <w:ind w:left="521" w:right="169" w:hanging="351"/>
              <w:rPr>
                <w:rFonts w:ascii="宋体" w:hAnsi="宋体" w:eastAsia="宋体" w:cs="宋体"/>
                <w:color w:val="auto"/>
                <w:sz w:val="24"/>
                <w:szCs w:val="24"/>
                <w:u w:val="none" w:color="auto"/>
              </w:rPr>
            </w:pPr>
            <w:r>
              <w:rPr>
                <w:rFonts w:hint="eastAsia" w:eastAsia="宋体" w:cs="Times New Roman"/>
                <w:color w:val="auto"/>
                <w:spacing w:val="-1"/>
                <w:sz w:val="24"/>
                <w:szCs w:val="24"/>
                <w:u w:val="none" w:color="auto"/>
                <w:lang w:eastAsia="zh-CN"/>
              </w:rPr>
              <w:t>低氮燃烧</w:t>
            </w:r>
            <w:r>
              <w:rPr>
                <w:rFonts w:hint="eastAsia" w:eastAsia="宋体" w:cs="Times New Roman"/>
                <w:color w:val="auto"/>
                <w:spacing w:val="-1"/>
                <w:sz w:val="24"/>
                <w:szCs w:val="24"/>
                <w:u w:val="none" w:color="auto"/>
                <w:lang w:val="en-US" w:eastAsia="zh-CN"/>
              </w:rPr>
              <w:t>+</w:t>
            </w:r>
            <w:r>
              <w:rPr>
                <w:rFonts w:ascii="Times New Roman" w:hAnsi="Times New Roman" w:eastAsia="Times New Roman" w:cs="Times New Roman"/>
                <w:color w:val="auto"/>
                <w:spacing w:val="-1"/>
                <w:sz w:val="24"/>
                <w:szCs w:val="24"/>
                <w:u w:val="none" w:color="auto"/>
              </w:rPr>
              <w:t>8m</w:t>
            </w:r>
            <w:r>
              <w:rPr>
                <w:rFonts w:ascii="宋体" w:hAnsi="宋体" w:eastAsia="宋体" w:cs="宋体"/>
                <w:color w:val="auto"/>
                <w:spacing w:val="-3"/>
                <w:sz w:val="24"/>
                <w:szCs w:val="24"/>
                <w:u w:val="none" w:color="auto"/>
              </w:rPr>
              <w:t>高排气筒</w:t>
            </w:r>
          </w:p>
        </w:tc>
        <w:tc>
          <w:tcPr>
            <w:tcW w:w="2163" w:type="dxa"/>
            <w:vMerge w:val="restart"/>
            <w:tcBorders>
              <w:tl2br w:val="nil"/>
              <w:tr2bl w:val="nil"/>
            </w:tcBorders>
            <w:vAlign w:val="top"/>
          </w:tcPr>
          <w:p w14:paraId="74FD0185">
            <w:pPr>
              <w:tabs>
                <w:tab w:val="left" w:pos="247"/>
              </w:tabs>
              <w:spacing w:before="44" w:line="219" w:lineRule="auto"/>
              <w:ind w:left="118"/>
              <w:rPr>
                <w:rFonts w:ascii="宋体" w:hAnsi="宋体" w:eastAsia="宋体" w:cs="宋体"/>
                <w:color w:val="auto"/>
                <w:sz w:val="24"/>
                <w:szCs w:val="24"/>
                <w:u w:val="none" w:color="auto"/>
              </w:rPr>
            </w:pPr>
            <w:r>
              <w:rPr>
                <w:rFonts w:ascii="宋体" w:hAnsi="宋体" w:eastAsia="宋体" w:cs="宋体"/>
                <w:color w:val="auto"/>
                <w:sz w:val="24"/>
                <w:szCs w:val="24"/>
                <w:u w:val="none" w:color="auto"/>
              </w:rPr>
              <w:tab/>
            </w:r>
            <w:r>
              <w:rPr>
                <w:rFonts w:ascii="宋体" w:hAnsi="宋体" w:eastAsia="宋体" w:cs="宋体"/>
                <w:color w:val="auto"/>
                <w:spacing w:val="-20"/>
                <w:sz w:val="24"/>
                <w:szCs w:val="24"/>
                <w:u w:val="none" w:color="auto"/>
              </w:rPr>
              <w:t>《</w:t>
            </w:r>
            <w:r>
              <w:rPr>
                <w:rFonts w:ascii="宋体" w:hAnsi="宋体" w:eastAsia="宋体" w:cs="宋体"/>
                <w:color w:val="auto"/>
                <w:spacing w:val="-15"/>
                <w:sz w:val="24"/>
                <w:szCs w:val="24"/>
                <w:u w:val="none" w:color="auto"/>
              </w:rPr>
              <w:t>锅炉大气污染物</w:t>
            </w:r>
            <w:r>
              <w:rPr>
                <w:rFonts w:ascii="宋体" w:hAnsi="宋体" w:eastAsia="宋体" w:cs="宋体"/>
                <w:color w:val="auto"/>
                <w:spacing w:val="-3"/>
                <w:sz w:val="24"/>
                <w:szCs w:val="24"/>
                <w:u w:val="none" w:color="auto"/>
              </w:rPr>
              <w:t>排放标准》</w:t>
            </w:r>
            <w:r>
              <w:rPr>
                <w:rFonts w:ascii="宋体" w:hAnsi="宋体" w:eastAsia="宋体" w:cs="宋体"/>
                <w:color w:val="auto"/>
                <w:spacing w:val="6"/>
                <w:sz w:val="24"/>
                <w:szCs w:val="24"/>
                <w:u w:val="none" w:color="auto"/>
              </w:rPr>
              <w:t>(</w:t>
            </w:r>
            <w:r>
              <w:rPr>
                <w:rFonts w:ascii="Times New Roman" w:hAnsi="Times New Roman" w:eastAsia="Times New Roman" w:cs="Times New Roman"/>
                <w:color w:val="auto"/>
                <w:sz w:val="24"/>
                <w:szCs w:val="24"/>
                <w:u w:val="none" w:color="auto"/>
              </w:rPr>
              <w:t>GB</w:t>
            </w:r>
            <w:r>
              <w:rPr>
                <w:rFonts w:ascii="Times New Roman" w:hAnsi="Times New Roman" w:eastAsia="Times New Roman" w:cs="Times New Roman"/>
                <w:color w:val="auto"/>
                <w:spacing w:val="4"/>
                <w:sz w:val="24"/>
                <w:szCs w:val="24"/>
                <w:u w:val="none" w:color="auto"/>
              </w:rPr>
              <w:t>13271-2014</w:t>
            </w:r>
            <w:r>
              <w:rPr>
                <w:rFonts w:ascii="宋体" w:hAnsi="宋体" w:eastAsia="宋体" w:cs="宋体"/>
                <w:color w:val="auto"/>
                <w:spacing w:val="4"/>
                <w:sz w:val="24"/>
                <w:szCs w:val="24"/>
                <w:u w:val="none" w:color="auto"/>
              </w:rPr>
              <w:t>)</w:t>
            </w:r>
          </w:p>
        </w:tc>
      </w:tr>
      <w:tr w14:paraId="3C345212">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vMerge w:val="continue"/>
            <w:tcBorders>
              <w:tl2br w:val="nil"/>
              <w:tr2bl w:val="nil"/>
            </w:tcBorders>
            <w:vAlign w:val="top"/>
          </w:tcPr>
          <w:p w14:paraId="1E1DF16C">
            <w:pPr>
              <w:rPr>
                <w:rFonts w:ascii="Arial"/>
                <w:color w:val="auto"/>
                <w:sz w:val="24"/>
                <w:szCs w:val="24"/>
                <w:u w:val="none" w:color="auto"/>
              </w:rPr>
            </w:pPr>
          </w:p>
        </w:tc>
        <w:tc>
          <w:tcPr>
            <w:tcW w:w="1696" w:type="dxa"/>
            <w:tcBorders>
              <w:tl2br w:val="nil"/>
              <w:tr2bl w:val="nil"/>
            </w:tcBorders>
            <w:vAlign w:val="top"/>
          </w:tcPr>
          <w:p w14:paraId="0E59ECE1">
            <w:pPr>
              <w:spacing w:before="36" w:line="227" w:lineRule="auto"/>
              <w:ind w:left="607" w:right="108" w:hanging="505"/>
              <w:rPr>
                <w:rFonts w:ascii="宋体" w:hAnsi="宋体" w:eastAsia="宋体" w:cs="宋体"/>
                <w:color w:val="auto"/>
                <w:sz w:val="24"/>
                <w:szCs w:val="24"/>
                <w:u w:val="none" w:color="auto"/>
              </w:rPr>
            </w:pPr>
            <w:r>
              <w:rPr>
                <w:rFonts w:ascii="宋体" w:hAnsi="宋体" w:eastAsia="宋体" w:cs="宋体"/>
                <w:color w:val="auto"/>
                <w:spacing w:val="-1"/>
                <w:sz w:val="24"/>
                <w:szCs w:val="24"/>
                <w:u w:val="none" w:color="auto"/>
              </w:rPr>
              <w:t>筒仓排</w:t>
            </w:r>
            <w:r>
              <w:rPr>
                <w:rFonts w:ascii="宋体" w:hAnsi="宋体" w:eastAsia="宋体" w:cs="宋体"/>
                <w:color w:val="auto"/>
                <w:spacing w:val="-3"/>
                <w:sz w:val="24"/>
                <w:szCs w:val="24"/>
                <w:u w:val="none" w:color="auto"/>
              </w:rPr>
              <w:t>放</w:t>
            </w:r>
            <w:r>
              <w:rPr>
                <w:rFonts w:ascii="宋体" w:hAnsi="宋体" w:eastAsia="宋体" w:cs="宋体"/>
                <w:color w:val="auto"/>
                <w:spacing w:val="-2"/>
                <w:sz w:val="24"/>
                <w:szCs w:val="24"/>
                <w:u w:val="none" w:color="auto"/>
              </w:rPr>
              <w:t>口</w:t>
            </w:r>
          </w:p>
        </w:tc>
        <w:tc>
          <w:tcPr>
            <w:tcW w:w="1700" w:type="dxa"/>
            <w:tcBorders>
              <w:tl2br w:val="nil"/>
              <w:tr2bl w:val="nil"/>
            </w:tcBorders>
            <w:vAlign w:val="top"/>
          </w:tcPr>
          <w:p w14:paraId="3265314A">
            <w:pPr>
              <w:spacing w:before="192" w:line="220" w:lineRule="auto"/>
              <w:ind w:left="490"/>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颗粒物</w:t>
            </w:r>
          </w:p>
        </w:tc>
        <w:tc>
          <w:tcPr>
            <w:tcW w:w="1980" w:type="dxa"/>
            <w:tcBorders>
              <w:tl2br w:val="nil"/>
              <w:tr2bl w:val="nil"/>
            </w:tcBorders>
            <w:vAlign w:val="top"/>
          </w:tcPr>
          <w:p w14:paraId="50506185">
            <w:pPr>
              <w:spacing w:before="36" w:line="219" w:lineRule="auto"/>
              <w:ind w:left="154"/>
              <w:rPr>
                <w:rFonts w:ascii="宋体" w:hAnsi="宋体" w:eastAsia="宋体" w:cs="宋体"/>
                <w:color w:val="auto"/>
                <w:sz w:val="24"/>
                <w:szCs w:val="24"/>
                <w:u w:val="none" w:color="auto"/>
              </w:rPr>
            </w:pPr>
            <w:r>
              <w:rPr>
                <w:rFonts w:ascii="宋体" w:hAnsi="宋体" w:eastAsia="宋体" w:cs="宋体"/>
                <w:color w:val="auto"/>
                <w:spacing w:val="16"/>
                <w:sz w:val="24"/>
                <w:szCs w:val="24"/>
                <w:u w:val="none" w:color="auto"/>
              </w:rPr>
              <w:t>仓顶除尘器(</w:t>
            </w:r>
            <w:r>
              <w:rPr>
                <w:rFonts w:ascii="宋体" w:hAnsi="宋体" w:eastAsia="宋体" w:cs="宋体"/>
                <w:color w:val="auto"/>
                <w:spacing w:val="15"/>
                <w:sz w:val="24"/>
                <w:szCs w:val="24"/>
                <w:u w:val="none" w:color="auto"/>
              </w:rPr>
              <w:t>布</w:t>
            </w:r>
          </w:p>
          <w:p w14:paraId="0142394D">
            <w:pPr>
              <w:spacing w:before="27" w:line="214" w:lineRule="auto"/>
              <w:ind w:left="515"/>
              <w:rPr>
                <w:rFonts w:ascii="宋体" w:hAnsi="宋体" w:eastAsia="宋体" w:cs="宋体"/>
                <w:color w:val="auto"/>
                <w:sz w:val="24"/>
                <w:szCs w:val="24"/>
                <w:u w:val="none" w:color="auto"/>
              </w:rPr>
            </w:pPr>
            <w:r>
              <w:rPr>
                <w:rFonts w:ascii="宋体" w:hAnsi="宋体" w:eastAsia="宋体" w:cs="宋体"/>
                <w:color w:val="auto"/>
                <w:spacing w:val="-8"/>
                <w:sz w:val="24"/>
                <w:szCs w:val="24"/>
                <w:u w:val="none" w:color="auto"/>
              </w:rPr>
              <w:t>袋</w:t>
            </w:r>
            <w:r>
              <w:rPr>
                <w:rFonts w:ascii="宋体" w:hAnsi="宋体" w:eastAsia="宋体" w:cs="宋体"/>
                <w:color w:val="auto"/>
                <w:spacing w:val="-6"/>
                <w:sz w:val="24"/>
                <w:szCs w:val="24"/>
                <w:u w:val="none" w:color="auto"/>
              </w:rPr>
              <w:t>除尘)</w:t>
            </w:r>
          </w:p>
        </w:tc>
        <w:tc>
          <w:tcPr>
            <w:tcW w:w="2163" w:type="dxa"/>
            <w:vMerge w:val="restart"/>
            <w:tcBorders>
              <w:tl2br w:val="nil"/>
              <w:tr2bl w:val="nil"/>
            </w:tcBorders>
            <w:vAlign w:val="top"/>
          </w:tcPr>
          <w:p w14:paraId="1D0D7689">
            <w:pPr>
              <w:spacing w:line="301" w:lineRule="auto"/>
              <w:rPr>
                <w:rFonts w:ascii="Arial"/>
                <w:color w:val="auto"/>
                <w:sz w:val="24"/>
                <w:szCs w:val="24"/>
                <w:u w:val="none" w:color="auto"/>
              </w:rPr>
            </w:pPr>
          </w:p>
          <w:p w14:paraId="61A5F70A">
            <w:pPr>
              <w:tabs>
                <w:tab w:val="left" w:pos="247"/>
              </w:tabs>
              <w:spacing w:before="79" w:line="219" w:lineRule="auto"/>
              <w:ind w:left="118"/>
              <w:rPr>
                <w:rFonts w:ascii="宋体" w:hAnsi="宋体" w:eastAsia="宋体" w:cs="宋体"/>
                <w:color w:val="auto"/>
                <w:sz w:val="24"/>
                <w:szCs w:val="24"/>
                <w:u w:val="none" w:color="auto"/>
              </w:rPr>
            </w:pPr>
            <w:r>
              <w:rPr>
                <w:rFonts w:ascii="宋体" w:hAnsi="宋体" w:eastAsia="宋体" w:cs="宋体"/>
                <w:color w:val="auto"/>
                <w:sz w:val="24"/>
                <w:szCs w:val="24"/>
                <w:u w:val="none" w:color="auto"/>
              </w:rPr>
              <w:tab/>
            </w:r>
            <w:r>
              <w:rPr>
                <w:rFonts w:ascii="宋体" w:hAnsi="宋体" w:eastAsia="宋体" w:cs="宋体"/>
                <w:color w:val="auto"/>
                <w:spacing w:val="-18"/>
                <w:sz w:val="24"/>
                <w:szCs w:val="24"/>
                <w:u w:val="none" w:color="auto"/>
              </w:rPr>
              <w:t>《</w:t>
            </w:r>
            <w:r>
              <w:rPr>
                <w:rFonts w:ascii="宋体" w:hAnsi="宋体" w:eastAsia="宋体" w:cs="宋体"/>
                <w:color w:val="auto"/>
                <w:spacing w:val="-15"/>
                <w:sz w:val="24"/>
                <w:szCs w:val="24"/>
                <w:u w:val="none" w:color="auto"/>
              </w:rPr>
              <w:t>大气污染物综合</w:t>
            </w:r>
            <w:r>
              <w:rPr>
                <w:rFonts w:ascii="宋体" w:hAnsi="宋体" w:eastAsia="宋体" w:cs="宋体"/>
                <w:color w:val="auto"/>
                <w:spacing w:val="-3"/>
                <w:sz w:val="24"/>
                <w:szCs w:val="24"/>
                <w:u w:val="none" w:color="auto"/>
              </w:rPr>
              <w:t>排放标准》</w:t>
            </w:r>
          </w:p>
          <w:p w14:paraId="33174B84">
            <w:pPr>
              <w:spacing w:before="25" w:line="202" w:lineRule="auto"/>
              <w:ind w:left="122"/>
              <w:rPr>
                <w:rFonts w:ascii="宋体" w:hAnsi="宋体" w:eastAsia="宋体" w:cs="宋体"/>
                <w:color w:val="auto"/>
                <w:sz w:val="24"/>
                <w:szCs w:val="24"/>
                <w:u w:val="none" w:color="auto"/>
              </w:rPr>
            </w:pPr>
            <w:r>
              <w:rPr>
                <w:rFonts w:ascii="宋体" w:hAnsi="宋体" w:eastAsia="宋体" w:cs="宋体"/>
                <w:color w:val="auto"/>
                <w:spacing w:val="6"/>
                <w:sz w:val="24"/>
                <w:szCs w:val="24"/>
                <w:u w:val="none" w:color="auto"/>
              </w:rPr>
              <w:t>(</w:t>
            </w:r>
            <w:r>
              <w:rPr>
                <w:rFonts w:ascii="Times New Roman" w:hAnsi="Times New Roman" w:eastAsia="Times New Roman" w:cs="Times New Roman"/>
                <w:color w:val="auto"/>
                <w:sz w:val="24"/>
                <w:szCs w:val="24"/>
                <w:u w:val="none" w:color="auto"/>
              </w:rPr>
              <w:t>GB</w:t>
            </w:r>
            <w:r>
              <w:rPr>
                <w:rFonts w:ascii="Times New Roman" w:hAnsi="Times New Roman" w:eastAsia="Times New Roman" w:cs="Times New Roman"/>
                <w:color w:val="auto"/>
                <w:spacing w:val="3"/>
                <w:sz w:val="24"/>
                <w:szCs w:val="24"/>
                <w:u w:val="none" w:color="auto"/>
              </w:rPr>
              <w:t>16297-1996</w:t>
            </w:r>
            <w:r>
              <w:rPr>
                <w:rFonts w:ascii="宋体" w:hAnsi="宋体" w:eastAsia="宋体" w:cs="宋体"/>
                <w:color w:val="auto"/>
                <w:spacing w:val="3"/>
                <w:sz w:val="24"/>
                <w:szCs w:val="24"/>
                <w:u w:val="none" w:color="auto"/>
              </w:rPr>
              <w:t>)</w:t>
            </w:r>
          </w:p>
        </w:tc>
      </w:tr>
      <w:tr w14:paraId="7D184179">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1261" w:type="dxa"/>
            <w:vMerge w:val="continue"/>
            <w:tcBorders>
              <w:tl2br w:val="nil"/>
              <w:tr2bl w:val="nil"/>
            </w:tcBorders>
            <w:vAlign w:val="top"/>
          </w:tcPr>
          <w:p w14:paraId="13289894">
            <w:pPr>
              <w:rPr>
                <w:rFonts w:ascii="Arial"/>
                <w:color w:val="auto"/>
                <w:sz w:val="24"/>
                <w:szCs w:val="24"/>
                <w:u w:val="none" w:color="auto"/>
              </w:rPr>
            </w:pPr>
          </w:p>
        </w:tc>
        <w:tc>
          <w:tcPr>
            <w:tcW w:w="1696" w:type="dxa"/>
            <w:vMerge w:val="restart"/>
            <w:tcBorders>
              <w:tl2br w:val="nil"/>
              <w:tr2bl w:val="nil"/>
            </w:tcBorders>
            <w:vAlign w:val="top"/>
          </w:tcPr>
          <w:p w14:paraId="4C1078E5">
            <w:pPr>
              <w:spacing w:line="274" w:lineRule="auto"/>
              <w:rPr>
                <w:rFonts w:ascii="Arial"/>
                <w:color w:val="auto"/>
                <w:sz w:val="24"/>
                <w:szCs w:val="24"/>
                <w:u w:val="none" w:color="auto"/>
              </w:rPr>
            </w:pPr>
          </w:p>
          <w:p w14:paraId="6195BA23">
            <w:pPr>
              <w:spacing w:before="78" w:line="270" w:lineRule="auto"/>
              <w:ind w:left="218"/>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厂界</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无组织</w:t>
            </w:r>
          </w:p>
          <w:p w14:paraId="5D175B01">
            <w:pPr>
              <w:spacing w:line="219" w:lineRule="auto"/>
              <w:ind w:left="126"/>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粉</w:t>
            </w:r>
            <w:r>
              <w:rPr>
                <w:rFonts w:ascii="宋体" w:hAnsi="宋体" w:eastAsia="宋体" w:cs="宋体"/>
                <w:color w:val="auto"/>
                <w:spacing w:val="-1"/>
                <w:sz w:val="24"/>
                <w:szCs w:val="24"/>
                <w:u w:val="none" w:color="auto"/>
              </w:rPr>
              <w:t>尘、挥发性</w:t>
            </w:r>
          </w:p>
          <w:p w14:paraId="423359C1">
            <w:pPr>
              <w:spacing w:before="26" w:line="219" w:lineRule="auto"/>
              <w:ind w:left="488"/>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有</w:t>
            </w:r>
            <w:r>
              <w:rPr>
                <w:rFonts w:ascii="宋体" w:hAnsi="宋体" w:eastAsia="宋体" w:cs="宋体"/>
                <w:color w:val="auto"/>
                <w:spacing w:val="-2"/>
                <w:sz w:val="24"/>
                <w:szCs w:val="24"/>
                <w:u w:val="none" w:color="auto"/>
              </w:rPr>
              <w:t>机物</w:t>
            </w:r>
          </w:p>
        </w:tc>
        <w:tc>
          <w:tcPr>
            <w:tcW w:w="1700" w:type="dxa"/>
            <w:tcBorders>
              <w:tl2br w:val="nil"/>
              <w:tr2bl w:val="nil"/>
            </w:tcBorders>
            <w:vAlign w:val="top"/>
          </w:tcPr>
          <w:p w14:paraId="19905BF9">
            <w:pPr>
              <w:spacing w:line="423" w:lineRule="auto"/>
              <w:rPr>
                <w:rFonts w:ascii="Arial"/>
                <w:color w:val="auto"/>
                <w:sz w:val="24"/>
                <w:szCs w:val="24"/>
                <w:u w:val="none" w:color="auto"/>
              </w:rPr>
            </w:pPr>
          </w:p>
          <w:p w14:paraId="0F7E4416">
            <w:pPr>
              <w:spacing w:before="78" w:line="220" w:lineRule="auto"/>
              <w:ind w:left="490"/>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颗粒物</w:t>
            </w:r>
          </w:p>
        </w:tc>
        <w:tc>
          <w:tcPr>
            <w:tcW w:w="1980" w:type="dxa"/>
            <w:tcBorders>
              <w:tl2br w:val="nil"/>
              <w:tr2bl w:val="nil"/>
            </w:tcBorders>
            <w:vAlign w:val="top"/>
          </w:tcPr>
          <w:p w14:paraId="3C975499">
            <w:pPr>
              <w:spacing w:before="43" w:line="230" w:lineRule="auto"/>
              <w:ind w:left="154" w:right="148" w:firstLine="2"/>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苫布遮盖，</w:t>
            </w:r>
            <w:r>
              <w:rPr>
                <w:rFonts w:ascii="宋体" w:hAnsi="宋体" w:eastAsia="宋体" w:cs="宋体"/>
                <w:color w:val="auto"/>
                <w:spacing w:val="-1"/>
                <w:sz w:val="24"/>
                <w:szCs w:val="24"/>
                <w:u w:val="none" w:color="auto"/>
              </w:rPr>
              <w:t>降低</w:t>
            </w:r>
            <w:r>
              <w:rPr>
                <w:rFonts w:ascii="宋体" w:hAnsi="宋体" w:eastAsia="宋体" w:cs="宋体"/>
                <w:color w:val="auto"/>
                <w:spacing w:val="-17"/>
                <w:sz w:val="24"/>
                <w:szCs w:val="24"/>
                <w:u w:val="none" w:color="auto"/>
              </w:rPr>
              <w:t>装</w:t>
            </w:r>
            <w:r>
              <w:rPr>
                <w:rFonts w:ascii="宋体" w:hAnsi="宋体" w:eastAsia="宋体" w:cs="宋体"/>
                <w:color w:val="auto"/>
                <w:spacing w:val="-16"/>
                <w:sz w:val="24"/>
                <w:szCs w:val="24"/>
                <w:u w:val="none" w:color="auto"/>
              </w:rPr>
              <w:t>载落差，密封</w:t>
            </w:r>
            <w:r>
              <w:rPr>
                <w:rFonts w:ascii="宋体" w:hAnsi="宋体" w:eastAsia="宋体" w:cs="宋体"/>
                <w:color w:val="auto"/>
                <w:spacing w:val="-2"/>
                <w:sz w:val="24"/>
                <w:szCs w:val="24"/>
                <w:u w:val="none" w:color="auto"/>
              </w:rPr>
              <w:t>输送</w:t>
            </w:r>
            <w:r>
              <w:rPr>
                <w:rFonts w:ascii="宋体" w:hAnsi="宋体" w:eastAsia="宋体" w:cs="宋体"/>
                <w:color w:val="auto"/>
                <w:spacing w:val="-1"/>
                <w:sz w:val="24"/>
                <w:szCs w:val="24"/>
                <w:u w:val="none" w:color="auto"/>
              </w:rPr>
              <w:t>设备，避免</w:t>
            </w:r>
            <w:r>
              <w:rPr>
                <w:rFonts w:ascii="宋体" w:hAnsi="宋体" w:eastAsia="宋体" w:cs="宋体"/>
                <w:color w:val="auto"/>
                <w:spacing w:val="-2"/>
                <w:sz w:val="24"/>
                <w:szCs w:val="24"/>
                <w:u w:val="none" w:color="auto"/>
              </w:rPr>
              <w:t>大风</w:t>
            </w:r>
            <w:r>
              <w:rPr>
                <w:rFonts w:ascii="宋体" w:hAnsi="宋体" w:eastAsia="宋体" w:cs="宋体"/>
                <w:color w:val="auto"/>
                <w:spacing w:val="-1"/>
                <w:sz w:val="24"/>
                <w:szCs w:val="24"/>
                <w:u w:val="none" w:color="auto"/>
              </w:rPr>
              <w:t>天气作业等</w:t>
            </w:r>
          </w:p>
        </w:tc>
        <w:tc>
          <w:tcPr>
            <w:tcW w:w="2163" w:type="dxa"/>
            <w:vMerge w:val="continue"/>
            <w:tcBorders>
              <w:tl2br w:val="nil"/>
              <w:tr2bl w:val="nil"/>
            </w:tcBorders>
            <w:vAlign w:val="top"/>
          </w:tcPr>
          <w:p w14:paraId="39654125">
            <w:pPr>
              <w:rPr>
                <w:rFonts w:ascii="Arial"/>
                <w:color w:val="auto"/>
                <w:sz w:val="24"/>
                <w:szCs w:val="24"/>
                <w:u w:val="none" w:color="auto"/>
              </w:rPr>
            </w:pPr>
          </w:p>
        </w:tc>
      </w:tr>
      <w:tr w14:paraId="631A3349">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261" w:type="dxa"/>
            <w:vMerge w:val="continue"/>
            <w:tcBorders>
              <w:tl2br w:val="nil"/>
              <w:tr2bl w:val="nil"/>
            </w:tcBorders>
            <w:vAlign w:val="top"/>
          </w:tcPr>
          <w:p w14:paraId="6255729A">
            <w:pPr>
              <w:rPr>
                <w:rFonts w:ascii="Arial"/>
                <w:color w:val="auto"/>
                <w:sz w:val="24"/>
                <w:szCs w:val="24"/>
                <w:u w:val="none" w:color="auto"/>
              </w:rPr>
            </w:pPr>
          </w:p>
        </w:tc>
        <w:tc>
          <w:tcPr>
            <w:tcW w:w="1696" w:type="dxa"/>
            <w:vMerge w:val="continue"/>
            <w:tcBorders>
              <w:tl2br w:val="nil"/>
              <w:tr2bl w:val="nil"/>
            </w:tcBorders>
            <w:vAlign w:val="top"/>
          </w:tcPr>
          <w:p w14:paraId="0FC97DA9">
            <w:pPr>
              <w:rPr>
                <w:rFonts w:ascii="Arial"/>
                <w:color w:val="auto"/>
                <w:sz w:val="24"/>
                <w:szCs w:val="24"/>
                <w:u w:val="none" w:color="auto"/>
              </w:rPr>
            </w:pPr>
          </w:p>
        </w:tc>
        <w:tc>
          <w:tcPr>
            <w:tcW w:w="1700" w:type="dxa"/>
            <w:tcBorders>
              <w:tl2br w:val="nil"/>
              <w:tr2bl w:val="nil"/>
            </w:tcBorders>
            <w:vAlign w:val="top"/>
          </w:tcPr>
          <w:p w14:paraId="044ABB81">
            <w:pPr>
              <w:spacing w:before="49" w:line="236" w:lineRule="auto"/>
              <w:ind w:left="609" w:right="132" w:hanging="478"/>
              <w:rPr>
                <w:rFonts w:ascii="宋体" w:hAnsi="宋体" w:eastAsia="宋体" w:cs="宋体"/>
                <w:color w:val="auto"/>
                <w:sz w:val="24"/>
                <w:szCs w:val="24"/>
                <w:u w:val="none" w:color="auto"/>
              </w:rPr>
            </w:pPr>
            <w:r>
              <w:rPr>
                <w:rFonts w:ascii="宋体" w:hAnsi="宋体" w:eastAsia="宋体" w:cs="宋体"/>
                <w:color w:val="auto"/>
                <w:spacing w:val="10"/>
                <w:sz w:val="24"/>
                <w:szCs w:val="24"/>
                <w:u w:val="none" w:color="auto"/>
              </w:rPr>
              <w:t>沥</w:t>
            </w:r>
            <w:r>
              <w:rPr>
                <w:rFonts w:ascii="宋体" w:hAnsi="宋体" w:eastAsia="宋体" w:cs="宋体"/>
                <w:color w:val="auto"/>
                <w:spacing w:val="8"/>
                <w:sz w:val="24"/>
                <w:szCs w:val="24"/>
                <w:u w:val="none" w:color="auto"/>
              </w:rPr>
              <w:t>青烟、苯并</w:t>
            </w:r>
            <w:r>
              <w:rPr>
                <w:rFonts w:ascii="Times New Roman" w:hAnsi="Times New Roman" w:eastAsia="Times New Roman" w:cs="Times New Roman"/>
                <w:color w:val="auto"/>
                <w:spacing w:val="1"/>
                <w:sz w:val="24"/>
                <w:szCs w:val="24"/>
                <w:u w:val="none" w:color="auto"/>
              </w:rPr>
              <w:t>[</w:t>
            </w:r>
            <w:r>
              <w:rPr>
                <w:rFonts w:ascii="Times New Roman" w:hAnsi="Times New Roman" w:eastAsia="Times New Roman" w:cs="Times New Roman"/>
                <w:color w:val="auto"/>
                <w:sz w:val="24"/>
                <w:szCs w:val="24"/>
                <w:u w:val="none" w:color="auto"/>
              </w:rPr>
              <w:t>a</w:t>
            </w:r>
            <w:r>
              <w:rPr>
                <w:rFonts w:ascii="Times New Roman" w:hAnsi="Times New Roman" w:eastAsia="Times New Roman" w:cs="Times New Roman"/>
                <w:color w:val="auto"/>
                <w:spacing w:val="1"/>
                <w:sz w:val="24"/>
                <w:szCs w:val="24"/>
                <w:u w:val="none" w:color="auto"/>
              </w:rPr>
              <w:t>]</w:t>
            </w:r>
            <w:r>
              <w:rPr>
                <w:rFonts w:ascii="宋体" w:hAnsi="宋体" w:eastAsia="宋体" w:cs="宋体"/>
                <w:color w:val="auto"/>
                <w:spacing w:val="1"/>
                <w:sz w:val="24"/>
                <w:szCs w:val="24"/>
                <w:u w:val="none" w:color="auto"/>
              </w:rPr>
              <w:t>芘</w:t>
            </w:r>
          </w:p>
        </w:tc>
        <w:tc>
          <w:tcPr>
            <w:tcW w:w="1980" w:type="dxa"/>
            <w:tcBorders>
              <w:tl2br w:val="nil"/>
              <w:tr2bl w:val="nil"/>
            </w:tcBorders>
            <w:vAlign w:val="top"/>
          </w:tcPr>
          <w:p w14:paraId="36A09853">
            <w:pPr>
              <w:spacing w:line="317" w:lineRule="auto"/>
              <w:rPr>
                <w:rFonts w:ascii="Arial"/>
                <w:color w:val="auto"/>
                <w:sz w:val="24"/>
                <w:szCs w:val="24"/>
                <w:u w:val="none" w:color="auto"/>
              </w:rPr>
            </w:pPr>
          </w:p>
          <w:p w14:paraId="7E83C14D">
            <w:pPr>
              <w:spacing w:before="29" w:line="215" w:lineRule="auto"/>
              <w:ind w:left="916"/>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42"/>
                <w:sz w:val="24"/>
                <w:szCs w:val="24"/>
                <w:u w:val="none" w:color="auto"/>
              </w:rPr>
              <w:t>-</w:t>
            </w:r>
            <w:r>
              <w:rPr>
                <w:rFonts w:ascii="Times New Roman" w:hAnsi="Times New Roman" w:eastAsia="Times New Roman" w:cs="Times New Roman"/>
                <w:color w:val="auto"/>
                <w:spacing w:val="41"/>
                <w:sz w:val="24"/>
                <w:szCs w:val="24"/>
                <w:u w:val="none" w:color="auto"/>
              </w:rPr>
              <w:t>-</w:t>
            </w:r>
          </w:p>
        </w:tc>
        <w:tc>
          <w:tcPr>
            <w:tcW w:w="2163" w:type="dxa"/>
            <w:vMerge w:val="continue"/>
            <w:tcBorders>
              <w:tl2br w:val="nil"/>
              <w:tr2bl w:val="nil"/>
            </w:tcBorders>
            <w:vAlign w:val="top"/>
          </w:tcPr>
          <w:p w14:paraId="62AF7E8B">
            <w:pPr>
              <w:rPr>
                <w:rFonts w:ascii="Arial"/>
                <w:color w:val="auto"/>
                <w:sz w:val="24"/>
                <w:szCs w:val="24"/>
                <w:u w:val="none" w:color="auto"/>
              </w:rPr>
            </w:pPr>
          </w:p>
        </w:tc>
      </w:tr>
      <w:tr w14:paraId="6FC83241">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tcBorders>
              <w:tl2br w:val="nil"/>
              <w:tr2bl w:val="nil"/>
            </w:tcBorders>
            <w:vAlign w:val="top"/>
          </w:tcPr>
          <w:p w14:paraId="4CDEE1F6">
            <w:pPr>
              <w:spacing w:before="39" w:line="226" w:lineRule="auto"/>
              <w:ind w:left="501" w:right="156" w:hanging="360"/>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地</w:t>
            </w:r>
            <w:r>
              <w:rPr>
                <w:rFonts w:ascii="宋体" w:hAnsi="宋体" w:eastAsia="宋体" w:cs="宋体"/>
                <w:color w:val="auto"/>
                <w:spacing w:val="-2"/>
                <w:sz w:val="24"/>
                <w:szCs w:val="24"/>
                <w:u w:val="none" w:color="auto"/>
              </w:rPr>
              <w:t>表水环</w:t>
            </w:r>
            <w:r>
              <w:rPr>
                <w:rFonts w:ascii="宋体" w:hAnsi="宋体" w:eastAsia="宋体" w:cs="宋体"/>
                <w:color w:val="auto"/>
                <w:sz w:val="24"/>
                <w:szCs w:val="24"/>
                <w:u w:val="none" w:color="auto"/>
              </w:rPr>
              <w:t>境</w:t>
            </w:r>
          </w:p>
        </w:tc>
        <w:tc>
          <w:tcPr>
            <w:tcW w:w="1696" w:type="dxa"/>
            <w:tcBorders>
              <w:tl2br w:val="nil"/>
              <w:tr2bl w:val="nil"/>
            </w:tcBorders>
            <w:vAlign w:val="center"/>
          </w:tcPr>
          <w:p w14:paraId="0416A24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z w:val="24"/>
                <w:szCs w:val="24"/>
                <w:u w:val="none" w:color="auto"/>
                <w:lang w:eastAsia="zh-CN"/>
              </w:rPr>
            </w:pPr>
            <w:r>
              <w:rPr>
                <w:rFonts w:hint="eastAsia"/>
                <w:color w:val="auto"/>
                <w:sz w:val="24"/>
                <w:szCs w:val="24"/>
                <w:lang w:val="en-US" w:eastAsia="zh-CN"/>
              </w:rPr>
              <w:t>生产废水</w:t>
            </w:r>
          </w:p>
        </w:tc>
        <w:tc>
          <w:tcPr>
            <w:tcW w:w="1700" w:type="dxa"/>
            <w:tcBorders>
              <w:tl2br w:val="nil"/>
              <w:tr2bl w:val="nil"/>
            </w:tcBorders>
            <w:vAlign w:val="center"/>
          </w:tcPr>
          <w:p w14:paraId="52DCC3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z w:val="24"/>
                <w:szCs w:val="24"/>
                <w:u w:val="none" w:color="auto"/>
                <w:lang w:eastAsia="zh-CN"/>
              </w:rPr>
            </w:pPr>
            <w:r>
              <w:rPr>
                <w:color w:val="auto"/>
                <w:sz w:val="24"/>
                <w:szCs w:val="24"/>
              </w:rPr>
              <w:t>SS</w:t>
            </w:r>
          </w:p>
        </w:tc>
        <w:tc>
          <w:tcPr>
            <w:tcW w:w="1980" w:type="dxa"/>
            <w:tcBorders>
              <w:tl2br w:val="nil"/>
              <w:tr2bl w:val="nil"/>
            </w:tcBorders>
            <w:vAlign w:val="center"/>
          </w:tcPr>
          <w:p w14:paraId="7B1EFD46">
            <w:pPr>
              <w:keepNext w:val="0"/>
              <w:keepLines w:val="0"/>
              <w:pageBreakBefore w:val="0"/>
              <w:widowControl w:val="0"/>
              <w:kinsoku/>
              <w:wordWrap/>
              <w:overflowPunct/>
              <w:topLinePunct w:val="0"/>
              <w:autoSpaceDE/>
              <w:autoSpaceDN/>
              <w:bidi w:val="0"/>
              <w:ind w:firstLine="0" w:firstLineChars="0"/>
              <w:contextualSpacing/>
              <w:jc w:val="center"/>
              <w:textAlignment w:val="auto"/>
              <w:rPr>
                <w:rFonts w:hint="eastAsia" w:ascii="宋体" w:hAnsi="宋体" w:eastAsia="宋体" w:cs="宋体"/>
                <w:color w:val="auto"/>
                <w:sz w:val="24"/>
                <w:szCs w:val="24"/>
                <w:u w:val="none" w:color="auto"/>
                <w:lang w:eastAsia="zh-CN"/>
              </w:rPr>
            </w:pPr>
            <w:r>
              <w:rPr>
                <w:rFonts w:hint="eastAsia" w:cs="Times New Roman"/>
                <w:bCs/>
                <w:color w:val="auto"/>
                <w:sz w:val="24"/>
                <w:szCs w:val="24"/>
                <w:lang w:val="en-US" w:eastAsia="zh-CN"/>
              </w:rPr>
              <w:t>沉淀池</w:t>
            </w:r>
          </w:p>
        </w:tc>
        <w:tc>
          <w:tcPr>
            <w:tcW w:w="2163" w:type="dxa"/>
            <w:tcBorders>
              <w:tl2br w:val="nil"/>
              <w:tr2bl w:val="nil"/>
            </w:tcBorders>
            <w:vAlign w:val="center"/>
          </w:tcPr>
          <w:p w14:paraId="18603EB5">
            <w:pPr>
              <w:keepNext w:val="0"/>
              <w:keepLines w:val="0"/>
              <w:pageBreakBefore w:val="0"/>
              <w:widowControl w:val="0"/>
              <w:kinsoku/>
              <w:wordWrap/>
              <w:overflowPunct/>
              <w:topLinePunct w:val="0"/>
              <w:autoSpaceDE/>
              <w:autoSpaceDN/>
              <w:bidi w:val="0"/>
              <w:ind w:firstLine="0" w:firstLineChars="0"/>
              <w:contextualSpacing/>
              <w:jc w:val="center"/>
              <w:textAlignment w:val="auto"/>
              <w:rPr>
                <w:rFonts w:hint="eastAsia" w:ascii="宋体" w:hAnsi="宋体" w:eastAsia="宋体" w:cs="宋体"/>
                <w:color w:val="auto"/>
                <w:sz w:val="24"/>
                <w:szCs w:val="24"/>
                <w:u w:val="none" w:color="auto"/>
                <w:lang w:eastAsia="zh-CN"/>
              </w:rPr>
            </w:pPr>
            <w:r>
              <w:rPr>
                <w:rFonts w:hint="eastAsia" w:cs="Times New Roman"/>
                <w:bCs/>
                <w:color w:val="auto"/>
                <w:sz w:val="24"/>
                <w:szCs w:val="24"/>
                <w:lang w:val="en-US" w:eastAsia="zh-CN"/>
              </w:rPr>
              <w:t>回用生产不外排</w:t>
            </w:r>
          </w:p>
        </w:tc>
      </w:tr>
      <w:tr w14:paraId="32217F50">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2089" w:hRule="atLeast"/>
        </w:trPr>
        <w:tc>
          <w:tcPr>
            <w:tcW w:w="1261" w:type="dxa"/>
            <w:tcBorders>
              <w:tl2br w:val="nil"/>
              <w:tr2bl w:val="nil"/>
            </w:tcBorders>
            <w:vAlign w:val="top"/>
          </w:tcPr>
          <w:p w14:paraId="1018406D">
            <w:pPr>
              <w:spacing w:line="245" w:lineRule="auto"/>
              <w:rPr>
                <w:rFonts w:ascii="Arial"/>
                <w:color w:val="auto"/>
                <w:sz w:val="24"/>
                <w:szCs w:val="24"/>
                <w:u w:val="none" w:color="auto"/>
              </w:rPr>
            </w:pPr>
          </w:p>
          <w:p w14:paraId="458E8A14">
            <w:pPr>
              <w:spacing w:before="78" w:line="220" w:lineRule="auto"/>
              <w:ind w:left="266"/>
              <w:rPr>
                <w:rFonts w:ascii="宋体" w:hAnsi="宋体" w:eastAsia="宋体" w:cs="宋体"/>
                <w:color w:val="auto"/>
                <w:sz w:val="24"/>
                <w:szCs w:val="24"/>
                <w:u w:val="none" w:color="auto"/>
              </w:rPr>
            </w:pPr>
            <w:r>
              <w:rPr>
                <w:rFonts w:ascii="宋体" w:hAnsi="宋体" w:eastAsia="宋体" w:cs="宋体"/>
                <w:color w:val="auto"/>
                <w:spacing w:val="-4"/>
                <w:sz w:val="24"/>
                <w:szCs w:val="24"/>
                <w:u w:val="none" w:color="auto"/>
              </w:rPr>
              <w:t>声</w:t>
            </w:r>
            <w:r>
              <w:rPr>
                <w:rFonts w:ascii="宋体" w:hAnsi="宋体" w:eastAsia="宋体" w:cs="宋体"/>
                <w:color w:val="auto"/>
                <w:spacing w:val="-3"/>
                <w:sz w:val="24"/>
                <w:szCs w:val="24"/>
                <w:u w:val="none" w:color="auto"/>
              </w:rPr>
              <w:t>环境</w:t>
            </w:r>
          </w:p>
        </w:tc>
        <w:tc>
          <w:tcPr>
            <w:tcW w:w="1696" w:type="dxa"/>
            <w:tcBorders>
              <w:tl2br w:val="nil"/>
              <w:tr2bl w:val="nil"/>
            </w:tcBorders>
            <w:vAlign w:val="top"/>
          </w:tcPr>
          <w:p w14:paraId="649F0650">
            <w:pPr>
              <w:spacing w:before="78" w:line="219" w:lineRule="auto"/>
              <w:ind w:left="126"/>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搅</w:t>
            </w:r>
            <w:r>
              <w:rPr>
                <w:rFonts w:ascii="宋体" w:hAnsi="宋体" w:eastAsia="宋体" w:cs="宋体"/>
                <w:color w:val="auto"/>
                <w:spacing w:val="-1"/>
                <w:sz w:val="24"/>
                <w:szCs w:val="24"/>
                <w:u w:val="none" w:color="auto"/>
              </w:rPr>
              <w:t>拌机、振动</w:t>
            </w:r>
          </w:p>
          <w:p w14:paraId="7D4C45C2">
            <w:pPr>
              <w:spacing w:before="27" w:line="219" w:lineRule="auto"/>
              <w:ind w:left="109"/>
              <w:rPr>
                <w:rFonts w:ascii="宋体" w:hAnsi="宋体" w:eastAsia="宋体" w:cs="宋体"/>
                <w:color w:val="auto"/>
                <w:sz w:val="24"/>
                <w:szCs w:val="24"/>
                <w:u w:val="none" w:color="auto"/>
              </w:rPr>
            </w:pPr>
            <w:r>
              <w:rPr>
                <w:rFonts w:ascii="宋体" w:hAnsi="宋体" w:eastAsia="宋体" w:cs="宋体"/>
                <w:color w:val="auto"/>
                <w:spacing w:val="-21"/>
                <w:sz w:val="24"/>
                <w:szCs w:val="24"/>
                <w:u w:val="none" w:color="auto"/>
              </w:rPr>
              <w:t>筛</w:t>
            </w:r>
            <w:r>
              <w:rPr>
                <w:rFonts w:ascii="宋体" w:hAnsi="宋体" w:eastAsia="宋体" w:cs="宋体"/>
                <w:color w:val="auto"/>
                <w:spacing w:val="-15"/>
                <w:sz w:val="24"/>
                <w:szCs w:val="24"/>
                <w:u w:val="none" w:color="auto"/>
              </w:rPr>
              <w:t>、烘干滚筒、</w:t>
            </w:r>
          </w:p>
          <w:p w14:paraId="6B52244C">
            <w:pPr>
              <w:spacing w:before="27" w:line="219" w:lineRule="auto"/>
              <w:ind w:left="248"/>
              <w:rPr>
                <w:rFonts w:ascii="宋体" w:hAnsi="宋体" w:eastAsia="宋体" w:cs="宋体"/>
                <w:color w:val="auto"/>
                <w:sz w:val="24"/>
                <w:szCs w:val="24"/>
                <w:u w:val="none" w:color="auto"/>
              </w:rPr>
            </w:pPr>
            <w:r>
              <w:rPr>
                <w:rFonts w:ascii="宋体" w:hAnsi="宋体" w:eastAsia="宋体" w:cs="宋体"/>
                <w:color w:val="auto"/>
                <w:spacing w:val="-3"/>
                <w:sz w:val="24"/>
                <w:szCs w:val="24"/>
                <w:u w:val="none" w:color="auto"/>
              </w:rPr>
              <w:t>风</w:t>
            </w:r>
            <w:r>
              <w:rPr>
                <w:rFonts w:ascii="宋体" w:hAnsi="宋体" w:eastAsia="宋体" w:cs="宋体"/>
                <w:color w:val="auto"/>
                <w:spacing w:val="-2"/>
                <w:sz w:val="24"/>
                <w:szCs w:val="24"/>
                <w:u w:val="none" w:color="auto"/>
              </w:rPr>
              <w:t>机等设备</w:t>
            </w:r>
          </w:p>
        </w:tc>
        <w:tc>
          <w:tcPr>
            <w:tcW w:w="1700" w:type="dxa"/>
            <w:tcBorders>
              <w:tl2br w:val="nil"/>
              <w:tr2bl w:val="nil"/>
            </w:tcBorders>
            <w:vAlign w:val="top"/>
          </w:tcPr>
          <w:p w14:paraId="058296B2">
            <w:pPr>
              <w:spacing w:line="264" w:lineRule="auto"/>
              <w:rPr>
                <w:rFonts w:ascii="Arial"/>
                <w:color w:val="auto"/>
                <w:sz w:val="24"/>
                <w:szCs w:val="24"/>
                <w:u w:val="none" w:color="auto"/>
              </w:rPr>
            </w:pPr>
          </w:p>
          <w:p w14:paraId="2C74E8FA">
            <w:pPr>
              <w:spacing w:before="69" w:line="192" w:lineRule="auto"/>
              <w:ind w:left="643"/>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pacing w:val="-1"/>
                <w:position w:val="1"/>
                <w:sz w:val="24"/>
                <w:szCs w:val="24"/>
                <w:u w:val="none" w:color="auto"/>
              </w:rPr>
              <w:t>L</w:t>
            </w:r>
            <w:r>
              <w:rPr>
                <w:rFonts w:ascii="Times New Roman" w:hAnsi="Times New Roman" w:eastAsia="Times New Roman" w:cs="Times New Roman"/>
                <w:color w:val="auto"/>
                <w:spacing w:val="-1"/>
                <w:sz w:val="24"/>
                <w:szCs w:val="24"/>
                <w:u w:val="none" w:color="auto"/>
              </w:rPr>
              <w:t>A</w:t>
            </w:r>
            <w:r>
              <w:rPr>
                <w:rFonts w:ascii="Times New Roman" w:hAnsi="Times New Roman" w:eastAsia="Times New Roman" w:cs="Times New Roman"/>
                <w:color w:val="auto"/>
                <w:sz w:val="24"/>
                <w:szCs w:val="24"/>
                <w:u w:val="none" w:color="auto"/>
              </w:rPr>
              <w:t>eq</w:t>
            </w:r>
          </w:p>
        </w:tc>
        <w:tc>
          <w:tcPr>
            <w:tcW w:w="1980" w:type="dxa"/>
            <w:tcBorders>
              <w:tl2br w:val="nil"/>
              <w:tr2bl w:val="nil"/>
            </w:tcBorders>
            <w:vAlign w:val="top"/>
          </w:tcPr>
          <w:p w14:paraId="351BBA31">
            <w:pPr>
              <w:spacing w:before="38" w:line="218" w:lineRule="auto"/>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采用低</w:t>
            </w:r>
            <w:r>
              <w:rPr>
                <w:rFonts w:ascii="宋体" w:hAnsi="宋体" w:eastAsia="宋体" w:cs="宋体"/>
                <w:color w:val="auto"/>
                <w:spacing w:val="-1"/>
                <w:sz w:val="24"/>
                <w:szCs w:val="24"/>
                <w:u w:val="none" w:color="auto"/>
              </w:rPr>
              <w:t>噪声设</w:t>
            </w:r>
            <w:r>
              <w:rPr>
                <w:rFonts w:ascii="宋体" w:hAnsi="宋体" w:eastAsia="宋体" w:cs="宋体"/>
                <w:color w:val="auto"/>
                <w:spacing w:val="-2"/>
                <w:sz w:val="24"/>
                <w:szCs w:val="24"/>
                <w:u w:val="none" w:color="auto"/>
              </w:rPr>
              <w:t>备，安装</w:t>
            </w:r>
            <w:r>
              <w:rPr>
                <w:rFonts w:ascii="宋体" w:hAnsi="宋体" w:eastAsia="宋体" w:cs="宋体"/>
                <w:color w:val="auto"/>
                <w:spacing w:val="-1"/>
                <w:sz w:val="24"/>
                <w:szCs w:val="24"/>
                <w:u w:val="none" w:color="auto"/>
              </w:rPr>
              <w:t>减震</w:t>
            </w:r>
            <w:r>
              <w:rPr>
                <w:rFonts w:ascii="宋体" w:hAnsi="宋体" w:eastAsia="宋体" w:cs="宋体"/>
                <w:color w:val="auto"/>
                <w:spacing w:val="-2"/>
                <w:sz w:val="24"/>
                <w:szCs w:val="24"/>
                <w:u w:val="none" w:color="auto"/>
              </w:rPr>
              <w:t>垫，产</w:t>
            </w:r>
            <w:r>
              <w:rPr>
                <w:rFonts w:ascii="宋体" w:hAnsi="宋体" w:eastAsia="宋体" w:cs="宋体"/>
                <w:color w:val="auto"/>
                <w:spacing w:val="-1"/>
                <w:sz w:val="24"/>
                <w:szCs w:val="24"/>
                <w:u w:val="none" w:color="auto"/>
              </w:rPr>
              <w:t>噪设备合</w:t>
            </w:r>
            <w:r>
              <w:rPr>
                <w:rFonts w:ascii="宋体" w:hAnsi="宋体" w:eastAsia="宋体" w:cs="宋体"/>
                <w:color w:val="auto"/>
                <w:spacing w:val="-2"/>
                <w:sz w:val="24"/>
                <w:szCs w:val="24"/>
                <w:u w:val="none" w:color="auto"/>
              </w:rPr>
              <w:t>理布局，</w:t>
            </w:r>
            <w:r>
              <w:rPr>
                <w:rFonts w:ascii="宋体" w:hAnsi="宋体" w:eastAsia="宋体" w:cs="宋体"/>
                <w:color w:val="auto"/>
                <w:spacing w:val="-1"/>
                <w:sz w:val="24"/>
                <w:szCs w:val="24"/>
                <w:u w:val="none" w:color="auto"/>
              </w:rPr>
              <w:t>加强设</w:t>
            </w:r>
            <w:r>
              <w:rPr>
                <w:rFonts w:ascii="宋体" w:hAnsi="宋体" w:eastAsia="宋体" w:cs="宋体"/>
                <w:color w:val="auto"/>
                <w:spacing w:val="-2"/>
                <w:sz w:val="24"/>
                <w:szCs w:val="24"/>
                <w:u w:val="none" w:color="auto"/>
              </w:rPr>
              <w:t>备维护保</w:t>
            </w:r>
            <w:r>
              <w:rPr>
                <w:rFonts w:ascii="宋体" w:hAnsi="宋体" w:eastAsia="宋体" w:cs="宋体"/>
                <w:color w:val="auto"/>
                <w:spacing w:val="-1"/>
                <w:sz w:val="24"/>
                <w:szCs w:val="24"/>
                <w:u w:val="none" w:color="auto"/>
              </w:rPr>
              <w:t>养等措</w:t>
            </w:r>
            <w:r>
              <w:rPr>
                <w:rFonts w:ascii="宋体" w:hAnsi="宋体" w:eastAsia="宋体" w:cs="宋体"/>
                <w:color w:val="auto"/>
                <w:sz w:val="24"/>
                <w:szCs w:val="24"/>
                <w:u w:val="none" w:color="auto"/>
              </w:rPr>
              <w:t>施</w:t>
            </w:r>
          </w:p>
        </w:tc>
        <w:tc>
          <w:tcPr>
            <w:tcW w:w="2163" w:type="dxa"/>
            <w:tcBorders>
              <w:tl2br w:val="nil"/>
              <w:tr2bl w:val="nil"/>
            </w:tcBorders>
            <w:vAlign w:val="top"/>
          </w:tcPr>
          <w:p w14:paraId="3A34B45E">
            <w:pPr>
              <w:spacing w:before="194" w:line="220" w:lineRule="auto"/>
              <w:ind w:left="130"/>
              <w:rPr>
                <w:rFonts w:ascii="宋体" w:hAnsi="宋体" w:eastAsia="宋体" w:cs="宋体"/>
                <w:color w:val="auto"/>
                <w:sz w:val="24"/>
                <w:szCs w:val="24"/>
                <w:u w:val="none" w:color="auto"/>
              </w:rPr>
            </w:pPr>
            <w:r>
              <w:rPr>
                <w:rFonts w:ascii="宋体" w:hAnsi="宋体" w:eastAsia="宋体" w:cs="宋体"/>
                <w:color w:val="auto"/>
                <w:spacing w:val="-2"/>
                <w:sz w:val="24"/>
                <w:szCs w:val="24"/>
                <w:u w:val="none" w:color="auto"/>
              </w:rPr>
              <w:t>厂界满足《</w:t>
            </w:r>
            <w:r>
              <w:rPr>
                <w:rFonts w:ascii="宋体" w:hAnsi="宋体" w:eastAsia="宋体" w:cs="宋体"/>
                <w:color w:val="auto"/>
                <w:spacing w:val="-1"/>
                <w:sz w:val="24"/>
                <w:szCs w:val="24"/>
                <w:u w:val="none" w:color="auto"/>
              </w:rPr>
              <w:t>工业企</w:t>
            </w:r>
            <w:r>
              <w:rPr>
                <w:rFonts w:ascii="宋体" w:hAnsi="宋体" w:eastAsia="宋体" w:cs="宋体"/>
                <w:color w:val="auto"/>
                <w:spacing w:val="-2"/>
                <w:sz w:val="24"/>
                <w:szCs w:val="24"/>
                <w:u w:val="none" w:color="auto"/>
              </w:rPr>
              <w:t>业</w:t>
            </w:r>
            <w:r>
              <w:rPr>
                <w:rFonts w:ascii="宋体" w:hAnsi="宋体" w:eastAsia="宋体" w:cs="宋体"/>
                <w:color w:val="auto"/>
                <w:spacing w:val="-1"/>
                <w:sz w:val="24"/>
                <w:szCs w:val="24"/>
                <w:u w:val="none" w:color="auto"/>
              </w:rPr>
              <w:t>厂界环境噪声排</w:t>
            </w:r>
            <w:r>
              <w:rPr>
                <w:rFonts w:ascii="宋体" w:hAnsi="宋体" w:eastAsia="宋体" w:cs="宋体"/>
                <w:color w:val="auto"/>
                <w:spacing w:val="-6"/>
                <w:sz w:val="24"/>
                <w:szCs w:val="24"/>
                <w:u w:val="none" w:color="auto"/>
              </w:rPr>
              <w:t>放</w:t>
            </w:r>
            <w:r>
              <w:rPr>
                <w:rFonts w:ascii="宋体" w:hAnsi="宋体" w:eastAsia="宋体" w:cs="宋体"/>
                <w:color w:val="auto"/>
                <w:spacing w:val="-3"/>
                <w:sz w:val="24"/>
                <w:szCs w:val="24"/>
                <w:u w:val="none" w:color="auto"/>
              </w:rPr>
              <w:t>标准》</w:t>
            </w:r>
            <w:r>
              <w:rPr>
                <w:rFonts w:ascii="宋体" w:hAnsi="宋体" w:eastAsia="宋体" w:cs="宋体"/>
                <w:color w:val="auto"/>
                <w:sz w:val="24"/>
                <w:szCs w:val="24"/>
                <w:u w:val="none" w:color="auto"/>
              </w:rPr>
              <w:tab/>
            </w:r>
            <w:r>
              <w:rPr>
                <w:rFonts w:ascii="宋体" w:hAnsi="宋体" w:eastAsia="宋体" w:cs="宋体"/>
                <w:color w:val="auto"/>
                <w:spacing w:val="4"/>
                <w:sz w:val="24"/>
                <w:szCs w:val="24"/>
                <w:u w:val="none" w:color="auto"/>
              </w:rPr>
              <w:t>(</w:t>
            </w:r>
            <w:r>
              <w:rPr>
                <w:rFonts w:ascii="Times New Roman" w:hAnsi="Times New Roman" w:eastAsia="Times New Roman" w:cs="Times New Roman"/>
                <w:color w:val="auto"/>
                <w:sz w:val="24"/>
                <w:szCs w:val="24"/>
                <w:u w:val="none" w:color="auto"/>
              </w:rPr>
              <w:t>GB</w:t>
            </w:r>
            <w:r>
              <w:rPr>
                <w:rFonts w:ascii="Times New Roman" w:hAnsi="Times New Roman" w:eastAsia="Times New Roman" w:cs="Times New Roman"/>
                <w:color w:val="auto"/>
                <w:spacing w:val="4"/>
                <w:sz w:val="24"/>
                <w:szCs w:val="24"/>
                <w:u w:val="none" w:color="auto"/>
              </w:rPr>
              <w:t>12348-2008</w:t>
            </w:r>
            <w:r>
              <w:rPr>
                <w:rFonts w:ascii="宋体" w:hAnsi="宋体" w:eastAsia="宋体" w:cs="宋体"/>
                <w:color w:val="auto"/>
                <w:spacing w:val="4"/>
                <w:sz w:val="24"/>
                <w:szCs w:val="24"/>
                <w:u w:val="none" w:color="auto"/>
              </w:rPr>
              <w:t>)</w:t>
            </w:r>
            <w:r>
              <w:rPr>
                <w:rFonts w:ascii="宋体" w:hAnsi="宋体" w:eastAsia="宋体" w:cs="宋体"/>
                <w:color w:val="auto"/>
                <w:spacing w:val="-17"/>
                <w:sz w:val="24"/>
                <w:szCs w:val="24"/>
                <w:u w:val="none" w:color="auto"/>
              </w:rPr>
              <w:t>中</w:t>
            </w:r>
            <w:r>
              <w:rPr>
                <w:rFonts w:hint="eastAsia" w:eastAsia="宋体" w:cs="Times New Roman"/>
                <w:color w:val="auto"/>
                <w:spacing w:val="-12"/>
                <w:sz w:val="24"/>
                <w:szCs w:val="24"/>
                <w:u w:val="none" w:color="auto"/>
                <w:lang w:val="en-US" w:eastAsia="zh-CN"/>
              </w:rPr>
              <w:t>2</w:t>
            </w:r>
            <w:r>
              <w:rPr>
                <w:rFonts w:ascii="宋体" w:hAnsi="宋体" w:eastAsia="宋体" w:cs="宋体"/>
                <w:color w:val="auto"/>
                <w:spacing w:val="-12"/>
                <w:sz w:val="24"/>
                <w:szCs w:val="24"/>
                <w:u w:val="none" w:color="auto"/>
              </w:rPr>
              <w:t>类标准</w:t>
            </w:r>
          </w:p>
        </w:tc>
      </w:tr>
      <w:tr w14:paraId="0BF3DAAC">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61" w:type="dxa"/>
            <w:tcBorders>
              <w:tl2br w:val="nil"/>
              <w:tr2bl w:val="nil"/>
            </w:tcBorders>
            <w:vAlign w:val="top"/>
          </w:tcPr>
          <w:p w14:paraId="513CADF9">
            <w:pPr>
              <w:spacing w:before="43" w:line="212" w:lineRule="auto"/>
              <w:ind w:left="169"/>
              <w:rPr>
                <w:rFonts w:ascii="宋体" w:hAnsi="宋体" w:eastAsia="宋体" w:cs="宋体"/>
                <w:color w:val="auto"/>
                <w:sz w:val="24"/>
                <w:szCs w:val="24"/>
                <w:u w:val="none" w:color="auto"/>
              </w:rPr>
            </w:pPr>
            <w:r>
              <w:rPr>
                <w:rFonts w:ascii="宋体" w:hAnsi="宋体" w:eastAsia="宋体" w:cs="宋体"/>
                <w:color w:val="auto"/>
                <w:spacing w:val="-8"/>
                <w:sz w:val="24"/>
                <w:szCs w:val="24"/>
                <w:u w:val="none" w:color="auto"/>
              </w:rPr>
              <w:t>电</w:t>
            </w:r>
            <w:r>
              <w:rPr>
                <w:rFonts w:ascii="宋体" w:hAnsi="宋体" w:eastAsia="宋体" w:cs="宋体"/>
                <w:color w:val="auto"/>
                <w:spacing w:val="-7"/>
                <w:sz w:val="24"/>
                <w:szCs w:val="24"/>
                <w:u w:val="none" w:color="auto"/>
              </w:rPr>
              <w:t>磁辐射</w:t>
            </w:r>
          </w:p>
        </w:tc>
        <w:tc>
          <w:tcPr>
            <w:tcW w:w="7539" w:type="dxa"/>
            <w:gridSpan w:val="4"/>
            <w:tcBorders>
              <w:tl2br w:val="nil"/>
              <w:tr2bl w:val="nil"/>
            </w:tcBorders>
            <w:vAlign w:val="top"/>
          </w:tcPr>
          <w:p w14:paraId="1029A7D5">
            <w:pPr>
              <w:spacing w:before="43" w:line="212" w:lineRule="auto"/>
              <w:ind w:left="3653"/>
              <w:rPr>
                <w:rFonts w:ascii="宋体" w:hAnsi="宋体" w:eastAsia="宋体" w:cs="宋体"/>
                <w:color w:val="auto"/>
                <w:sz w:val="24"/>
                <w:szCs w:val="24"/>
                <w:u w:val="none" w:color="auto"/>
              </w:rPr>
            </w:pPr>
            <w:r>
              <w:rPr>
                <w:rFonts w:ascii="宋体" w:hAnsi="宋体" w:eastAsia="宋体" w:cs="宋体"/>
                <w:color w:val="auto"/>
                <w:sz w:val="24"/>
                <w:szCs w:val="24"/>
                <w:u w:val="none" w:color="auto"/>
              </w:rPr>
              <w:t>无</w:t>
            </w:r>
          </w:p>
        </w:tc>
      </w:tr>
      <w:tr w14:paraId="0894AD2A">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1261" w:type="dxa"/>
            <w:tcBorders>
              <w:tl2br w:val="nil"/>
              <w:tr2bl w:val="nil"/>
            </w:tcBorders>
            <w:vAlign w:val="top"/>
          </w:tcPr>
          <w:p w14:paraId="3D761ECA">
            <w:pPr>
              <w:spacing w:before="78" w:line="220" w:lineRule="auto"/>
              <w:ind w:left="162"/>
              <w:rPr>
                <w:rFonts w:ascii="宋体" w:hAnsi="宋体" w:eastAsia="宋体" w:cs="宋体"/>
                <w:color w:val="auto"/>
                <w:sz w:val="24"/>
                <w:szCs w:val="24"/>
                <w:u w:val="none" w:color="auto"/>
              </w:rPr>
            </w:pPr>
            <w:r>
              <w:rPr>
                <w:rFonts w:ascii="宋体" w:hAnsi="宋体" w:eastAsia="宋体" w:cs="宋体"/>
                <w:color w:val="auto"/>
                <w:spacing w:val="-8"/>
                <w:sz w:val="24"/>
                <w:szCs w:val="24"/>
                <w:u w:val="none" w:color="auto"/>
              </w:rPr>
              <w:t>固</w:t>
            </w:r>
            <w:r>
              <w:rPr>
                <w:rFonts w:ascii="宋体" w:hAnsi="宋体" w:eastAsia="宋体" w:cs="宋体"/>
                <w:color w:val="auto"/>
                <w:spacing w:val="-5"/>
                <w:sz w:val="24"/>
                <w:szCs w:val="24"/>
                <w:u w:val="none" w:color="auto"/>
              </w:rPr>
              <w:t>体废物</w:t>
            </w:r>
          </w:p>
        </w:tc>
        <w:tc>
          <w:tcPr>
            <w:tcW w:w="7539" w:type="dxa"/>
            <w:gridSpan w:val="4"/>
            <w:tcBorders>
              <w:tl2br w:val="nil"/>
              <w:tr2bl w:val="nil"/>
            </w:tcBorders>
            <w:vAlign w:val="top"/>
          </w:tcPr>
          <w:p w14:paraId="638E6410">
            <w:pPr>
              <w:spacing w:line="219" w:lineRule="auto"/>
              <w:ind w:left="108"/>
              <w:rPr>
                <w:rFonts w:hint="eastAsia" w:ascii="宋体" w:hAnsi="宋体" w:eastAsia="宋体" w:cs="宋体"/>
                <w:color w:val="auto"/>
                <w:sz w:val="24"/>
                <w:szCs w:val="24"/>
                <w:u w:val="none" w:color="auto"/>
                <w:lang w:eastAsia="zh-CN"/>
              </w:rPr>
            </w:pPr>
            <w:r>
              <w:rPr>
                <w:rFonts w:ascii="宋体" w:hAnsi="宋体" w:eastAsia="宋体" w:cs="宋体"/>
                <w:color w:val="auto"/>
                <w:spacing w:val="-11"/>
                <w:sz w:val="24"/>
                <w:szCs w:val="24"/>
                <w:u w:val="none" w:color="auto"/>
              </w:rPr>
              <w:t>①除尘装置收</w:t>
            </w:r>
            <w:r>
              <w:rPr>
                <w:rFonts w:ascii="宋体" w:hAnsi="宋体" w:eastAsia="宋体" w:cs="宋体"/>
                <w:color w:val="auto"/>
                <w:spacing w:val="-9"/>
                <w:sz w:val="24"/>
                <w:szCs w:val="24"/>
                <w:u w:val="none" w:color="auto"/>
              </w:rPr>
              <w:t>集</w:t>
            </w:r>
            <w:r>
              <w:rPr>
                <w:rFonts w:ascii="宋体" w:hAnsi="宋体" w:eastAsia="宋体" w:cs="宋体"/>
                <w:color w:val="auto"/>
                <w:spacing w:val="-14"/>
                <w:sz w:val="24"/>
                <w:szCs w:val="24"/>
                <w:u w:val="none" w:color="auto"/>
              </w:rPr>
              <w:t>粉尘</w:t>
            </w:r>
            <w:r>
              <w:rPr>
                <w:rFonts w:ascii="宋体" w:hAnsi="宋体" w:eastAsia="宋体" w:cs="宋体"/>
                <w:color w:val="auto"/>
                <w:spacing w:val="-10"/>
                <w:sz w:val="24"/>
                <w:szCs w:val="24"/>
                <w:u w:val="none" w:color="auto"/>
              </w:rPr>
              <w:t>回</w:t>
            </w:r>
            <w:r>
              <w:rPr>
                <w:rFonts w:ascii="宋体" w:hAnsi="宋体" w:eastAsia="宋体" w:cs="宋体"/>
                <w:color w:val="auto"/>
                <w:spacing w:val="-7"/>
                <w:sz w:val="24"/>
                <w:szCs w:val="24"/>
                <w:u w:val="none" w:color="auto"/>
              </w:rPr>
              <w:t>收后用于生产；</w:t>
            </w:r>
            <w:r>
              <w:rPr>
                <w:rFonts w:ascii="宋体" w:hAnsi="宋体" w:eastAsia="宋体" w:cs="宋体"/>
                <w:color w:val="auto"/>
                <w:spacing w:val="-11"/>
                <w:sz w:val="24"/>
                <w:szCs w:val="24"/>
                <w:u w:val="none" w:color="auto"/>
              </w:rPr>
              <w:t>②</w:t>
            </w:r>
            <w:r>
              <w:rPr>
                <w:rFonts w:ascii="宋体" w:hAnsi="宋体" w:eastAsia="宋体" w:cs="宋体"/>
                <w:color w:val="auto"/>
                <w:spacing w:val="-7"/>
                <w:sz w:val="24"/>
                <w:szCs w:val="24"/>
                <w:u w:val="none" w:color="auto"/>
              </w:rPr>
              <w:t>不合格石料作为路基材料外卖；③</w:t>
            </w:r>
            <w:r>
              <w:rPr>
                <w:rFonts w:ascii="宋体" w:hAnsi="宋体" w:eastAsia="宋体" w:cs="宋体"/>
                <w:color w:val="auto"/>
                <w:spacing w:val="-4"/>
                <w:sz w:val="24"/>
                <w:szCs w:val="24"/>
                <w:u w:val="none" w:color="auto"/>
              </w:rPr>
              <w:t>废活性炭和废导热油分别使用专用容</w:t>
            </w:r>
            <w:r>
              <w:rPr>
                <w:rFonts w:ascii="宋体" w:hAnsi="宋体" w:eastAsia="宋体" w:cs="宋体"/>
                <w:color w:val="auto"/>
                <w:spacing w:val="-3"/>
                <w:sz w:val="24"/>
                <w:szCs w:val="24"/>
                <w:u w:val="none" w:color="auto"/>
              </w:rPr>
              <w:t>器</w:t>
            </w:r>
            <w:r>
              <w:rPr>
                <w:rFonts w:ascii="宋体" w:hAnsi="宋体" w:eastAsia="宋体" w:cs="宋体"/>
                <w:color w:val="auto"/>
                <w:spacing w:val="-7"/>
                <w:sz w:val="24"/>
                <w:szCs w:val="24"/>
                <w:u w:val="none" w:color="auto"/>
              </w:rPr>
              <w:t>装存，暂存于危废暂存间，委托有资质单位进行处理</w:t>
            </w:r>
            <w:r>
              <w:rPr>
                <w:rFonts w:ascii="宋体" w:hAnsi="宋体" w:eastAsia="宋体" w:cs="宋体"/>
                <w:color w:val="auto"/>
                <w:spacing w:val="-4"/>
                <w:sz w:val="24"/>
                <w:szCs w:val="24"/>
                <w:u w:val="none" w:color="auto"/>
              </w:rPr>
              <w:t>。</w:t>
            </w:r>
          </w:p>
        </w:tc>
      </w:tr>
      <w:tr w14:paraId="62AA75EA">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274" w:hRule="atLeast"/>
        </w:trPr>
        <w:tc>
          <w:tcPr>
            <w:tcW w:w="1261" w:type="dxa"/>
            <w:tcBorders>
              <w:tl2br w:val="nil"/>
              <w:tr2bl w:val="nil"/>
            </w:tcBorders>
            <w:vAlign w:val="top"/>
          </w:tcPr>
          <w:p w14:paraId="62DF457E">
            <w:pPr>
              <w:spacing w:before="78" w:line="250" w:lineRule="auto"/>
              <w:ind w:left="148" w:right="156" w:hanging="6"/>
              <w:rPr>
                <w:rFonts w:ascii="宋体" w:hAnsi="宋体" w:eastAsia="宋体" w:cs="宋体"/>
                <w:color w:val="auto"/>
                <w:spacing w:val="-4"/>
                <w:sz w:val="24"/>
                <w:szCs w:val="24"/>
                <w:u w:val="none" w:color="auto"/>
              </w:rPr>
            </w:pPr>
            <w:r>
              <w:rPr>
                <w:rFonts w:ascii="宋体" w:hAnsi="宋体" w:eastAsia="宋体" w:cs="宋体"/>
                <w:color w:val="auto"/>
                <w:spacing w:val="-4"/>
                <w:sz w:val="24"/>
                <w:szCs w:val="24"/>
                <w:u w:val="none" w:color="auto"/>
              </w:rPr>
              <w:t>土壤及地下水污染防治措施</w:t>
            </w:r>
          </w:p>
        </w:tc>
        <w:tc>
          <w:tcPr>
            <w:tcW w:w="7539" w:type="dxa"/>
            <w:gridSpan w:val="4"/>
            <w:tcBorders>
              <w:tl2br w:val="nil"/>
              <w:tr2bl w:val="nil"/>
            </w:tcBorders>
            <w:vAlign w:val="top"/>
          </w:tcPr>
          <w:p w14:paraId="5C443F1A">
            <w:pPr>
              <w:spacing w:before="78" w:line="250" w:lineRule="auto"/>
              <w:ind w:left="148" w:right="156" w:hanging="6"/>
              <w:rPr>
                <w:rFonts w:hint="eastAsia" w:ascii="宋体" w:hAnsi="宋体" w:eastAsia="宋体" w:cs="宋体"/>
                <w:color w:val="auto"/>
                <w:spacing w:val="-4"/>
                <w:sz w:val="24"/>
                <w:szCs w:val="24"/>
                <w:u w:val="none" w:color="auto"/>
                <w:lang w:eastAsia="zh-CN"/>
              </w:rPr>
            </w:pPr>
            <w:r>
              <w:rPr>
                <w:rFonts w:ascii="宋体" w:hAnsi="宋体" w:eastAsia="宋体" w:cs="宋体"/>
                <w:color w:val="auto"/>
                <w:spacing w:val="-4"/>
                <w:sz w:val="24"/>
                <w:szCs w:val="24"/>
                <w:u w:val="none" w:color="auto"/>
              </w:rPr>
              <w:t>①办公室、厂区地面简单防渗区，一般硬化处理；②危废暂存间、沥青储罐区、油储罐区、沥青混凝土搅拌区域作为重点防渗区域，需满足防渗层为至少1米厚粘土层(渗透系数≤10-7厘米/秒)，或2毫米厚高密度聚乙烯，或至少2毫米厚的其它人工材料，渗透系数≤10</w:t>
            </w:r>
            <w:r>
              <w:rPr>
                <w:rFonts w:ascii="宋体" w:hAnsi="宋体" w:eastAsia="宋体" w:cs="宋体"/>
                <w:color w:val="auto"/>
                <w:spacing w:val="-4"/>
                <w:sz w:val="24"/>
                <w:szCs w:val="24"/>
                <w:u w:val="none" w:color="auto"/>
                <w:vertAlign w:val="superscript"/>
              </w:rPr>
              <w:t>-10</w:t>
            </w:r>
            <w:r>
              <w:rPr>
                <w:rFonts w:ascii="宋体" w:hAnsi="宋体" w:eastAsia="宋体" w:cs="宋体"/>
                <w:color w:val="auto"/>
                <w:spacing w:val="-4"/>
                <w:sz w:val="24"/>
                <w:szCs w:val="24"/>
                <w:u w:val="none" w:color="auto"/>
              </w:rPr>
              <w:t>厘米/秒。</w:t>
            </w:r>
          </w:p>
        </w:tc>
      </w:tr>
      <w:tr w14:paraId="654B7955">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tcBorders>
              <w:tl2br w:val="nil"/>
              <w:tr2bl w:val="nil"/>
            </w:tcBorders>
            <w:vAlign w:val="top"/>
          </w:tcPr>
          <w:p w14:paraId="664C3E35">
            <w:pPr>
              <w:spacing w:before="36" w:line="227" w:lineRule="auto"/>
              <w:ind w:left="520" w:right="96" w:hanging="397"/>
              <w:rPr>
                <w:rFonts w:ascii="宋体" w:hAnsi="宋体" w:eastAsia="宋体" w:cs="宋体"/>
                <w:color w:val="auto"/>
                <w:sz w:val="24"/>
                <w:szCs w:val="24"/>
                <w:u w:val="none" w:color="auto"/>
              </w:rPr>
            </w:pPr>
            <w:r>
              <w:rPr>
                <w:rFonts w:ascii="宋体" w:hAnsi="宋体" w:eastAsia="宋体" w:cs="宋体"/>
                <w:color w:val="auto"/>
                <w:spacing w:val="-36"/>
                <w:sz w:val="24"/>
                <w:szCs w:val="24"/>
                <w:u w:val="none" w:color="auto"/>
              </w:rPr>
              <w:t>生</w:t>
            </w:r>
            <w:r>
              <w:rPr>
                <w:rFonts w:ascii="宋体" w:hAnsi="宋体" w:eastAsia="宋体" w:cs="宋体"/>
                <w:color w:val="auto"/>
                <w:spacing w:val="-34"/>
                <w:sz w:val="24"/>
                <w:szCs w:val="24"/>
                <w:u w:val="none" w:color="auto"/>
              </w:rPr>
              <w:t>态保护措</w:t>
            </w:r>
            <w:r>
              <w:rPr>
                <w:rFonts w:ascii="宋体" w:hAnsi="宋体" w:eastAsia="宋体" w:cs="宋体"/>
                <w:color w:val="auto"/>
                <w:sz w:val="24"/>
                <w:szCs w:val="24"/>
                <w:u w:val="none" w:color="auto"/>
              </w:rPr>
              <w:t>施</w:t>
            </w:r>
          </w:p>
        </w:tc>
        <w:tc>
          <w:tcPr>
            <w:tcW w:w="7539" w:type="dxa"/>
            <w:gridSpan w:val="4"/>
            <w:tcBorders>
              <w:tl2br w:val="nil"/>
              <w:tr2bl w:val="nil"/>
            </w:tcBorders>
            <w:vAlign w:val="top"/>
          </w:tcPr>
          <w:p w14:paraId="21FE64F6">
            <w:pPr>
              <w:spacing w:before="77" w:line="323" w:lineRule="auto"/>
              <w:ind w:left="3730"/>
              <w:rPr>
                <w:rFonts w:ascii="Times New Roman" w:hAnsi="Times New Roman" w:eastAsia="Times New Roman" w:cs="Times New Roman"/>
                <w:color w:val="auto"/>
                <w:sz w:val="24"/>
                <w:szCs w:val="24"/>
                <w:u w:val="none" w:color="auto"/>
              </w:rPr>
            </w:pPr>
            <w:r>
              <w:rPr>
                <w:rFonts w:ascii="Times New Roman" w:hAnsi="Times New Roman" w:eastAsia="Times New Roman" w:cs="Times New Roman"/>
                <w:color w:val="auto"/>
                <w:sz w:val="24"/>
                <w:szCs w:val="24"/>
                <w:u w:val="none" w:color="auto"/>
              </w:rPr>
              <w:t>/</w:t>
            </w:r>
          </w:p>
        </w:tc>
      </w:tr>
      <w:tr w14:paraId="24B4213C">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1261" w:type="dxa"/>
            <w:tcBorders>
              <w:tl2br w:val="nil"/>
              <w:tr2bl w:val="nil"/>
            </w:tcBorders>
            <w:vAlign w:val="top"/>
          </w:tcPr>
          <w:p w14:paraId="3DBA192C">
            <w:pPr>
              <w:spacing w:line="289" w:lineRule="auto"/>
              <w:rPr>
                <w:rFonts w:ascii="Arial"/>
                <w:color w:val="auto"/>
                <w:sz w:val="24"/>
                <w:szCs w:val="24"/>
                <w:u w:val="none" w:color="auto"/>
              </w:rPr>
            </w:pPr>
          </w:p>
          <w:p w14:paraId="4C2DA1C5">
            <w:pPr>
              <w:spacing w:line="290" w:lineRule="auto"/>
              <w:rPr>
                <w:rFonts w:ascii="Arial"/>
                <w:color w:val="auto"/>
                <w:sz w:val="24"/>
                <w:szCs w:val="24"/>
                <w:u w:val="none" w:color="auto"/>
              </w:rPr>
            </w:pPr>
          </w:p>
          <w:p w14:paraId="19E1D51E">
            <w:pPr>
              <w:spacing w:before="78" w:line="252" w:lineRule="auto"/>
              <w:ind w:left="188" w:right="172" w:hanging="15"/>
              <w:rPr>
                <w:rFonts w:ascii="宋体" w:hAnsi="宋体" w:eastAsia="宋体" w:cs="宋体"/>
                <w:color w:val="auto"/>
                <w:sz w:val="24"/>
                <w:szCs w:val="24"/>
                <w:u w:val="none" w:color="auto"/>
              </w:rPr>
            </w:pPr>
            <w:r>
              <w:rPr>
                <w:rFonts w:ascii="宋体" w:hAnsi="宋体" w:eastAsia="宋体" w:cs="宋体"/>
                <w:color w:val="auto"/>
                <w:spacing w:val="-16"/>
                <w:sz w:val="24"/>
                <w:szCs w:val="24"/>
                <w:u w:val="none" w:color="auto"/>
              </w:rPr>
              <w:t>环</w:t>
            </w:r>
            <w:r>
              <w:rPr>
                <w:rFonts w:ascii="宋体" w:hAnsi="宋体" w:eastAsia="宋体" w:cs="宋体"/>
                <w:color w:val="auto"/>
                <w:spacing w:val="-14"/>
                <w:sz w:val="24"/>
                <w:szCs w:val="24"/>
                <w:u w:val="none" w:color="auto"/>
              </w:rPr>
              <w:t>境风险</w:t>
            </w:r>
            <w:r>
              <w:rPr>
                <w:rFonts w:ascii="宋体" w:hAnsi="宋体" w:eastAsia="宋体" w:cs="宋体"/>
                <w:color w:val="auto"/>
                <w:spacing w:val="-19"/>
                <w:sz w:val="24"/>
                <w:szCs w:val="24"/>
                <w:u w:val="none" w:color="auto"/>
              </w:rPr>
              <w:t>防</w:t>
            </w:r>
            <w:r>
              <w:rPr>
                <w:rFonts w:ascii="宋体" w:hAnsi="宋体" w:eastAsia="宋体" w:cs="宋体"/>
                <w:color w:val="auto"/>
                <w:spacing w:val="-18"/>
                <w:sz w:val="24"/>
                <w:szCs w:val="24"/>
                <w:u w:val="none" w:color="auto"/>
              </w:rPr>
              <w:t>范措施</w:t>
            </w:r>
          </w:p>
        </w:tc>
        <w:tc>
          <w:tcPr>
            <w:tcW w:w="7539" w:type="dxa"/>
            <w:gridSpan w:val="4"/>
            <w:tcBorders>
              <w:tl2br w:val="nil"/>
              <w:tr2bl w:val="nil"/>
            </w:tcBorders>
            <w:vAlign w:val="top"/>
          </w:tcPr>
          <w:p w14:paraId="32A79C03">
            <w:pPr>
              <w:spacing w:before="36" w:line="359" w:lineRule="auto"/>
              <w:ind w:right="95"/>
              <w:rPr>
                <w:rFonts w:hint="eastAsia" w:ascii="宋体" w:hAnsi="宋体" w:eastAsia="宋体" w:cs="宋体"/>
                <w:color w:val="auto"/>
                <w:sz w:val="24"/>
                <w:szCs w:val="24"/>
                <w:u w:val="none" w:color="auto"/>
                <w:lang w:eastAsia="zh-CN"/>
              </w:rPr>
            </w:pPr>
            <w:r>
              <w:rPr>
                <w:rFonts w:ascii="宋体" w:hAnsi="宋体" w:eastAsia="宋体" w:cs="宋体"/>
                <w:color w:val="auto"/>
                <w:spacing w:val="-16"/>
                <w:sz w:val="24"/>
                <w:szCs w:val="24"/>
                <w:u w:val="none" w:color="auto"/>
              </w:rPr>
              <w:t>储</w:t>
            </w:r>
            <w:r>
              <w:rPr>
                <w:rFonts w:ascii="宋体" w:hAnsi="宋体" w:eastAsia="宋体" w:cs="宋体"/>
                <w:color w:val="auto"/>
                <w:spacing w:val="-15"/>
                <w:sz w:val="24"/>
                <w:szCs w:val="24"/>
                <w:u w:val="none" w:color="auto"/>
              </w:rPr>
              <w:t>罐建设围堰，地面硬化、防渗处理；储罐区设置灭火器、消防沙</w:t>
            </w:r>
            <w:r>
              <w:rPr>
                <w:rFonts w:ascii="宋体" w:hAnsi="宋体" w:eastAsia="宋体" w:cs="宋体"/>
                <w:color w:val="auto"/>
                <w:spacing w:val="-18"/>
                <w:sz w:val="24"/>
                <w:szCs w:val="24"/>
                <w:u w:val="none" w:color="auto"/>
              </w:rPr>
              <w:t>等</w:t>
            </w:r>
            <w:r>
              <w:rPr>
                <w:rFonts w:ascii="宋体" w:hAnsi="宋体" w:eastAsia="宋体" w:cs="宋体"/>
                <w:color w:val="auto"/>
                <w:spacing w:val="-14"/>
                <w:sz w:val="24"/>
                <w:szCs w:val="24"/>
                <w:u w:val="none" w:color="auto"/>
              </w:rPr>
              <w:t>消防器材；安排专人对储罐进行定期检修及管理，做到责任到人，加</w:t>
            </w:r>
            <w:r>
              <w:rPr>
                <w:rFonts w:ascii="宋体" w:hAnsi="宋体" w:eastAsia="宋体" w:cs="宋体"/>
                <w:color w:val="auto"/>
                <w:spacing w:val="-11"/>
                <w:sz w:val="24"/>
                <w:szCs w:val="24"/>
                <w:u w:val="none" w:color="auto"/>
              </w:rPr>
              <w:t>强安全检查值班制度的落实，发现问题及时汇报；员工熟练掌握站内</w:t>
            </w:r>
            <w:r>
              <w:rPr>
                <w:rFonts w:ascii="宋体" w:hAnsi="宋体" w:eastAsia="宋体" w:cs="宋体"/>
                <w:color w:val="auto"/>
                <w:spacing w:val="-10"/>
                <w:sz w:val="24"/>
                <w:szCs w:val="24"/>
                <w:u w:val="none" w:color="auto"/>
              </w:rPr>
              <w:t>各</w:t>
            </w:r>
            <w:r>
              <w:rPr>
                <w:rFonts w:ascii="宋体" w:hAnsi="宋体" w:eastAsia="宋体" w:cs="宋体"/>
                <w:color w:val="auto"/>
                <w:spacing w:val="-9"/>
                <w:sz w:val="24"/>
                <w:szCs w:val="24"/>
                <w:u w:val="none" w:color="auto"/>
              </w:rPr>
              <w:t>种</w:t>
            </w:r>
            <w:r>
              <w:rPr>
                <w:rFonts w:ascii="宋体" w:hAnsi="宋体" w:eastAsia="宋体" w:cs="宋体"/>
                <w:color w:val="auto"/>
                <w:spacing w:val="-6"/>
                <w:sz w:val="24"/>
                <w:szCs w:val="24"/>
                <w:u w:val="none" w:color="auto"/>
              </w:rPr>
              <w:t>设备的技术性能和使用方法；编制突发环境事件应急预案。</w:t>
            </w:r>
          </w:p>
        </w:tc>
      </w:tr>
      <w:tr w14:paraId="03FF5B6A">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1261" w:type="dxa"/>
            <w:tcBorders>
              <w:tl2br w:val="nil"/>
              <w:tr2bl w:val="nil"/>
            </w:tcBorders>
            <w:vAlign w:val="top"/>
          </w:tcPr>
          <w:p w14:paraId="2CE2E397">
            <w:pPr>
              <w:spacing w:before="78" w:line="252" w:lineRule="auto"/>
              <w:ind w:left="188" w:right="172" w:hanging="15"/>
              <w:rPr>
                <w:rFonts w:hint="eastAsia" w:ascii="宋体" w:hAnsi="宋体" w:eastAsia="宋体" w:cs="宋体"/>
                <w:color w:val="auto"/>
                <w:spacing w:val="-16"/>
                <w:sz w:val="24"/>
                <w:szCs w:val="24"/>
                <w:u w:val="none" w:color="auto"/>
                <w:lang w:eastAsia="zh-CN"/>
              </w:rPr>
            </w:pPr>
            <w:r>
              <w:rPr>
                <w:rFonts w:hint="eastAsia" w:ascii="宋体" w:hAnsi="宋体" w:eastAsia="宋体" w:cs="宋体"/>
                <w:color w:val="auto"/>
                <w:spacing w:val="-16"/>
                <w:sz w:val="24"/>
                <w:szCs w:val="24"/>
                <w:u w:val="none" w:color="auto"/>
                <w:lang w:eastAsia="zh-CN"/>
              </w:rPr>
              <w:t>其他要求</w:t>
            </w:r>
          </w:p>
        </w:tc>
        <w:tc>
          <w:tcPr>
            <w:tcW w:w="7539" w:type="dxa"/>
            <w:gridSpan w:val="4"/>
            <w:tcBorders>
              <w:tl2br w:val="nil"/>
              <w:tr2bl w:val="nil"/>
            </w:tcBorders>
            <w:vAlign w:val="top"/>
          </w:tcPr>
          <w:p w14:paraId="11BB7B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jc w:val="both"/>
              <w:textAlignment w:val="auto"/>
              <w:rPr>
                <w:rFonts w:hint="default" w:ascii="Times New Roman" w:hAnsi="Times New Roman" w:eastAsia="宋体" w:cs="Times New Roman"/>
                <w:b/>
                <w:bCs w:val="0"/>
                <w:color w:val="0000FF"/>
                <w:kern w:val="2"/>
                <w:sz w:val="24"/>
                <w:szCs w:val="24"/>
                <w:highlight w:val="none"/>
                <w:lang w:val="en-US" w:eastAsia="zh-CN" w:bidi="ar-SA"/>
              </w:rPr>
            </w:pPr>
            <w:r>
              <w:rPr>
                <w:rFonts w:hint="default" w:ascii="Times New Roman" w:hAnsi="Times New Roman" w:eastAsia="宋体" w:cs="Times New Roman"/>
                <w:b/>
                <w:bCs w:val="0"/>
                <w:color w:val="0000FF"/>
                <w:kern w:val="2"/>
                <w:sz w:val="24"/>
                <w:szCs w:val="24"/>
                <w:highlight w:val="none"/>
                <w:lang w:val="en-US" w:eastAsia="zh-CN" w:bidi="ar-SA"/>
              </w:rPr>
              <w:t>1、环境管理</w:t>
            </w:r>
          </w:p>
          <w:p w14:paraId="185C47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项目在建设和运行过程中，会对周围环境造成一定的影响，应建立比较合理的环境管理体制和管理机构，采取相应的环境保护措施减轻和消除不利的环境影响，以实现预定的各项环保目标。</w:t>
            </w:r>
          </w:p>
          <w:p w14:paraId="2E2604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同时，项目在施工期和运行期，应实行环境监测，以验证环境影响的实际情况和环境保护措施的效果，以便更好地保护环境，为项目环境管理提供依据，更大地发挥工程建设的环境、社会、经济效益。</w:t>
            </w:r>
          </w:p>
          <w:p w14:paraId="25EFAF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环境管理是企业管理的一项重要内容。加强环境监督管理力度，是实现环境、生产、经济协调发展和走可持续发展道路的重要保证。为了最大限度地减轻施工作业及生产工艺过程中对环境的影响，确保环保安全高效的</w:t>
            </w:r>
            <w:r>
              <w:rPr>
                <w:rFonts w:hint="default" w:ascii="Times New Roman" w:hAnsi="Times New Roman" w:eastAsia="宋体" w:cs="Times New Roman"/>
                <w:color w:val="0000FF"/>
                <w:sz w:val="24"/>
                <w:szCs w:val="24"/>
                <w:highlight w:val="none"/>
                <w:lang w:eastAsia="zh-CN"/>
              </w:rPr>
              <w:t>运营</w:t>
            </w:r>
            <w:r>
              <w:rPr>
                <w:rFonts w:hint="default" w:ascii="Times New Roman" w:hAnsi="Times New Roman" w:eastAsia="宋体" w:cs="Times New Roman"/>
                <w:color w:val="0000FF"/>
                <w:sz w:val="24"/>
                <w:szCs w:val="24"/>
                <w:highlight w:val="none"/>
              </w:rPr>
              <w:t>，建立科学有效的环境管理体制，落实各项环保和安全措施显得尤为重要。通过建立环境管理体系，提高员工环保意识、规范企业管理、推行清洁生产，实现污染控制，保护环境质量，以实现环境效益、社会效益、经济效益的统一。</w:t>
            </w:r>
          </w:p>
          <w:p w14:paraId="1938ED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0000FF"/>
                <w:sz w:val="24"/>
                <w:szCs w:val="24"/>
                <w:highlight w:val="none"/>
              </w:rPr>
              <w:t>运营期的环境管理要求</w:t>
            </w:r>
            <w:r>
              <w:rPr>
                <w:rFonts w:hint="default" w:ascii="Times New Roman" w:hAnsi="Times New Roman" w:eastAsia="宋体" w:cs="Times New Roman"/>
                <w:color w:val="0000FF"/>
                <w:sz w:val="24"/>
                <w:szCs w:val="24"/>
                <w:highlight w:val="none"/>
                <w:lang w:eastAsia="zh-CN"/>
              </w:rPr>
              <w:t>：</w:t>
            </w:r>
          </w:p>
          <w:p w14:paraId="59596B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①投产前的环境管理</w:t>
            </w:r>
          </w:p>
          <w:p w14:paraId="410243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a.落实环保投资，确保污染治理措施执行“三同时”和各项治理与环保措施达到设计要求；</w:t>
            </w:r>
          </w:p>
          <w:p w14:paraId="689E8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宋体" w:cs="Times New Roman"/>
                <w:color w:val="0000FF"/>
                <w:sz w:val="24"/>
                <w:szCs w:val="24"/>
                <w:highlight w:val="none"/>
              </w:rPr>
              <w:t>b.编制环保设施竣工验收方案报告，向</w:t>
            </w:r>
            <w:r>
              <w:rPr>
                <w:rFonts w:hint="default" w:ascii="Times New Roman" w:hAnsi="Times New Roman" w:eastAsia="宋体" w:cs="Times New Roman"/>
                <w:color w:val="0000FF"/>
                <w:sz w:val="24"/>
                <w:szCs w:val="24"/>
                <w:highlight w:val="none"/>
                <w:lang w:eastAsia="zh-CN"/>
              </w:rPr>
              <w:t>生态环境主管部门</w:t>
            </w:r>
            <w:r>
              <w:rPr>
                <w:rFonts w:hint="default" w:ascii="Times New Roman" w:hAnsi="Times New Roman" w:eastAsia="宋体" w:cs="Times New Roman"/>
                <w:color w:val="0000FF"/>
                <w:sz w:val="24"/>
                <w:szCs w:val="24"/>
                <w:highlight w:val="none"/>
              </w:rPr>
              <w:t>申报，进行竣工验收监测，办理竣工验收手续；</w:t>
            </w:r>
            <w:r>
              <w:rPr>
                <w:rFonts w:hint="eastAsia" w:cs="Times New Roman"/>
                <w:color w:val="0000FF"/>
                <w:sz w:val="24"/>
                <w:szCs w:val="24"/>
                <w:highlight w:val="none"/>
                <w:lang w:val="en-US" w:eastAsia="zh-CN"/>
              </w:rPr>
              <w:t>编制环境风险应急预案，并向生态环境主管部门进行备案。</w:t>
            </w:r>
          </w:p>
          <w:p w14:paraId="18E422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c.向当地</w:t>
            </w:r>
            <w:r>
              <w:rPr>
                <w:rFonts w:hint="default" w:ascii="Times New Roman" w:hAnsi="Times New Roman" w:eastAsia="宋体" w:cs="Times New Roman"/>
                <w:color w:val="0000FF"/>
                <w:sz w:val="24"/>
                <w:szCs w:val="24"/>
                <w:highlight w:val="none"/>
                <w:lang w:eastAsia="zh-CN"/>
              </w:rPr>
              <w:t>生态环境主管部门</w:t>
            </w:r>
            <w:r>
              <w:rPr>
                <w:rFonts w:hint="default" w:ascii="Times New Roman" w:hAnsi="Times New Roman" w:eastAsia="宋体" w:cs="Times New Roman"/>
                <w:color w:val="0000FF"/>
                <w:sz w:val="24"/>
                <w:szCs w:val="24"/>
                <w:highlight w:val="none"/>
              </w:rPr>
              <w:t>进行排污申报登记，正式投产运行。</w:t>
            </w:r>
          </w:p>
          <w:p w14:paraId="182FC5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②运行期的环境保护管理</w:t>
            </w:r>
          </w:p>
          <w:p w14:paraId="59E3A7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a.根据国家环保政策、标准及环境监测要求，制定该项目运行期环保管理规章制度、各种污染物排放控制指标；</w:t>
            </w:r>
          </w:p>
          <w:p w14:paraId="13CC98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b.负责该项目内所有环保设施的日常运行管理，保障各环保设施的正常运行，并对环保设施的改进提出积极的建议；</w:t>
            </w:r>
          </w:p>
          <w:p w14:paraId="3EA9E8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c.负责该项目运行期环境监测工作，及时掌握该项目污染状况，整理监测数据，建立污染源档案；</w:t>
            </w:r>
          </w:p>
          <w:p w14:paraId="13E0B0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d.项目运行期的环境管理由安全环保部承担；负责该项目内所有环保设施的日常运行管理，保障各环保设施的正常运行，并对环保设施的改进提出积极的建议；</w:t>
            </w:r>
          </w:p>
          <w:p w14:paraId="011D34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e.负责对职工进行环保宣传教育工作，检查、监督各单位环保制度的执行情况；</w:t>
            </w:r>
          </w:p>
          <w:p w14:paraId="256AB4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0000FF"/>
                <w:sz w:val="24"/>
                <w:szCs w:val="24"/>
                <w:highlight w:val="none"/>
              </w:rPr>
              <w:t>f.建立健全环境档案管理与保密制度、污染防治设施设计技术改进及运行资料、污染源调查技术档案、环境监测及评价资料、项目平面图等；</w:t>
            </w:r>
          </w:p>
          <w:p w14:paraId="1AAB5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color w:val="0000FF"/>
                <w:sz w:val="24"/>
                <w:szCs w:val="24"/>
                <w:highlight w:val="none"/>
              </w:rPr>
            </w:pPr>
            <w:r>
              <w:rPr>
                <w:rFonts w:hint="default" w:ascii="Times New Roman" w:hAnsi="Times New Roman" w:eastAsia="宋体" w:cs="Times New Roman"/>
                <w:b/>
                <w:color w:val="0000FF"/>
                <w:sz w:val="24"/>
                <w:szCs w:val="24"/>
                <w:highlight w:val="none"/>
                <w:lang w:val="en-US" w:eastAsia="zh-CN"/>
              </w:rPr>
              <w:t>2、</w:t>
            </w:r>
            <w:r>
              <w:rPr>
                <w:rFonts w:hint="default" w:ascii="Times New Roman" w:hAnsi="Times New Roman" w:eastAsia="宋体" w:cs="Times New Roman"/>
                <w:b/>
                <w:color w:val="0000FF"/>
                <w:sz w:val="24"/>
                <w:szCs w:val="24"/>
                <w:highlight w:val="none"/>
              </w:rPr>
              <w:t>竣工环境保护验收</w:t>
            </w:r>
          </w:p>
          <w:p w14:paraId="25F2B67A">
            <w:pPr>
              <w:pStyle w:val="30"/>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bCs/>
                <w:color w:val="0000FF"/>
                <w:kern w:val="2"/>
                <w:sz w:val="24"/>
                <w:szCs w:val="24"/>
              </w:rPr>
            </w:pPr>
            <w:r>
              <w:rPr>
                <w:rFonts w:hint="eastAsia" w:ascii="宋体" w:hAnsi="宋体" w:eastAsia="宋体" w:cs="宋体"/>
                <w:bCs/>
                <w:color w:val="0000FF"/>
                <w:kern w:val="2"/>
                <w:sz w:val="24"/>
                <w:szCs w:val="24"/>
                <w:lang w:val="en-US" w:eastAsia="zh-CN" w:bidi="ar"/>
              </w:rPr>
              <w:t>根据《建设项目竣工环境保护验收暂行办法》（国环规环评</w:t>
            </w:r>
            <w:r>
              <w:rPr>
                <w:rFonts w:hint="default" w:ascii="Times New Roman" w:hAnsi="Times New Roman" w:eastAsia="宋体" w:cs="Times New Roman"/>
                <w:bCs/>
                <w:color w:val="0000FF"/>
                <w:kern w:val="2"/>
                <w:sz w:val="24"/>
                <w:szCs w:val="24"/>
                <w:lang w:val="en-US" w:eastAsia="zh-CN" w:bidi="ar"/>
              </w:rPr>
              <w:t>[2017]4</w:t>
            </w:r>
            <w:r>
              <w:rPr>
                <w:rFonts w:hint="eastAsia" w:ascii="宋体" w:hAnsi="宋体" w:eastAsia="宋体" w:cs="宋体"/>
                <w:bCs/>
                <w:color w:val="0000FF"/>
                <w:kern w:val="2"/>
                <w:sz w:val="24"/>
                <w:szCs w:val="24"/>
                <w:lang w:val="en-US" w:eastAsia="zh-CN" w:bidi="ar"/>
              </w:rPr>
              <w:t>号），建设单位自行验收。本项目自行验收要求如下：</w:t>
            </w:r>
          </w:p>
          <w:p w14:paraId="736F383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firstLine="480" w:firstLineChars="200"/>
              <w:jc w:val="both"/>
              <w:textAlignment w:val="auto"/>
              <w:rPr>
                <w:rFonts w:hint="default" w:ascii="Times New Roman" w:hAnsi="Times New Roman" w:eastAsia="宋体" w:cs="Times New Roman"/>
                <w:color w:val="0000FF"/>
                <w:kern w:val="0"/>
                <w:sz w:val="24"/>
                <w:szCs w:val="24"/>
                <w:highlight w:val="none"/>
                <w:lang w:val="en-US" w:eastAsia="zh-CN" w:bidi="ar-SA"/>
              </w:rPr>
            </w:pPr>
            <w:r>
              <w:rPr>
                <w:rFonts w:hint="eastAsia" w:ascii="宋体" w:hAnsi="宋体" w:eastAsia="宋体" w:cs="宋体"/>
                <w:color w:val="0000FF"/>
                <w:kern w:val="2"/>
                <w:sz w:val="24"/>
                <w:szCs w:val="24"/>
              </w:rPr>
              <w:t>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针对本项目，应参照《建设项目竣工环境保护验收技术指南污染影响类》编制验收监测报告。</w:t>
            </w:r>
          </w:p>
          <w:p w14:paraId="31ABD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color w:val="0000FF"/>
                <w:sz w:val="24"/>
                <w:szCs w:val="24"/>
                <w:highlight w:val="none"/>
                <w:lang w:val="en-US" w:eastAsia="zh-CN"/>
              </w:rPr>
            </w:pPr>
            <w:r>
              <w:rPr>
                <w:rFonts w:hint="default" w:ascii="Times New Roman" w:hAnsi="Times New Roman" w:eastAsia="宋体" w:cs="Times New Roman"/>
                <w:b/>
                <w:color w:val="0000FF"/>
                <w:sz w:val="24"/>
                <w:szCs w:val="24"/>
                <w:highlight w:val="none"/>
                <w:lang w:val="en-US" w:eastAsia="zh-CN"/>
              </w:rPr>
              <w:t>3</w:t>
            </w:r>
            <w:r>
              <w:rPr>
                <w:rFonts w:hint="default" w:ascii="Times New Roman" w:hAnsi="Times New Roman" w:eastAsia="宋体" w:cs="Times New Roman"/>
                <w:b/>
                <w:color w:val="0000FF"/>
                <w:sz w:val="24"/>
                <w:szCs w:val="24"/>
                <w:highlight w:val="none"/>
                <w:lang w:eastAsia="zh-CN"/>
              </w:rPr>
              <w:t>、</w:t>
            </w:r>
            <w:r>
              <w:rPr>
                <w:rFonts w:hint="default" w:ascii="Times New Roman" w:hAnsi="Times New Roman" w:eastAsia="宋体" w:cs="Times New Roman"/>
                <w:b/>
                <w:color w:val="0000FF"/>
                <w:sz w:val="24"/>
                <w:szCs w:val="24"/>
                <w:highlight w:val="none"/>
              </w:rPr>
              <w:t>排污许可</w:t>
            </w:r>
            <w:r>
              <w:rPr>
                <w:rFonts w:hint="eastAsia" w:ascii="Times New Roman" w:hAnsi="Times New Roman" w:eastAsia="宋体" w:cs="Times New Roman"/>
                <w:b/>
                <w:color w:val="0000FF"/>
                <w:sz w:val="24"/>
                <w:szCs w:val="24"/>
                <w:highlight w:val="none"/>
                <w:lang w:val="en-US" w:eastAsia="zh-CN"/>
              </w:rPr>
              <w:t>证制度的衔接</w:t>
            </w:r>
          </w:p>
          <w:p w14:paraId="46091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FF"/>
                <w:sz w:val="24"/>
                <w:szCs w:val="24"/>
                <w:highlight w:val="none"/>
              </w:rPr>
            </w:pPr>
            <w:r>
              <w:rPr>
                <w:rFonts w:hint="default" w:ascii="Times New Roman" w:hAnsi="Times New Roman" w:eastAsia="宋体" w:cs="Times New Roman"/>
                <w:b w:val="0"/>
                <w:bCs w:val="0"/>
                <w:color w:val="0000FF"/>
                <w:sz w:val="24"/>
                <w:szCs w:val="24"/>
                <w:highlight w:val="none"/>
              </w:rPr>
              <w:t>目前，我国正在推进排污许可制度改革工作，生态环境部也大力推进排污许可证制度，《国务院办公厅关于印发控制污染物排放许可制实施方案的通知》（国办发〔2016〕81号）明确将排污许可制建设成为固定污染源环境管理的核心制度，作为企业守法、部门执法、社会监督的依据，为提高环境管理效能和改善环境质量奠定坚实基础。</w:t>
            </w:r>
          </w:p>
          <w:p w14:paraId="4948B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FF"/>
                <w:sz w:val="24"/>
                <w:szCs w:val="24"/>
                <w:highlight w:val="none"/>
              </w:rPr>
            </w:pPr>
            <w:r>
              <w:rPr>
                <w:rFonts w:hint="default" w:ascii="Times New Roman" w:hAnsi="Times New Roman" w:eastAsia="宋体" w:cs="Times New Roman"/>
                <w:b w:val="0"/>
                <w:bCs w:val="0"/>
                <w:color w:val="0000FF"/>
                <w:sz w:val="24"/>
                <w:szCs w:val="24"/>
                <w:highlight w:val="none"/>
              </w:rPr>
              <w:t>本项目应严格按照国家排污许可证改革的要求，推进刷卡排污及污染源“一证式”管理工作，并作为建设单位在生产运营期接受环境监管和环境保护部门实施监管的主要法律文书，单位依法申领排污许可证，按证排污，自证守法。环境保护部门基于企事业单位守法承诺，依法发放排污许可证，依证强化事中事后监管，对违法排污行为实施严厉打击。</w:t>
            </w:r>
          </w:p>
          <w:p w14:paraId="5AA0A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FF"/>
                <w:sz w:val="24"/>
                <w:szCs w:val="24"/>
                <w:highlight w:val="none"/>
              </w:rPr>
            </w:pPr>
            <w:r>
              <w:rPr>
                <w:rFonts w:hint="default" w:ascii="Times New Roman" w:hAnsi="Times New Roman" w:eastAsia="宋体" w:cs="Times New Roman"/>
                <w:b w:val="0"/>
                <w:bCs w:val="0"/>
                <w:color w:val="0000FF"/>
                <w:sz w:val="24"/>
                <w:szCs w:val="24"/>
                <w:highlight w:val="none"/>
              </w:rPr>
              <w:t>根据《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环境影响报告书（表）2015年1月1日（含）后获得批准的建设项目，其环境影响报告书（表）以及审批文件中与污染物排放相关的主要内容应当纳入排污许可证。为此，下阶段应将项目建设内容、产品方案、建设规模，采用的工艺流程、工艺技术方案，污染预防和清洁生产措施，环保设施和治理措施，各类污染物排放总量，在线监测和自主监测要求，环境安全防范措施，环境应急体系和应急设施等，全部按装置、设施载入排污许可证。企业在设计，建设和运营过程中，需按照许可证管理要求进行监测和申报，自证守法；许可证内容发生变更应进行申报，重大变更应重新环评和申请许可证变更。环保管理部门对许可证内容进行定期和不定期的监督核查。</w:t>
            </w:r>
          </w:p>
          <w:p w14:paraId="37DBF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FF"/>
                <w:sz w:val="24"/>
                <w:szCs w:val="24"/>
                <w:highlight w:val="none"/>
              </w:rPr>
            </w:pPr>
            <w:r>
              <w:rPr>
                <w:rFonts w:hint="default" w:ascii="Times New Roman" w:hAnsi="Times New Roman" w:eastAsia="宋体" w:cs="Times New Roman"/>
                <w:b w:val="0"/>
                <w:bCs w:val="0"/>
                <w:color w:val="0000FF"/>
                <w:sz w:val="24"/>
                <w:szCs w:val="24"/>
                <w:highlight w:val="none"/>
              </w:rPr>
              <w:t>本项目建成后，企业应按相关要求申领排污许可证。</w:t>
            </w:r>
          </w:p>
          <w:p w14:paraId="4D1EF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color w:val="0000FF"/>
                <w:sz w:val="24"/>
                <w:szCs w:val="24"/>
                <w:highlight w:val="none"/>
                <w:lang w:val="en-US" w:eastAsia="zh-CN"/>
              </w:rPr>
            </w:pPr>
            <w:r>
              <w:rPr>
                <w:rFonts w:hint="eastAsia" w:cs="Times New Roman"/>
                <w:b/>
                <w:color w:val="0000FF"/>
                <w:sz w:val="24"/>
                <w:szCs w:val="24"/>
                <w:highlight w:val="none"/>
                <w:lang w:val="en-US" w:eastAsia="zh-CN"/>
              </w:rPr>
              <w:t>4</w:t>
            </w:r>
            <w:r>
              <w:rPr>
                <w:rFonts w:hint="default" w:ascii="Times New Roman" w:hAnsi="Times New Roman" w:eastAsia="宋体" w:cs="Times New Roman"/>
                <w:b/>
                <w:color w:val="0000FF"/>
                <w:sz w:val="24"/>
                <w:szCs w:val="24"/>
                <w:highlight w:val="none"/>
                <w:lang w:eastAsia="zh-CN"/>
              </w:rPr>
              <w:t>、</w:t>
            </w:r>
            <w:r>
              <w:rPr>
                <w:rFonts w:hint="default" w:ascii="Times New Roman" w:hAnsi="Times New Roman" w:eastAsia="宋体" w:cs="Times New Roman"/>
                <w:b/>
                <w:color w:val="0000FF"/>
                <w:sz w:val="24"/>
                <w:szCs w:val="24"/>
                <w:highlight w:val="none"/>
              </w:rPr>
              <w:t>排污许可</w:t>
            </w:r>
            <w:r>
              <w:rPr>
                <w:rFonts w:hint="eastAsia" w:ascii="Times New Roman" w:hAnsi="Times New Roman" w:eastAsia="宋体" w:cs="Times New Roman"/>
                <w:b/>
                <w:color w:val="0000FF"/>
                <w:sz w:val="24"/>
                <w:szCs w:val="24"/>
                <w:highlight w:val="none"/>
                <w:lang w:val="en-US" w:eastAsia="zh-CN"/>
              </w:rPr>
              <w:t>相关的要求</w:t>
            </w:r>
          </w:p>
          <w:p w14:paraId="1E80A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FF"/>
                <w:sz w:val="24"/>
                <w:szCs w:val="24"/>
                <w:highlight w:val="none"/>
              </w:rPr>
            </w:pPr>
            <w:r>
              <w:rPr>
                <w:rFonts w:hint="default" w:ascii="Times New Roman" w:hAnsi="Times New Roman" w:eastAsia="宋体" w:cs="Times New Roman"/>
                <w:b w:val="0"/>
                <w:bCs w:val="0"/>
                <w:color w:val="0000FF"/>
                <w:sz w:val="24"/>
                <w:szCs w:val="24"/>
                <w:highlight w:val="none"/>
              </w:rPr>
              <w:t>按照《排污许可管理办法（试行）》（环境保护部令48号）和《固定污染源排污许可分类管理名录(201</w:t>
            </w:r>
            <w:r>
              <w:rPr>
                <w:rFonts w:hint="default" w:ascii="Times New Roman" w:hAnsi="Times New Roman" w:eastAsia="宋体" w:cs="Times New Roman"/>
                <w:b w:val="0"/>
                <w:bCs w:val="0"/>
                <w:color w:val="0000FF"/>
                <w:sz w:val="24"/>
                <w:szCs w:val="24"/>
                <w:highlight w:val="none"/>
                <w:lang w:val="en-US" w:eastAsia="zh-CN"/>
              </w:rPr>
              <w:t>9</w:t>
            </w:r>
            <w:r>
              <w:rPr>
                <w:rFonts w:hint="default" w:ascii="Times New Roman" w:hAnsi="Times New Roman" w:eastAsia="宋体" w:cs="Times New Roman"/>
                <w:b w:val="0"/>
                <w:bCs w:val="0"/>
                <w:color w:val="0000FF"/>
                <w:sz w:val="24"/>
                <w:szCs w:val="24"/>
                <w:highlight w:val="none"/>
              </w:rPr>
              <w:t>版)》相关要求，在规定时间内取得排污许可证，按证排污。并做好环境管理台账记录，上报年度执行报告等相关要求。</w:t>
            </w:r>
          </w:p>
          <w:p w14:paraId="6AB520DA">
            <w:pPr>
              <w:pStyle w:val="139"/>
              <w:keepNext w:val="0"/>
              <w:keepLines w:val="0"/>
              <w:pageBreakBefore w:val="0"/>
              <w:widowControl/>
              <w:suppressLineNumbers w:val="0"/>
              <w:kinsoku/>
              <w:wordWrap/>
              <w:overflowPunct/>
              <w:topLinePunct w:val="0"/>
              <w:autoSpaceDE w:val="0"/>
              <w:autoSpaceDN/>
              <w:bidi w:val="0"/>
              <w:spacing w:before="0" w:beforeAutospacing="0" w:after="0" w:afterAutospacing="0"/>
              <w:ind w:left="0" w:right="0" w:firstLine="420"/>
              <w:jc w:val="both"/>
              <w:rPr>
                <w:rFonts w:hint="default" w:ascii="Times New Roman" w:hAnsi="Times New Roman" w:eastAsia="宋体" w:cs="Times New Roman"/>
                <w:bCs/>
                <w:color w:val="0000FF"/>
                <w:kern w:val="2"/>
                <w:sz w:val="24"/>
                <w:szCs w:val="24"/>
              </w:rPr>
            </w:pPr>
            <w:r>
              <w:rPr>
                <w:rFonts w:hint="default" w:ascii="Times New Roman" w:hAnsi="Times New Roman" w:eastAsia="宋体" w:cs="Times New Roman"/>
                <w:b w:val="0"/>
                <w:bCs w:val="0"/>
                <w:color w:val="0000FF"/>
                <w:sz w:val="24"/>
                <w:szCs w:val="24"/>
                <w:highlight w:val="none"/>
              </w:rPr>
              <w:t>根据《固定污染源排污许可分类管理名录(201</w:t>
            </w:r>
            <w:r>
              <w:rPr>
                <w:rFonts w:hint="default" w:ascii="Times New Roman" w:hAnsi="Times New Roman" w:eastAsia="宋体" w:cs="Times New Roman"/>
                <w:b w:val="0"/>
                <w:bCs w:val="0"/>
                <w:color w:val="0000FF"/>
                <w:sz w:val="24"/>
                <w:szCs w:val="24"/>
                <w:highlight w:val="none"/>
                <w:lang w:val="en-US" w:eastAsia="zh-CN"/>
              </w:rPr>
              <w:t>9</w:t>
            </w:r>
            <w:r>
              <w:rPr>
                <w:rFonts w:hint="default" w:ascii="Times New Roman" w:hAnsi="Times New Roman" w:eastAsia="宋体" w:cs="Times New Roman"/>
                <w:b w:val="0"/>
                <w:bCs w:val="0"/>
                <w:color w:val="0000FF"/>
                <w:sz w:val="24"/>
                <w:szCs w:val="24"/>
                <w:highlight w:val="none"/>
              </w:rPr>
              <w:t>版)》相关规定，</w:t>
            </w:r>
            <w:r>
              <w:rPr>
                <w:rFonts w:hint="eastAsia" w:cs="Times New Roman"/>
                <w:b w:val="0"/>
                <w:bCs w:val="0"/>
                <w:color w:val="0000FF"/>
                <w:sz w:val="24"/>
                <w:szCs w:val="24"/>
                <w:highlight w:val="none"/>
                <w:lang w:val="en-US" w:eastAsia="zh-CN"/>
              </w:rPr>
              <w:t>本项目</w:t>
            </w:r>
            <w:r>
              <w:rPr>
                <w:rFonts w:hint="default" w:ascii="Times New Roman" w:hAnsi="Times New Roman" w:eastAsia="宋体" w:cs="Times New Roman"/>
                <w:b w:val="0"/>
                <w:bCs w:val="0"/>
                <w:color w:val="0000FF"/>
                <w:sz w:val="24"/>
                <w:szCs w:val="24"/>
                <w:highlight w:val="none"/>
              </w:rPr>
              <w:t>实施排污许可</w:t>
            </w:r>
            <w:r>
              <w:rPr>
                <w:rFonts w:hint="default" w:ascii="Times New Roman" w:hAnsi="Times New Roman" w:eastAsia="宋体" w:cs="Times New Roman"/>
                <w:b w:val="0"/>
                <w:bCs w:val="0"/>
                <w:color w:val="0000FF"/>
                <w:sz w:val="24"/>
                <w:szCs w:val="24"/>
                <w:highlight w:val="none"/>
                <w:lang w:eastAsia="zh-CN"/>
              </w:rPr>
              <w:t>简化</w:t>
            </w:r>
            <w:r>
              <w:rPr>
                <w:rFonts w:hint="default" w:ascii="Times New Roman" w:hAnsi="Times New Roman" w:eastAsia="宋体" w:cs="Times New Roman"/>
                <w:b w:val="0"/>
                <w:bCs w:val="0"/>
                <w:color w:val="0000FF"/>
                <w:sz w:val="24"/>
                <w:szCs w:val="24"/>
                <w:highlight w:val="none"/>
              </w:rPr>
              <w:t>管理。</w:t>
            </w:r>
          </w:p>
          <w:p w14:paraId="070C5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color w:val="0000FF"/>
                <w:sz w:val="24"/>
                <w:szCs w:val="24"/>
                <w:highlight w:val="none"/>
              </w:rPr>
            </w:pPr>
            <w:r>
              <w:rPr>
                <w:rFonts w:hint="eastAsia" w:ascii="Times New Roman" w:hAnsi="Times New Roman" w:eastAsia="宋体" w:cs="Times New Roman"/>
                <w:b/>
                <w:color w:val="0000FF"/>
                <w:sz w:val="24"/>
                <w:szCs w:val="24"/>
                <w:highlight w:val="none"/>
                <w:lang w:val="en-US" w:eastAsia="zh-CN"/>
              </w:rPr>
              <w:t>5</w:t>
            </w:r>
            <w:r>
              <w:rPr>
                <w:rFonts w:hint="eastAsia" w:ascii="Times New Roman" w:hAnsi="Times New Roman" w:eastAsia="宋体" w:cs="Times New Roman"/>
                <w:b/>
                <w:color w:val="0000FF"/>
                <w:sz w:val="24"/>
                <w:szCs w:val="24"/>
                <w:highlight w:val="none"/>
              </w:rPr>
              <w:t>、规范排放口</w:t>
            </w:r>
          </w:p>
          <w:p w14:paraId="5D178B78">
            <w:pPr>
              <w:pStyle w:val="139"/>
              <w:keepNext w:val="0"/>
              <w:keepLines w:val="0"/>
              <w:pageBreakBefore w:val="0"/>
              <w:widowControl/>
              <w:suppressLineNumbers w:val="0"/>
              <w:kinsoku/>
              <w:wordWrap/>
              <w:overflowPunct/>
              <w:topLinePunct w:val="0"/>
              <w:autoSpaceDE w:val="0"/>
              <w:autoSpaceDN/>
              <w:bidi w:val="0"/>
              <w:spacing w:before="0" w:beforeAutospacing="0" w:after="0" w:afterAutospacing="0"/>
              <w:ind w:left="0" w:right="0" w:firstLine="420"/>
              <w:jc w:val="both"/>
              <w:rPr>
                <w:rFonts w:hint="eastAsia" w:ascii="宋体" w:hAnsi="宋体" w:eastAsia="宋体" w:cs="宋体"/>
                <w:bCs/>
                <w:color w:val="0000FF"/>
                <w:kern w:val="2"/>
                <w:sz w:val="24"/>
                <w:szCs w:val="24"/>
                <w:u w:val="none"/>
              </w:rPr>
            </w:pPr>
            <w:r>
              <w:rPr>
                <w:rFonts w:hint="eastAsia" w:ascii="宋体" w:hAnsi="宋体" w:eastAsia="宋体" w:cs="宋体"/>
                <w:bCs/>
                <w:color w:val="0000FF"/>
                <w:kern w:val="2"/>
                <w:sz w:val="24"/>
                <w:szCs w:val="24"/>
              </w:rPr>
              <w:t>本项目应按照《环境保护图形标志</w:t>
            </w:r>
            <w:r>
              <w:rPr>
                <w:rFonts w:hint="default" w:ascii="Times New Roman" w:hAnsi="Times New Roman" w:eastAsia="宋体" w:cs="Times New Roman"/>
                <w:bCs/>
                <w:color w:val="0000FF"/>
                <w:kern w:val="2"/>
                <w:sz w:val="24"/>
                <w:szCs w:val="24"/>
              </w:rPr>
              <w:t>—</w:t>
            </w:r>
            <w:r>
              <w:rPr>
                <w:rFonts w:hint="eastAsia" w:ascii="宋体" w:hAnsi="宋体" w:eastAsia="宋体" w:cs="宋体"/>
                <w:bCs/>
                <w:color w:val="0000FF"/>
                <w:kern w:val="2"/>
                <w:sz w:val="24"/>
                <w:szCs w:val="24"/>
              </w:rPr>
              <w:t>排放口（源）》（</w:t>
            </w:r>
            <w:r>
              <w:rPr>
                <w:rFonts w:hint="default" w:ascii="Times New Roman" w:hAnsi="Times New Roman" w:eastAsia="宋体" w:cs="Times New Roman"/>
                <w:bCs/>
                <w:color w:val="0000FF"/>
                <w:kern w:val="2"/>
                <w:sz w:val="24"/>
                <w:szCs w:val="24"/>
              </w:rPr>
              <w:t>GB15562.1-1995</w:t>
            </w:r>
            <w:r>
              <w:rPr>
                <w:rFonts w:hint="eastAsia" w:ascii="宋体" w:hAnsi="宋体" w:eastAsia="宋体" w:cs="宋体"/>
                <w:bCs/>
                <w:color w:val="0000FF"/>
                <w:kern w:val="2"/>
                <w:sz w:val="24"/>
                <w:szCs w:val="24"/>
              </w:rPr>
              <w:t>）、《环境保护图形标志</w:t>
            </w:r>
            <w:r>
              <w:rPr>
                <w:rFonts w:hint="default" w:ascii="Times New Roman" w:hAnsi="Times New Roman" w:eastAsia="宋体" w:cs="Times New Roman"/>
                <w:bCs/>
                <w:color w:val="0000FF"/>
                <w:kern w:val="2"/>
                <w:sz w:val="24"/>
                <w:szCs w:val="24"/>
              </w:rPr>
              <w:t>-</w:t>
            </w:r>
            <w:r>
              <w:rPr>
                <w:rFonts w:hint="eastAsia" w:ascii="宋体" w:hAnsi="宋体" w:eastAsia="宋体" w:cs="宋体"/>
                <w:bCs/>
                <w:color w:val="0000FF"/>
                <w:kern w:val="2"/>
                <w:sz w:val="24"/>
                <w:szCs w:val="24"/>
              </w:rPr>
              <w:t>固体废物贮存（处置）场》（</w:t>
            </w:r>
            <w:r>
              <w:rPr>
                <w:rFonts w:hint="default" w:ascii="Times New Roman" w:hAnsi="Times New Roman" w:eastAsia="宋体" w:cs="Times New Roman"/>
                <w:bCs/>
                <w:color w:val="0000FF"/>
                <w:kern w:val="2"/>
                <w:sz w:val="24"/>
                <w:szCs w:val="24"/>
              </w:rPr>
              <w:t>GB15562.2-1995</w:t>
            </w:r>
            <w:r>
              <w:rPr>
                <w:rFonts w:hint="eastAsia" w:ascii="宋体" w:hAnsi="宋体" w:eastAsia="宋体" w:cs="宋体"/>
                <w:bCs/>
                <w:color w:val="0000FF"/>
                <w:kern w:val="2"/>
                <w:sz w:val="24"/>
                <w:szCs w:val="24"/>
              </w:rPr>
              <w:t>）、</w:t>
            </w:r>
            <w:r>
              <w:rPr>
                <w:rFonts w:hint="default"/>
                <w:color w:val="0000FF"/>
                <w:sz w:val="24"/>
                <w:szCs w:val="24"/>
                <w:u w:val="none"/>
              </w:rPr>
              <w:fldChar w:fldCharType="begin"/>
            </w:r>
            <w:r>
              <w:rPr>
                <w:rFonts w:hint="default"/>
                <w:color w:val="0000FF"/>
                <w:sz w:val="24"/>
                <w:szCs w:val="24"/>
                <w:u w:val="none"/>
              </w:rPr>
              <w:instrText xml:space="preserve"> HYPERLINK "https://www.mee.gov.cn/ywgz/fgbz/bz/bzwb/gthw/wxfwjbffbz/202302/W020230224650971041729.pdf" </w:instrText>
            </w:r>
            <w:r>
              <w:rPr>
                <w:rFonts w:hint="default"/>
                <w:color w:val="0000FF"/>
                <w:sz w:val="24"/>
                <w:szCs w:val="24"/>
                <w:u w:val="none"/>
              </w:rPr>
              <w:fldChar w:fldCharType="separate"/>
            </w:r>
            <w:r>
              <w:rPr>
                <w:rStyle w:val="42"/>
                <w:rFonts w:hint="eastAsia" w:ascii="宋体" w:hAnsi="宋体" w:eastAsia="宋体" w:cs="宋体"/>
                <w:bCs/>
                <w:color w:val="0000FF"/>
                <w:kern w:val="2"/>
                <w:sz w:val="24"/>
                <w:szCs w:val="24"/>
                <w:u w:val="none"/>
              </w:rPr>
              <w:t>危险废物识别标志设置技术规范（</w:t>
            </w:r>
            <w:r>
              <w:rPr>
                <w:rStyle w:val="42"/>
                <w:rFonts w:hint="default" w:ascii="Times New Roman" w:hAnsi="Times New Roman" w:eastAsia="宋体" w:cs="Times New Roman"/>
                <w:bCs/>
                <w:color w:val="0000FF"/>
                <w:kern w:val="2"/>
                <w:sz w:val="24"/>
                <w:szCs w:val="24"/>
                <w:u w:val="none"/>
              </w:rPr>
              <w:t>HJ 1276</w:t>
            </w:r>
            <w:r>
              <w:rPr>
                <w:rStyle w:val="42"/>
                <w:rFonts w:hint="eastAsia" w:ascii="宋体" w:hAnsi="宋体" w:eastAsia="宋体" w:cs="宋体"/>
                <w:bCs/>
                <w:color w:val="0000FF"/>
                <w:kern w:val="2"/>
                <w:sz w:val="24"/>
                <w:szCs w:val="24"/>
                <w:u w:val="none"/>
              </w:rPr>
              <w:t>—</w:t>
            </w:r>
            <w:r>
              <w:rPr>
                <w:rStyle w:val="42"/>
                <w:rFonts w:hint="default" w:ascii="Times New Roman" w:hAnsi="Times New Roman" w:eastAsia="宋体" w:cs="Times New Roman"/>
                <w:bCs/>
                <w:color w:val="0000FF"/>
                <w:kern w:val="2"/>
                <w:sz w:val="24"/>
                <w:szCs w:val="24"/>
                <w:u w:val="none"/>
              </w:rPr>
              <w:t>2022</w:t>
            </w:r>
            <w:r>
              <w:rPr>
                <w:rStyle w:val="42"/>
                <w:rFonts w:hint="eastAsia" w:ascii="宋体" w:hAnsi="宋体" w:eastAsia="宋体" w:cs="宋体"/>
                <w:bCs/>
                <w:color w:val="0000FF"/>
                <w:kern w:val="2"/>
                <w:sz w:val="24"/>
                <w:szCs w:val="24"/>
                <w:u w:val="none"/>
              </w:rPr>
              <w:t>）</w:t>
            </w:r>
            <w:r>
              <w:rPr>
                <w:rFonts w:hint="default"/>
                <w:color w:val="0000FF"/>
                <w:sz w:val="24"/>
                <w:szCs w:val="24"/>
                <w:u w:val="none"/>
              </w:rPr>
              <w:fldChar w:fldCharType="end"/>
            </w:r>
            <w:r>
              <w:rPr>
                <w:rFonts w:hint="eastAsia" w:ascii="宋体" w:hAnsi="宋体" w:eastAsia="宋体" w:cs="宋体"/>
                <w:bCs/>
                <w:color w:val="0000FF"/>
                <w:kern w:val="2"/>
                <w:sz w:val="24"/>
                <w:szCs w:val="24"/>
                <w:u w:val="none"/>
              </w:rPr>
              <w:t>中有关规定，对排放口和设施设置标示。主要排放口标志见下图。污染物排放口二维码标识按照《</w:t>
            </w:r>
            <w:r>
              <w:rPr>
                <w:rFonts w:hint="default"/>
                <w:color w:val="0000FF"/>
                <w:sz w:val="24"/>
                <w:szCs w:val="24"/>
                <w:u w:val="none"/>
              </w:rPr>
              <w:fldChar w:fldCharType="begin"/>
            </w:r>
            <w:r>
              <w:rPr>
                <w:rFonts w:hint="default"/>
                <w:color w:val="0000FF"/>
                <w:sz w:val="24"/>
                <w:szCs w:val="24"/>
                <w:u w:val="none"/>
              </w:rPr>
              <w:instrText xml:space="preserve"> HYPERLINK "https://www.mee.gov.cn/ywgz/fgbz/bz/bzwb/other/hjbhgc/202306/W020230602545449990594.pdf" </w:instrText>
            </w:r>
            <w:r>
              <w:rPr>
                <w:rFonts w:hint="default"/>
                <w:color w:val="0000FF"/>
                <w:sz w:val="24"/>
                <w:szCs w:val="24"/>
                <w:u w:val="none"/>
              </w:rPr>
              <w:fldChar w:fldCharType="separate"/>
            </w:r>
            <w:r>
              <w:rPr>
                <w:rStyle w:val="42"/>
                <w:rFonts w:hint="eastAsia" w:ascii="宋体" w:hAnsi="宋体" w:eastAsia="宋体" w:cs="宋体"/>
                <w:bCs/>
                <w:color w:val="0000FF"/>
                <w:kern w:val="2"/>
                <w:sz w:val="24"/>
                <w:szCs w:val="24"/>
                <w:u w:val="none"/>
              </w:rPr>
              <w:t xml:space="preserve">排污单位污染物排放口二维码标识技术规范 </w:t>
            </w:r>
            <w:r>
              <w:rPr>
                <w:rFonts w:hint="default"/>
                <w:color w:val="0000FF"/>
                <w:sz w:val="24"/>
                <w:szCs w:val="24"/>
                <w:u w:val="none"/>
              </w:rPr>
              <w:fldChar w:fldCharType="end"/>
            </w:r>
            <w:r>
              <w:rPr>
                <w:rFonts w:hint="eastAsia" w:ascii="宋体" w:hAnsi="宋体" w:eastAsia="宋体" w:cs="宋体"/>
                <w:bCs/>
                <w:color w:val="0000FF"/>
                <w:kern w:val="2"/>
                <w:sz w:val="24"/>
                <w:szCs w:val="24"/>
                <w:u w:val="none"/>
              </w:rPr>
              <w:t>》（</w:t>
            </w:r>
            <w:r>
              <w:rPr>
                <w:rFonts w:hint="default" w:ascii="Times New Roman" w:hAnsi="Times New Roman" w:eastAsia="宋体" w:cs="Times New Roman"/>
                <w:bCs/>
                <w:color w:val="0000FF"/>
                <w:kern w:val="2"/>
                <w:sz w:val="24"/>
                <w:szCs w:val="24"/>
                <w:u w:val="none"/>
              </w:rPr>
              <w:t>HJ1297</w:t>
            </w:r>
            <w:r>
              <w:rPr>
                <w:rFonts w:hint="eastAsia" w:ascii="宋体" w:hAnsi="宋体" w:eastAsia="宋体" w:cs="宋体"/>
                <w:bCs/>
                <w:color w:val="0000FF"/>
                <w:kern w:val="2"/>
                <w:sz w:val="24"/>
                <w:szCs w:val="24"/>
                <w:u w:val="none"/>
              </w:rPr>
              <w:t>—</w:t>
            </w:r>
            <w:r>
              <w:rPr>
                <w:rFonts w:hint="default" w:ascii="Times New Roman" w:hAnsi="Times New Roman" w:eastAsia="宋体" w:cs="Times New Roman"/>
                <w:bCs/>
                <w:color w:val="0000FF"/>
                <w:kern w:val="2"/>
                <w:sz w:val="24"/>
                <w:szCs w:val="24"/>
                <w:u w:val="none"/>
              </w:rPr>
              <w:t>2023</w:t>
            </w:r>
            <w:r>
              <w:rPr>
                <w:rFonts w:hint="eastAsia" w:ascii="宋体" w:hAnsi="宋体" w:eastAsia="宋体" w:cs="宋体"/>
                <w:bCs/>
                <w:color w:val="0000FF"/>
                <w:kern w:val="2"/>
                <w:sz w:val="24"/>
                <w:szCs w:val="24"/>
                <w:u w:val="none"/>
              </w:rPr>
              <w:t>）要求设置。</w:t>
            </w:r>
          </w:p>
          <w:p w14:paraId="15E28161">
            <w:pPr>
              <w:keepNext w:val="0"/>
              <w:keepLines w:val="0"/>
              <w:pageBreakBefore w:val="0"/>
              <w:widowControl/>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0000FF"/>
                <w:kern w:val="2"/>
                <w:sz w:val="24"/>
                <w:szCs w:val="24"/>
              </w:rPr>
            </w:pPr>
            <w:r>
              <w:rPr>
                <w:rFonts w:hint="default" w:ascii="Times New Roman" w:hAnsi="Times New Roman" w:eastAsia="宋体" w:cs="Times New Roman"/>
                <w:color w:val="0000FF"/>
                <w:kern w:val="2"/>
                <w:sz w:val="24"/>
                <w:szCs w:val="24"/>
              </w:rPr>
              <w:drawing>
                <wp:inline distT="0" distB="0" distL="114300" distR="114300">
                  <wp:extent cx="4342765" cy="2270125"/>
                  <wp:effectExtent l="0" t="0" r="635" b="15875"/>
                  <wp:docPr id="120" name="图片 120" descr="e5dd627e639eb5c4fa05070e97731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e5dd627e639eb5c4fa05070e9773149b"/>
                          <pic:cNvPicPr>
                            <a:picLocks noChangeAspect="1"/>
                          </pic:cNvPicPr>
                        </pic:nvPicPr>
                        <pic:blipFill>
                          <a:blip r:embed="rId29"/>
                          <a:stretch>
                            <a:fillRect/>
                          </a:stretch>
                        </pic:blipFill>
                        <pic:spPr>
                          <a:xfrm>
                            <a:off x="0" y="0"/>
                            <a:ext cx="4342765" cy="2270125"/>
                          </a:xfrm>
                          <a:prstGeom prst="rect">
                            <a:avLst/>
                          </a:prstGeom>
                        </pic:spPr>
                      </pic:pic>
                    </a:graphicData>
                  </a:graphic>
                </wp:inline>
              </w:drawing>
            </w:r>
          </w:p>
          <w:p w14:paraId="491ED279">
            <w:pPr>
              <w:pStyle w:val="30"/>
              <w:keepNext w:val="0"/>
              <w:keepLines w:val="0"/>
              <w:pageBreakBefore w:val="0"/>
              <w:widowControl/>
              <w:suppressLineNumbers w:val="0"/>
              <w:kinsoku/>
              <w:wordWrap/>
              <w:overflowPunct/>
              <w:topLinePunct w:val="0"/>
              <w:autoSpaceDE w:val="0"/>
              <w:autoSpaceDN/>
              <w:bidi w:val="0"/>
              <w:spacing w:before="0" w:beforeAutospacing="0" w:after="0" w:afterAutospacing="0" w:line="480" w:lineRule="exact"/>
              <w:ind w:left="0" w:right="0" w:firstLine="480" w:firstLineChars="200"/>
              <w:jc w:val="center"/>
              <w:rPr>
                <w:rFonts w:hint="default" w:ascii="Times New Roman" w:hAnsi="Times New Roman" w:eastAsia="宋体" w:cs="Courier New"/>
                <w:b/>
                <w:bCs w:val="0"/>
                <w:color w:val="0000FF"/>
                <w:kern w:val="2"/>
                <w:sz w:val="24"/>
                <w:szCs w:val="24"/>
              </w:rPr>
            </w:pPr>
            <w:r>
              <w:rPr>
                <w:rFonts w:hint="eastAsia" w:ascii="宋体" w:hAnsi="宋体" w:eastAsia="宋体" w:cs="宋体"/>
                <w:b/>
                <w:bCs w:val="0"/>
                <w:color w:val="0000FF"/>
                <w:kern w:val="2"/>
                <w:sz w:val="24"/>
                <w:szCs w:val="24"/>
                <w:lang w:val="en-US" w:eastAsia="zh-CN" w:bidi="ar"/>
              </w:rPr>
              <w:t>图</w:t>
            </w:r>
            <w:r>
              <w:rPr>
                <w:rFonts w:hint="default" w:ascii="Times New Roman" w:hAnsi="Times New Roman" w:eastAsia="宋体" w:cs="Courier New"/>
                <w:b/>
                <w:bCs w:val="0"/>
                <w:color w:val="0000FF"/>
                <w:kern w:val="2"/>
                <w:sz w:val="24"/>
                <w:szCs w:val="24"/>
                <w:lang w:val="en-US" w:eastAsia="zh-CN" w:bidi="ar"/>
              </w:rPr>
              <w:t xml:space="preserve">5-1  </w:t>
            </w:r>
            <w:r>
              <w:rPr>
                <w:rFonts w:hint="eastAsia" w:ascii="宋体" w:hAnsi="宋体" w:eastAsia="宋体" w:cs="宋体"/>
                <w:b/>
                <w:bCs w:val="0"/>
                <w:color w:val="0000FF"/>
                <w:kern w:val="2"/>
                <w:sz w:val="24"/>
                <w:szCs w:val="24"/>
                <w:lang w:val="en-US" w:eastAsia="zh-CN" w:bidi="ar"/>
              </w:rPr>
              <w:t>环境保护图形标志排放口（源）</w:t>
            </w:r>
          </w:p>
          <w:p w14:paraId="118B7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eastAsia" w:ascii="Times New Roman" w:hAnsi="Times New Roman" w:eastAsia="宋体" w:cs="Times New Roman"/>
                <w:b/>
                <w:color w:val="0000FF"/>
                <w:sz w:val="24"/>
                <w:szCs w:val="24"/>
                <w:highlight w:val="none"/>
                <w:lang w:val="en-US" w:eastAsia="zh-CN"/>
              </w:rPr>
            </w:pPr>
            <w:r>
              <w:rPr>
                <w:rFonts w:hint="eastAsia" w:ascii="Times New Roman" w:hAnsi="Times New Roman" w:eastAsia="宋体" w:cs="Times New Roman"/>
                <w:b/>
                <w:color w:val="0000FF"/>
                <w:sz w:val="24"/>
                <w:szCs w:val="24"/>
                <w:highlight w:val="none"/>
                <w:lang w:val="en-US" w:eastAsia="zh-CN"/>
              </w:rPr>
              <w:t>6、环境保护主体责任</w:t>
            </w:r>
          </w:p>
          <w:p w14:paraId="184EFA4F">
            <w:pPr>
              <w:pStyle w:val="139"/>
              <w:keepNext w:val="0"/>
              <w:keepLines w:val="0"/>
              <w:pageBreakBefore w:val="0"/>
              <w:widowControl/>
              <w:suppressLineNumbers w:val="0"/>
              <w:kinsoku/>
              <w:wordWrap/>
              <w:overflowPunct/>
              <w:topLinePunct w:val="0"/>
              <w:autoSpaceDE w:val="0"/>
              <w:autoSpaceDN/>
              <w:bidi w:val="0"/>
              <w:spacing w:before="0" w:beforeAutospacing="0" w:after="0" w:afterAutospacing="0"/>
              <w:ind w:left="0" w:right="0" w:firstLine="420"/>
              <w:jc w:val="both"/>
              <w:rPr>
                <w:rFonts w:hint="eastAsia" w:ascii="宋体" w:hAnsi="宋体" w:eastAsia="宋体" w:cs="宋体"/>
                <w:color w:val="auto"/>
                <w:spacing w:val="-9"/>
                <w:sz w:val="24"/>
                <w:szCs w:val="24"/>
                <w:u w:val="none" w:color="auto"/>
                <w:lang w:eastAsia="zh-CN"/>
              </w:rPr>
            </w:pPr>
            <w:r>
              <w:rPr>
                <w:rFonts w:hint="default" w:ascii="宋体" w:hAnsi="宋体" w:cs="宋体"/>
                <w:bCs/>
                <w:color w:val="0000FF"/>
                <w:kern w:val="2"/>
                <w:sz w:val="24"/>
                <w:szCs w:val="24"/>
                <w:lang w:val="en-US" w:eastAsia="zh-CN"/>
              </w:rPr>
              <w:t>严格履行环保工作主体责任，全面建立环境保护责任体系，制定完善环保工作制度，明确相关人员工作责任。企业主要负责人作为排污单位环境保护的第一责任人，要全面负责环境保护工作，带头落实环境保护责任制度，并承担环保工作领导责任。</w:t>
            </w:r>
          </w:p>
        </w:tc>
      </w:tr>
    </w:tbl>
    <w:p w14:paraId="422DCB96">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82" w:name="_Toc22395"/>
      <w:bookmarkStart w:id="83" w:name="_Toc8461"/>
      <w:r>
        <w:rPr>
          <w:rFonts w:hint="default" w:ascii="Times New Roman" w:hAnsi="Times New Roman" w:eastAsia="黑体" w:cs="Times New Roman"/>
          <w:snapToGrid w:val="0"/>
          <w:color w:val="auto"/>
          <w:sz w:val="30"/>
          <w:szCs w:val="30"/>
        </w:rPr>
        <w:t>六、结论</w:t>
      </w:r>
      <w:bookmarkEnd w:id="82"/>
      <w:bookmarkEnd w:id="83"/>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53"/>
      </w:tblGrid>
      <w:tr w14:paraId="4DD67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5000" w:type="pct"/>
            <w:noWrap w:val="0"/>
            <w:vAlign w:val="top"/>
          </w:tcPr>
          <w:p w14:paraId="24A3A6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rPr>
            </w:pPr>
            <w:r>
              <w:rPr>
                <w:rFonts w:hint="default" w:ascii="Times New Roman" w:hAnsi="Times New Roman" w:cs="Times New Roman"/>
                <w:color w:val="auto"/>
                <w:sz w:val="24"/>
              </w:rPr>
              <w:t>本项目运营期采取的各项环保措施在确保严格落实本报告表提出的污染物防治措施的前提下，对水环境、环境空气、声环境等的影响较小，可以被周围环境所接受。因此，本项目的建设从环境保护的角度而言是可行的。</w:t>
            </w:r>
          </w:p>
          <w:p w14:paraId="35A2A4AA">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06B7C20">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0406EEC7">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351E5AB2">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591D1F39">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640AB1E8">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37CAF41">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15AD0874">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B2AD88E">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0F4AA27">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12E73FDE">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5FD8D96B">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18FF2699">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2ACEE90">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4803433A">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6A4AB569">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5A16D985">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3F5C2CF9">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38276A0A">
            <w:pPr>
              <w:keepNext w:val="0"/>
              <w:keepLines w:val="0"/>
              <w:suppressLineNumbers w:val="0"/>
              <w:spacing w:before="0" w:beforeAutospacing="0" w:after="0" w:afterAutospacing="0" w:line="500" w:lineRule="exact"/>
              <w:ind w:left="0" w:right="0"/>
              <w:jc w:val="both"/>
              <w:rPr>
                <w:rFonts w:hint="default" w:ascii="Times New Roman" w:hAnsi="Times New Roman" w:cs="Times New Roman"/>
                <w:color w:val="auto"/>
                <w:sz w:val="24"/>
              </w:rPr>
            </w:pPr>
          </w:p>
          <w:p w14:paraId="17B98A23">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7BB75C66">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p w14:paraId="22586316">
            <w:pPr>
              <w:keepNext w:val="0"/>
              <w:keepLines w:val="0"/>
              <w:suppressLineNumbers w:val="0"/>
              <w:spacing w:before="0" w:beforeAutospacing="0" w:after="0" w:afterAutospacing="0" w:line="500" w:lineRule="exact"/>
              <w:ind w:left="0" w:right="0" w:firstLine="480" w:firstLineChars="200"/>
              <w:jc w:val="both"/>
              <w:rPr>
                <w:rFonts w:hint="default" w:ascii="Times New Roman" w:hAnsi="Times New Roman" w:cs="Times New Roman"/>
                <w:color w:val="auto"/>
                <w:sz w:val="24"/>
              </w:rPr>
            </w:pPr>
          </w:p>
        </w:tc>
      </w:tr>
    </w:tbl>
    <w:p w14:paraId="1C84484B">
      <w:pPr>
        <w:rPr>
          <w:rFonts w:hint="default" w:ascii="Times New Roman" w:hAnsi="Times New Roman" w:cs="Times New Roman"/>
          <w:color w:val="auto"/>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p w14:paraId="6D68532E">
      <w:pPr>
        <w:pStyle w:val="30"/>
        <w:adjustRightInd w:val="0"/>
        <w:snapToGrid w:val="0"/>
        <w:spacing w:before="0" w:beforeAutospacing="0" w:after="0" w:afterAutospacing="0" w:line="0" w:lineRule="atLeast"/>
        <w:rPr>
          <w:rFonts w:hint="default" w:ascii="Times New Roman" w:hAnsi="Times New Roman" w:eastAsia="黑体" w:cs="Times New Roman"/>
          <w:snapToGrid w:val="0"/>
          <w:color w:val="auto"/>
          <w:sz w:val="32"/>
          <w:szCs w:val="32"/>
        </w:rPr>
      </w:pPr>
      <w:bookmarkStart w:id="84" w:name="_Toc65222367"/>
      <w:r>
        <w:rPr>
          <w:rFonts w:hint="default" w:ascii="Times New Roman" w:hAnsi="Times New Roman" w:eastAsia="黑体" w:cs="Times New Roman"/>
          <w:snapToGrid w:val="0"/>
          <w:color w:val="auto"/>
          <w:sz w:val="32"/>
          <w:szCs w:val="32"/>
        </w:rPr>
        <w:t>附表</w:t>
      </w:r>
      <w:bookmarkEnd w:id="84"/>
    </w:p>
    <w:p w14:paraId="35F5424A">
      <w:pPr>
        <w:pStyle w:val="30"/>
        <w:adjustRightInd w:val="0"/>
        <w:snapToGrid w:val="0"/>
        <w:spacing w:before="0" w:beforeAutospacing="0" w:after="0" w:afterAutospacing="0" w:line="0" w:lineRule="atLeast"/>
        <w:jc w:val="center"/>
        <w:outlineLvl w:val="0"/>
        <w:rPr>
          <w:rFonts w:hint="default" w:ascii="Times New Roman" w:hAnsi="Times New Roman" w:eastAsia="方正小标宋_GBK" w:cs="Times New Roman"/>
          <w:snapToGrid w:val="0"/>
          <w:color w:val="auto"/>
          <w:sz w:val="38"/>
          <w:szCs w:val="38"/>
          <w:highlight w:val="none"/>
        </w:rPr>
      </w:pPr>
      <w:bookmarkStart w:id="85" w:name="_Toc31145"/>
      <w:bookmarkStart w:id="86" w:name="_Toc895"/>
      <w:bookmarkStart w:id="87" w:name="_Toc65222368"/>
      <w:bookmarkStart w:id="88" w:name="_Toc68786114"/>
      <w:r>
        <w:rPr>
          <w:rFonts w:hint="default" w:ascii="Times New Roman" w:hAnsi="Times New Roman" w:eastAsia="方正小标宋_GBK" w:cs="Times New Roman"/>
          <w:snapToGrid w:val="0"/>
          <w:color w:val="auto"/>
          <w:sz w:val="38"/>
          <w:szCs w:val="38"/>
          <w:highlight w:val="none"/>
        </w:rPr>
        <w:t>建设项目污染物排放量汇总表</w:t>
      </w:r>
      <w:bookmarkEnd w:id="85"/>
      <w:bookmarkEnd w:id="86"/>
      <w:bookmarkEnd w:id="87"/>
      <w:bookmarkEnd w:id="88"/>
    </w:p>
    <w:tbl>
      <w:tblPr>
        <w:tblStyle w:val="35"/>
        <w:tblW w:w="14318" w:type="dxa"/>
        <w:tblInd w:w="-39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0"/>
        <w:gridCol w:w="1701"/>
        <w:gridCol w:w="1134"/>
        <w:gridCol w:w="1842"/>
        <w:gridCol w:w="1560"/>
        <w:gridCol w:w="1842"/>
        <w:gridCol w:w="1843"/>
        <w:gridCol w:w="1276"/>
      </w:tblGrid>
      <w:tr w14:paraId="2C425E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60" w:type="dxa"/>
            <w:tcBorders>
              <w:tl2br w:val="single" w:color="auto" w:sz="4" w:space="0"/>
            </w:tcBorders>
            <w:tcMar>
              <w:left w:w="28" w:type="dxa"/>
              <w:right w:w="28" w:type="dxa"/>
            </w:tcMar>
            <w:vAlign w:val="center"/>
          </w:tcPr>
          <w:p w14:paraId="12AADB33">
            <w:pPr>
              <w:pStyle w:val="84"/>
              <w:keepNext w:val="0"/>
              <w:keepLines w:val="0"/>
              <w:suppressLineNumbers w:val="0"/>
              <w:adjustRightInd/>
              <w:snapToGrid/>
              <w:spacing w:before="0" w:beforeLines="0" w:beforeAutospacing="0" w:after="0" w:afterLines="0" w:afterAutospacing="0" w:line="240" w:lineRule="auto"/>
              <w:ind w:left="0" w:right="0"/>
              <w:contextualSpacing/>
              <w:jc w:val="right"/>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项目</w:t>
            </w:r>
          </w:p>
          <w:p w14:paraId="2201F16F">
            <w:pPr>
              <w:pStyle w:val="84"/>
              <w:keepNext w:val="0"/>
              <w:keepLines w:val="0"/>
              <w:suppressLineNumbers w:val="0"/>
              <w:adjustRightInd/>
              <w:snapToGrid/>
              <w:spacing w:before="0" w:beforeLines="0" w:beforeAutospacing="0" w:after="0" w:afterLines="0" w:afterAutospacing="0" w:line="240" w:lineRule="auto"/>
              <w:ind w:left="0" w:right="0"/>
              <w:contextualSpacing/>
              <w:jc w:val="left"/>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分类</w:t>
            </w:r>
          </w:p>
        </w:tc>
        <w:tc>
          <w:tcPr>
            <w:tcW w:w="1560" w:type="dxa"/>
            <w:tcMar>
              <w:left w:w="28" w:type="dxa"/>
              <w:right w:w="28" w:type="dxa"/>
            </w:tcMar>
            <w:vAlign w:val="center"/>
          </w:tcPr>
          <w:p w14:paraId="25B14BB5">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污染物名称</w:t>
            </w:r>
          </w:p>
        </w:tc>
        <w:tc>
          <w:tcPr>
            <w:tcW w:w="1701" w:type="dxa"/>
            <w:tcMar>
              <w:left w:w="28" w:type="dxa"/>
              <w:right w:w="28" w:type="dxa"/>
            </w:tcMar>
            <w:vAlign w:val="center"/>
          </w:tcPr>
          <w:p w14:paraId="3748A619">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现有工程</w:t>
            </w:r>
          </w:p>
          <w:p w14:paraId="5171AC7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排放量</w:t>
            </w:r>
            <w:r>
              <w:rPr>
                <w:rFonts w:hint="default" w:ascii="Times New Roman" w:eastAsia="黑体"/>
                <w:snapToGrid w:val="0"/>
                <w:color w:val="auto"/>
                <w:spacing w:val="-6"/>
                <w:kern w:val="21"/>
                <w:szCs w:val="21"/>
                <w:highlight w:val="none"/>
              </w:rPr>
              <w:t>t/a</w:t>
            </w:r>
            <w:r>
              <w:rPr>
                <w:rFonts w:hint="default" w:ascii="Times New Roman" w:hAnsi="黑体" w:eastAsia="黑体"/>
                <w:snapToGrid w:val="0"/>
                <w:color w:val="auto"/>
                <w:spacing w:val="-6"/>
                <w:kern w:val="21"/>
                <w:szCs w:val="21"/>
                <w:highlight w:val="none"/>
              </w:rPr>
              <w:t>（固体废物产生量）</w:t>
            </w:r>
            <w:r>
              <w:rPr>
                <w:rFonts w:hint="default" w:ascii="Times New Roman" w:eastAsia="黑体"/>
                <w:snapToGrid w:val="0"/>
                <w:color w:val="auto"/>
                <w:spacing w:val="-6"/>
                <w:kern w:val="21"/>
                <w:szCs w:val="21"/>
                <w:highlight w:val="none"/>
              </w:rPr>
              <w:fldChar w:fldCharType="begin"/>
            </w:r>
            <w:r>
              <w:rPr>
                <w:rFonts w:hint="default" w:ascii="Times New Roman" w:eastAsia="黑体"/>
                <w:snapToGrid w:val="0"/>
                <w:color w:val="auto"/>
                <w:spacing w:val="-6"/>
                <w:kern w:val="21"/>
                <w:szCs w:val="21"/>
                <w:highlight w:val="none"/>
              </w:rPr>
              <w:instrText xml:space="preserve"> = 1 \* GB3 \* MERGEFORMAT </w:instrText>
            </w:r>
            <w:r>
              <w:rPr>
                <w:rFonts w:hint="default" w:ascii="Times New Roman" w:eastAsia="黑体"/>
                <w:snapToGrid w:val="0"/>
                <w:color w:val="auto"/>
                <w:spacing w:val="-6"/>
                <w:kern w:val="21"/>
                <w:szCs w:val="21"/>
                <w:highlight w:val="none"/>
              </w:rPr>
              <w:fldChar w:fldCharType="separate"/>
            </w:r>
            <w:r>
              <w:rPr>
                <w:rFonts w:hint="default" w:ascii="Times New Roman" w:hAnsi="黑体" w:eastAsia="黑体"/>
                <w:color w:val="auto"/>
                <w:kern w:val="2"/>
                <w:szCs w:val="21"/>
                <w:highlight w:val="none"/>
              </w:rPr>
              <w:t>①</w:t>
            </w:r>
            <w:r>
              <w:rPr>
                <w:rFonts w:hint="default" w:ascii="Times New Roman" w:eastAsia="黑体"/>
                <w:snapToGrid w:val="0"/>
                <w:color w:val="auto"/>
                <w:spacing w:val="-6"/>
                <w:kern w:val="21"/>
                <w:szCs w:val="21"/>
                <w:highlight w:val="none"/>
              </w:rPr>
              <w:fldChar w:fldCharType="end"/>
            </w:r>
          </w:p>
        </w:tc>
        <w:tc>
          <w:tcPr>
            <w:tcW w:w="1134" w:type="dxa"/>
            <w:tcMar>
              <w:left w:w="28" w:type="dxa"/>
              <w:right w:w="28" w:type="dxa"/>
            </w:tcMar>
            <w:vAlign w:val="center"/>
          </w:tcPr>
          <w:p w14:paraId="505D90F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现有工程</w:t>
            </w:r>
          </w:p>
          <w:p w14:paraId="64B85DA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许可排放量</w:t>
            </w:r>
            <w:r>
              <w:rPr>
                <w:rFonts w:hint="default" w:ascii="Times New Roman" w:eastAsia="黑体"/>
                <w:snapToGrid w:val="0"/>
                <w:color w:val="auto"/>
                <w:spacing w:val="-6"/>
                <w:kern w:val="21"/>
                <w:szCs w:val="21"/>
                <w:highlight w:val="none"/>
              </w:rPr>
              <w:t>t/a</w:t>
            </w:r>
            <w:r>
              <w:rPr>
                <w:rFonts w:hint="default" w:ascii="Times New Roman" w:eastAsia="黑体"/>
                <w:snapToGrid w:val="0"/>
                <w:color w:val="auto"/>
                <w:spacing w:val="-6"/>
                <w:kern w:val="21"/>
                <w:szCs w:val="21"/>
                <w:highlight w:val="none"/>
              </w:rPr>
              <w:fldChar w:fldCharType="begin"/>
            </w:r>
            <w:r>
              <w:rPr>
                <w:rFonts w:hint="default" w:ascii="Times New Roman" w:eastAsia="黑体"/>
                <w:snapToGrid w:val="0"/>
                <w:color w:val="auto"/>
                <w:spacing w:val="-6"/>
                <w:kern w:val="21"/>
                <w:szCs w:val="21"/>
                <w:highlight w:val="none"/>
              </w:rPr>
              <w:instrText xml:space="preserve"> = 2 \* GB3 \* MERGEFORMAT </w:instrText>
            </w:r>
            <w:r>
              <w:rPr>
                <w:rFonts w:hint="default" w:ascii="Times New Roman" w:eastAsia="黑体"/>
                <w:snapToGrid w:val="0"/>
                <w:color w:val="auto"/>
                <w:spacing w:val="-6"/>
                <w:kern w:val="21"/>
                <w:szCs w:val="21"/>
                <w:highlight w:val="none"/>
              </w:rPr>
              <w:fldChar w:fldCharType="separate"/>
            </w:r>
            <w:r>
              <w:rPr>
                <w:rFonts w:hint="default" w:ascii="Times New Roman" w:hAnsi="黑体" w:eastAsia="黑体"/>
                <w:snapToGrid w:val="0"/>
                <w:color w:val="auto"/>
                <w:spacing w:val="-6"/>
                <w:kern w:val="21"/>
                <w:szCs w:val="21"/>
                <w:highlight w:val="none"/>
              </w:rPr>
              <w:t>②</w:t>
            </w:r>
            <w:r>
              <w:rPr>
                <w:rFonts w:hint="default" w:ascii="Times New Roman" w:eastAsia="黑体"/>
                <w:snapToGrid w:val="0"/>
                <w:color w:val="auto"/>
                <w:spacing w:val="-6"/>
                <w:kern w:val="21"/>
                <w:szCs w:val="21"/>
                <w:highlight w:val="none"/>
              </w:rPr>
              <w:fldChar w:fldCharType="end"/>
            </w:r>
          </w:p>
        </w:tc>
        <w:tc>
          <w:tcPr>
            <w:tcW w:w="1842" w:type="dxa"/>
            <w:tcMar>
              <w:left w:w="28" w:type="dxa"/>
              <w:right w:w="28" w:type="dxa"/>
            </w:tcMar>
            <w:vAlign w:val="center"/>
          </w:tcPr>
          <w:p w14:paraId="257EA1C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在建工程</w:t>
            </w:r>
          </w:p>
          <w:p w14:paraId="4B65BDF8">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排放量</w:t>
            </w:r>
            <w:r>
              <w:rPr>
                <w:rFonts w:hint="default" w:ascii="Times New Roman" w:eastAsia="黑体"/>
                <w:snapToGrid w:val="0"/>
                <w:color w:val="auto"/>
                <w:spacing w:val="-6"/>
                <w:kern w:val="21"/>
                <w:szCs w:val="21"/>
                <w:highlight w:val="none"/>
              </w:rPr>
              <w:t>t/a</w:t>
            </w:r>
            <w:r>
              <w:rPr>
                <w:rFonts w:hint="default" w:ascii="Times New Roman" w:hAnsi="黑体" w:eastAsia="黑体"/>
                <w:snapToGrid w:val="0"/>
                <w:color w:val="auto"/>
                <w:spacing w:val="-6"/>
                <w:kern w:val="21"/>
                <w:szCs w:val="21"/>
                <w:highlight w:val="none"/>
              </w:rPr>
              <w:t>（固体废物产生量）</w:t>
            </w:r>
            <w:r>
              <w:rPr>
                <w:rFonts w:hint="default" w:ascii="Times New Roman" w:eastAsia="黑体"/>
                <w:snapToGrid w:val="0"/>
                <w:color w:val="auto"/>
                <w:spacing w:val="-6"/>
                <w:kern w:val="21"/>
                <w:szCs w:val="21"/>
                <w:highlight w:val="none"/>
              </w:rPr>
              <w:fldChar w:fldCharType="begin"/>
            </w:r>
            <w:r>
              <w:rPr>
                <w:rFonts w:hint="default" w:ascii="Times New Roman" w:eastAsia="黑体"/>
                <w:snapToGrid w:val="0"/>
                <w:color w:val="auto"/>
                <w:spacing w:val="-6"/>
                <w:kern w:val="21"/>
                <w:szCs w:val="21"/>
                <w:highlight w:val="none"/>
              </w:rPr>
              <w:instrText xml:space="preserve"> = 3 \* GB3 \* MERGEFORMAT </w:instrText>
            </w:r>
            <w:r>
              <w:rPr>
                <w:rFonts w:hint="default" w:ascii="Times New Roman" w:eastAsia="黑体"/>
                <w:snapToGrid w:val="0"/>
                <w:color w:val="auto"/>
                <w:spacing w:val="-6"/>
                <w:kern w:val="21"/>
                <w:szCs w:val="21"/>
                <w:highlight w:val="none"/>
              </w:rPr>
              <w:fldChar w:fldCharType="separate"/>
            </w:r>
            <w:r>
              <w:rPr>
                <w:rFonts w:hint="default" w:ascii="Times New Roman" w:hAnsi="黑体" w:eastAsia="黑体"/>
                <w:color w:val="auto"/>
                <w:kern w:val="2"/>
                <w:szCs w:val="21"/>
                <w:highlight w:val="none"/>
              </w:rPr>
              <w:t>③</w:t>
            </w:r>
            <w:r>
              <w:rPr>
                <w:rFonts w:hint="default" w:ascii="Times New Roman" w:eastAsia="黑体"/>
                <w:snapToGrid w:val="0"/>
                <w:color w:val="auto"/>
                <w:spacing w:val="-6"/>
                <w:kern w:val="21"/>
                <w:szCs w:val="21"/>
                <w:highlight w:val="none"/>
              </w:rPr>
              <w:fldChar w:fldCharType="end"/>
            </w:r>
          </w:p>
        </w:tc>
        <w:tc>
          <w:tcPr>
            <w:tcW w:w="1560" w:type="dxa"/>
            <w:tcMar>
              <w:left w:w="28" w:type="dxa"/>
              <w:right w:w="28" w:type="dxa"/>
            </w:tcMar>
            <w:vAlign w:val="center"/>
          </w:tcPr>
          <w:p w14:paraId="5CCAA706">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本项目</w:t>
            </w:r>
          </w:p>
          <w:p w14:paraId="19D35D35">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排放量</w:t>
            </w:r>
            <w:r>
              <w:rPr>
                <w:rFonts w:hint="default" w:ascii="Times New Roman" w:eastAsia="黑体"/>
                <w:snapToGrid w:val="0"/>
                <w:color w:val="auto"/>
                <w:spacing w:val="-6"/>
                <w:kern w:val="21"/>
                <w:szCs w:val="21"/>
                <w:highlight w:val="none"/>
              </w:rPr>
              <w:t>t/a</w:t>
            </w:r>
            <w:r>
              <w:rPr>
                <w:rFonts w:hint="default" w:ascii="Times New Roman" w:hAnsi="黑体" w:eastAsia="黑体"/>
                <w:snapToGrid w:val="0"/>
                <w:color w:val="auto"/>
                <w:spacing w:val="-6"/>
                <w:kern w:val="21"/>
                <w:szCs w:val="21"/>
                <w:highlight w:val="none"/>
              </w:rPr>
              <w:t>（固体废物产生量）</w:t>
            </w:r>
            <w:r>
              <w:rPr>
                <w:rFonts w:hint="default" w:ascii="Times New Roman" w:eastAsia="黑体"/>
                <w:snapToGrid w:val="0"/>
                <w:color w:val="auto"/>
                <w:spacing w:val="-6"/>
                <w:kern w:val="21"/>
                <w:szCs w:val="21"/>
                <w:highlight w:val="none"/>
              </w:rPr>
              <w:fldChar w:fldCharType="begin"/>
            </w:r>
            <w:r>
              <w:rPr>
                <w:rFonts w:hint="default" w:ascii="Times New Roman" w:eastAsia="黑体"/>
                <w:snapToGrid w:val="0"/>
                <w:color w:val="auto"/>
                <w:spacing w:val="-6"/>
                <w:kern w:val="21"/>
                <w:szCs w:val="21"/>
                <w:highlight w:val="none"/>
              </w:rPr>
              <w:instrText xml:space="preserve"> = 4 \* GB3 \* MERGEFORMAT </w:instrText>
            </w:r>
            <w:r>
              <w:rPr>
                <w:rFonts w:hint="default" w:ascii="Times New Roman" w:eastAsia="黑体"/>
                <w:snapToGrid w:val="0"/>
                <w:color w:val="auto"/>
                <w:spacing w:val="-6"/>
                <w:kern w:val="21"/>
                <w:szCs w:val="21"/>
                <w:highlight w:val="none"/>
              </w:rPr>
              <w:fldChar w:fldCharType="separate"/>
            </w:r>
            <w:r>
              <w:rPr>
                <w:rFonts w:hint="default" w:ascii="Times New Roman" w:hAnsi="黑体" w:eastAsia="黑体"/>
                <w:color w:val="auto"/>
                <w:kern w:val="2"/>
                <w:szCs w:val="21"/>
                <w:highlight w:val="none"/>
              </w:rPr>
              <w:t>④</w:t>
            </w:r>
            <w:r>
              <w:rPr>
                <w:rFonts w:hint="default" w:ascii="Times New Roman" w:eastAsia="黑体"/>
                <w:snapToGrid w:val="0"/>
                <w:color w:val="auto"/>
                <w:spacing w:val="-6"/>
                <w:kern w:val="21"/>
                <w:szCs w:val="21"/>
                <w:highlight w:val="none"/>
              </w:rPr>
              <w:fldChar w:fldCharType="end"/>
            </w:r>
          </w:p>
        </w:tc>
        <w:tc>
          <w:tcPr>
            <w:tcW w:w="1842" w:type="dxa"/>
            <w:tcMar>
              <w:left w:w="28" w:type="dxa"/>
              <w:right w:w="28" w:type="dxa"/>
            </w:tcMar>
            <w:vAlign w:val="center"/>
          </w:tcPr>
          <w:p w14:paraId="37C3CEEE">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16"/>
                <w:kern w:val="21"/>
                <w:szCs w:val="21"/>
                <w:highlight w:val="none"/>
              </w:rPr>
            </w:pPr>
            <w:r>
              <w:rPr>
                <w:rFonts w:hint="default" w:ascii="Times New Roman" w:hAnsi="黑体" w:eastAsia="黑体"/>
                <w:snapToGrid w:val="0"/>
                <w:color w:val="auto"/>
                <w:spacing w:val="-16"/>
                <w:kern w:val="21"/>
                <w:szCs w:val="21"/>
                <w:highlight w:val="none"/>
              </w:rPr>
              <w:t>以新带老削减量</w:t>
            </w:r>
            <w:r>
              <w:rPr>
                <w:rFonts w:hint="default" w:ascii="Times New Roman" w:eastAsia="黑体"/>
                <w:snapToGrid w:val="0"/>
                <w:color w:val="auto"/>
                <w:spacing w:val="-6"/>
                <w:kern w:val="21"/>
                <w:szCs w:val="21"/>
                <w:highlight w:val="none"/>
              </w:rPr>
              <w:t>t/a</w:t>
            </w:r>
          </w:p>
          <w:p w14:paraId="25B53E7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16"/>
                <w:kern w:val="21"/>
                <w:szCs w:val="21"/>
                <w:highlight w:val="none"/>
              </w:rPr>
            </w:pPr>
            <w:r>
              <w:rPr>
                <w:rFonts w:hint="default" w:ascii="Times New Roman" w:hAnsi="黑体" w:eastAsia="黑体"/>
                <w:snapToGrid w:val="0"/>
                <w:color w:val="auto"/>
                <w:spacing w:val="-16"/>
                <w:kern w:val="21"/>
                <w:szCs w:val="21"/>
                <w:highlight w:val="none"/>
              </w:rPr>
              <w:t>（新建项目不填）</w:t>
            </w:r>
            <w:r>
              <w:rPr>
                <w:rFonts w:hint="default" w:ascii="Times New Roman" w:eastAsia="黑体"/>
                <w:snapToGrid w:val="0"/>
                <w:color w:val="auto"/>
                <w:spacing w:val="-16"/>
                <w:kern w:val="21"/>
                <w:szCs w:val="21"/>
                <w:highlight w:val="none"/>
              </w:rPr>
              <w:fldChar w:fldCharType="begin"/>
            </w:r>
            <w:r>
              <w:rPr>
                <w:rFonts w:hint="default" w:ascii="Times New Roman" w:eastAsia="黑体"/>
                <w:snapToGrid w:val="0"/>
                <w:color w:val="auto"/>
                <w:spacing w:val="-16"/>
                <w:kern w:val="21"/>
                <w:szCs w:val="21"/>
                <w:highlight w:val="none"/>
              </w:rPr>
              <w:instrText xml:space="preserve"> = 5 \* GB3 \* MERGEFORMAT </w:instrText>
            </w:r>
            <w:r>
              <w:rPr>
                <w:rFonts w:hint="default" w:ascii="Times New Roman" w:eastAsia="黑体"/>
                <w:snapToGrid w:val="0"/>
                <w:color w:val="auto"/>
                <w:spacing w:val="-16"/>
                <w:kern w:val="21"/>
                <w:szCs w:val="21"/>
                <w:highlight w:val="none"/>
              </w:rPr>
              <w:fldChar w:fldCharType="separate"/>
            </w:r>
            <w:r>
              <w:rPr>
                <w:rFonts w:hint="default" w:ascii="Times New Roman" w:hAnsi="黑体" w:eastAsia="黑体"/>
                <w:color w:val="auto"/>
                <w:kern w:val="2"/>
                <w:szCs w:val="21"/>
                <w:highlight w:val="none"/>
              </w:rPr>
              <w:t>⑤</w:t>
            </w:r>
            <w:r>
              <w:rPr>
                <w:rFonts w:hint="default" w:ascii="Times New Roman" w:eastAsia="黑体"/>
                <w:snapToGrid w:val="0"/>
                <w:color w:val="auto"/>
                <w:spacing w:val="-16"/>
                <w:kern w:val="21"/>
                <w:szCs w:val="21"/>
                <w:highlight w:val="none"/>
              </w:rPr>
              <w:fldChar w:fldCharType="end"/>
            </w:r>
          </w:p>
        </w:tc>
        <w:tc>
          <w:tcPr>
            <w:tcW w:w="1843" w:type="dxa"/>
            <w:tcMar>
              <w:left w:w="28" w:type="dxa"/>
              <w:right w:w="28" w:type="dxa"/>
            </w:tcMar>
            <w:vAlign w:val="center"/>
          </w:tcPr>
          <w:p w14:paraId="3381515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16"/>
                <w:kern w:val="21"/>
                <w:szCs w:val="21"/>
                <w:highlight w:val="none"/>
              </w:rPr>
            </w:pPr>
            <w:r>
              <w:rPr>
                <w:rFonts w:hint="default" w:ascii="Times New Roman" w:hAnsi="黑体" w:eastAsia="黑体"/>
                <w:snapToGrid w:val="0"/>
                <w:color w:val="auto"/>
                <w:spacing w:val="-16"/>
                <w:kern w:val="21"/>
                <w:szCs w:val="21"/>
                <w:highlight w:val="none"/>
              </w:rPr>
              <w:t>本项目建成后</w:t>
            </w:r>
          </w:p>
          <w:p w14:paraId="40181D1A">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16"/>
                <w:kern w:val="21"/>
                <w:szCs w:val="21"/>
                <w:highlight w:val="none"/>
              </w:rPr>
            </w:pPr>
            <w:r>
              <w:rPr>
                <w:rFonts w:hint="default" w:ascii="Times New Roman" w:hAnsi="黑体" w:eastAsia="黑体"/>
                <w:snapToGrid w:val="0"/>
                <w:color w:val="auto"/>
                <w:spacing w:val="-16"/>
                <w:kern w:val="21"/>
                <w:szCs w:val="21"/>
                <w:highlight w:val="none"/>
              </w:rPr>
              <w:t>全厂排放量</w:t>
            </w:r>
            <w:r>
              <w:rPr>
                <w:rFonts w:hint="default" w:ascii="Times New Roman" w:eastAsia="黑体"/>
                <w:snapToGrid w:val="0"/>
                <w:color w:val="auto"/>
                <w:spacing w:val="-6"/>
                <w:kern w:val="21"/>
                <w:szCs w:val="21"/>
                <w:highlight w:val="none"/>
              </w:rPr>
              <w:t>t/a</w:t>
            </w:r>
            <w:r>
              <w:rPr>
                <w:rFonts w:hint="default" w:ascii="Times New Roman" w:hAnsi="黑体" w:eastAsia="黑体"/>
                <w:snapToGrid w:val="0"/>
                <w:color w:val="auto"/>
                <w:spacing w:val="-16"/>
                <w:kern w:val="21"/>
                <w:szCs w:val="21"/>
                <w:highlight w:val="none"/>
              </w:rPr>
              <w:t>（固体废物产生量）</w:t>
            </w:r>
            <w:r>
              <w:rPr>
                <w:rFonts w:hint="default" w:ascii="Times New Roman" w:eastAsia="黑体"/>
                <w:snapToGrid w:val="0"/>
                <w:color w:val="auto"/>
                <w:spacing w:val="-16"/>
                <w:kern w:val="21"/>
                <w:szCs w:val="21"/>
                <w:highlight w:val="none"/>
              </w:rPr>
              <w:fldChar w:fldCharType="begin"/>
            </w:r>
            <w:r>
              <w:rPr>
                <w:rFonts w:hint="default" w:ascii="Times New Roman" w:eastAsia="黑体"/>
                <w:snapToGrid w:val="0"/>
                <w:color w:val="auto"/>
                <w:spacing w:val="-16"/>
                <w:kern w:val="21"/>
                <w:szCs w:val="21"/>
                <w:highlight w:val="none"/>
              </w:rPr>
              <w:instrText xml:space="preserve"> = 6 \* GB3 \* MERGEFORMAT </w:instrText>
            </w:r>
            <w:r>
              <w:rPr>
                <w:rFonts w:hint="default" w:ascii="Times New Roman" w:eastAsia="黑体"/>
                <w:snapToGrid w:val="0"/>
                <w:color w:val="auto"/>
                <w:spacing w:val="-16"/>
                <w:kern w:val="21"/>
                <w:szCs w:val="21"/>
                <w:highlight w:val="none"/>
              </w:rPr>
              <w:fldChar w:fldCharType="separate"/>
            </w:r>
            <w:r>
              <w:rPr>
                <w:rFonts w:hint="default" w:ascii="Times New Roman" w:hAnsi="黑体" w:eastAsia="黑体"/>
                <w:color w:val="auto"/>
                <w:kern w:val="2"/>
                <w:szCs w:val="21"/>
                <w:highlight w:val="none"/>
              </w:rPr>
              <w:t>⑥</w:t>
            </w:r>
            <w:r>
              <w:rPr>
                <w:rFonts w:hint="default" w:ascii="Times New Roman" w:eastAsia="黑体"/>
                <w:snapToGrid w:val="0"/>
                <w:color w:val="auto"/>
                <w:spacing w:val="-16"/>
                <w:kern w:val="21"/>
                <w:szCs w:val="21"/>
                <w:highlight w:val="none"/>
              </w:rPr>
              <w:fldChar w:fldCharType="end"/>
            </w:r>
          </w:p>
        </w:tc>
        <w:tc>
          <w:tcPr>
            <w:tcW w:w="1276" w:type="dxa"/>
            <w:tcMar>
              <w:left w:w="28" w:type="dxa"/>
              <w:right w:w="28" w:type="dxa"/>
            </w:tcMar>
            <w:vAlign w:val="center"/>
          </w:tcPr>
          <w:p w14:paraId="3247B72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hAnsi="黑体" w:eastAsia="黑体"/>
                <w:snapToGrid w:val="0"/>
                <w:color w:val="auto"/>
                <w:spacing w:val="-6"/>
                <w:kern w:val="21"/>
                <w:szCs w:val="21"/>
                <w:highlight w:val="none"/>
              </w:rPr>
              <w:t>变化量</w:t>
            </w:r>
            <w:r>
              <w:rPr>
                <w:rFonts w:hint="default" w:ascii="Times New Roman" w:eastAsia="黑体"/>
                <w:snapToGrid w:val="0"/>
                <w:color w:val="auto"/>
                <w:spacing w:val="-6"/>
                <w:kern w:val="21"/>
                <w:szCs w:val="21"/>
                <w:highlight w:val="none"/>
              </w:rPr>
              <w:t>t/a</w:t>
            </w:r>
          </w:p>
          <w:p w14:paraId="30382886">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黑体"/>
                <w:snapToGrid w:val="0"/>
                <w:color w:val="auto"/>
                <w:spacing w:val="-6"/>
                <w:kern w:val="21"/>
                <w:szCs w:val="21"/>
                <w:highlight w:val="none"/>
              </w:rPr>
            </w:pPr>
            <w:r>
              <w:rPr>
                <w:rFonts w:hint="default" w:ascii="Times New Roman" w:eastAsia="黑体"/>
                <w:snapToGrid w:val="0"/>
                <w:color w:val="auto"/>
                <w:spacing w:val="-6"/>
                <w:kern w:val="21"/>
                <w:szCs w:val="21"/>
                <w:highlight w:val="none"/>
              </w:rPr>
              <w:fldChar w:fldCharType="begin"/>
            </w:r>
            <w:r>
              <w:rPr>
                <w:rFonts w:hint="default" w:ascii="Times New Roman" w:eastAsia="黑体"/>
                <w:snapToGrid w:val="0"/>
                <w:color w:val="auto"/>
                <w:spacing w:val="-6"/>
                <w:kern w:val="21"/>
                <w:szCs w:val="21"/>
                <w:highlight w:val="none"/>
              </w:rPr>
              <w:instrText xml:space="preserve"> = 7 \* GB3 \* MERGEFORMAT </w:instrText>
            </w:r>
            <w:r>
              <w:rPr>
                <w:rFonts w:hint="default" w:ascii="Times New Roman" w:eastAsia="黑体"/>
                <w:snapToGrid w:val="0"/>
                <w:color w:val="auto"/>
                <w:spacing w:val="-6"/>
                <w:kern w:val="21"/>
                <w:szCs w:val="21"/>
                <w:highlight w:val="none"/>
              </w:rPr>
              <w:fldChar w:fldCharType="separate"/>
            </w:r>
            <w:r>
              <w:rPr>
                <w:rFonts w:hint="default" w:ascii="Times New Roman" w:hAnsi="黑体" w:eastAsia="黑体"/>
                <w:color w:val="auto"/>
                <w:kern w:val="2"/>
                <w:szCs w:val="21"/>
                <w:highlight w:val="none"/>
              </w:rPr>
              <w:t>⑦</w:t>
            </w:r>
            <w:r>
              <w:rPr>
                <w:rFonts w:hint="default" w:ascii="Times New Roman" w:eastAsia="黑体"/>
                <w:snapToGrid w:val="0"/>
                <w:color w:val="auto"/>
                <w:spacing w:val="-6"/>
                <w:kern w:val="21"/>
                <w:szCs w:val="21"/>
                <w:highlight w:val="none"/>
              </w:rPr>
              <w:fldChar w:fldCharType="end"/>
            </w:r>
          </w:p>
        </w:tc>
      </w:tr>
      <w:tr w14:paraId="5095F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60" w:type="dxa"/>
            <w:vMerge w:val="restart"/>
            <w:vAlign w:val="center"/>
          </w:tcPr>
          <w:p w14:paraId="3125803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r>
              <w:rPr>
                <w:rFonts w:hint="default" w:ascii="Times New Roman" w:hAnsi="宋体"/>
                <w:snapToGrid w:val="0"/>
                <w:color w:val="auto"/>
                <w:kern w:val="21"/>
                <w:szCs w:val="21"/>
                <w:highlight w:val="none"/>
              </w:rPr>
              <w:t>废气</w:t>
            </w:r>
          </w:p>
        </w:tc>
        <w:tc>
          <w:tcPr>
            <w:tcW w:w="1560" w:type="dxa"/>
            <w:vAlign w:val="top"/>
          </w:tcPr>
          <w:p w14:paraId="5EE8A04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颗粒物</w:t>
            </w:r>
          </w:p>
        </w:tc>
        <w:tc>
          <w:tcPr>
            <w:tcW w:w="1701" w:type="dxa"/>
            <w:vAlign w:val="center"/>
          </w:tcPr>
          <w:p w14:paraId="0038585A">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0.249</w:t>
            </w:r>
          </w:p>
        </w:tc>
        <w:tc>
          <w:tcPr>
            <w:tcW w:w="1134" w:type="dxa"/>
            <w:vAlign w:val="center"/>
          </w:tcPr>
          <w:p w14:paraId="5574EDEA">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lang w:val="en-US"/>
              </w:rPr>
            </w:pPr>
            <w:r>
              <w:rPr>
                <w:rFonts w:hint="eastAsia" w:ascii="Times New Roman"/>
                <w:snapToGrid w:val="0"/>
                <w:color w:val="auto"/>
                <w:kern w:val="21"/>
                <w:szCs w:val="21"/>
                <w:highlight w:val="none"/>
                <w:lang w:val="en-US" w:eastAsia="zh-CN"/>
              </w:rPr>
              <w:t>0.815</w:t>
            </w:r>
          </w:p>
        </w:tc>
        <w:tc>
          <w:tcPr>
            <w:tcW w:w="1842" w:type="dxa"/>
            <w:vAlign w:val="center"/>
          </w:tcPr>
          <w:p w14:paraId="450A10D5">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60C9B55C">
            <w:pPr>
              <w:keepNext w:val="0"/>
              <w:keepLines w:val="0"/>
              <w:suppressLineNumbers w:val="0"/>
              <w:spacing w:before="0" w:beforeAutospacing="0" w:after="0" w:afterAutospacing="0" w:line="240" w:lineRule="auto"/>
              <w:ind w:left="0" w:right="0" w:firstLine="0" w:firstLineChars="0"/>
              <w:jc w:val="center"/>
              <w:rPr>
                <w:rFonts w:hint="default" w:ascii="Times New Roman" w:eastAsia="宋体"/>
                <w:snapToGrid w:val="0"/>
                <w:color w:val="auto"/>
                <w:kern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1.818</w:t>
            </w:r>
          </w:p>
        </w:tc>
        <w:tc>
          <w:tcPr>
            <w:tcW w:w="1842" w:type="dxa"/>
            <w:vAlign w:val="center"/>
          </w:tcPr>
          <w:p w14:paraId="000A5AF2">
            <w:pPr>
              <w:pStyle w:val="84"/>
              <w:keepNext w:val="0"/>
              <w:keepLines w:val="0"/>
              <w:suppressLineNumbers w:val="0"/>
              <w:adjustRightInd/>
              <w:snapToGrid/>
              <w:spacing w:before="0" w:beforeLines="0" w:beforeAutospacing="0" w:after="0" w:afterLines="0" w:afterAutospacing="0" w:line="240" w:lineRule="auto"/>
              <w:ind w:left="0" w:leftChars="0" w:right="0" w:rightChars="0"/>
              <w:contextualSpacing/>
              <w:rPr>
                <w:rFonts w:hint="default" w:ascii="Times New Roman"/>
                <w:snapToGrid w:val="0"/>
                <w:color w:val="auto"/>
                <w:kern w:val="21"/>
                <w:szCs w:val="21"/>
                <w:highlight w:val="yellow"/>
              </w:rPr>
            </w:pPr>
            <w:r>
              <w:rPr>
                <w:rFonts w:hint="eastAsia" w:ascii="Times New Roman"/>
                <w:snapToGrid w:val="0"/>
                <w:color w:val="auto"/>
                <w:kern w:val="21"/>
                <w:szCs w:val="21"/>
                <w:highlight w:val="none"/>
                <w:lang w:val="en-US" w:eastAsia="zh-CN"/>
              </w:rPr>
              <w:t>0.249</w:t>
            </w:r>
          </w:p>
        </w:tc>
        <w:tc>
          <w:tcPr>
            <w:tcW w:w="1843" w:type="dxa"/>
            <w:vAlign w:val="center"/>
          </w:tcPr>
          <w:p w14:paraId="444D9A91">
            <w:pPr>
              <w:keepNext w:val="0"/>
              <w:keepLines w:val="0"/>
              <w:suppressLineNumbers w:val="0"/>
              <w:spacing w:before="0" w:beforeAutospacing="0" w:after="0" w:afterAutospacing="0" w:line="240" w:lineRule="auto"/>
              <w:ind w:left="0" w:right="0" w:firstLine="0" w:firstLineChars="0"/>
              <w:jc w:val="center"/>
              <w:rPr>
                <w:rFonts w:hint="default" w:ascii="Times New Roman" w:eastAsia="宋体"/>
                <w:snapToGrid w:val="0"/>
                <w:color w:val="auto"/>
                <w:kern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1.818</w:t>
            </w:r>
          </w:p>
        </w:tc>
        <w:tc>
          <w:tcPr>
            <w:tcW w:w="1276" w:type="dxa"/>
            <w:vAlign w:val="center"/>
          </w:tcPr>
          <w:p w14:paraId="561A1EFC">
            <w:pPr>
              <w:pStyle w:val="159"/>
              <w:keepNext w:val="0"/>
              <w:keepLines w:val="0"/>
              <w:suppressLineNumbers w:val="0"/>
              <w:shd w:val="clear" w:color="auto" w:fill="auto"/>
              <w:kinsoku w:val="0"/>
              <w:overflowPunct w:val="0"/>
              <w:autoSpaceDE w:val="0"/>
              <w:autoSpaceDN w:val="0"/>
              <w:spacing w:before="0" w:beforeAutospacing="0" w:after="0" w:afterAutospacing="0"/>
              <w:ind w:left="0" w:right="0"/>
              <w:rPr>
                <w:rFonts w:hint="default" w:ascii="Times New Roman" w:eastAsia="宋体"/>
                <w:snapToGrid w:val="0"/>
                <w:color w:val="auto"/>
                <w:kern w:val="21"/>
                <w:szCs w:val="21"/>
                <w:highlight w:val="yellow"/>
                <w:lang w:val="en-US" w:eastAsia="zh-CN"/>
              </w:rPr>
            </w:pPr>
            <w:r>
              <w:rPr>
                <w:rFonts w:hint="eastAsia"/>
                <w:snapToGrid w:val="0"/>
                <w:color w:val="auto"/>
                <w:kern w:val="21"/>
                <w:szCs w:val="21"/>
                <w:highlight w:val="none"/>
                <w:lang w:val="en-US" w:eastAsia="zh-CN"/>
              </w:rPr>
              <w:t>1.569</w:t>
            </w:r>
          </w:p>
        </w:tc>
      </w:tr>
      <w:tr w14:paraId="08272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60" w:type="dxa"/>
            <w:vMerge w:val="continue"/>
            <w:vAlign w:val="center"/>
          </w:tcPr>
          <w:p w14:paraId="7141A39E">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top"/>
          </w:tcPr>
          <w:p w14:paraId="608EBFE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rPr>
              <w:t>SO</w:t>
            </w:r>
            <w:r>
              <w:rPr>
                <w:rFonts w:hint="default" w:ascii="Times New Roman" w:hAnsi="Times New Roman" w:eastAsia="宋体" w:cs="Times New Roman"/>
                <w:snapToGrid w:val="0"/>
                <w:color w:val="auto"/>
                <w:kern w:val="21"/>
                <w:szCs w:val="21"/>
                <w:highlight w:val="none"/>
                <w:vertAlign w:val="subscript"/>
              </w:rPr>
              <w:t>2</w:t>
            </w:r>
          </w:p>
        </w:tc>
        <w:tc>
          <w:tcPr>
            <w:tcW w:w="1701" w:type="dxa"/>
            <w:vAlign w:val="center"/>
          </w:tcPr>
          <w:p w14:paraId="6D2DA92C">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2.319</w:t>
            </w:r>
          </w:p>
        </w:tc>
        <w:tc>
          <w:tcPr>
            <w:tcW w:w="1134" w:type="dxa"/>
            <w:vAlign w:val="center"/>
          </w:tcPr>
          <w:p w14:paraId="13D982B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3.792</w:t>
            </w:r>
          </w:p>
        </w:tc>
        <w:tc>
          <w:tcPr>
            <w:tcW w:w="1842" w:type="dxa"/>
            <w:vAlign w:val="center"/>
          </w:tcPr>
          <w:p w14:paraId="3BB2D94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6198FF91">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0.3572</w:t>
            </w:r>
          </w:p>
        </w:tc>
        <w:tc>
          <w:tcPr>
            <w:tcW w:w="1842" w:type="dxa"/>
            <w:vAlign w:val="center"/>
          </w:tcPr>
          <w:p w14:paraId="67A1C114">
            <w:pPr>
              <w:pStyle w:val="84"/>
              <w:keepNext w:val="0"/>
              <w:keepLines w:val="0"/>
              <w:suppressLineNumbers w:val="0"/>
              <w:adjustRightInd/>
              <w:snapToGrid/>
              <w:spacing w:before="0" w:beforeLines="0" w:beforeAutospacing="0" w:after="0" w:afterLines="0" w:afterAutospacing="0" w:line="240" w:lineRule="auto"/>
              <w:ind w:left="0" w:leftChars="0" w:right="0" w:rightChars="0"/>
              <w:contextualSpacing/>
              <w:rPr>
                <w:rFonts w:hint="default" w:ascii="Times New Roman"/>
                <w:snapToGrid w:val="0"/>
                <w:color w:val="auto"/>
                <w:kern w:val="21"/>
                <w:szCs w:val="21"/>
                <w:highlight w:val="none"/>
              </w:rPr>
            </w:pPr>
            <w:r>
              <w:rPr>
                <w:rFonts w:hint="eastAsia" w:ascii="Times New Roman"/>
                <w:snapToGrid w:val="0"/>
                <w:color w:val="auto"/>
                <w:kern w:val="21"/>
                <w:szCs w:val="21"/>
                <w:highlight w:val="none"/>
                <w:lang w:val="en-US" w:eastAsia="zh-CN"/>
              </w:rPr>
              <w:t>2.319</w:t>
            </w:r>
          </w:p>
        </w:tc>
        <w:tc>
          <w:tcPr>
            <w:tcW w:w="1843" w:type="dxa"/>
            <w:vAlign w:val="center"/>
          </w:tcPr>
          <w:p w14:paraId="27D8F858">
            <w:pPr>
              <w:keepNext w:val="0"/>
              <w:keepLines w:val="0"/>
              <w:suppressLineNumbers w:val="0"/>
              <w:spacing w:before="0" w:beforeAutospacing="0" w:after="0" w:afterAutospacing="0" w:line="240" w:lineRule="auto"/>
              <w:ind w:left="0" w:right="0" w:firstLine="0" w:firstLineChars="0"/>
              <w:jc w:val="center"/>
              <w:rPr>
                <w:rFonts w:hint="eastAsia"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0.3572</w:t>
            </w:r>
          </w:p>
        </w:tc>
        <w:tc>
          <w:tcPr>
            <w:tcW w:w="1276" w:type="dxa"/>
            <w:vAlign w:val="center"/>
          </w:tcPr>
          <w:p w14:paraId="6D0BC49B">
            <w:pPr>
              <w:pStyle w:val="159"/>
              <w:keepNext w:val="0"/>
              <w:keepLines w:val="0"/>
              <w:suppressLineNumbers w:val="0"/>
              <w:shd w:val="clear" w:color="auto" w:fill="auto"/>
              <w:kinsoku w:val="0"/>
              <w:overflowPunct w:val="0"/>
              <w:autoSpaceDE w:val="0"/>
              <w:autoSpaceDN w:val="0"/>
              <w:spacing w:before="0" w:beforeAutospacing="0" w:after="0" w:afterAutospacing="0"/>
              <w:ind w:left="0" w:right="0"/>
              <w:rPr>
                <w:rFonts w:hint="default" w:ascii="Times New Roman"/>
                <w:snapToGrid w:val="0"/>
                <w:color w:val="auto"/>
                <w:kern w:val="21"/>
                <w:szCs w:val="21"/>
                <w:highlight w:val="none"/>
                <w:lang w:val="en-US" w:eastAsia="zh-CN"/>
              </w:rPr>
            </w:pPr>
            <w:r>
              <w:rPr>
                <w:rFonts w:hint="eastAsia"/>
                <w:snapToGrid w:val="0"/>
                <w:color w:val="auto"/>
                <w:kern w:val="21"/>
                <w:szCs w:val="21"/>
                <w:highlight w:val="none"/>
                <w:lang w:val="en-US" w:eastAsia="zh-CN"/>
              </w:rPr>
              <w:t>-1.9618</w:t>
            </w:r>
          </w:p>
        </w:tc>
      </w:tr>
      <w:tr w14:paraId="13565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60" w:type="dxa"/>
            <w:vMerge w:val="continue"/>
            <w:vAlign w:val="center"/>
          </w:tcPr>
          <w:p w14:paraId="13939445">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top"/>
          </w:tcPr>
          <w:p w14:paraId="4192E36A">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eastAsia"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rPr>
              <w:t>NO</w:t>
            </w:r>
            <w:r>
              <w:rPr>
                <w:rFonts w:hint="default" w:ascii="Times New Roman" w:hAnsi="Times New Roman" w:eastAsia="宋体" w:cs="Times New Roman"/>
                <w:snapToGrid w:val="0"/>
                <w:color w:val="auto"/>
                <w:kern w:val="21"/>
                <w:szCs w:val="21"/>
                <w:highlight w:val="none"/>
                <w:vertAlign w:val="subscript"/>
              </w:rPr>
              <w:t>x</w:t>
            </w:r>
          </w:p>
        </w:tc>
        <w:tc>
          <w:tcPr>
            <w:tcW w:w="1701" w:type="dxa"/>
            <w:vAlign w:val="center"/>
          </w:tcPr>
          <w:p w14:paraId="4CAECA35">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1.943</w:t>
            </w:r>
          </w:p>
        </w:tc>
        <w:tc>
          <w:tcPr>
            <w:tcW w:w="1134" w:type="dxa"/>
            <w:vAlign w:val="center"/>
          </w:tcPr>
          <w:p w14:paraId="7FD20743">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2.117</w:t>
            </w:r>
          </w:p>
        </w:tc>
        <w:tc>
          <w:tcPr>
            <w:tcW w:w="1842" w:type="dxa"/>
            <w:vAlign w:val="center"/>
          </w:tcPr>
          <w:p w14:paraId="257F2DD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076853FF">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2.728</w:t>
            </w:r>
          </w:p>
        </w:tc>
        <w:tc>
          <w:tcPr>
            <w:tcW w:w="1842" w:type="dxa"/>
            <w:vAlign w:val="center"/>
          </w:tcPr>
          <w:p w14:paraId="79DCAAD4">
            <w:pPr>
              <w:pStyle w:val="84"/>
              <w:keepNext w:val="0"/>
              <w:keepLines w:val="0"/>
              <w:suppressLineNumbers w:val="0"/>
              <w:adjustRightInd/>
              <w:snapToGrid/>
              <w:spacing w:before="0" w:beforeLines="0" w:beforeAutospacing="0" w:after="0" w:afterLines="0" w:afterAutospacing="0" w:line="240" w:lineRule="auto"/>
              <w:ind w:left="0" w:leftChars="0" w:right="0" w:rightChars="0"/>
              <w:contextualSpacing/>
              <w:rPr>
                <w:rFonts w:hint="default" w:ascii="Times New Roman"/>
                <w:snapToGrid w:val="0"/>
                <w:color w:val="auto"/>
                <w:kern w:val="21"/>
                <w:szCs w:val="21"/>
                <w:highlight w:val="none"/>
              </w:rPr>
            </w:pPr>
            <w:r>
              <w:rPr>
                <w:rFonts w:hint="eastAsia" w:ascii="Times New Roman"/>
                <w:snapToGrid w:val="0"/>
                <w:color w:val="auto"/>
                <w:kern w:val="21"/>
                <w:szCs w:val="21"/>
                <w:highlight w:val="none"/>
                <w:lang w:val="en-US" w:eastAsia="zh-CN"/>
              </w:rPr>
              <w:t>1.943</w:t>
            </w:r>
          </w:p>
        </w:tc>
        <w:tc>
          <w:tcPr>
            <w:tcW w:w="1843" w:type="dxa"/>
            <w:vAlign w:val="center"/>
          </w:tcPr>
          <w:p w14:paraId="51BAFEB9">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2.728</w:t>
            </w:r>
          </w:p>
        </w:tc>
        <w:tc>
          <w:tcPr>
            <w:tcW w:w="1276" w:type="dxa"/>
            <w:vAlign w:val="center"/>
          </w:tcPr>
          <w:p w14:paraId="27738FF7">
            <w:pPr>
              <w:pStyle w:val="159"/>
              <w:keepNext w:val="0"/>
              <w:keepLines w:val="0"/>
              <w:suppressLineNumbers w:val="0"/>
              <w:shd w:val="clear" w:color="auto" w:fill="auto"/>
              <w:kinsoku w:val="0"/>
              <w:overflowPunct w:val="0"/>
              <w:autoSpaceDE w:val="0"/>
              <w:autoSpaceDN w:val="0"/>
              <w:spacing w:before="0" w:beforeAutospacing="0" w:after="0" w:afterAutospacing="0"/>
              <w:ind w:left="0" w:right="0"/>
              <w:rPr>
                <w:rFonts w:hint="default" w:ascii="Times New Roman"/>
                <w:snapToGrid w:val="0"/>
                <w:color w:val="auto"/>
                <w:kern w:val="21"/>
                <w:szCs w:val="21"/>
                <w:highlight w:val="none"/>
                <w:lang w:val="en-US" w:eastAsia="zh-CN"/>
              </w:rPr>
            </w:pPr>
            <w:r>
              <w:rPr>
                <w:rFonts w:hint="eastAsia"/>
                <w:snapToGrid w:val="0"/>
                <w:color w:val="auto"/>
                <w:kern w:val="21"/>
                <w:szCs w:val="21"/>
                <w:highlight w:val="none"/>
                <w:lang w:val="en-US" w:eastAsia="zh-CN"/>
              </w:rPr>
              <w:t>+0.785</w:t>
            </w:r>
          </w:p>
        </w:tc>
      </w:tr>
      <w:tr w14:paraId="321C1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60" w:type="dxa"/>
            <w:vMerge w:val="continue"/>
            <w:vAlign w:val="center"/>
          </w:tcPr>
          <w:p w14:paraId="6FE86D3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top"/>
          </w:tcPr>
          <w:p w14:paraId="71FEBD2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eastAsia" w:ascii="Times New Roman" w:hAnsi="Times New Roman" w:eastAsia="宋体" w:cs="Times New Roman"/>
                <w:snapToGrid w:val="0"/>
                <w:color w:val="auto"/>
                <w:kern w:val="21"/>
                <w:szCs w:val="21"/>
                <w:highlight w:val="none"/>
                <w:lang w:eastAsia="zh-CN"/>
              </w:rPr>
            </w:pPr>
            <w:r>
              <w:rPr>
                <w:rFonts w:hint="eastAsia" w:ascii="Times New Roman" w:hAnsi="Times New Roman" w:eastAsia="宋体" w:cs="Times New Roman"/>
                <w:snapToGrid w:val="0"/>
                <w:color w:val="auto"/>
                <w:kern w:val="21"/>
                <w:szCs w:val="21"/>
                <w:highlight w:val="none"/>
                <w:lang w:eastAsia="zh-CN"/>
              </w:rPr>
              <w:t>沥青烟</w:t>
            </w:r>
          </w:p>
        </w:tc>
        <w:tc>
          <w:tcPr>
            <w:tcW w:w="1701" w:type="dxa"/>
            <w:vAlign w:val="center"/>
          </w:tcPr>
          <w:p w14:paraId="132D68D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0.00</w:t>
            </w:r>
            <w:r>
              <w:rPr>
                <w:rFonts w:hint="eastAsia" w:ascii="Times New Roman" w:hAnsi="Times New Roman" w:eastAsia="宋体" w:cs="Times New Roman"/>
                <w:b w:val="0"/>
                <w:bCs w:val="0"/>
                <w:color w:val="auto"/>
                <w:sz w:val="21"/>
                <w:szCs w:val="21"/>
                <w:highlight w:val="none"/>
                <w:lang w:val="en-US" w:eastAsia="zh-CN" w:bidi="ar"/>
              </w:rPr>
              <w:t>122</w:t>
            </w:r>
          </w:p>
        </w:tc>
        <w:tc>
          <w:tcPr>
            <w:tcW w:w="1134" w:type="dxa"/>
            <w:vAlign w:val="center"/>
          </w:tcPr>
          <w:p w14:paraId="7024F5FC">
            <w:pPr>
              <w:pStyle w:val="175"/>
              <w:keepNext w:val="0"/>
              <w:keepLines w:val="0"/>
              <w:suppressLineNumbers w:val="0"/>
              <w:adjustRightInd/>
              <w:snapToGrid/>
              <w:spacing w:before="0" w:beforeAutospacing="0" w:after="0" w:afterAutospacing="0" w:line="240" w:lineRule="auto"/>
              <w:ind w:left="0" w:leftChars="0" w:right="0" w:rightChars="0" w:firstLine="0" w:firstLineChars="0"/>
              <w:contextualSpacing/>
              <w:jc w:val="center"/>
              <w:rPr>
                <w:rFonts w:hint="default" w:ascii="Times New Roman"/>
                <w:snapToGrid w:val="0"/>
                <w:color w:val="auto"/>
                <w:kern w:val="21"/>
                <w:szCs w:val="21"/>
                <w:highlight w:val="none"/>
              </w:rPr>
            </w:pPr>
            <w:r>
              <w:rPr>
                <w:rFonts w:hint="eastAsia"/>
                <w:bCs/>
                <w:color w:val="auto"/>
                <w:sz w:val="21"/>
                <w:szCs w:val="21"/>
                <w:highlight w:val="none"/>
              </w:rPr>
              <w:t>/</w:t>
            </w:r>
          </w:p>
        </w:tc>
        <w:tc>
          <w:tcPr>
            <w:tcW w:w="1842" w:type="dxa"/>
            <w:vAlign w:val="center"/>
          </w:tcPr>
          <w:p w14:paraId="75240DD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6BBFEBC1">
            <w:pPr>
              <w:keepNext w:val="0"/>
              <w:keepLines w:val="0"/>
              <w:suppressLineNumbers w:val="0"/>
              <w:spacing w:before="0" w:beforeAutospacing="0" w:after="0" w:afterAutospacing="0" w:line="240" w:lineRule="auto"/>
              <w:ind w:left="0" w:right="0" w:firstLine="0" w:firstLineChars="0"/>
              <w:jc w:val="center"/>
              <w:rPr>
                <w:rFonts w:hint="eastAsia"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0.0016</w:t>
            </w:r>
          </w:p>
        </w:tc>
        <w:tc>
          <w:tcPr>
            <w:tcW w:w="1842" w:type="dxa"/>
            <w:vAlign w:val="center"/>
          </w:tcPr>
          <w:p w14:paraId="0C7E034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0.00</w:t>
            </w:r>
            <w:r>
              <w:rPr>
                <w:rFonts w:hint="eastAsia" w:ascii="Times New Roman" w:hAnsi="Times New Roman" w:eastAsia="宋体" w:cs="Times New Roman"/>
                <w:b w:val="0"/>
                <w:bCs w:val="0"/>
                <w:color w:val="auto"/>
                <w:sz w:val="21"/>
                <w:szCs w:val="21"/>
                <w:highlight w:val="none"/>
                <w:lang w:val="en-US" w:eastAsia="zh-CN" w:bidi="ar"/>
              </w:rPr>
              <w:t>122</w:t>
            </w:r>
          </w:p>
        </w:tc>
        <w:tc>
          <w:tcPr>
            <w:tcW w:w="1843" w:type="dxa"/>
            <w:vAlign w:val="center"/>
          </w:tcPr>
          <w:p w14:paraId="0E389F2C">
            <w:pPr>
              <w:keepNext w:val="0"/>
              <w:keepLines w:val="0"/>
              <w:suppressLineNumbers w:val="0"/>
              <w:spacing w:before="0" w:beforeAutospacing="0" w:after="0" w:afterAutospacing="0" w:line="240" w:lineRule="auto"/>
              <w:ind w:left="0" w:right="0" w:firstLine="0" w:firstLineChars="0"/>
              <w:jc w:val="center"/>
              <w:rPr>
                <w:rFonts w:hint="eastAsia"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0.0016</w:t>
            </w:r>
          </w:p>
        </w:tc>
        <w:tc>
          <w:tcPr>
            <w:tcW w:w="1276" w:type="dxa"/>
            <w:vAlign w:val="center"/>
          </w:tcPr>
          <w:p w14:paraId="31B5B453">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snapToGrid w:val="0"/>
                <w:color w:val="auto"/>
                <w:kern w:val="21"/>
                <w:szCs w:val="21"/>
                <w:highlight w:val="none"/>
                <w:lang w:val="en-US" w:eastAsia="zh-CN"/>
              </w:rPr>
              <w:t>+0.00038</w:t>
            </w:r>
          </w:p>
        </w:tc>
      </w:tr>
      <w:tr w14:paraId="7820F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60" w:type="dxa"/>
            <w:vMerge w:val="continue"/>
            <w:vAlign w:val="center"/>
          </w:tcPr>
          <w:p w14:paraId="76B73DC2">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top"/>
          </w:tcPr>
          <w:p w14:paraId="0CEC3BE2">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rPr>
              <w:t>苯并[a]芘</w:t>
            </w:r>
          </w:p>
        </w:tc>
        <w:tc>
          <w:tcPr>
            <w:tcW w:w="1701" w:type="dxa"/>
            <w:vAlign w:val="center"/>
          </w:tcPr>
          <w:p w14:paraId="7813891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0</w:t>
            </w:r>
            <w:r>
              <w:rPr>
                <w:rFonts w:hint="eastAsia" w:ascii="Times New Roman" w:hAnsi="Times New Roman" w:eastAsia="宋体" w:cs="Times New Roman"/>
                <w:b w:val="0"/>
                <w:bCs w:val="0"/>
                <w:color w:val="auto"/>
                <w:sz w:val="21"/>
                <w:szCs w:val="21"/>
                <w:highlight w:val="none"/>
                <w:lang w:val="en-US" w:eastAsia="zh-CN" w:bidi="ar"/>
              </w:rPr>
              <w:t>.</w:t>
            </w:r>
            <w:r>
              <w:rPr>
                <w:rFonts w:hint="default" w:ascii="Times New Roman" w:hAnsi="Times New Roman" w:eastAsia="宋体" w:cs="Times New Roman"/>
                <w:b w:val="0"/>
                <w:bCs w:val="0"/>
                <w:color w:val="auto"/>
                <w:sz w:val="21"/>
                <w:szCs w:val="21"/>
                <w:highlight w:val="none"/>
                <w:lang w:val="en-US" w:eastAsia="zh-CN" w:bidi="ar"/>
              </w:rPr>
              <w:t>000</w:t>
            </w:r>
            <w:r>
              <w:rPr>
                <w:rFonts w:hint="eastAsia" w:ascii="Times New Roman" w:hAnsi="Times New Roman" w:eastAsia="宋体" w:cs="Times New Roman"/>
                <w:b w:val="0"/>
                <w:bCs w:val="0"/>
                <w:color w:val="auto"/>
                <w:sz w:val="21"/>
                <w:szCs w:val="21"/>
                <w:highlight w:val="none"/>
                <w:lang w:val="en-US" w:eastAsia="zh-CN" w:bidi="ar"/>
              </w:rPr>
              <w:t>988</w:t>
            </w:r>
            <w:r>
              <w:rPr>
                <w:rFonts w:hint="eastAsia" w:ascii="Times New Roman" w:hAnsi="Times New Roman" w:eastAsia="宋体" w:cs="Times New Roman"/>
                <w:color w:val="auto"/>
                <w:sz w:val="21"/>
                <w:szCs w:val="21"/>
                <w:highlight w:val="none"/>
                <w:lang w:val="en-US" w:eastAsia="zh-CN"/>
              </w:rPr>
              <w:t>kg</w:t>
            </w:r>
            <w:r>
              <w:rPr>
                <w:rFonts w:hint="default" w:ascii="Times New Roman" w:hAnsi="Times New Roman" w:eastAsia="宋体" w:cs="Times New Roman"/>
                <w:color w:val="auto"/>
                <w:sz w:val="21"/>
                <w:szCs w:val="21"/>
                <w:highlight w:val="none"/>
                <w:lang w:val="en-US" w:eastAsia="zh-CN"/>
              </w:rPr>
              <w:t>/a</w:t>
            </w:r>
          </w:p>
        </w:tc>
        <w:tc>
          <w:tcPr>
            <w:tcW w:w="1134" w:type="dxa"/>
            <w:vAlign w:val="center"/>
          </w:tcPr>
          <w:p w14:paraId="6D83E15C">
            <w:pPr>
              <w:pStyle w:val="175"/>
              <w:keepNext w:val="0"/>
              <w:keepLines w:val="0"/>
              <w:suppressLineNumbers w:val="0"/>
              <w:adjustRightInd/>
              <w:snapToGrid/>
              <w:spacing w:before="0" w:beforeAutospacing="0" w:after="0" w:afterAutospacing="0" w:line="240" w:lineRule="auto"/>
              <w:ind w:left="0" w:leftChars="0" w:right="0" w:rightChars="0" w:firstLine="0" w:firstLineChars="0"/>
              <w:contextualSpacing/>
              <w:jc w:val="center"/>
              <w:rPr>
                <w:rFonts w:hint="default" w:ascii="Times New Roman"/>
                <w:snapToGrid w:val="0"/>
                <w:color w:val="auto"/>
                <w:kern w:val="21"/>
                <w:szCs w:val="21"/>
                <w:highlight w:val="none"/>
              </w:rPr>
            </w:pPr>
            <w:r>
              <w:rPr>
                <w:rFonts w:hint="eastAsia"/>
                <w:bCs/>
                <w:color w:val="auto"/>
                <w:sz w:val="21"/>
                <w:szCs w:val="21"/>
                <w:highlight w:val="none"/>
              </w:rPr>
              <w:t>/</w:t>
            </w:r>
          </w:p>
        </w:tc>
        <w:tc>
          <w:tcPr>
            <w:tcW w:w="1842" w:type="dxa"/>
            <w:vAlign w:val="center"/>
          </w:tcPr>
          <w:p w14:paraId="36CCA887">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75E719E3">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0.0012kg</w:t>
            </w:r>
            <w:r>
              <w:rPr>
                <w:rFonts w:hint="default" w:ascii="Times New Roman" w:hAnsi="Times New Roman" w:eastAsia="宋体" w:cs="Times New Roman"/>
                <w:color w:val="auto"/>
                <w:sz w:val="21"/>
                <w:szCs w:val="21"/>
                <w:highlight w:val="none"/>
                <w:lang w:val="en-US" w:eastAsia="zh-CN"/>
              </w:rPr>
              <w:t>/a</w:t>
            </w:r>
          </w:p>
        </w:tc>
        <w:tc>
          <w:tcPr>
            <w:tcW w:w="1842" w:type="dxa"/>
            <w:vAlign w:val="center"/>
          </w:tcPr>
          <w:p w14:paraId="0103784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default" w:ascii="Times New Roman" w:hAnsi="Times New Roman" w:eastAsia="宋体" w:cs="Times New Roman"/>
                <w:b w:val="0"/>
                <w:bCs w:val="0"/>
                <w:color w:val="auto"/>
                <w:sz w:val="21"/>
                <w:szCs w:val="21"/>
                <w:highlight w:val="none"/>
                <w:lang w:val="en-US" w:eastAsia="zh-CN" w:bidi="ar"/>
              </w:rPr>
              <w:t>0</w:t>
            </w:r>
            <w:r>
              <w:rPr>
                <w:rFonts w:hint="eastAsia" w:ascii="Times New Roman" w:hAnsi="Times New Roman" w:eastAsia="宋体" w:cs="Times New Roman"/>
                <w:b w:val="0"/>
                <w:bCs w:val="0"/>
                <w:color w:val="auto"/>
                <w:sz w:val="21"/>
                <w:szCs w:val="21"/>
                <w:highlight w:val="none"/>
                <w:lang w:val="en-US" w:eastAsia="zh-CN" w:bidi="ar"/>
              </w:rPr>
              <w:t>.</w:t>
            </w:r>
            <w:r>
              <w:rPr>
                <w:rFonts w:hint="default" w:ascii="Times New Roman" w:hAnsi="Times New Roman" w:eastAsia="宋体" w:cs="Times New Roman"/>
                <w:b w:val="0"/>
                <w:bCs w:val="0"/>
                <w:color w:val="auto"/>
                <w:sz w:val="21"/>
                <w:szCs w:val="21"/>
                <w:highlight w:val="none"/>
                <w:lang w:val="en-US" w:eastAsia="zh-CN" w:bidi="ar"/>
              </w:rPr>
              <w:t>000</w:t>
            </w:r>
            <w:r>
              <w:rPr>
                <w:rFonts w:hint="eastAsia" w:ascii="Times New Roman" w:hAnsi="Times New Roman" w:eastAsia="宋体" w:cs="Times New Roman"/>
                <w:b w:val="0"/>
                <w:bCs w:val="0"/>
                <w:color w:val="auto"/>
                <w:sz w:val="21"/>
                <w:szCs w:val="21"/>
                <w:highlight w:val="none"/>
                <w:lang w:val="en-US" w:eastAsia="zh-CN" w:bidi="ar"/>
              </w:rPr>
              <w:t>988</w:t>
            </w:r>
            <w:r>
              <w:rPr>
                <w:rFonts w:hint="eastAsia" w:ascii="Times New Roman" w:hAnsi="Times New Roman" w:eastAsia="宋体" w:cs="Times New Roman"/>
                <w:color w:val="auto"/>
                <w:sz w:val="21"/>
                <w:szCs w:val="21"/>
                <w:highlight w:val="none"/>
                <w:lang w:val="en-US" w:eastAsia="zh-CN"/>
              </w:rPr>
              <w:t>kg</w:t>
            </w:r>
            <w:r>
              <w:rPr>
                <w:rFonts w:hint="default" w:ascii="Times New Roman" w:hAnsi="Times New Roman" w:eastAsia="宋体" w:cs="Times New Roman"/>
                <w:color w:val="auto"/>
                <w:sz w:val="21"/>
                <w:szCs w:val="21"/>
                <w:highlight w:val="none"/>
                <w:lang w:val="en-US" w:eastAsia="zh-CN"/>
              </w:rPr>
              <w:t>/a</w:t>
            </w:r>
          </w:p>
        </w:tc>
        <w:tc>
          <w:tcPr>
            <w:tcW w:w="1843" w:type="dxa"/>
            <w:vAlign w:val="center"/>
          </w:tcPr>
          <w:p w14:paraId="0DFD890C">
            <w:pPr>
              <w:keepNext w:val="0"/>
              <w:keepLines w:val="0"/>
              <w:suppressLineNumbers w:val="0"/>
              <w:spacing w:before="0" w:beforeAutospacing="0" w:after="0" w:afterAutospacing="0" w:line="240" w:lineRule="auto"/>
              <w:ind w:left="0" w:right="0" w:firstLine="0" w:firstLineChars="0"/>
              <w:jc w:val="center"/>
              <w:rPr>
                <w:rFonts w:hint="eastAsia" w:ascii="Times New Roman"/>
                <w:snapToGrid w:val="0"/>
                <w:color w:val="auto"/>
                <w:kern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0.0012kg</w:t>
            </w:r>
            <w:r>
              <w:rPr>
                <w:rFonts w:hint="default" w:ascii="Times New Roman" w:hAnsi="Times New Roman" w:eastAsia="宋体" w:cs="Times New Roman"/>
                <w:color w:val="auto"/>
                <w:sz w:val="21"/>
                <w:szCs w:val="21"/>
                <w:highlight w:val="none"/>
                <w:lang w:val="en-US" w:eastAsia="zh-CN"/>
              </w:rPr>
              <w:t>/a</w:t>
            </w:r>
          </w:p>
        </w:tc>
        <w:tc>
          <w:tcPr>
            <w:tcW w:w="1276" w:type="dxa"/>
            <w:vAlign w:val="center"/>
          </w:tcPr>
          <w:p w14:paraId="35D26FD9">
            <w:pPr>
              <w:keepNext w:val="0"/>
              <w:keepLines w:val="0"/>
              <w:suppressLineNumbers w:val="0"/>
              <w:spacing w:before="0" w:beforeAutospacing="0" w:after="0" w:afterAutospacing="0" w:line="240" w:lineRule="auto"/>
              <w:ind w:left="0" w:right="0" w:firstLine="0" w:firstLineChars="0"/>
              <w:jc w:val="center"/>
              <w:rPr>
                <w:rFonts w:hint="default" w:ascii="Times New Roman"/>
                <w:snapToGrid w:val="0"/>
                <w:color w:val="auto"/>
                <w:kern w:val="21"/>
                <w:szCs w:val="21"/>
                <w:highlight w:val="none"/>
                <w:lang w:val="en-US" w:eastAsia="zh-CN"/>
              </w:rPr>
            </w:pPr>
            <w:r>
              <w:rPr>
                <w:rFonts w:hint="eastAsia"/>
                <w:snapToGrid w:val="0"/>
                <w:color w:val="auto"/>
                <w:kern w:val="21"/>
                <w:szCs w:val="21"/>
                <w:highlight w:val="none"/>
                <w:lang w:val="en-US" w:eastAsia="zh-CN"/>
              </w:rPr>
              <w:t>+0.000212</w:t>
            </w:r>
          </w:p>
        </w:tc>
      </w:tr>
      <w:tr w14:paraId="2E32F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560" w:type="dxa"/>
            <w:vMerge w:val="restart"/>
            <w:vAlign w:val="center"/>
          </w:tcPr>
          <w:p w14:paraId="20DD6127">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r>
              <w:rPr>
                <w:rFonts w:hint="default" w:ascii="Times New Roman" w:hAnsi="宋体"/>
                <w:snapToGrid w:val="0"/>
                <w:color w:val="auto"/>
                <w:kern w:val="21"/>
                <w:szCs w:val="21"/>
                <w:highlight w:val="none"/>
              </w:rPr>
              <w:t>废水</w:t>
            </w:r>
          </w:p>
        </w:tc>
        <w:tc>
          <w:tcPr>
            <w:tcW w:w="1560" w:type="dxa"/>
            <w:vAlign w:val="center"/>
          </w:tcPr>
          <w:p w14:paraId="15F35DDC">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r>
              <w:rPr>
                <w:rFonts w:hint="eastAsia" w:ascii="Times New Roman"/>
                <w:snapToGrid w:val="0"/>
                <w:color w:val="auto"/>
                <w:kern w:val="21"/>
                <w:szCs w:val="21"/>
                <w:highlight w:val="none"/>
              </w:rPr>
              <w:t>COD</w:t>
            </w:r>
          </w:p>
        </w:tc>
        <w:tc>
          <w:tcPr>
            <w:tcW w:w="1701" w:type="dxa"/>
            <w:vAlign w:val="center"/>
          </w:tcPr>
          <w:p w14:paraId="4DEEDFA7">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0.07</w:t>
            </w:r>
          </w:p>
        </w:tc>
        <w:tc>
          <w:tcPr>
            <w:tcW w:w="1134" w:type="dxa"/>
            <w:vAlign w:val="center"/>
          </w:tcPr>
          <w:p w14:paraId="462736A9">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0.07</w:t>
            </w:r>
          </w:p>
        </w:tc>
        <w:tc>
          <w:tcPr>
            <w:tcW w:w="1842" w:type="dxa"/>
            <w:vAlign w:val="center"/>
          </w:tcPr>
          <w:p w14:paraId="740C48B4">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17A7437E">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default"/>
                <w:bCs/>
                <w:color w:val="auto"/>
                <w:sz w:val="21"/>
                <w:szCs w:val="21"/>
                <w:highlight w:val="none"/>
              </w:rPr>
            </w:pPr>
            <w:r>
              <w:rPr>
                <w:rFonts w:hint="eastAsia"/>
                <w:bCs/>
                <w:color w:val="auto"/>
                <w:sz w:val="21"/>
                <w:szCs w:val="21"/>
                <w:highlight w:val="none"/>
              </w:rPr>
              <w:t>/</w:t>
            </w:r>
          </w:p>
        </w:tc>
        <w:tc>
          <w:tcPr>
            <w:tcW w:w="1842" w:type="dxa"/>
            <w:vAlign w:val="center"/>
          </w:tcPr>
          <w:p w14:paraId="27BD7204">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3" w:type="dxa"/>
            <w:vAlign w:val="center"/>
          </w:tcPr>
          <w:p w14:paraId="2798CCF0">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0.07</w:t>
            </w:r>
          </w:p>
        </w:tc>
        <w:tc>
          <w:tcPr>
            <w:tcW w:w="1276" w:type="dxa"/>
            <w:vAlign w:val="center"/>
          </w:tcPr>
          <w:p w14:paraId="4126A1D2">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eastAsia" w:eastAsia="宋体"/>
                <w:bCs/>
                <w:color w:val="auto"/>
                <w:sz w:val="21"/>
                <w:szCs w:val="21"/>
                <w:highlight w:val="none"/>
                <w:lang w:eastAsia="zh-CN"/>
              </w:rPr>
            </w:pPr>
            <w:r>
              <w:rPr>
                <w:rFonts w:hint="eastAsia"/>
                <w:bCs/>
                <w:color w:val="auto"/>
                <w:sz w:val="21"/>
                <w:szCs w:val="21"/>
                <w:highlight w:val="none"/>
                <w:lang w:val="en-US" w:eastAsia="zh-CN"/>
              </w:rPr>
              <w:t>0</w:t>
            </w:r>
          </w:p>
        </w:tc>
      </w:tr>
      <w:tr w14:paraId="12BAA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560" w:type="dxa"/>
            <w:vMerge w:val="continue"/>
            <w:vAlign w:val="center"/>
          </w:tcPr>
          <w:p w14:paraId="64AC35C9">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center"/>
          </w:tcPr>
          <w:p w14:paraId="651CB8FE">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r>
              <w:rPr>
                <w:rFonts w:hint="eastAsia" w:ascii="Times New Roman"/>
                <w:snapToGrid w:val="0"/>
                <w:color w:val="auto"/>
                <w:kern w:val="21"/>
                <w:szCs w:val="21"/>
                <w:highlight w:val="none"/>
              </w:rPr>
              <w:t>氨氮</w:t>
            </w:r>
          </w:p>
        </w:tc>
        <w:tc>
          <w:tcPr>
            <w:tcW w:w="1701" w:type="dxa"/>
            <w:vAlign w:val="center"/>
          </w:tcPr>
          <w:p w14:paraId="32B7AB51">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134" w:type="dxa"/>
            <w:vAlign w:val="center"/>
          </w:tcPr>
          <w:p w14:paraId="486B5D1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248471A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75FF06AC">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default"/>
                <w:bCs/>
                <w:color w:val="auto"/>
                <w:sz w:val="21"/>
                <w:szCs w:val="21"/>
                <w:highlight w:val="none"/>
              </w:rPr>
            </w:pPr>
            <w:r>
              <w:rPr>
                <w:rFonts w:hint="eastAsia"/>
                <w:bCs/>
                <w:color w:val="auto"/>
                <w:sz w:val="21"/>
                <w:szCs w:val="21"/>
                <w:highlight w:val="none"/>
              </w:rPr>
              <w:t>/</w:t>
            </w:r>
          </w:p>
        </w:tc>
        <w:tc>
          <w:tcPr>
            <w:tcW w:w="1842" w:type="dxa"/>
            <w:vAlign w:val="center"/>
          </w:tcPr>
          <w:p w14:paraId="118FEA9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3" w:type="dxa"/>
            <w:vAlign w:val="center"/>
          </w:tcPr>
          <w:p w14:paraId="07872A98">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default"/>
                <w:bCs/>
                <w:color w:val="auto"/>
                <w:sz w:val="21"/>
                <w:szCs w:val="21"/>
                <w:highlight w:val="none"/>
              </w:rPr>
            </w:pPr>
            <w:r>
              <w:rPr>
                <w:rFonts w:hint="eastAsia"/>
                <w:bCs/>
                <w:color w:val="auto"/>
                <w:sz w:val="21"/>
                <w:szCs w:val="21"/>
                <w:highlight w:val="none"/>
              </w:rPr>
              <w:t>/</w:t>
            </w:r>
          </w:p>
        </w:tc>
        <w:tc>
          <w:tcPr>
            <w:tcW w:w="1276" w:type="dxa"/>
            <w:vAlign w:val="center"/>
          </w:tcPr>
          <w:p w14:paraId="61875BC8">
            <w:pPr>
              <w:pStyle w:val="175"/>
              <w:keepNext w:val="0"/>
              <w:keepLines w:val="0"/>
              <w:suppressLineNumbers w:val="0"/>
              <w:adjustRightInd/>
              <w:snapToGrid/>
              <w:spacing w:before="0" w:beforeAutospacing="0" w:after="0" w:afterAutospacing="0" w:line="240" w:lineRule="auto"/>
              <w:ind w:left="0" w:right="0" w:firstLine="0" w:firstLineChars="0"/>
              <w:contextualSpacing/>
              <w:jc w:val="center"/>
              <w:rPr>
                <w:rFonts w:hint="default"/>
                <w:bCs/>
                <w:color w:val="auto"/>
                <w:sz w:val="21"/>
                <w:szCs w:val="21"/>
                <w:highlight w:val="none"/>
              </w:rPr>
            </w:pPr>
            <w:r>
              <w:rPr>
                <w:rFonts w:hint="eastAsia"/>
                <w:bCs/>
                <w:color w:val="auto"/>
                <w:sz w:val="21"/>
                <w:szCs w:val="21"/>
                <w:highlight w:val="none"/>
              </w:rPr>
              <w:t>/</w:t>
            </w:r>
          </w:p>
        </w:tc>
      </w:tr>
      <w:tr w14:paraId="61729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560" w:type="dxa"/>
            <w:vMerge w:val="restart"/>
            <w:vAlign w:val="center"/>
          </w:tcPr>
          <w:p w14:paraId="0183CB1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r>
              <w:rPr>
                <w:rFonts w:hint="default" w:ascii="Times New Roman" w:hAnsi="宋体"/>
                <w:snapToGrid w:val="0"/>
                <w:color w:val="auto"/>
                <w:kern w:val="21"/>
                <w:szCs w:val="21"/>
                <w:highlight w:val="none"/>
              </w:rPr>
              <w:t>一般工业固体废物</w:t>
            </w:r>
          </w:p>
        </w:tc>
        <w:tc>
          <w:tcPr>
            <w:tcW w:w="1560" w:type="dxa"/>
            <w:vAlign w:val="top"/>
          </w:tcPr>
          <w:p w14:paraId="229B4D0C">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eastAsia="宋体" w:cs="Times New Roman"/>
                <w:snapToGrid w:val="0"/>
                <w:color w:val="auto"/>
                <w:kern w:val="21"/>
                <w:szCs w:val="21"/>
                <w:highlight w:val="none"/>
              </w:rPr>
            </w:pPr>
            <w:r>
              <w:rPr>
                <w:rFonts w:hint="default" w:ascii="Times New Roman" w:hAnsi="宋体" w:eastAsia="宋体" w:cs="Times New Roman"/>
                <w:snapToGrid w:val="0"/>
                <w:color w:val="auto"/>
                <w:kern w:val="21"/>
                <w:szCs w:val="21"/>
                <w:highlight w:val="none"/>
              </w:rPr>
              <w:t>回收粉尘</w:t>
            </w:r>
          </w:p>
        </w:tc>
        <w:tc>
          <w:tcPr>
            <w:tcW w:w="1701" w:type="dxa"/>
            <w:vAlign w:val="center"/>
          </w:tcPr>
          <w:p w14:paraId="3E5C55F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lang w:val="en-US"/>
              </w:rPr>
            </w:pPr>
            <w:r>
              <w:rPr>
                <w:rFonts w:hint="eastAsia" w:ascii="Times New Roman" w:hAnsi="Times New Roman" w:cs="Times New Roman"/>
                <w:b w:val="0"/>
                <w:bCs w:val="0"/>
                <w:color w:val="auto"/>
                <w:sz w:val="21"/>
                <w:szCs w:val="21"/>
                <w:highlight w:val="none"/>
                <w:lang w:val="en-US" w:eastAsia="zh-CN" w:bidi="ar"/>
              </w:rPr>
              <w:t>0.78</w:t>
            </w:r>
          </w:p>
        </w:tc>
        <w:tc>
          <w:tcPr>
            <w:tcW w:w="1134" w:type="dxa"/>
            <w:vAlign w:val="center"/>
          </w:tcPr>
          <w:p w14:paraId="543A2BF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6ADFD3D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72EB6D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2.18</w:t>
            </w:r>
          </w:p>
        </w:tc>
        <w:tc>
          <w:tcPr>
            <w:tcW w:w="1842" w:type="dxa"/>
            <w:vAlign w:val="center"/>
          </w:tcPr>
          <w:p w14:paraId="05ACD49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eastAsia" w:ascii="Times New Roman" w:hAnsi="Times New Roman" w:cs="Times New Roman"/>
                <w:b w:val="0"/>
                <w:bCs w:val="0"/>
                <w:color w:val="auto"/>
                <w:sz w:val="21"/>
                <w:szCs w:val="21"/>
                <w:highlight w:val="none"/>
                <w:lang w:val="en-US" w:eastAsia="zh-CN" w:bidi="ar"/>
              </w:rPr>
              <w:t>0.78</w:t>
            </w:r>
          </w:p>
        </w:tc>
        <w:tc>
          <w:tcPr>
            <w:tcW w:w="1843" w:type="dxa"/>
            <w:vAlign w:val="center"/>
          </w:tcPr>
          <w:p w14:paraId="51C20F3A">
            <w:pPr>
              <w:keepNext w:val="0"/>
              <w:keepLines w:val="0"/>
              <w:suppressLineNumbers w:val="0"/>
              <w:spacing w:before="0" w:beforeAutospacing="0" w:after="0" w:afterAutospacing="0" w:line="240" w:lineRule="auto"/>
              <w:ind w:left="0" w:leftChars="0" w:right="0" w:rightChars="0" w:firstLine="0" w:firstLineChars="0"/>
              <w:jc w:val="center"/>
              <w:rPr>
                <w:rFonts w:hint="default" w:hAnsi="宋体"/>
                <w:color w:val="auto"/>
                <w:szCs w:val="21"/>
                <w:highlight w:val="none"/>
              </w:rPr>
            </w:pPr>
            <w:r>
              <w:rPr>
                <w:rFonts w:hint="eastAsia" w:cs="Times New Roman"/>
                <w:b w:val="0"/>
                <w:bCs w:val="0"/>
                <w:color w:val="auto"/>
                <w:sz w:val="21"/>
                <w:szCs w:val="21"/>
                <w:highlight w:val="none"/>
                <w:lang w:val="en-US" w:eastAsia="zh-CN" w:bidi="ar"/>
              </w:rPr>
              <w:t>2.18</w:t>
            </w:r>
          </w:p>
        </w:tc>
        <w:tc>
          <w:tcPr>
            <w:tcW w:w="1276" w:type="dxa"/>
            <w:vAlign w:val="center"/>
          </w:tcPr>
          <w:p w14:paraId="613E704F">
            <w:pPr>
              <w:keepNext w:val="0"/>
              <w:keepLines w:val="0"/>
              <w:suppressLineNumbers w:val="0"/>
              <w:spacing w:before="0" w:beforeAutospacing="0" w:after="0" w:afterAutospacing="0" w:line="240" w:lineRule="auto"/>
              <w:ind w:left="0" w:right="0" w:firstLine="0" w:firstLineChars="0"/>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+1.4</w:t>
            </w:r>
          </w:p>
        </w:tc>
      </w:tr>
      <w:tr w14:paraId="5E1A6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560" w:type="dxa"/>
            <w:vMerge w:val="continue"/>
            <w:vAlign w:val="center"/>
          </w:tcPr>
          <w:p w14:paraId="32F46AF6">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top"/>
          </w:tcPr>
          <w:p w14:paraId="6D1D992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eastAsia" w:ascii="Times New Roman" w:hAnsi="宋体" w:eastAsia="宋体" w:cs="Times New Roman"/>
                <w:snapToGrid w:val="0"/>
                <w:color w:val="auto"/>
                <w:kern w:val="21"/>
                <w:szCs w:val="21"/>
                <w:highlight w:val="none"/>
              </w:rPr>
            </w:pPr>
            <w:r>
              <w:rPr>
                <w:rFonts w:hint="default" w:ascii="Times New Roman" w:hAnsi="宋体" w:eastAsia="宋体" w:cs="Times New Roman"/>
                <w:snapToGrid w:val="0"/>
                <w:color w:val="auto"/>
                <w:kern w:val="21"/>
                <w:szCs w:val="21"/>
                <w:highlight w:val="none"/>
              </w:rPr>
              <w:t>不合格石料</w:t>
            </w:r>
          </w:p>
        </w:tc>
        <w:tc>
          <w:tcPr>
            <w:tcW w:w="1701" w:type="dxa"/>
            <w:vAlign w:val="center"/>
          </w:tcPr>
          <w:p w14:paraId="1FE6B7C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eastAsia" w:ascii="Times New Roman" w:hAnsi="Times New Roman" w:eastAsia="宋体" w:cs="Times New Roman"/>
                <w:b w:val="0"/>
                <w:bCs w:val="0"/>
                <w:color w:val="auto"/>
                <w:sz w:val="21"/>
                <w:szCs w:val="21"/>
                <w:highlight w:val="none"/>
                <w:lang w:val="en-US" w:eastAsia="zh-CN" w:bidi="ar"/>
              </w:rPr>
              <w:t>30</w:t>
            </w:r>
          </w:p>
        </w:tc>
        <w:tc>
          <w:tcPr>
            <w:tcW w:w="1134" w:type="dxa"/>
            <w:vAlign w:val="center"/>
          </w:tcPr>
          <w:p w14:paraId="7C2D8F30">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7969C8F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3353FD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40</w:t>
            </w:r>
          </w:p>
        </w:tc>
        <w:tc>
          <w:tcPr>
            <w:tcW w:w="1842" w:type="dxa"/>
            <w:vAlign w:val="center"/>
          </w:tcPr>
          <w:p w14:paraId="4089BE5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snapToGrid w:val="0"/>
                <w:color w:val="auto"/>
                <w:kern w:val="21"/>
                <w:szCs w:val="21"/>
                <w:highlight w:val="none"/>
              </w:rPr>
            </w:pPr>
            <w:r>
              <w:rPr>
                <w:rFonts w:hint="eastAsia" w:ascii="Times New Roman" w:hAnsi="Times New Roman" w:eastAsia="宋体" w:cs="Times New Roman"/>
                <w:b w:val="0"/>
                <w:bCs w:val="0"/>
                <w:color w:val="auto"/>
                <w:sz w:val="21"/>
                <w:szCs w:val="21"/>
                <w:highlight w:val="none"/>
                <w:lang w:val="en-US" w:eastAsia="zh-CN" w:bidi="ar"/>
              </w:rPr>
              <w:t>30</w:t>
            </w:r>
          </w:p>
        </w:tc>
        <w:tc>
          <w:tcPr>
            <w:tcW w:w="1843" w:type="dxa"/>
            <w:vAlign w:val="center"/>
          </w:tcPr>
          <w:p w14:paraId="0917BB31">
            <w:pPr>
              <w:keepNext w:val="0"/>
              <w:keepLines w:val="0"/>
              <w:suppressLineNumbers w:val="0"/>
              <w:spacing w:before="0" w:beforeAutospacing="0" w:after="0" w:afterAutospacing="0" w:line="240" w:lineRule="auto"/>
              <w:ind w:left="0" w:leftChars="0" w:right="0" w:rightChars="0" w:firstLine="0" w:firstLineChars="0"/>
              <w:jc w:val="center"/>
              <w:rPr>
                <w:rFonts w:hint="eastAsia" w:hAnsi="宋体"/>
                <w:color w:val="auto"/>
                <w:szCs w:val="21"/>
                <w:highlight w:val="none"/>
                <w:lang w:val="en-US" w:eastAsia="zh-CN"/>
              </w:rPr>
            </w:pPr>
            <w:r>
              <w:rPr>
                <w:rFonts w:hint="eastAsia" w:cs="Times New Roman"/>
                <w:b w:val="0"/>
                <w:bCs w:val="0"/>
                <w:color w:val="auto"/>
                <w:sz w:val="21"/>
                <w:szCs w:val="21"/>
                <w:highlight w:val="none"/>
                <w:lang w:val="en-US" w:eastAsia="zh-CN" w:bidi="ar"/>
              </w:rPr>
              <w:t>40</w:t>
            </w:r>
          </w:p>
        </w:tc>
        <w:tc>
          <w:tcPr>
            <w:tcW w:w="1276" w:type="dxa"/>
            <w:vAlign w:val="center"/>
          </w:tcPr>
          <w:p w14:paraId="176ADC35">
            <w:pPr>
              <w:keepNext w:val="0"/>
              <w:keepLines w:val="0"/>
              <w:suppressLineNumbers w:val="0"/>
              <w:spacing w:before="0" w:beforeAutospacing="0" w:after="0" w:afterAutospacing="0" w:line="240" w:lineRule="auto"/>
              <w:ind w:left="0" w:right="0" w:firstLine="0" w:firstLineChars="0"/>
              <w:jc w:val="center"/>
              <w:rPr>
                <w:rFonts w:hint="default" w:hAnsi="宋体"/>
                <w:color w:val="auto"/>
                <w:szCs w:val="21"/>
                <w:highlight w:val="none"/>
                <w:lang w:val="en-US" w:eastAsia="zh-CN"/>
              </w:rPr>
            </w:pPr>
            <w:r>
              <w:rPr>
                <w:rFonts w:hint="eastAsia" w:hAnsi="宋体"/>
                <w:color w:val="auto"/>
                <w:szCs w:val="21"/>
                <w:highlight w:val="none"/>
                <w:lang w:val="en-US" w:eastAsia="zh-CN"/>
              </w:rPr>
              <w:t>+10</w:t>
            </w:r>
          </w:p>
        </w:tc>
      </w:tr>
      <w:tr w14:paraId="51F87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60" w:type="dxa"/>
            <w:vMerge w:val="restart"/>
            <w:vAlign w:val="center"/>
          </w:tcPr>
          <w:p w14:paraId="7756069D">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r>
              <w:rPr>
                <w:rFonts w:hint="default" w:ascii="Times New Roman" w:hAnsi="宋体"/>
                <w:snapToGrid w:val="0"/>
                <w:color w:val="auto"/>
                <w:kern w:val="21"/>
                <w:szCs w:val="21"/>
                <w:highlight w:val="none"/>
              </w:rPr>
              <w:t>危险废物</w:t>
            </w:r>
          </w:p>
        </w:tc>
        <w:tc>
          <w:tcPr>
            <w:tcW w:w="1560" w:type="dxa"/>
            <w:vAlign w:val="center"/>
          </w:tcPr>
          <w:p w14:paraId="017F6EBE">
            <w:pPr>
              <w:keepNext w:val="0"/>
              <w:keepLines w:val="0"/>
              <w:suppressLineNumbers w:val="0"/>
              <w:topLinePunct/>
              <w:adjustRightInd w:val="0"/>
              <w:snapToGrid w:val="0"/>
              <w:spacing w:before="0" w:beforeAutospacing="0" w:after="0" w:afterAutospacing="0"/>
              <w:ind w:left="0" w:leftChars="0" w:right="0" w:rightChars="0"/>
              <w:jc w:val="center"/>
              <w:rPr>
                <w:rFonts w:hint="eastAsia" w:hAnsi="宋体" w:eastAsia="宋体"/>
                <w:color w:val="auto"/>
                <w:szCs w:val="21"/>
                <w:highlight w:val="none"/>
                <w:lang w:eastAsia="zh-CN"/>
              </w:rPr>
            </w:pPr>
            <w:r>
              <w:rPr>
                <w:rFonts w:hint="eastAsia"/>
                <w:color w:val="auto"/>
                <w:kern w:val="0"/>
                <w:szCs w:val="21"/>
                <w:highlight w:val="none"/>
                <w:lang w:val="en-US" w:eastAsia="zh-CN"/>
              </w:rPr>
              <w:t>废焦油</w:t>
            </w:r>
          </w:p>
        </w:tc>
        <w:tc>
          <w:tcPr>
            <w:tcW w:w="1701" w:type="dxa"/>
            <w:vAlign w:val="center"/>
          </w:tcPr>
          <w:p w14:paraId="759C5C8D">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0.01</w:t>
            </w:r>
          </w:p>
        </w:tc>
        <w:tc>
          <w:tcPr>
            <w:tcW w:w="1134" w:type="dxa"/>
            <w:vAlign w:val="center"/>
          </w:tcPr>
          <w:p w14:paraId="4B25921F">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46368C9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7276D399">
            <w:pPr>
              <w:keepNext w:val="0"/>
              <w:keepLines w:val="0"/>
              <w:suppressLineNumbers w:val="0"/>
              <w:autoSpaceDE w:val="0"/>
              <w:autoSpaceDN w:val="0"/>
              <w:spacing w:before="0" w:beforeAutospacing="0" w:after="0" w:afterAutospacing="0"/>
              <w:ind w:left="0" w:right="0"/>
              <w:contextualSpacing/>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w:t>
            </w:r>
          </w:p>
        </w:tc>
        <w:tc>
          <w:tcPr>
            <w:tcW w:w="1842" w:type="dxa"/>
            <w:vAlign w:val="center"/>
          </w:tcPr>
          <w:p w14:paraId="1EA94C28">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0.01</w:t>
            </w:r>
          </w:p>
        </w:tc>
        <w:tc>
          <w:tcPr>
            <w:tcW w:w="1843" w:type="dxa"/>
            <w:vAlign w:val="center"/>
          </w:tcPr>
          <w:p w14:paraId="5DCCE82A">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color w:val="auto"/>
                <w:szCs w:val="21"/>
                <w:highlight w:val="none"/>
              </w:rPr>
            </w:pPr>
            <w:r>
              <w:rPr>
                <w:rFonts w:hint="eastAsia" w:hAnsi="宋体"/>
                <w:color w:val="auto"/>
                <w:szCs w:val="21"/>
                <w:highlight w:val="none"/>
                <w:lang w:val="en-US" w:eastAsia="zh-CN"/>
              </w:rPr>
              <w:t>/</w:t>
            </w:r>
          </w:p>
        </w:tc>
        <w:tc>
          <w:tcPr>
            <w:tcW w:w="1276" w:type="dxa"/>
            <w:vAlign w:val="center"/>
          </w:tcPr>
          <w:p w14:paraId="4B53B83D">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-0.01</w:t>
            </w:r>
          </w:p>
        </w:tc>
      </w:tr>
      <w:tr w14:paraId="1D892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60" w:type="dxa"/>
            <w:vMerge w:val="continue"/>
            <w:vAlign w:val="center"/>
          </w:tcPr>
          <w:p w14:paraId="1564B25B">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center"/>
          </w:tcPr>
          <w:p w14:paraId="09B042D2">
            <w:pPr>
              <w:keepNext w:val="0"/>
              <w:keepLines w:val="0"/>
              <w:suppressLineNumbers w:val="0"/>
              <w:topLinePunct/>
              <w:adjustRightInd w:val="0"/>
              <w:snapToGrid w:val="0"/>
              <w:spacing w:before="0" w:beforeAutospacing="0" w:after="0" w:afterAutospacing="0"/>
              <w:ind w:left="0" w:leftChars="0" w:right="0" w:rightChars="0"/>
              <w:jc w:val="center"/>
              <w:rPr>
                <w:rFonts w:hint="eastAsia" w:hAnsi="宋体" w:eastAsia="宋体"/>
                <w:color w:val="auto"/>
                <w:szCs w:val="21"/>
                <w:highlight w:val="none"/>
                <w:lang w:val="en-US" w:eastAsia="zh-CN"/>
              </w:rPr>
            </w:pPr>
            <w:r>
              <w:rPr>
                <w:rFonts w:hint="eastAsia"/>
                <w:color w:val="auto"/>
                <w:kern w:val="0"/>
                <w:szCs w:val="21"/>
                <w:highlight w:val="none"/>
                <w:lang w:val="en-US" w:eastAsia="zh-CN"/>
              </w:rPr>
              <w:t>废活性炭</w:t>
            </w:r>
          </w:p>
        </w:tc>
        <w:tc>
          <w:tcPr>
            <w:tcW w:w="1701" w:type="dxa"/>
            <w:vAlign w:val="center"/>
          </w:tcPr>
          <w:p w14:paraId="196ACA8C">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0.5</w:t>
            </w:r>
          </w:p>
        </w:tc>
        <w:tc>
          <w:tcPr>
            <w:tcW w:w="1134" w:type="dxa"/>
            <w:vAlign w:val="center"/>
          </w:tcPr>
          <w:p w14:paraId="03ED6C97">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6BDC8609">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7C0EA395">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color w:val="auto"/>
                <w:szCs w:val="21"/>
                <w:highlight w:val="none"/>
                <w:lang w:val="en-US" w:eastAsia="zh-CN"/>
              </w:rPr>
            </w:pPr>
            <w:r>
              <w:rPr>
                <w:rFonts w:hint="eastAsia" w:hAnsi="宋体"/>
                <w:color w:val="auto"/>
                <w:szCs w:val="21"/>
                <w:highlight w:val="none"/>
                <w:lang w:val="en-US" w:eastAsia="zh-CN"/>
              </w:rPr>
              <w:t>0.5</w:t>
            </w:r>
          </w:p>
        </w:tc>
        <w:tc>
          <w:tcPr>
            <w:tcW w:w="1842" w:type="dxa"/>
            <w:vAlign w:val="center"/>
          </w:tcPr>
          <w:p w14:paraId="5D9B9566">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0.5</w:t>
            </w:r>
          </w:p>
        </w:tc>
        <w:tc>
          <w:tcPr>
            <w:tcW w:w="1843" w:type="dxa"/>
            <w:vAlign w:val="center"/>
          </w:tcPr>
          <w:p w14:paraId="0E3CB381">
            <w:pPr>
              <w:keepNext w:val="0"/>
              <w:keepLines w:val="0"/>
              <w:suppressLineNumbers w:val="0"/>
              <w:autoSpaceDE w:val="0"/>
              <w:autoSpaceDN w:val="0"/>
              <w:spacing w:before="0" w:beforeAutospacing="0" w:after="0" w:afterAutospacing="0"/>
              <w:ind w:left="0" w:leftChars="0" w:right="0" w:rightChars="0"/>
              <w:contextualSpacing/>
              <w:jc w:val="center"/>
              <w:rPr>
                <w:rFonts w:hint="eastAsia" w:hAnsi="宋体"/>
                <w:color w:val="auto"/>
                <w:szCs w:val="21"/>
                <w:highlight w:val="none"/>
                <w:lang w:val="en-US" w:eastAsia="zh-CN"/>
              </w:rPr>
            </w:pPr>
            <w:r>
              <w:rPr>
                <w:rFonts w:hint="eastAsia" w:hAnsi="宋体"/>
                <w:color w:val="auto"/>
                <w:szCs w:val="21"/>
                <w:highlight w:val="none"/>
                <w:lang w:val="en-US" w:eastAsia="zh-CN"/>
              </w:rPr>
              <w:t>0.5</w:t>
            </w:r>
          </w:p>
        </w:tc>
        <w:tc>
          <w:tcPr>
            <w:tcW w:w="1276" w:type="dxa"/>
            <w:vAlign w:val="center"/>
          </w:tcPr>
          <w:p w14:paraId="00D36750">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color w:val="auto"/>
                <w:szCs w:val="21"/>
                <w:highlight w:val="none"/>
                <w:lang w:val="en-US" w:eastAsia="zh-CN"/>
              </w:rPr>
            </w:pPr>
            <w:r>
              <w:rPr>
                <w:rFonts w:hint="eastAsia" w:hAnsi="宋体"/>
                <w:color w:val="auto"/>
                <w:szCs w:val="21"/>
                <w:highlight w:val="none"/>
                <w:lang w:val="en-US" w:eastAsia="zh-CN"/>
              </w:rPr>
              <w:t>0</w:t>
            </w:r>
          </w:p>
        </w:tc>
      </w:tr>
      <w:tr w14:paraId="7EF8C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60" w:type="dxa"/>
            <w:vMerge w:val="continue"/>
            <w:vAlign w:val="center"/>
          </w:tcPr>
          <w:p w14:paraId="011EA6F4">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hAnsi="宋体"/>
                <w:snapToGrid w:val="0"/>
                <w:color w:val="auto"/>
                <w:kern w:val="21"/>
                <w:szCs w:val="21"/>
                <w:highlight w:val="none"/>
              </w:rPr>
            </w:pPr>
          </w:p>
        </w:tc>
        <w:tc>
          <w:tcPr>
            <w:tcW w:w="1560" w:type="dxa"/>
            <w:vAlign w:val="center"/>
          </w:tcPr>
          <w:p w14:paraId="34CBEA0C">
            <w:pPr>
              <w:keepNext w:val="0"/>
              <w:keepLines w:val="0"/>
              <w:suppressLineNumbers w:val="0"/>
              <w:topLinePunct/>
              <w:adjustRightInd w:val="0"/>
              <w:snapToGrid w:val="0"/>
              <w:spacing w:before="0" w:beforeAutospacing="0" w:after="0" w:afterAutospacing="0"/>
              <w:ind w:left="0" w:leftChars="0" w:right="0" w:rightChars="0"/>
              <w:jc w:val="center"/>
              <w:rPr>
                <w:rFonts w:hint="eastAsia" w:hAnsi="宋体"/>
                <w:color w:val="auto"/>
                <w:szCs w:val="21"/>
                <w:highlight w:val="none"/>
                <w:lang w:val="en-US" w:eastAsia="zh-CN"/>
              </w:rPr>
            </w:pPr>
            <w:r>
              <w:rPr>
                <w:rFonts w:hint="eastAsia"/>
                <w:color w:val="auto"/>
                <w:kern w:val="0"/>
                <w:szCs w:val="21"/>
                <w:highlight w:val="none"/>
                <w:lang w:val="en-US" w:eastAsia="zh-CN"/>
              </w:rPr>
              <w:t>废导热油</w:t>
            </w:r>
          </w:p>
        </w:tc>
        <w:tc>
          <w:tcPr>
            <w:tcW w:w="1701" w:type="dxa"/>
            <w:vAlign w:val="center"/>
          </w:tcPr>
          <w:p w14:paraId="5289C3B3">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0.1</w:t>
            </w:r>
          </w:p>
        </w:tc>
        <w:tc>
          <w:tcPr>
            <w:tcW w:w="1134" w:type="dxa"/>
            <w:vAlign w:val="center"/>
          </w:tcPr>
          <w:p w14:paraId="51D966B7">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842" w:type="dxa"/>
            <w:vAlign w:val="center"/>
          </w:tcPr>
          <w:p w14:paraId="32637F83">
            <w:pPr>
              <w:pStyle w:val="84"/>
              <w:keepNext w:val="0"/>
              <w:keepLines w:val="0"/>
              <w:suppressLineNumbers w:val="0"/>
              <w:adjustRightInd/>
              <w:snapToGrid/>
              <w:spacing w:before="0" w:beforeLines="0" w:beforeAutospacing="0" w:after="0" w:afterLines="0" w:afterAutospacing="0" w:line="240" w:lineRule="auto"/>
              <w:ind w:left="0" w:right="0"/>
              <w:contextualSpacing/>
              <w:rPr>
                <w:rFonts w:hint="default" w:ascii="Times New Roman"/>
                <w:snapToGrid w:val="0"/>
                <w:color w:val="auto"/>
                <w:kern w:val="21"/>
                <w:szCs w:val="21"/>
                <w:highlight w:val="none"/>
              </w:rPr>
            </w:pPr>
          </w:p>
        </w:tc>
        <w:tc>
          <w:tcPr>
            <w:tcW w:w="1560" w:type="dxa"/>
            <w:vAlign w:val="center"/>
          </w:tcPr>
          <w:p w14:paraId="452716DE">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color w:val="auto"/>
                <w:szCs w:val="21"/>
                <w:highlight w:val="none"/>
                <w:lang w:val="en-US" w:eastAsia="zh-CN"/>
              </w:rPr>
            </w:pPr>
            <w:r>
              <w:rPr>
                <w:rFonts w:hint="eastAsia" w:hAnsi="宋体"/>
                <w:color w:val="auto"/>
                <w:szCs w:val="21"/>
                <w:highlight w:val="none"/>
                <w:lang w:val="en-US" w:eastAsia="zh-CN"/>
              </w:rPr>
              <w:t>0.1</w:t>
            </w:r>
          </w:p>
        </w:tc>
        <w:tc>
          <w:tcPr>
            <w:tcW w:w="1842" w:type="dxa"/>
            <w:vAlign w:val="center"/>
          </w:tcPr>
          <w:p w14:paraId="6C8A3453">
            <w:pPr>
              <w:keepNext w:val="0"/>
              <w:keepLines w:val="0"/>
              <w:suppressLineNumbers w:val="0"/>
              <w:autoSpaceDE w:val="0"/>
              <w:autoSpaceDN w:val="0"/>
              <w:spacing w:before="0" w:beforeAutospacing="0" w:after="0" w:afterAutospacing="0"/>
              <w:ind w:left="0" w:leftChars="0" w:right="0" w:rightChars="0"/>
              <w:contextualSpacing/>
              <w:jc w:val="center"/>
              <w:rPr>
                <w:rFonts w:hint="default" w:ascii="Times New Roman"/>
                <w:snapToGrid w:val="0"/>
                <w:color w:val="auto"/>
                <w:kern w:val="21"/>
                <w:szCs w:val="21"/>
                <w:highlight w:val="none"/>
              </w:rPr>
            </w:pPr>
            <w:r>
              <w:rPr>
                <w:rFonts w:hint="eastAsia" w:hAnsi="宋体"/>
                <w:color w:val="auto"/>
                <w:szCs w:val="21"/>
                <w:highlight w:val="none"/>
                <w:lang w:val="en-US" w:eastAsia="zh-CN"/>
              </w:rPr>
              <w:t>0.1</w:t>
            </w:r>
          </w:p>
        </w:tc>
        <w:tc>
          <w:tcPr>
            <w:tcW w:w="1843" w:type="dxa"/>
            <w:vAlign w:val="center"/>
          </w:tcPr>
          <w:p w14:paraId="2B277E4C">
            <w:pPr>
              <w:keepNext w:val="0"/>
              <w:keepLines w:val="0"/>
              <w:suppressLineNumbers w:val="0"/>
              <w:autoSpaceDE w:val="0"/>
              <w:autoSpaceDN w:val="0"/>
              <w:spacing w:before="0" w:beforeAutospacing="0" w:after="0" w:afterAutospacing="0"/>
              <w:ind w:left="0" w:leftChars="0" w:right="0" w:rightChars="0"/>
              <w:contextualSpacing/>
              <w:jc w:val="center"/>
              <w:rPr>
                <w:rFonts w:hint="eastAsia" w:hAnsi="宋体"/>
                <w:color w:val="auto"/>
                <w:szCs w:val="21"/>
                <w:highlight w:val="none"/>
                <w:lang w:val="en-US" w:eastAsia="zh-CN"/>
              </w:rPr>
            </w:pPr>
            <w:r>
              <w:rPr>
                <w:rFonts w:hint="eastAsia" w:hAnsi="宋体"/>
                <w:color w:val="auto"/>
                <w:szCs w:val="21"/>
                <w:highlight w:val="none"/>
                <w:lang w:val="en-US" w:eastAsia="zh-CN"/>
              </w:rPr>
              <w:t>0.1</w:t>
            </w:r>
          </w:p>
        </w:tc>
        <w:tc>
          <w:tcPr>
            <w:tcW w:w="1276" w:type="dxa"/>
            <w:vAlign w:val="center"/>
          </w:tcPr>
          <w:p w14:paraId="2CF35F33">
            <w:pPr>
              <w:keepNext w:val="0"/>
              <w:keepLines w:val="0"/>
              <w:suppressLineNumbers w:val="0"/>
              <w:autoSpaceDE w:val="0"/>
              <w:autoSpaceDN w:val="0"/>
              <w:spacing w:before="0" w:beforeAutospacing="0" w:after="0" w:afterAutospacing="0"/>
              <w:ind w:left="0" w:leftChars="0" w:right="0" w:rightChars="0"/>
              <w:contextualSpacing/>
              <w:jc w:val="center"/>
              <w:rPr>
                <w:rFonts w:hint="default" w:hAnsi="宋体"/>
                <w:color w:val="auto"/>
                <w:szCs w:val="21"/>
                <w:highlight w:val="none"/>
                <w:lang w:val="en-US" w:eastAsia="zh-CN"/>
              </w:rPr>
            </w:pPr>
            <w:r>
              <w:rPr>
                <w:rFonts w:hint="eastAsia" w:hAnsi="宋体"/>
                <w:color w:val="auto"/>
                <w:szCs w:val="21"/>
                <w:highlight w:val="none"/>
                <w:lang w:val="en-US" w:eastAsia="zh-CN"/>
              </w:rPr>
              <w:t>0</w:t>
            </w:r>
          </w:p>
        </w:tc>
      </w:tr>
    </w:tbl>
    <w:p w14:paraId="3DC20778">
      <w:pPr>
        <w:pStyle w:val="84"/>
        <w:spacing w:before="192" w:beforeLines="80" w:after="24"/>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14:paraId="711EB772">
      <w:pPr>
        <w:rPr>
          <w:rFonts w:hint="default" w:ascii="Times New Roman" w:hAnsi="Times New Roman" w:cs="Times New Roman"/>
          <w:color w:val="auto"/>
        </w:rPr>
        <w:sectPr>
          <w:pgSz w:w="16838" w:h="11905" w:orient="landscape"/>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p w14:paraId="1240EE24">
      <w:pPr>
        <w:jc w:val="center"/>
        <w:rPr>
          <w:color w:val="auto"/>
        </w:rPr>
      </w:pPr>
    </w:p>
    <w:p w14:paraId="4A39FEBA">
      <w:pPr>
        <w:jc w:val="center"/>
        <w:rPr>
          <w:color w:val="auto"/>
        </w:rPr>
      </w:pPr>
    </w:p>
    <w:p w14:paraId="0D1D27EE">
      <w:pPr>
        <w:jc w:val="center"/>
        <w:rPr>
          <w:rFonts w:hint="eastAsia"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3094990</wp:posOffset>
                </wp:positionH>
                <wp:positionV relativeFrom="paragraph">
                  <wp:posOffset>2267585</wp:posOffset>
                </wp:positionV>
                <wp:extent cx="1139825" cy="339725"/>
                <wp:effectExtent l="0" t="0" r="3175" b="498475"/>
                <wp:wrapNone/>
                <wp:docPr id="25" name="圆角矩形标注 25"/>
                <wp:cNvGraphicFramePr/>
                <a:graphic xmlns:a="http://schemas.openxmlformats.org/drawingml/2006/main">
                  <a:graphicData uri="http://schemas.microsoft.com/office/word/2010/wordprocessingShape">
                    <wps:wsp>
                      <wps:cNvSpPr/>
                      <wps:spPr>
                        <a:xfrm>
                          <a:off x="3708400" y="4860290"/>
                          <a:ext cx="1139825" cy="339725"/>
                        </a:xfrm>
                        <a:prstGeom prst="wedgeRoundRectCallout">
                          <a:avLst>
                            <a:gd name="adj1" fmla="val -48662"/>
                            <a:gd name="adj2" fmla="val 192056"/>
                            <a:gd name="adj3" fmla="val 16667"/>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3EA90">
                            <w:pPr>
                              <w:jc w:val="center"/>
                              <w:rPr>
                                <w:rFonts w:hint="eastAsia" w:eastAsiaTheme="minorEastAsia"/>
                                <w:color w:val="FF0000"/>
                                <w:sz w:val="24"/>
                                <w:szCs w:val="24"/>
                                <w:lang w:eastAsia="zh-CN"/>
                              </w:rPr>
                            </w:pPr>
                            <w:r>
                              <w:rPr>
                                <w:rFonts w:hint="eastAsia"/>
                                <w:color w:val="FF0000"/>
                                <w:sz w:val="24"/>
                                <w:szCs w:val="24"/>
                                <w:lang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43.7pt;margin-top:178.55pt;height:26.75pt;width:89.75pt;z-index:251659264;v-text-anchor:middle;mso-width-relative:page;mso-height-relative:page;" fillcolor="#FFFFFF [3212]" filled="t" stroked="f" coordsize="21600,21600" o:gfxdata="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5O4Df90AAAALAQAA&#10;DwAAAAAAAAABACAAAAAiAAAAZHJzL2Rvd25yZXYueG1sUEsBAhQAFAAAAAgAh07iQC1LLbS/AgAA&#10;YQUAAA4AAAAAAAAAAQAgAAAALAEAAGRycy9lMm9Eb2MueG1sUEsFBgAAAAAGAAYAWQEAAF0GAAAA&#10;AA==&#10;" adj="289,52284,14400">
                <v:fill on="t" focussize="0,0"/>
                <v:stroke on="f" weight="2pt"/>
                <v:imagedata o:title=""/>
                <o:lock v:ext="edit" aspectratio="f"/>
                <v:textbox>
                  <w:txbxContent>
                    <w:p w14:paraId="5223EA90">
                      <w:pPr>
                        <w:jc w:val="center"/>
                        <w:rPr>
                          <w:rFonts w:hint="eastAsia" w:eastAsiaTheme="minorEastAsia"/>
                          <w:color w:val="FF0000"/>
                          <w:sz w:val="24"/>
                          <w:szCs w:val="24"/>
                          <w:lang w:eastAsia="zh-CN"/>
                        </w:rPr>
                      </w:pPr>
                      <w:r>
                        <w:rPr>
                          <w:rFonts w:hint="eastAsia"/>
                          <w:color w:val="FF0000"/>
                          <w:sz w:val="24"/>
                          <w:szCs w:val="24"/>
                          <w:lang w:eastAsia="zh-CN"/>
                        </w:rPr>
                        <w:t>项目位置</w:t>
                      </w:r>
                    </w:p>
                  </w:txbxContent>
                </v:textbox>
              </v:shape>
            </w:pict>
          </mc:Fallback>
        </mc:AlternateContent>
      </w:r>
      <w:r>
        <w:rPr>
          <w:rFonts w:hint="default" w:ascii="Times New Roman" w:hAnsi="Times New Roman" w:cs="Times New Roman"/>
          <w:color w:val="auto"/>
          <w:sz w:val="28"/>
        </w:rPr>
        <mc:AlternateContent>
          <mc:Choice Requires="wps">
            <w:drawing>
              <wp:anchor distT="0" distB="0" distL="114300" distR="114300" simplePos="0" relativeHeight="251660288" behindDoc="0" locked="0" layoutInCell="1" allowOverlap="1">
                <wp:simplePos x="0" y="0"/>
                <wp:positionH relativeFrom="column">
                  <wp:posOffset>5039360</wp:posOffset>
                </wp:positionH>
                <wp:positionV relativeFrom="paragraph">
                  <wp:posOffset>4657725</wp:posOffset>
                </wp:positionV>
                <wp:extent cx="1077595" cy="545465"/>
                <wp:effectExtent l="4445" t="5080" r="15240" b="13335"/>
                <wp:wrapNone/>
                <wp:docPr id="27" name="文本框 27"/>
                <wp:cNvGraphicFramePr/>
                <a:graphic xmlns:a="http://schemas.openxmlformats.org/drawingml/2006/main">
                  <a:graphicData uri="http://schemas.microsoft.com/office/word/2010/wordprocessingShape">
                    <wps:wsp>
                      <wps:cNvSpPr txBox="1"/>
                      <wps:spPr>
                        <a:xfrm>
                          <a:off x="5601335" y="3998595"/>
                          <a:ext cx="1077595" cy="5454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1315BA">
                            <w:pPr>
                              <w:jc w:val="center"/>
                              <w:rPr>
                                <w:rFonts w:hint="eastAsia"/>
                                <w:lang w:eastAsia="zh-CN"/>
                              </w:rPr>
                            </w:pPr>
                            <w:r>
                              <w:rPr>
                                <w:rFonts w:hint="eastAsia"/>
                                <w:lang w:eastAsia="zh-CN"/>
                              </w:rPr>
                              <w:t>图例</w:t>
                            </w:r>
                          </w:p>
                          <w:p w14:paraId="02DD8B50">
                            <w:pPr>
                              <w:jc w:val="center"/>
                              <w:rPr>
                                <w:rFonts w:hint="eastAsia" w:eastAsia="宋体"/>
                                <w:lang w:eastAsia="zh-CN"/>
                              </w:rPr>
                            </w:pPr>
                            <w:r>
                              <w:drawing>
                                <wp:inline distT="0" distB="0" distL="114300" distR="114300">
                                  <wp:extent cx="123825" cy="123825"/>
                                  <wp:effectExtent l="0" t="0" r="9525" b="9525"/>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30"/>
                                          <a:stretch>
                                            <a:fillRect/>
                                          </a:stretch>
                                        </pic:blipFill>
                                        <pic:spPr>
                                          <a:xfrm>
                                            <a:off x="0" y="0"/>
                                            <a:ext cx="123825" cy="123825"/>
                                          </a:xfrm>
                                          <a:prstGeom prst="rect">
                                            <a:avLst/>
                                          </a:prstGeom>
                                          <a:noFill/>
                                          <a:ln>
                                            <a:noFill/>
                                          </a:ln>
                                        </pic:spPr>
                                      </pic:pic>
                                    </a:graphicData>
                                  </a:graphic>
                                </wp:inline>
                              </w:drawing>
                            </w:r>
                            <w:r>
                              <w:rPr>
                                <w:rFonts w:hint="eastAsia"/>
                                <w:lang w:eastAsia="zh-CN"/>
                              </w:rPr>
                              <w:t>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6.8pt;margin-top:366.75pt;height:42.95pt;width:84.85pt;z-index:251660288;mso-width-relative:page;mso-height-relative:page;" fillcolor="#FFFFFF [3201]" filled="t" stroked="t" coordsize="21600,21600" o:gfxdata="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Nv+69gAAAALAQAADwAAAAAAAAABACAAAAAiAAAAZHJzL2Rvd25yZXYueG1sUEsB&#10;AhQAFAAAAAgAh07iQO0GnBJnAgAAxQQAAA4AAAAAAAAAAQAgAAAAJwEAAGRycy9lMm9Eb2MueG1s&#10;UEsFBgAAAAAGAAYAWQEAAAAGAAAAAA==&#10;">
                <v:fill on="t" focussize="0,0"/>
                <v:stroke weight="0.5pt" color="#000000 [3204]" joinstyle="round"/>
                <v:imagedata o:title=""/>
                <o:lock v:ext="edit" aspectratio="f"/>
                <v:textbox>
                  <w:txbxContent>
                    <w:p w14:paraId="4C1315BA">
                      <w:pPr>
                        <w:jc w:val="center"/>
                        <w:rPr>
                          <w:rFonts w:hint="eastAsia"/>
                          <w:lang w:eastAsia="zh-CN"/>
                        </w:rPr>
                      </w:pPr>
                      <w:r>
                        <w:rPr>
                          <w:rFonts w:hint="eastAsia"/>
                          <w:lang w:eastAsia="zh-CN"/>
                        </w:rPr>
                        <w:t>图例</w:t>
                      </w:r>
                    </w:p>
                    <w:p w14:paraId="02DD8B50">
                      <w:pPr>
                        <w:jc w:val="center"/>
                        <w:rPr>
                          <w:rFonts w:hint="eastAsia" w:eastAsia="宋体"/>
                          <w:lang w:eastAsia="zh-CN"/>
                        </w:rPr>
                      </w:pPr>
                      <w:r>
                        <w:drawing>
                          <wp:inline distT="0" distB="0" distL="114300" distR="114300">
                            <wp:extent cx="123825" cy="123825"/>
                            <wp:effectExtent l="0" t="0" r="9525" b="9525"/>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30"/>
                                    <a:stretch>
                                      <a:fillRect/>
                                    </a:stretch>
                                  </pic:blipFill>
                                  <pic:spPr>
                                    <a:xfrm>
                                      <a:off x="0" y="0"/>
                                      <a:ext cx="123825" cy="123825"/>
                                    </a:xfrm>
                                    <a:prstGeom prst="rect">
                                      <a:avLst/>
                                    </a:prstGeom>
                                    <a:noFill/>
                                    <a:ln>
                                      <a:noFill/>
                                    </a:ln>
                                  </pic:spPr>
                                </pic:pic>
                              </a:graphicData>
                            </a:graphic>
                          </wp:inline>
                        </w:drawing>
                      </w:r>
                      <w:r>
                        <w:rPr>
                          <w:rFonts w:hint="eastAsia"/>
                          <w:lang w:eastAsia="zh-CN"/>
                        </w:rPr>
                        <w:t>项目位置</w:t>
                      </w:r>
                    </w:p>
                  </w:txbxContent>
                </v:textbox>
              </v:shape>
            </w:pict>
          </mc:Fallback>
        </mc:AlternateContent>
      </w:r>
      <w:r>
        <w:rPr>
          <w:rFonts w:hint="default" w:ascii="Times New Roman" w:hAnsi="Times New Roman" w:cs="Times New Roman"/>
          <w:color w:val="auto"/>
          <w:sz w:val="28"/>
        </w:rPr>
        <mc:AlternateContent>
          <mc:Choice Requires="wps">
            <w:drawing>
              <wp:anchor distT="0" distB="0" distL="114300" distR="114300" simplePos="0" relativeHeight="251661312" behindDoc="0" locked="0" layoutInCell="1" allowOverlap="1">
                <wp:simplePos x="0" y="0"/>
                <wp:positionH relativeFrom="column">
                  <wp:posOffset>3110230</wp:posOffset>
                </wp:positionH>
                <wp:positionV relativeFrom="paragraph">
                  <wp:posOffset>3069590</wp:posOffset>
                </wp:positionV>
                <wp:extent cx="75565" cy="75565"/>
                <wp:effectExtent l="12700" t="12700" r="26035" b="26035"/>
                <wp:wrapNone/>
                <wp:docPr id="4" name="椭圆 4"/>
                <wp:cNvGraphicFramePr/>
                <a:graphic xmlns:a="http://schemas.openxmlformats.org/drawingml/2006/main">
                  <a:graphicData uri="http://schemas.microsoft.com/office/word/2010/wordprocessingShape">
                    <wps:wsp>
                      <wps:cNvSpPr/>
                      <wps:spPr>
                        <a:xfrm>
                          <a:off x="3923665" y="403987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5C306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4.9pt;margin-top:241.7pt;height:5.95pt;width:5.95pt;z-index:251661312;v-text-anchor:middle;mso-width-relative:page;mso-height-relative:page;" fillcolor="#4F81BD [3204]" filled="t" stroked="t" coordsize="21600,21600" o:gfxdata="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AUzb32gAAAAsBAAAP&#10;AAAAAAAAAAEAIAAAACIAAABkcnMvZG93bnJldi54bWxQSwECFAAUAAAACACHTuJAsoINWogCAAAV&#10;BQAADgAAAAAAAAABACAAAAApAQAAZHJzL2Uyb0RvYy54bWxQSwUGAAAAAAYABgBZAQAAIwYAAAAA&#10;">
                <v:fill on="t" focussize="0,0"/>
                <v:stroke weight="2pt" color="#385D8A [3204]" joinstyle="round"/>
                <v:imagedata o:title=""/>
                <o:lock v:ext="edit" aspectratio="f"/>
                <v:textbox>
                  <w:txbxContent>
                    <w:p w14:paraId="7F5C3068">
                      <w:pPr>
                        <w:jc w:val="center"/>
                      </w:pPr>
                    </w:p>
                  </w:txbxContent>
                </v:textbox>
              </v:shape>
            </w:pict>
          </mc:Fallback>
        </mc:AlternateContent>
      </w:r>
      <w:r>
        <w:rPr>
          <w:color w:val="auto"/>
        </w:rPr>
        <w:drawing>
          <wp:anchor distT="0" distB="0" distL="114300" distR="114300" simplePos="0" relativeHeight="251662336" behindDoc="0" locked="0" layoutInCell="1" allowOverlap="1">
            <wp:simplePos x="0" y="0"/>
            <wp:positionH relativeFrom="column">
              <wp:posOffset>0</wp:posOffset>
            </wp:positionH>
            <wp:positionV relativeFrom="paragraph">
              <wp:posOffset>46355</wp:posOffset>
            </wp:positionV>
            <wp:extent cx="1014730" cy="985520"/>
            <wp:effectExtent l="0" t="0" r="13970" b="5080"/>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31"/>
                    <a:stretch>
                      <a:fillRect/>
                    </a:stretch>
                  </pic:blipFill>
                  <pic:spPr>
                    <a:xfrm>
                      <a:off x="0" y="0"/>
                      <a:ext cx="1014730" cy="985520"/>
                    </a:xfrm>
                    <a:prstGeom prst="rect">
                      <a:avLst/>
                    </a:prstGeom>
                    <a:noFill/>
                    <a:ln>
                      <a:noFill/>
                    </a:ln>
                  </pic:spPr>
                </pic:pic>
              </a:graphicData>
            </a:graphic>
          </wp:anchor>
        </w:drawing>
      </w:r>
      <w:r>
        <w:rPr>
          <w:color w:val="auto"/>
        </w:rPr>
        <w:drawing>
          <wp:inline distT="0" distB="0" distL="114300" distR="114300">
            <wp:extent cx="6118860" cy="5281295"/>
            <wp:effectExtent l="0" t="0" r="15240" b="1460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32"/>
                    <a:stretch>
                      <a:fillRect/>
                    </a:stretch>
                  </pic:blipFill>
                  <pic:spPr>
                    <a:xfrm>
                      <a:off x="0" y="0"/>
                      <a:ext cx="6118860" cy="5281295"/>
                    </a:xfrm>
                    <a:prstGeom prst="rect">
                      <a:avLst/>
                    </a:prstGeom>
                    <a:noFill/>
                    <a:ln>
                      <a:noFill/>
                    </a:ln>
                  </pic:spPr>
                </pic:pic>
              </a:graphicData>
            </a:graphic>
          </wp:inline>
        </w:drawing>
      </w:r>
    </w:p>
    <w:p w14:paraId="2650146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val="0"/>
          <w:bCs w:val="0"/>
          <w:color w:val="auto"/>
          <w:sz w:val="28"/>
          <w:szCs w:val="28"/>
          <w:lang w:eastAsia="zh-CN"/>
        </w:rPr>
      </w:pPr>
      <w:bookmarkStart w:id="89" w:name="_Toc12700"/>
      <w:r>
        <w:rPr>
          <w:rFonts w:hint="default" w:ascii="Times New Roman" w:hAnsi="Times New Roman" w:eastAsia="黑体" w:cs="Times New Roman"/>
          <w:b w:val="0"/>
          <w:bCs w:val="0"/>
          <w:color w:val="auto"/>
          <w:sz w:val="28"/>
          <w:szCs w:val="28"/>
        </w:rPr>
        <w:t>附图1项目地理位置图</w:t>
      </w:r>
      <w:bookmarkEnd w:id="89"/>
    </w:p>
    <w:p w14:paraId="32DFABC0">
      <w:pPr>
        <w:pStyle w:val="44"/>
        <w:jc w:val="center"/>
        <w:rPr>
          <w:rFonts w:hint="default" w:ascii="Times New Roman" w:hAnsi="Times New Roman" w:cs="Times New Roman"/>
          <w:color w:val="auto"/>
        </w:rPr>
      </w:pPr>
    </w:p>
    <w:p w14:paraId="66F105E6">
      <w:pPr>
        <w:pStyle w:val="51"/>
        <w:rPr>
          <w:color w:val="auto"/>
        </w:rPr>
      </w:pPr>
    </w:p>
    <w:p w14:paraId="6A4B78DE">
      <w:pPr>
        <w:pStyle w:val="51"/>
        <w:rPr>
          <w:color w:val="auto"/>
        </w:rPr>
      </w:pPr>
    </w:p>
    <w:p w14:paraId="6B0DD3E2">
      <w:pPr>
        <w:pStyle w:val="51"/>
        <w:rPr>
          <w:rFonts w:hint="default"/>
          <w:color w:val="auto"/>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p w14:paraId="2C6E26ED">
      <w:pPr>
        <w:pStyle w:val="44"/>
        <w:jc w:val="center"/>
        <w:rPr>
          <w:rFonts w:hint="default" w:ascii="Times New Roman" w:hAnsi="Times New Roman" w:cs="Times New Roman"/>
          <w:color w:val="auto"/>
        </w:rPr>
      </w:pPr>
      <w:r>
        <w:rPr>
          <w:color w:val="auto"/>
        </w:rPr>
        <w:drawing>
          <wp:anchor distT="0" distB="0" distL="114300" distR="114300" simplePos="0" relativeHeight="251663360" behindDoc="0" locked="0" layoutInCell="1" allowOverlap="1">
            <wp:simplePos x="0" y="0"/>
            <wp:positionH relativeFrom="column">
              <wp:posOffset>19685</wp:posOffset>
            </wp:positionH>
            <wp:positionV relativeFrom="paragraph">
              <wp:posOffset>27305</wp:posOffset>
            </wp:positionV>
            <wp:extent cx="1014730" cy="985520"/>
            <wp:effectExtent l="0" t="0" r="5080" b="13970"/>
            <wp:wrapNone/>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31"/>
                    <a:stretch>
                      <a:fillRect/>
                    </a:stretch>
                  </pic:blipFill>
                  <pic:spPr>
                    <a:xfrm rot="16200000">
                      <a:off x="0" y="0"/>
                      <a:ext cx="1014730" cy="985520"/>
                    </a:xfrm>
                    <a:prstGeom prst="rect">
                      <a:avLst/>
                    </a:prstGeom>
                    <a:noFill/>
                    <a:ln>
                      <a:noFill/>
                    </a:ln>
                  </pic:spPr>
                </pic:pic>
              </a:graphicData>
            </a:graphic>
          </wp:anchor>
        </w:drawing>
      </w:r>
    </w:p>
    <w:p w14:paraId="3795BA6D">
      <w:pPr>
        <w:rPr>
          <w:rFonts w:hint="default" w:ascii="Times New Roman" w:hAnsi="Times New Roman" w:cs="Times New Roman"/>
          <w:color w:val="auto"/>
        </w:rPr>
      </w:pPr>
    </w:p>
    <w:p w14:paraId="5FF02E7C">
      <w:pPr>
        <w:pStyle w:val="44"/>
        <w:rPr>
          <w:rFonts w:hint="default"/>
          <w:color w:val="auto"/>
        </w:rPr>
      </w:pPr>
    </w:p>
    <w:p w14:paraId="5231CE75">
      <w:pPr>
        <w:rPr>
          <w:rFonts w:hint="default" w:ascii="Times New Roman" w:hAnsi="Times New Roman" w:cs="Times New Roman"/>
          <w:color w:val="auto"/>
        </w:rPr>
      </w:pPr>
      <w:r>
        <w:rPr>
          <w:color w:val="auto"/>
          <w:sz w:val="21"/>
        </w:rPr>
        <mc:AlternateContent>
          <mc:Choice Requires="wps">
            <w:drawing>
              <wp:anchor distT="0" distB="0" distL="114300" distR="114300" simplePos="0" relativeHeight="251691008" behindDoc="0" locked="0" layoutInCell="1" allowOverlap="1">
                <wp:simplePos x="0" y="0"/>
                <wp:positionH relativeFrom="column">
                  <wp:posOffset>2410460</wp:posOffset>
                </wp:positionH>
                <wp:positionV relativeFrom="paragraph">
                  <wp:posOffset>2374265</wp:posOffset>
                </wp:positionV>
                <wp:extent cx="1358900" cy="337185"/>
                <wp:effectExtent l="563245" t="12700" r="20955" b="31115"/>
                <wp:wrapNone/>
                <wp:docPr id="96" name="圆角矩形标注 96"/>
                <wp:cNvGraphicFramePr/>
                <a:graphic xmlns:a="http://schemas.openxmlformats.org/drawingml/2006/main">
                  <a:graphicData uri="http://schemas.microsoft.com/office/word/2010/wordprocessingShape">
                    <wps:wsp>
                      <wps:cNvSpPr/>
                      <wps:spPr>
                        <a:xfrm>
                          <a:off x="3130550" y="3914775"/>
                          <a:ext cx="1358900" cy="337185"/>
                        </a:xfrm>
                        <a:prstGeom prst="wedgeRoundRectCallout">
                          <a:avLst>
                            <a:gd name="adj1" fmla="val -90514"/>
                            <a:gd name="adj2" fmla="val 4114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FA1139">
                            <w:pPr>
                              <w:jc w:val="center"/>
                              <w:rPr>
                                <w:rFonts w:hint="eastAsia" w:eastAsia="宋体"/>
                                <w:lang w:eastAsia="zh-CN"/>
                              </w:rPr>
                            </w:pPr>
                            <w:r>
                              <w:rPr>
                                <w:rFonts w:hint="eastAsia"/>
                                <w:lang w:eastAsia="zh-CN"/>
                              </w:rPr>
                              <w:t>本次</w:t>
                            </w:r>
                            <w:r>
                              <w:rPr>
                                <w:rFonts w:hint="eastAsia"/>
                                <w:lang w:val="en-US" w:eastAsia="zh-CN"/>
                              </w:rPr>
                              <w:t>改扩建</w:t>
                            </w:r>
                            <w:r>
                              <w:rPr>
                                <w:rFonts w:hint="eastAsia"/>
                                <w:lang w:eastAsia="zh-CN"/>
                              </w:rPr>
                              <w:t>搅拌站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89.8pt;margin-top:186.95pt;height:26.55pt;width:107pt;z-index:251691008;v-text-anchor:middle;mso-width-relative:page;mso-height-relative:page;" fillcolor="#4F81BD [3204]" filled="t" stroked="t" coordsize="21600,21600" o:gfxdata="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3ZAV9oAAAALAQAADwAAAAAAAAABACAAAAAiAAAAZHJzL2Rvd25yZXYueG1s&#10;UEsBAhQAFAAAAAgAh07iQO7EQkXaAgAAqgUAAA4AAAAAAAAAAQAgAAAAKQEAAGRycy9lMm9Eb2Mu&#10;eG1sUEsFBgAAAAAGAAYAWQEAAHUGAAAAAA==&#10;" adj="-8751,19688,14400">
                <v:fill on="t" focussize="0,0"/>
                <v:stroke weight="2pt" color="#385D8A [3204]" joinstyle="round"/>
                <v:imagedata o:title=""/>
                <o:lock v:ext="edit" aspectratio="f"/>
                <v:textbox>
                  <w:txbxContent>
                    <w:p w14:paraId="05FA1139">
                      <w:pPr>
                        <w:jc w:val="center"/>
                        <w:rPr>
                          <w:rFonts w:hint="eastAsia" w:eastAsia="宋体"/>
                          <w:lang w:eastAsia="zh-CN"/>
                        </w:rPr>
                      </w:pPr>
                      <w:r>
                        <w:rPr>
                          <w:rFonts w:hint="eastAsia"/>
                          <w:lang w:eastAsia="zh-CN"/>
                        </w:rPr>
                        <w:t>本次</w:t>
                      </w:r>
                      <w:r>
                        <w:rPr>
                          <w:rFonts w:hint="eastAsia"/>
                          <w:lang w:val="en-US" w:eastAsia="zh-CN"/>
                        </w:rPr>
                        <w:t>改扩建</w:t>
                      </w:r>
                      <w:r>
                        <w:rPr>
                          <w:rFonts w:hint="eastAsia"/>
                          <w:lang w:eastAsia="zh-CN"/>
                        </w:rPr>
                        <w:t>搅拌站</w:t>
                      </w:r>
                    </w:p>
                  </w:txbxContent>
                </v:textbox>
              </v:shape>
            </w:pict>
          </mc:Fallback>
        </mc:AlternateContent>
      </w:r>
      <w:r>
        <w:rPr>
          <w:color w:val="auto"/>
          <w:sz w:val="21"/>
        </w:rPr>
        <mc:AlternateContent>
          <mc:Choice Requires="wps">
            <w:drawing>
              <wp:anchor distT="0" distB="0" distL="114300" distR="114300" simplePos="0" relativeHeight="251689984" behindDoc="0" locked="0" layoutInCell="1" allowOverlap="1">
                <wp:simplePos x="0" y="0"/>
                <wp:positionH relativeFrom="column">
                  <wp:posOffset>1189990</wp:posOffset>
                </wp:positionH>
                <wp:positionV relativeFrom="paragraph">
                  <wp:posOffset>1059180</wp:posOffset>
                </wp:positionV>
                <wp:extent cx="432435" cy="769620"/>
                <wp:effectExtent l="0" t="0" r="5715" b="11430"/>
                <wp:wrapNone/>
                <wp:docPr id="94" name="文本框 94"/>
                <wp:cNvGraphicFramePr/>
                <a:graphic xmlns:a="http://schemas.openxmlformats.org/drawingml/2006/main">
                  <a:graphicData uri="http://schemas.microsoft.com/office/word/2010/wordprocessingShape">
                    <wps:wsp>
                      <wps:cNvSpPr txBox="1"/>
                      <wps:spPr>
                        <a:xfrm>
                          <a:off x="2030730" y="2754630"/>
                          <a:ext cx="432435" cy="769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E61551">
                            <w:pPr>
                              <w:rPr>
                                <w:rFonts w:hint="eastAsia" w:eastAsia="宋体"/>
                                <w:sz w:val="18"/>
                                <w:szCs w:val="18"/>
                                <w:lang w:eastAsia="zh-CN"/>
                              </w:rPr>
                            </w:pPr>
                            <w:r>
                              <w:rPr>
                                <w:rFonts w:hint="eastAsia"/>
                                <w:sz w:val="18"/>
                                <w:szCs w:val="18"/>
                                <w:lang w:eastAsia="zh-CN"/>
                              </w:rPr>
                              <w:t>原有搅拌设备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7pt;margin-top:83.4pt;height:60.6pt;width:34.05pt;z-index:251689984;mso-width-relative:page;mso-height-relative:page;" fillcolor="#FFFFFF [3201]" filled="t" stroked="f" coordsize="21600,21600" o:gfxdata="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aEsfV&#10;AAAACwEAAA8AAAAAAAAAAQAgAAAAIgAAAGRycy9kb3ducmV2LnhtbFBLAQIUABQAAAAIAIdO4kCv&#10;3zzpXAIAAJwEAAAOAAAAAAAAAAEAIAAAACQBAABkcnMvZTJvRG9jLnhtbFBLBQYAAAAABgAGAFkB&#10;AADyBQAAAAA=&#10;">
                <v:fill on="t" focussize="0,0"/>
                <v:stroke on="f" weight="0.5pt"/>
                <v:imagedata o:title=""/>
                <o:lock v:ext="edit" aspectratio="f"/>
                <v:textbox>
                  <w:txbxContent>
                    <w:p w14:paraId="4CE61551">
                      <w:pPr>
                        <w:rPr>
                          <w:rFonts w:hint="eastAsia" w:eastAsia="宋体"/>
                          <w:sz w:val="18"/>
                          <w:szCs w:val="18"/>
                          <w:lang w:eastAsia="zh-CN"/>
                        </w:rPr>
                      </w:pPr>
                      <w:r>
                        <w:rPr>
                          <w:rFonts w:hint="eastAsia"/>
                          <w:sz w:val="18"/>
                          <w:szCs w:val="18"/>
                          <w:lang w:eastAsia="zh-CN"/>
                        </w:rPr>
                        <w:t>原有搅拌设备</w:t>
                      </w:r>
                    </w:p>
                  </w:txbxContent>
                </v:textbox>
              </v:shape>
            </w:pict>
          </mc:Fallback>
        </mc:AlternateContent>
      </w:r>
      <w:r>
        <w:rPr>
          <w:color w:val="auto"/>
        </w:rPr>
        <w:drawing>
          <wp:inline distT="0" distB="0" distL="114300" distR="114300">
            <wp:extent cx="6116320" cy="4345940"/>
            <wp:effectExtent l="0" t="0" r="17780" b="1651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33"/>
                    <a:stretch>
                      <a:fillRect/>
                    </a:stretch>
                  </pic:blipFill>
                  <pic:spPr>
                    <a:xfrm>
                      <a:off x="0" y="0"/>
                      <a:ext cx="6116320" cy="4345940"/>
                    </a:xfrm>
                    <a:prstGeom prst="rect">
                      <a:avLst/>
                    </a:prstGeom>
                    <a:noFill/>
                    <a:ln>
                      <a:noFill/>
                    </a:ln>
                  </pic:spPr>
                </pic:pic>
              </a:graphicData>
            </a:graphic>
          </wp:inline>
        </w:drawing>
      </w:r>
    </w:p>
    <w:p w14:paraId="6A77839E">
      <w:pPr>
        <w:rPr>
          <w:rFonts w:hint="default" w:ascii="Times New Roman" w:hAnsi="Times New Roman" w:cs="Times New Roman"/>
          <w:color w:val="auto"/>
        </w:rPr>
      </w:pPr>
    </w:p>
    <w:p w14:paraId="2395D61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color w:val="auto"/>
          <w:sz w:val="28"/>
          <w:szCs w:val="28"/>
          <w:lang w:eastAsia="zh-CN"/>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bookmarkStart w:id="90" w:name="_Toc19738"/>
      <w:r>
        <w:rPr>
          <w:rFonts w:hint="default" w:ascii="Times New Roman" w:hAnsi="Times New Roman" w:eastAsia="黑体" w:cs="Times New Roman"/>
          <w:b w:val="0"/>
          <w:bCs w:val="0"/>
          <w:color w:val="auto"/>
          <w:sz w:val="28"/>
          <w:szCs w:val="28"/>
        </w:rPr>
        <w:t>附图</w:t>
      </w:r>
      <w:r>
        <w:rPr>
          <w:rFonts w:hint="eastAsia" w:eastAsia="黑体" w:cs="Times New Roman"/>
          <w:b w:val="0"/>
          <w:bCs w:val="0"/>
          <w:color w:val="auto"/>
          <w:sz w:val="28"/>
          <w:szCs w:val="28"/>
          <w:lang w:val="en-US" w:eastAsia="zh-CN"/>
        </w:rPr>
        <w:t>2</w:t>
      </w:r>
      <w:r>
        <w:rPr>
          <w:rFonts w:hint="default" w:ascii="Times New Roman" w:hAnsi="Times New Roman" w:eastAsia="黑体" w:cs="Times New Roman"/>
          <w:b w:val="0"/>
          <w:bCs w:val="0"/>
          <w:color w:val="auto"/>
          <w:sz w:val="28"/>
          <w:szCs w:val="28"/>
        </w:rPr>
        <w:t>项目平面布置图</w:t>
      </w:r>
      <w:bookmarkEnd w:id="90"/>
    </w:p>
    <w:p w14:paraId="7F0796CC">
      <w:pPr>
        <w:jc w:val="center"/>
        <w:rPr>
          <w:rFonts w:hint="default" w:ascii="Times New Roman" w:hAnsi="Times New Roman" w:cs="Times New Roman"/>
          <w:color w:val="auto"/>
          <w:sz w:val="28"/>
          <w:szCs w:val="28"/>
        </w:rPr>
      </w:pPr>
    </w:p>
    <w:p w14:paraId="3B32D61F">
      <w:pPr>
        <w:jc w:val="both"/>
        <w:rPr>
          <w:rFonts w:hint="eastAsia" w:ascii="Times New Roman" w:hAnsi="Times New Roman" w:eastAsia="宋体" w:cs="Times New Roman"/>
          <w:color w:val="auto"/>
          <w:sz w:val="28"/>
          <w:szCs w:val="28"/>
          <w:lang w:val="en-US" w:eastAsia="zh-CN"/>
        </w:rPr>
      </w:pPr>
      <w:r>
        <w:rPr>
          <w:rFonts w:hint="default" w:ascii="Times New Roman" w:hAnsi="Times New Roman" w:cs="Times New Roman"/>
          <w:color w:val="auto"/>
        </w:rPr>
        <w:drawing>
          <wp:inline distT="0" distB="0" distL="114300" distR="114300">
            <wp:extent cx="5542915" cy="4828540"/>
            <wp:effectExtent l="0" t="0" r="635" b="10160"/>
            <wp:docPr id="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pic:cNvPicPr>
                      <a:picLocks noChangeAspect="1"/>
                    </pic:cNvPicPr>
                  </pic:nvPicPr>
                  <pic:blipFill>
                    <a:blip r:embed="rId34"/>
                    <a:stretch>
                      <a:fillRect/>
                    </a:stretch>
                  </pic:blipFill>
                  <pic:spPr>
                    <a:xfrm>
                      <a:off x="0" y="0"/>
                      <a:ext cx="5542915" cy="4828540"/>
                    </a:xfrm>
                    <a:prstGeom prst="rect">
                      <a:avLst/>
                    </a:prstGeom>
                    <a:noFill/>
                    <a:ln>
                      <a:noFill/>
                    </a:ln>
                  </pic:spPr>
                </pic:pic>
              </a:graphicData>
            </a:graphic>
          </wp:inline>
        </w:drawing>
      </w:r>
    </w:p>
    <w:p w14:paraId="1E8FEB5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val="0"/>
          <w:bCs w:val="0"/>
          <w:color w:val="auto"/>
          <w:sz w:val="28"/>
          <w:szCs w:val="28"/>
        </w:rPr>
      </w:pPr>
      <w:bookmarkStart w:id="91" w:name="_Toc22162"/>
      <w:bookmarkStart w:id="92" w:name="_Toc12589"/>
      <w:r>
        <w:rPr>
          <w:rFonts w:hint="default" w:ascii="Times New Roman" w:hAnsi="Times New Roman" w:eastAsia="黑体" w:cs="Times New Roman"/>
          <w:b w:val="0"/>
          <w:bCs w:val="0"/>
          <w:color w:val="auto"/>
          <w:sz w:val="28"/>
          <w:szCs w:val="28"/>
        </w:rPr>
        <w:t>附图</w:t>
      </w:r>
      <w:r>
        <w:rPr>
          <w:rFonts w:hint="eastAsia" w:eastAsia="黑体" w:cs="Times New Roman"/>
          <w:b w:val="0"/>
          <w:bCs w:val="0"/>
          <w:color w:val="auto"/>
          <w:sz w:val="28"/>
          <w:szCs w:val="28"/>
          <w:lang w:val="en-US" w:eastAsia="zh-CN"/>
        </w:rPr>
        <w:t>3</w:t>
      </w:r>
      <w:r>
        <w:rPr>
          <w:rFonts w:hint="default" w:ascii="Times New Roman" w:hAnsi="Times New Roman" w:eastAsia="黑体" w:cs="Times New Roman"/>
          <w:b w:val="0"/>
          <w:bCs w:val="0"/>
          <w:color w:val="auto"/>
          <w:sz w:val="28"/>
          <w:szCs w:val="28"/>
        </w:rPr>
        <w:t>环境</w:t>
      </w:r>
      <w:r>
        <w:rPr>
          <w:rFonts w:hint="eastAsia" w:eastAsia="黑体" w:cs="Times New Roman"/>
          <w:b w:val="0"/>
          <w:bCs w:val="0"/>
          <w:color w:val="auto"/>
          <w:sz w:val="28"/>
          <w:szCs w:val="28"/>
          <w:lang w:eastAsia="zh-CN"/>
        </w:rPr>
        <w:t>空气</w:t>
      </w:r>
      <w:r>
        <w:rPr>
          <w:rFonts w:hint="default" w:ascii="Times New Roman" w:hAnsi="Times New Roman" w:eastAsia="黑体" w:cs="Times New Roman"/>
          <w:b w:val="0"/>
          <w:bCs w:val="0"/>
          <w:color w:val="auto"/>
          <w:sz w:val="28"/>
          <w:szCs w:val="28"/>
        </w:rPr>
        <w:t>保护目标分布图</w:t>
      </w:r>
      <w:bookmarkEnd w:id="91"/>
    </w:p>
    <w:p w14:paraId="0AE58C7E">
      <w:pPr>
        <w:jc w:val="both"/>
        <w:rPr>
          <w:rFonts w:hint="default" w:ascii="Times New Roman" w:hAnsi="Times New Roman" w:eastAsia="宋体" w:cs="Times New Roman"/>
          <w:color w:val="auto"/>
          <w:sz w:val="28"/>
          <w:szCs w:val="28"/>
          <w:lang w:val="en-US" w:eastAsia="zh-CN"/>
        </w:rPr>
      </w:pPr>
    </w:p>
    <w:p w14:paraId="36E0577B">
      <w:pPr>
        <w:jc w:val="both"/>
        <w:rPr>
          <w:rFonts w:hint="default" w:ascii="Times New Roman" w:hAnsi="Times New Roman" w:eastAsia="宋体" w:cs="Times New Roman"/>
          <w:color w:val="auto"/>
          <w:sz w:val="28"/>
          <w:szCs w:val="28"/>
          <w:lang w:val="en-US" w:eastAsia="zh-CN"/>
        </w:rPr>
      </w:pPr>
    </w:p>
    <w:p w14:paraId="6A3B9A58">
      <w:pPr>
        <w:pStyle w:val="27"/>
        <w:rPr>
          <w:rFonts w:hint="default" w:ascii="Times New Roman" w:hAnsi="Times New Roman" w:eastAsia="宋体" w:cs="Times New Roman"/>
          <w:color w:val="auto"/>
          <w:sz w:val="28"/>
          <w:szCs w:val="28"/>
          <w:lang w:val="en-US" w:eastAsia="zh-CN"/>
        </w:rPr>
      </w:pPr>
    </w:p>
    <w:p w14:paraId="413AB3EF">
      <w:pPr>
        <w:rPr>
          <w:rFonts w:hint="default" w:ascii="Times New Roman" w:hAnsi="Times New Roman" w:eastAsia="宋体" w:cs="Times New Roman"/>
          <w:color w:val="auto"/>
          <w:sz w:val="28"/>
          <w:szCs w:val="28"/>
          <w:lang w:val="en-US" w:eastAsia="zh-CN"/>
        </w:rPr>
      </w:pPr>
    </w:p>
    <w:p w14:paraId="23EAB9B2">
      <w:pPr>
        <w:pStyle w:val="27"/>
        <w:rPr>
          <w:rFonts w:hint="default" w:ascii="Times New Roman" w:hAnsi="Times New Roman" w:eastAsia="宋体" w:cs="Times New Roman"/>
          <w:color w:val="auto"/>
          <w:sz w:val="28"/>
          <w:szCs w:val="28"/>
          <w:lang w:val="en-US" w:eastAsia="zh-CN"/>
        </w:rPr>
      </w:pPr>
    </w:p>
    <w:p w14:paraId="6580A757">
      <w:pPr>
        <w:rPr>
          <w:rFonts w:hint="default" w:ascii="Times New Roman" w:hAnsi="Times New Roman" w:eastAsia="宋体" w:cs="Times New Roman"/>
          <w:color w:val="auto"/>
          <w:sz w:val="28"/>
          <w:szCs w:val="28"/>
          <w:lang w:val="en-US" w:eastAsia="zh-CN"/>
        </w:rPr>
      </w:pPr>
      <w:r>
        <w:rPr>
          <w:color w:val="auto"/>
          <w:sz w:val="21"/>
        </w:rPr>
        <mc:AlternateContent>
          <mc:Choice Requires="wps">
            <w:drawing>
              <wp:anchor distT="0" distB="0" distL="114300" distR="114300" simplePos="0" relativeHeight="251667456" behindDoc="0" locked="0" layoutInCell="1" allowOverlap="1">
                <wp:simplePos x="0" y="0"/>
                <wp:positionH relativeFrom="column">
                  <wp:posOffset>4348480</wp:posOffset>
                </wp:positionH>
                <wp:positionV relativeFrom="paragraph">
                  <wp:posOffset>5113655</wp:posOffset>
                </wp:positionV>
                <wp:extent cx="415290" cy="132080"/>
                <wp:effectExtent l="4445" t="4445" r="18415" b="15875"/>
                <wp:wrapNone/>
                <wp:docPr id="30" name="文本框 30"/>
                <wp:cNvGraphicFramePr/>
                <a:graphic xmlns:a="http://schemas.openxmlformats.org/drawingml/2006/main">
                  <a:graphicData uri="http://schemas.microsoft.com/office/word/2010/wordprocessingShape">
                    <wps:wsp>
                      <wps:cNvSpPr txBox="1"/>
                      <wps:spPr>
                        <a:xfrm>
                          <a:off x="0" y="0"/>
                          <a:ext cx="415290" cy="132080"/>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4A793C2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4pt;margin-top:402.65pt;height:10.4pt;width:32.7pt;z-index:251667456;mso-width-relative:page;mso-height-relative:page;" filled="f" stroked="t" coordsize="21600,21600" o:gfxdata="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gBIj9cAAAALAQAA&#10;DwAAAAAAAAABACAAAAAiAAAAZHJzL2Rvd25yZXYueG1sUEsBAhQAFAAAAAgAh07iQM1N0QZTAgAA&#10;kAQAAA4AAAAAAAAAAQAgAAAAJgEAAGRycy9lMm9Eb2MueG1sUEsFBgAAAAAGAAYAWQEAAOsFAAAA&#10;AA==&#10;">
                <v:fill on="f" focussize="0,0"/>
                <v:stroke weight="0.5pt" color="#FF0000 [3204]" joinstyle="round"/>
                <v:imagedata o:title=""/>
                <o:lock v:ext="edit" aspectratio="f"/>
                <v:textbox>
                  <w:txbxContent>
                    <w:p w14:paraId="4A793C23"/>
                  </w:txbxContent>
                </v:textbox>
              </v:shape>
            </w:pict>
          </mc:Fallback>
        </mc:AlternateContent>
      </w:r>
      <w:r>
        <w:rPr>
          <w:color w:val="auto"/>
          <w:sz w:val="21"/>
        </w:rPr>
        <mc:AlternateContent>
          <mc:Choice Requires="wps">
            <w:drawing>
              <wp:anchor distT="0" distB="0" distL="114300" distR="114300" simplePos="0" relativeHeight="251666432" behindDoc="0" locked="0" layoutInCell="1" allowOverlap="1">
                <wp:simplePos x="0" y="0"/>
                <wp:positionH relativeFrom="column">
                  <wp:posOffset>4358640</wp:posOffset>
                </wp:positionH>
                <wp:positionV relativeFrom="paragraph">
                  <wp:posOffset>4925695</wp:posOffset>
                </wp:positionV>
                <wp:extent cx="415290" cy="132080"/>
                <wp:effectExtent l="9525" t="9525" r="13335" b="10795"/>
                <wp:wrapNone/>
                <wp:docPr id="31" name="文本框 31"/>
                <wp:cNvGraphicFramePr/>
                <a:graphic xmlns:a="http://schemas.openxmlformats.org/drawingml/2006/main">
                  <a:graphicData uri="http://schemas.microsoft.com/office/word/2010/wordprocessingShape">
                    <wps:wsp>
                      <wps:cNvSpPr txBox="1"/>
                      <wps:spPr>
                        <a:xfrm>
                          <a:off x="0" y="0"/>
                          <a:ext cx="415290" cy="132080"/>
                        </a:xfrm>
                        <a:prstGeom prst="rect">
                          <a:avLst/>
                        </a:prstGeom>
                        <a:noFill/>
                        <a:ln w="19050">
                          <a:gradFill>
                            <a:gsLst>
                              <a:gs pos="0">
                                <a:srgbClr val="007BD3"/>
                              </a:gs>
                              <a:gs pos="100000">
                                <a:srgbClr val="034373"/>
                              </a:gs>
                            </a:gsLst>
                          </a:gradFill>
                        </a:ln>
                      </wps:spPr>
                      <wps:style>
                        <a:lnRef idx="0">
                          <a:schemeClr val="accent1"/>
                        </a:lnRef>
                        <a:fillRef idx="0">
                          <a:schemeClr val="accent1"/>
                        </a:fillRef>
                        <a:effectRef idx="0">
                          <a:schemeClr val="accent1"/>
                        </a:effectRef>
                        <a:fontRef idx="minor">
                          <a:schemeClr val="dk1"/>
                        </a:fontRef>
                      </wps:style>
                      <wps:txbx>
                        <w:txbxContent>
                          <w:p w14:paraId="2D4F8DA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3.2pt;margin-top:387.85pt;height:10.4pt;width:32.7pt;z-index:251666432;mso-width-relative:page;mso-height-relative:page;" filled="f" stroked="t" coordsize="21600,21600" o:gfxdata="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oN+nHbAAAACwEAAA8AAAAAAAAAAQAgAAAAIgAAAGRy&#10;cy9kb3ducmV2LnhtbFBLAQIUABQAAAAIAIdO4kCrMOQjdAIAAOoEAAAOAAAAAAAAAAEAIAAAACoB&#10;AABkcnMvZTJvRG9jLnhtbFBLBQYAAAAABgAGAFkBAAAQBgAAAAA=&#10;">
                <v:fill on="f" focussize="0,0"/>
                <v:stroke weight="1.5pt" color="#000000" joinstyle="round"/>
                <v:imagedata o:title=""/>
                <o:lock v:ext="edit" aspectratio="f"/>
                <v:textbox>
                  <w:txbxContent>
                    <w:p w14:paraId="2D4F8DA9"/>
                  </w:txbxContent>
                </v:textbox>
              </v:shape>
            </w:pict>
          </mc:Fallback>
        </mc:AlternateContent>
      </w:r>
      <w:r>
        <w:rPr>
          <w:color w:val="auto"/>
          <w:sz w:val="21"/>
        </w:rPr>
        <mc:AlternateContent>
          <mc:Choice Requires="wps">
            <w:drawing>
              <wp:anchor distT="0" distB="0" distL="114300" distR="114300" simplePos="0" relativeHeight="251665408" behindDoc="0" locked="0" layoutInCell="1" allowOverlap="1">
                <wp:simplePos x="0" y="0"/>
                <wp:positionH relativeFrom="column">
                  <wp:posOffset>4254500</wp:posOffset>
                </wp:positionH>
                <wp:positionV relativeFrom="paragraph">
                  <wp:posOffset>4645025</wp:posOffset>
                </wp:positionV>
                <wp:extent cx="1870710" cy="1039495"/>
                <wp:effectExtent l="4445" t="4445" r="10795" b="22860"/>
                <wp:wrapNone/>
                <wp:docPr id="28" name="文本框 28"/>
                <wp:cNvGraphicFramePr/>
                <a:graphic xmlns:a="http://schemas.openxmlformats.org/drawingml/2006/main">
                  <a:graphicData uri="http://schemas.microsoft.com/office/word/2010/wordprocessingShape">
                    <wps:wsp>
                      <wps:cNvSpPr txBox="1"/>
                      <wps:spPr>
                        <a:xfrm>
                          <a:off x="0" y="0"/>
                          <a:ext cx="1870710" cy="1039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A6779B">
                            <w:pPr>
                              <w:jc w:val="center"/>
                              <w:rPr>
                                <w:rFonts w:hint="eastAsia" w:eastAsia="宋体"/>
                                <w:lang w:eastAsia="zh-CN"/>
                              </w:rPr>
                            </w:pPr>
                            <w:r>
                              <w:rPr>
                                <w:rFonts w:hint="eastAsia"/>
                                <w:lang w:eastAsia="zh-CN"/>
                              </w:rPr>
                              <w:t>图例</w:t>
                            </w:r>
                          </w:p>
                          <w:p w14:paraId="11DB3240">
                            <w:pPr>
                              <w:rPr>
                                <w:rFonts w:hint="default"/>
                                <w:lang w:val="en-US" w:eastAsia="zh-CN"/>
                              </w:rPr>
                            </w:pPr>
                            <w:r>
                              <w:rPr>
                                <w:rFonts w:hint="eastAsia"/>
                                <w:lang w:val="en-US" w:eastAsia="zh-CN"/>
                              </w:rPr>
                              <w:t>厂址位置</w:t>
                            </w:r>
                          </w:p>
                          <w:p w14:paraId="49ABD81D">
                            <w:pPr>
                              <w:rPr>
                                <w:rFonts w:hint="default"/>
                                <w:lang w:val="en-US" w:eastAsia="zh-CN"/>
                              </w:rPr>
                            </w:pPr>
                            <w:r>
                              <w:rPr>
                                <w:rFonts w:hint="eastAsia"/>
                                <w:lang w:val="en-US" w:eastAsia="zh-CN"/>
                              </w:rPr>
                              <w:t>声环境评价范围</w:t>
                            </w:r>
                          </w:p>
                          <w:p w14:paraId="587FBA36">
                            <w:pPr>
                              <w:rPr>
                                <w:rFonts w:hint="default"/>
                                <w:lang w:val="en-US" w:eastAsia="zh-CN"/>
                              </w:rPr>
                            </w:pPr>
                            <w:r>
                              <w:drawing>
                                <wp:inline distT="0" distB="0" distL="114300" distR="114300">
                                  <wp:extent cx="147955" cy="260985"/>
                                  <wp:effectExtent l="0" t="0" r="4445" b="571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35"/>
                                          <a:stretch>
                                            <a:fillRect/>
                                          </a:stretch>
                                        </pic:blipFill>
                                        <pic:spPr>
                                          <a:xfrm>
                                            <a:off x="0" y="0"/>
                                            <a:ext cx="147955" cy="260985"/>
                                          </a:xfrm>
                                          <a:prstGeom prst="rect">
                                            <a:avLst/>
                                          </a:prstGeom>
                                          <a:noFill/>
                                          <a:ln>
                                            <a:noFill/>
                                          </a:ln>
                                        </pic:spPr>
                                      </pic:pic>
                                    </a:graphicData>
                                  </a:graphic>
                                </wp:inline>
                              </w:drawing>
                            </w:r>
                            <w:r>
                              <w:rPr>
                                <w:rFonts w:hint="eastAsia"/>
                                <w:lang w:val="en-US" w:eastAsia="zh-CN"/>
                              </w:rPr>
                              <w:t>声敏感目标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365.75pt;height:81.85pt;width:147.3pt;z-index:251665408;mso-width-relative:page;mso-height-relative:page;" fillcolor="#FFFFFF [3201]" filled="t" stroked="t" coordsize="21600,21600" o:gfxdata="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X7P&#10;4dkAAAALAQAADwAAAAAAAAABACAAAAAiAAAAZHJzL2Rvd25yZXYueG1sUEsBAhQAFAAAAAgAh07i&#10;QOOsa7FaAgAAugQAAA4AAAAAAAAAAQAgAAAAKAEAAGRycy9lMm9Eb2MueG1sUEsFBgAAAAAGAAYA&#10;WQEAAPQFAAAAAA==&#10;">
                <v:fill on="t" focussize="0,0"/>
                <v:stroke weight="0.5pt" color="#000000 [3204]" joinstyle="round"/>
                <v:imagedata o:title=""/>
                <o:lock v:ext="edit" aspectratio="f"/>
                <v:textbox>
                  <w:txbxContent>
                    <w:p w14:paraId="52A6779B">
                      <w:pPr>
                        <w:jc w:val="center"/>
                        <w:rPr>
                          <w:rFonts w:hint="eastAsia" w:eastAsia="宋体"/>
                          <w:lang w:eastAsia="zh-CN"/>
                        </w:rPr>
                      </w:pPr>
                      <w:r>
                        <w:rPr>
                          <w:rFonts w:hint="eastAsia"/>
                          <w:lang w:eastAsia="zh-CN"/>
                        </w:rPr>
                        <w:t>图例</w:t>
                      </w:r>
                    </w:p>
                    <w:p w14:paraId="11DB3240">
                      <w:pPr>
                        <w:rPr>
                          <w:rFonts w:hint="default"/>
                          <w:lang w:val="en-US" w:eastAsia="zh-CN"/>
                        </w:rPr>
                      </w:pPr>
                      <w:r>
                        <w:rPr>
                          <w:rFonts w:hint="eastAsia"/>
                          <w:lang w:val="en-US" w:eastAsia="zh-CN"/>
                        </w:rPr>
                        <w:t>厂址位置</w:t>
                      </w:r>
                    </w:p>
                    <w:p w14:paraId="49ABD81D">
                      <w:pPr>
                        <w:rPr>
                          <w:rFonts w:hint="default"/>
                          <w:lang w:val="en-US" w:eastAsia="zh-CN"/>
                        </w:rPr>
                      </w:pPr>
                      <w:r>
                        <w:rPr>
                          <w:rFonts w:hint="eastAsia"/>
                          <w:lang w:val="en-US" w:eastAsia="zh-CN"/>
                        </w:rPr>
                        <w:t>声环境评价范围</w:t>
                      </w:r>
                    </w:p>
                    <w:p w14:paraId="587FBA36">
                      <w:pPr>
                        <w:rPr>
                          <w:rFonts w:hint="default"/>
                          <w:lang w:val="en-US" w:eastAsia="zh-CN"/>
                        </w:rPr>
                      </w:pPr>
                      <w:r>
                        <w:drawing>
                          <wp:inline distT="0" distB="0" distL="114300" distR="114300">
                            <wp:extent cx="147955" cy="260985"/>
                            <wp:effectExtent l="0" t="0" r="4445" b="571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35"/>
                                    <a:stretch>
                                      <a:fillRect/>
                                    </a:stretch>
                                  </pic:blipFill>
                                  <pic:spPr>
                                    <a:xfrm>
                                      <a:off x="0" y="0"/>
                                      <a:ext cx="147955" cy="260985"/>
                                    </a:xfrm>
                                    <a:prstGeom prst="rect">
                                      <a:avLst/>
                                    </a:prstGeom>
                                    <a:noFill/>
                                    <a:ln>
                                      <a:noFill/>
                                    </a:ln>
                                  </pic:spPr>
                                </pic:pic>
                              </a:graphicData>
                            </a:graphic>
                          </wp:inline>
                        </w:drawing>
                      </w:r>
                      <w:r>
                        <w:rPr>
                          <w:rFonts w:hint="eastAsia"/>
                          <w:lang w:val="en-US" w:eastAsia="zh-CN"/>
                        </w:rPr>
                        <w:t>声敏感目标</w:t>
                      </w:r>
                    </w:p>
                  </w:txbxContent>
                </v:textbox>
              </v:shape>
            </w:pict>
          </mc:Fallback>
        </mc:AlternateContent>
      </w:r>
      <w:r>
        <w:rPr>
          <w:color w:val="auto"/>
        </w:rPr>
        <w:drawing>
          <wp:anchor distT="0" distB="0" distL="114300" distR="114300" simplePos="0" relativeHeight="251664384" behindDoc="0" locked="0" layoutInCell="1" allowOverlap="1">
            <wp:simplePos x="0" y="0"/>
            <wp:positionH relativeFrom="column">
              <wp:posOffset>4743450</wp:posOffset>
            </wp:positionH>
            <wp:positionV relativeFrom="paragraph">
              <wp:posOffset>22225</wp:posOffset>
            </wp:positionV>
            <wp:extent cx="1333500" cy="1304925"/>
            <wp:effectExtent l="0" t="0" r="0" b="9525"/>
            <wp:wrapNone/>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36"/>
                    <a:stretch>
                      <a:fillRect/>
                    </a:stretch>
                  </pic:blipFill>
                  <pic:spPr>
                    <a:xfrm>
                      <a:off x="0" y="0"/>
                      <a:ext cx="1333500" cy="1304925"/>
                    </a:xfrm>
                    <a:prstGeom prst="rect">
                      <a:avLst/>
                    </a:prstGeom>
                    <a:noFill/>
                    <a:ln>
                      <a:noFill/>
                    </a:ln>
                  </pic:spPr>
                </pic:pic>
              </a:graphicData>
            </a:graphic>
          </wp:anchor>
        </w:drawing>
      </w:r>
      <w:r>
        <w:rPr>
          <w:color w:val="auto"/>
        </w:rPr>
        <w:drawing>
          <wp:inline distT="0" distB="0" distL="114300" distR="114300">
            <wp:extent cx="6115685" cy="5727700"/>
            <wp:effectExtent l="0" t="0" r="18415" b="635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7"/>
                    <a:stretch>
                      <a:fillRect/>
                    </a:stretch>
                  </pic:blipFill>
                  <pic:spPr>
                    <a:xfrm>
                      <a:off x="0" y="0"/>
                      <a:ext cx="6115685" cy="5727700"/>
                    </a:xfrm>
                    <a:prstGeom prst="rect">
                      <a:avLst/>
                    </a:prstGeom>
                    <a:noFill/>
                    <a:ln>
                      <a:noFill/>
                    </a:ln>
                  </pic:spPr>
                </pic:pic>
              </a:graphicData>
            </a:graphic>
          </wp:inline>
        </w:drawing>
      </w:r>
    </w:p>
    <w:p w14:paraId="353588F8">
      <w:pPr>
        <w:pStyle w:val="27"/>
        <w:rPr>
          <w:rFonts w:hint="default" w:ascii="Times New Roman" w:hAnsi="Times New Roman" w:eastAsia="宋体" w:cs="Times New Roman"/>
          <w:color w:val="auto"/>
          <w:sz w:val="28"/>
          <w:szCs w:val="28"/>
          <w:lang w:val="en-US" w:eastAsia="zh-CN"/>
        </w:rPr>
      </w:pPr>
    </w:p>
    <w:p w14:paraId="018B4959">
      <w:pPr>
        <w:rPr>
          <w:rFonts w:hint="default" w:ascii="Times New Roman" w:hAnsi="Times New Roman" w:eastAsia="宋体" w:cs="Times New Roman"/>
          <w:color w:val="auto"/>
          <w:sz w:val="28"/>
          <w:szCs w:val="28"/>
          <w:lang w:val="en-US" w:eastAsia="zh-CN"/>
        </w:rPr>
      </w:pPr>
    </w:p>
    <w:p w14:paraId="71CDE4A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黑体" w:cs="Times New Roman"/>
          <w:b w:val="0"/>
          <w:bCs w:val="0"/>
          <w:color w:val="auto"/>
          <w:sz w:val="28"/>
          <w:szCs w:val="28"/>
          <w:lang w:val="en-US" w:eastAsia="zh-CN"/>
        </w:rPr>
      </w:pPr>
      <w:bookmarkStart w:id="93" w:name="_Toc32260"/>
      <w:r>
        <w:rPr>
          <w:rFonts w:hint="default" w:ascii="Times New Roman" w:hAnsi="Times New Roman" w:eastAsia="黑体" w:cs="Times New Roman"/>
          <w:b w:val="0"/>
          <w:bCs w:val="0"/>
          <w:color w:val="auto"/>
          <w:sz w:val="28"/>
          <w:szCs w:val="28"/>
        </w:rPr>
        <w:t>附图</w:t>
      </w:r>
      <w:r>
        <w:rPr>
          <w:rFonts w:hint="eastAsia" w:ascii="Times New Roman" w:hAnsi="Times New Roman" w:eastAsia="黑体" w:cs="Times New Roman"/>
          <w:b w:val="0"/>
          <w:bCs w:val="0"/>
          <w:color w:val="auto"/>
          <w:sz w:val="28"/>
          <w:szCs w:val="28"/>
          <w:lang w:val="en-US" w:eastAsia="zh-CN"/>
        </w:rPr>
        <w:t>4</w:t>
      </w:r>
      <w:r>
        <w:rPr>
          <w:rFonts w:hint="eastAsia" w:ascii="Times New Roman" w:hAnsi="Times New Roman" w:eastAsia="黑体" w:cs="Times New Roman"/>
          <w:b w:val="0"/>
          <w:bCs w:val="0"/>
          <w:color w:val="auto"/>
          <w:sz w:val="28"/>
          <w:szCs w:val="28"/>
          <w:lang w:eastAsia="zh-CN"/>
        </w:rPr>
        <w:t>声</w:t>
      </w:r>
      <w:r>
        <w:rPr>
          <w:rFonts w:hint="default" w:ascii="Times New Roman" w:hAnsi="Times New Roman" w:eastAsia="黑体" w:cs="Times New Roman"/>
          <w:b w:val="0"/>
          <w:bCs w:val="0"/>
          <w:color w:val="auto"/>
          <w:sz w:val="28"/>
          <w:szCs w:val="28"/>
        </w:rPr>
        <w:t>环境保护目标分布图</w:t>
      </w:r>
      <w:bookmarkEnd w:id="93"/>
    </w:p>
    <w:p w14:paraId="056AB49D">
      <w:pPr>
        <w:rPr>
          <w:rFonts w:hint="default" w:ascii="Times New Roman" w:hAnsi="Times New Roman" w:eastAsia="宋体" w:cs="Times New Roman"/>
          <w:color w:val="auto"/>
          <w:sz w:val="28"/>
          <w:szCs w:val="28"/>
          <w:lang w:val="en-US" w:eastAsia="zh-CN"/>
        </w:rPr>
      </w:pPr>
    </w:p>
    <w:p w14:paraId="5CF339CB">
      <w:pPr>
        <w:pStyle w:val="27"/>
        <w:rPr>
          <w:rFonts w:hint="default" w:ascii="Times New Roman" w:hAnsi="Times New Roman" w:eastAsia="宋体" w:cs="Times New Roman"/>
          <w:color w:val="auto"/>
          <w:sz w:val="28"/>
          <w:szCs w:val="28"/>
          <w:lang w:val="en-US" w:eastAsia="zh-CN"/>
        </w:rPr>
      </w:pPr>
    </w:p>
    <w:p w14:paraId="0C7EA70C">
      <w:pPr>
        <w:rPr>
          <w:rFonts w:hint="default" w:ascii="Times New Roman" w:hAnsi="Times New Roman" w:eastAsia="宋体" w:cs="Times New Roman"/>
          <w:color w:val="auto"/>
          <w:sz w:val="28"/>
          <w:szCs w:val="28"/>
          <w:lang w:val="en-US" w:eastAsia="zh-CN"/>
        </w:rPr>
      </w:pPr>
      <w:r>
        <w:rPr>
          <w:color w:val="auto"/>
          <w:sz w:val="28"/>
        </w:rPr>
        <mc:AlternateContent>
          <mc:Choice Requires="wps">
            <w:drawing>
              <wp:anchor distT="0" distB="0" distL="114300" distR="114300" simplePos="0" relativeHeight="251693056" behindDoc="0" locked="0" layoutInCell="1" allowOverlap="1">
                <wp:simplePos x="0" y="0"/>
                <wp:positionH relativeFrom="column">
                  <wp:posOffset>1864995</wp:posOffset>
                </wp:positionH>
                <wp:positionV relativeFrom="paragraph">
                  <wp:posOffset>3039110</wp:posOffset>
                </wp:positionV>
                <wp:extent cx="891540" cy="796290"/>
                <wp:effectExtent l="12700" t="6985" r="29210" b="15875"/>
                <wp:wrapNone/>
                <wp:docPr id="99" name="任意多边形 99"/>
                <wp:cNvGraphicFramePr/>
                <a:graphic xmlns:a="http://schemas.openxmlformats.org/drawingml/2006/main">
                  <a:graphicData uri="http://schemas.microsoft.com/office/word/2010/wordprocessingShape">
                    <wps:wsp>
                      <wps:cNvSpPr/>
                      <wps:spPr>
                        <a:xfrm>
                          <a:off x="2585085" y="3759200"/>
                          <a:ext cx="891540" cy="796290"/>
                        </a:xfrm>
                        <a:custGeom>
                          <a:avLst/>
                          <a:gdLst>
                            <a:gd name="connisteX0" fmla="*/ 424180 w 891540"/>
                            <a:gd name="connsiteY0" fmla="*/ 42545 h 796290"/>
                            <a:gd name="connisteX1" fmla="*/ 891540 w 891540"/>
                            <a:gd name="connsiteY1" fmla="*/ 207010 h 796290"/>
                            <a:gd name="connisteX2" fmla="*/ 536575 w 891540"/>
                            <a:gd name="connsiteY2" fmla="*/ 796290 h 796290"/>
                            <a:gd name="connisteX3" fmla="*/ 0 w 891540"/>
                            <a:gd name="connsiteY3" fmla="*/ 597535 h 796290"/>
                            <a:gd name="connisteX4" fmla="*/ 415290 w 891540"/>
                            <a:gd name="connsiteY4" fmla="*/ 0 h 79629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891540" h="796290">
                              <a:moveTo>
                                <a:pt x="424180" y="42545"/>
                              </a:moveTo>
                              <a:lnTo>
                                <a:pt x="891540" y="207010"/>
                              </a:lnTo>
                              <a:lnTo>
                                <a:pt x="536575" y="796290"/>
                              </a:lnTo>
                              <a:lnTo>
                                <a:pt x="0" y="597535"/>
                              </a:lnTo>
                              <a:lnTo>
                                <a:pt x="415290" y="0"/>
                              </a:lnTo>
                            </a:path>
                          </a:pathLst>
                        </a:custGeom>
                        <a:noFill/>
                        <a:ln>
                          <a:solidFill>
                            <a:srgbClr val="0714C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6.85pt;margin-top:239.3pt;height:62.7pt;width:70.2pt;z-index:251693056;mso-width-relative:page;mso-height-relative:page;" filled="f" stroked="t" coordsize="891540,796290" o:gfxdata="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y0W4zdoAAAALAQAADwAAAAAAAAABACAAAAAiAAAAZHJzL2Rvd25yZXYu&#10;eG1sUEsBAhQAFAAAAAgAh07iQAz9QgkWAwAANQgAAA4AAAAAAAAAAQAgAAAAKQEAAGRycy9lMm9E&#10;b2MueG1sUEsFBgAAAAAGAAYAWQEAALEGAAAAAA==&#10;" path="m424180,42545l891540,207010,536575,796290,0,597535,415290,0e">
                <v:path o:connectlocs="424180,42545;891540,207010;536575,796290;0,597535;415290,0" o:connectangles="0,0,0,0,0"/>
                <v:fill on="f" focussize="0,0"/>
                <v:stroke weight="2pt" color="#0714C0 [2404]" joinstyle="round"/>
                <v:imagedata o:title=""/>
                <o:lock v:ext="edit" aspectratio="f"/>
              </v:shape>
            </w:pict>
          </mc:Fallback>
        </mc:AlternateContent>
      </w:r>
      <w:r>
        <w:rPr>
          <w:color w:val="auto"/>
          <w:sz w:val="28"/>
        </w:rPr>
        <mc:AlternateContent>
          <mc:Choice Requires="wps">
            <w:drawing>
              <wp:anchor distT="0" distB="0" distL="114300" distR="114300" simplePos="0" relativeHeight="251692032" behindDoc="0" locked="0" layoutInCell="1" allowOverlap="1">
                <wp:simplePos x="0" y="0"/>
                <wp:positionH relativeFrom="column">
                  <wp:posOffset>141605</wp:posOffset>
                </wp:positionH>
                <wp:positionV relativeFrom="paragraph">
                  <wp:posOffset>3739515</wp:posOffset>
                </wp:positionV>
                <wp:extent cx="164465" cy="113665"/>
                <wp:effectExtent l="28575" t="28575" r="35560" b="29210"/>
                <wp:wrapNone/>
                <wp:docPr id="98" name="矩形 98"/>
                <wp:cNvGraphicFramePr/>
                <a:graphic xmlns:a="http://schemas.openxmlformats.org/drawingml/2006/main">
                  <a:graphicData uri="http://schemas.microsoft.com/office/word/2010/wordprocessingShape">
                    <wps:wsp>
                      <wps:cNvSpPr/>
                      <wps:spPr>
                        <a:xfrm>
                          <a:off x="861695" y="4443095"/>
                          <a:ext cx="164465" cy="113665"/>
                        </a:xfrm>
                        <a:prstGeom prst="rect">
                          <a:avLst/>
                        </a:prstGeom>
                        <a:noFill/>
                        <a:ln w="57150">
                          <a:solidFill>
                            <a:srgbClr val="0000F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5pt;margin-top:294.45pt;height:8.95pt;width:12.95pt;z-index:251692032;v-text-anchor:middle;mso-width-relative:page;mso-height-relative:page;" filled="f" stroked="t" coordsize="21600,21600" o:gfxdata="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llVut2wAAAAkBAAAPAAAAAAAAAAEAIAAAACIAAABkcnMvZG93bnJldi54&#10;bWxQSwECFAAUAAAACACHTuJAYfy+YmkCAADABAAADgAAAAAAAAABACAAAAAqAQAAZHJzL2Uyb0Rv&#10;Yy54bWxQSwUGAAAAAAYABgBZAQAABQYAAAAA&#10;">
                <v:fill on="f" focussize="0,0"/>
                <v:stroke weight="4.5pt" color="#0000FF [2404]" joinstyle="round"/>
                <v:imagedata o:title=""/>
                <o:lock v:ext="edit" aspectratio="f"/>
              </v:rect>
            </w:pict>
          </mc:Fallback>
        </mc:AlternateContent>
      </w:r>
      <w:r>
        <w:rPr>
          <w:rFonts w:hint="default" w:ascii="Times New Roman" w:hAnsi="Times New Roman" w:eastAsia="宋体" w:cs="Times New Roman"/>
          <w:color w:val="auto"/>
          <w:sz w:val="28"/>
          <w:szCs w:val="28"/>
          <w:lang w:val="en-US" w:eastAsia="zh-CN"/>
        </w:rPr>
        <w:drawing>
          <wp:inline distT="0" distB="0" distL="114300" distR="114300">
            <wp:extent cx="6113780" cy="4348480"/>
            <wp:effectExtent l="0" t="0" r="1270" b="13970"/>
            <wp:docPr id="95" name="图片 95" descr="5e80eb1b-1890-413e-bca6-c017fb8f59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5e80eb1b-1890-413e-bca6-c017fb8f595d"/>
                    <pic:cNvPicPr>
                      <a:picLocks noChangeAspect="1"/>
                    </pic:cNvPicPr>
                  </pic:nvPicPr>
                  <pic:blipFill>
                    <a:blip r:embed="rId38"/>
                    <a:stretch>
                      <a:fillRect/>
                    </a:stretch>
                  </pic:blipFill>
                  <pic:spPr>
                    <a:xfrm>
                      <a:off x="0" y="0"/>
                      <a:ext cx="6113780" cy="4348480"/>
                    </a:xfrm>
                    <a:prstGeom prst="rect">
                      <a:avLst/>
                    </a:prstGeom>
                  </pic:spPr>
                </pic:pic>
              </a:graphicData>
            </a:graphic>
          </wp:inline>
        </w:drawing>
      </w:r>
    </w:p>
    <w:p w14:paraId="66C5450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黑体" w:cs="Times New Roman"/>
          <w:b w:val="0"/>
          <w:bCs w:val="0"/>
          <w:color w:val="auto"/>
          <w:sz w:val="28"/>
          <w:szCs w:val="28"/>
          <w:lang w:val="en-US" w:eastAsia="zh-CN"/>
        </w:rPr>
      </w:pPr>
      <w:bookmarkStart w:id="94" w:name="_Toc29969"/>
      <w:r>
        <w:rPr>
          <w:rFonts w:hint="default" w:ascii="Times New Roman" w:hAnsi="Times New Roman" w:eastAsia="黑体" w:cs="Times New Roman"/>
          <w:b w:val="0"/>
          <w:bCs w:val="0"/>
          <w:color w:val="auto"/>
          <w:sz w:val="28"/>
          <w:szCs w:val="28"/>
        </w:rPr>
        <w:t>附图</w:t>
      </w:r>
      <w:r>
        <w:rPr>
          <w:rFonts w:hint="eastAsia" w:eastAsia="黑体" w:cs="Times New Roman"/>
          <w:b w:val="0"/>
          <w:bCs w:val="0"/>
          <w:color w:val="auto"/>
          <w:sz w:val="28"/>
          <w:szCs w:val="28"/>
          <w:lang w:val="en-US" w:eastAsia="zh-CN"/>
        </w:rPr>
        <w:t>5环境空气</w:t>
      </w:r>
      <w:r>
        <w:rPr>
          <w:rFonts w:hint="eastAsia" w:ascii="Times New Roman" w:hAnsi="Times New Roman" w:eastAsia="黑体" w:cs="Times New Roman"/>
          <w:b w:val="0"/>
          <w:bCs w:val="0"/>
          <w:color w:val="auto"/>
          <w:sz w:val="28"/>
          <w:szCs w:val="28"/>
          <w:lang w:val="en-US" w:eastAsia="zh-CN"/>
        </w:rPr>
        <w:t>现状监测布点图</w:t>
      </w:r>
      <w:bookmarkEnd w:id="94"/>
    </w:p>
    <w:p w14:paraId="5D989C2D">
      <w:pPr>
        <w:pStyle w:val="44"/>
        <w:rPr>
          <w:rFonts w:hint="eastAsia" w:ascii="Times New Roman" w:hAnsi="Times New Roman" w:eastAsia="黑体" w:cs="Times New Roman"/>
          <w:b w:val="0"/>
          <w:bCs w:val="0"/>
          <w:color w:val="auto"/>
          <w:sz w:val="28"/>
          <w:szCs w:val="28"/>
          <w:lang w:val="en-US" w:eastAsia="zh-CN"/>
        </w:rPr>
      </w:pPr>
    </w:p>
    <w:p w14:paraId="27B37BBF">
      <w:pPr>
        <w:rPr>
          <w:rFonts w:hint="eastAsia" w:ascii="Times New Roman" w:hAnsi="Times New Roman" w:eastAsia="黑体" w:cs="Times New Roman"/>
          <w:b w:val="0"/>
          <w:bCs w:val="0"/>
          <w:color w:val="auto"/>
          <w:sz w:val="28"/>
          <w:szCs w:val="28"/>
          <w:lang w:val="en-US" w:eastAsia="zh-CN"/>
        </w:rPr>
      </w:pPr>
    </w:p>
    <w:p w14:paraId="20E42F00">
      <w:pPr>
        <w:pStyle w:val="44"/>
        <w:rPr>
          <w:rFonts w:hint="eastAsia" w:ascii="Times New Roman" w:hAnsi="Times New Roman" w:eastAsia="黑体" w:cs="Times New Roman"/>
          <w:b w:val="0"/>
          <w:bCs w:val="0"/>
          <w:color w:val="auto"/>
          <w:sz w:val="28"/>
          <w:szCs w:val="28"/>
          <w:lang w:val="en-US" w:eastAsia="zh-CN"/>
        </w:rPr>
      </w:pPr>
    </w:p>
    <w:p w14:paraId="79669C18">
      <w:pPr>
        <w:rPr>
          <w:rFonts w:hint="default"/>
          <w:color w:val="auto"/>
          <w:lang w:val="en-US" w:eastAsia="zh-CN"/>
        </w:rPr>
      </w:pPr>
      <w:r>
        <w:rPr>
          <w:color w:val="auto"/>
        </w:rPr>
        <w:drawing>
          <wp:inline distT="0" distB="0" distL="114300" distR="114300">
            <wp:extent cx="5791200" cy="440055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9"/>
                    <a:stretch>
                      <a:fillRect/>
                    </a:stretch>
                  </pic:blipFill>
                  <pic:spPr>
                    <a:xfrm>
                      <a:off x="0" y="0"/>
                      <a:ext cx="5791200" cy="4400550"/>
                    </a:xfrm>
                    <a:prstGeom prst="rect">
                      <a:avLst/>
                    </a:prstGeom>
                    <a:noFill/>
                    <a:ln>
                      <a:noFill/>
                    </a:ln>
                  </pic:spPr>
                </pic:pic>
              </a:graphicData>
            </a:graphic>
          </wp:inline>
        </w:drawing>
      </w:r>
    </w:p>
    <w:p w14:paraId="54E6111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黑体" w:cs="Times New Roman"/>
          <w:b w:val="0"/>
          <w:bCs w:val="0"/>
          <w:color w:val="auto"/>
          <w:sz w:val="28"/>
          <w:szCs w:val="28"/>
          <w:lang w:val="en-US" w:eastAsia="zh-CN"/>
        </w:rPr>
      </w:pPr>
      <w:bookmarkStart w:id="95" w:name="_Toc23790"/>
      <w:r>
        <w:rPr>
          <w:rFonts w:hint="default" w:ascii="Times New Roman" w:hAnsi="Times New Roman" w:eastAsia="黑体" w:cs="Times New Roman"/>
          <w:b w:val="0"/>
          <w:bCs w:val="0"/>
          <w:color w:val="auto"/>
          <w:sz w:val="28"/>
          <w:szCs w:val="28"/>
        </w:rPr>
        <w:t>附图</w:t>
      </w:r>
      <w:r>
        <w:rPr>
          <w:rFonts w:hint="eastAsia" w:eastAsia="黑体" w:cs="Times New Roman"/>
          <w:b w:val="0"/>
          <w:bCs w:val="0"/>
          <w:color w:val="auto"/>
          <w:sz w:val="28"/>
          <w:szCs w:val="28"/>
          <w:lang w:val="en-US" w:eastAsia="zh-CN"/>
        </w:rPr>
        <w:t>6声环境</w:t>
      </w:r>
      <w:r>
        <w:rPr>
          <w:rFonts w:hint="eastAsia" w:ascii="Times New Roman" w:hAnsi="Times New Roman" w:eastAsia="黑体" w:cs="Times New Roman"/>
          <w:b w:val="0"/>
          <w:bCs w:val="0"/>
          <w:color w:val="auto"/>
          <w:sz w:val="28"/>
          <w:szCs w:val="28"/>
          <w:lang w:val="en-US" w:eastAsia="zh-CN"/>
        </w:rPr>
        <w:t>现状监测布点图</w:t>
      </w:r>
      <w:bookmarkEnd w:id="95"/>
    </w:p>
    <w:p w14:paraId="180D6E1D">
      <w:pPr>
        <w:pStyle w:val="27"/>
        <w:rPr>
          <w:rFonts w:hint="default" w:ascii="Times New Roman" w:hAnsi="Times New Roman" w:eastAsia="黑体" w:cs="Times New Roman"/>
          <w:b w:val="0"/>
          <w:bCs w:val="0"/>
          <w:color w:val="auto"/>
          <w:sz w:val="28"/>
          <w:szCs w:val="28"/>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p>
    <w:bookmarkEnd w:id="92"/>
    <w:p w14:paraId="6825FBA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rPr>
      </w:pPr>
      <w:bookmarkStart w:id="96" w:name="_Toc16055"/>
      <w:r>
        <w:rPr>
          <w:rFonts w:hint="default" w:ascii="Times New Roman" w:hAnsi="Times New Roman" w:eastAsia="黑体" w:cs="Times New Roman"/>
          <w:b w:val="0"/>
          <w:bCs w:val="0"/>
          <w:color w:val="auto"/>
          <w:sz w:val="28"/>
          <w:szCs w:val="28"/>
        </w:rPr>
        <w:t>附件1</w:t>
      </w:r>
      <w:r>
        <w:rPr>
          <w:rFonts w:hint="default" w:ascii="Times New Roman" w:hAnsi="Times New Roman" w:eastAsia="黑体" w:cs="Times New Roman"/>
          <w:b w:val="0"/>
          <w:bCs w:val="0"/>
          <w:color w:val="auto"/>
          <w:sz w:val="28"/>
          <w:szCs w:val="28"/>
          <w:lang w:val="en-US" w:eastAsia="zh-CN"/>
        </w:rPr>
        <w:t>营业执照</w:t>
      </w:r>
      <w:bookmarkEnd w:id="96"/>
    </w:p>
    <w:p w14:paraId="45993BE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宋体" w:cs="Times New Roman"/>
          <w:color w:val="auto"/>
          <w:lang w:eastAsia="zh-CN"/>
        </w:rPr>
      </w:pPr>
    </w:p>
    <w:p w14:paraId="7EEF5ED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黑体" w:cs="Times New Roman"/>
          <w:b w:val="0"/>
          <w:bCs w:val="0"/>
          <w:color w:val="auto"/>
          <w:sz w:val="28"/>
          <w:szCs w:val="28"/>
          <w:lang w:eastAsia="zh-CN"/>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r>
        <w:rPr>
          <w:rFonts w:hint="eastAsia" w:ascii="Times New Roman" w:hAnsi="Times New Roman" w:eastAsia="黑体" w:cs="Times New Roman"/>
          <w:b w:val="0"/>
          <w:bCs w:val="0"/>
          <w:color w:val="auto"/>
          <w:sz w:val="28"/>
          <w:szCs w:val="28"/>
          <w:lang w:eastAsia="zh-CN"/>
        </w:rPr>
        <w:drawing>
          <wp:inline distT="0" distB="0" distL="114300" distR="114300">
            <wp:extent cx="7834630" cy="4407535"/>
            <wp:effectExtent l="0" t="0" r="12065" b="13970"/>
            <wp:docPr id="6" name="图片 6" descr="3e0ebfc51ba1c1a8ce263b64b9f6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e0ebfc51ba1c1a8ce263b64b9f6a20"/>
                    <pic:cNvPicPr>
                      <a:picLocks noChangeAspect="1"/>
                    </pic:cNvPicPr>
                  </pic:nvPicPr>
                  <pic:blipFill>
                    <a:blip r:embed="rId40"/>
                    <a:stretch>
                      <a:fillRect/>
                    </a:stretch>
                  </pic:blipFill>
                  <pic:spPr>
                    <a:xfrm rot="5400000">
                      <a:off x="0" y="0"/>
                      <a:ext cx="7834630" cy="4407535"/>
                    </a:xfrm>
                    <a:prstGeom prst="rect">
                      <a:avLst/>
                    </a:prstGeom>
                  </pic:spPr>
                </pic:pic>
              </a:graphicData>
            </a:graphic>
          </wp:inline>
        </w:drawing>
      </w:r>
    </w:p>
    <w:p w14:paraId="7C942F65">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lang w:val="en-US"/>
        </w:rPr>
      </w:pPr>
      <w:bookmarkStart w:id="97" w:name="_Toc3053"/>
      <w:r>
        <w:rPr>
          <w:rFonts w:hint="default" w:ascii="Times New Roman" w:hAnsi="Times New Roman" w:eastAsia="黑体" w:cs="Times New Roman"/>
          <w:b w:val="0"/>
          <w:bCs w:val="0"/>
          <w:color w:val="auto"/>
          <w:sz w:val="28"/>
          <w:szCs w:val="28"/>
        </w:rPr>
        <w:t>附件</w:t>
      </w:r>
      <w:r>
        <w:rPr>
          <w:rFonts w:hint="default" w:ascii="Times New Roman" w:hAnsi="Times New Roman" w:eastAsia="黑体" w:cs="Times New Roman"/>
          <w:b w:val="0"/>
          <w:bCs w:val="0"/>
          <w:color w:val="auto"/>
          <w:sz w:val="28"/>
          <w:szCs w:val="28"/>
          <w:lang w:val="en-US" w:eastAsia="zh-CN"/>
        </w:rPr>
        <w:t>2</w:t>
      </w:r>
      <w:r>
        <w:rPr>
          <w:rFonts w:hint="eastAsia" w:eastAsia="黑体" w:cs="Times New Roman"/>
          <w:b w:val="0"/>
          <w:bCs w:val="0"/>
          <w:color w:val="auto"/>
          <w:sz w:val="28"/>
          <w:szCs w:val="28"/>
          <w:lang w:val="en-US" w:eastAsia="zh-CN"/>
        </w:rPr>
        <w:t>现有工程环评批复</w:t>
      </w:r>
      <w:bookmarkEnd w:id="97"/>
    </w:p>
    <w:p w14:paraId="13FD5F25">
      <w:pPr>
        <w:pStyle w:val="103"/>
        <w:bidi w:val="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6115685" cy="8154035"/>
            <wp:effectExtent l="0" t="0" r="18415" b="18415"/>
            <wp:docPr id="43" name="图片 43" descr="07621d9aa5bb51d611b8b83a82566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07621d9aa5bb51d611b8b83a82566f3"/>
                    <pic:cNvPicPr>
                      <a:picLocks noChangeAspect="1"/>
                    </pic:cNvPicPr>
                  </pic:nvPicPr>
                  <pic:blipFill>
                    <a:blip r:embed="rId41"/>
                    <a:stretch>
                      <a:fillRect/>
                    </a:stretch>
                  </pic:blipFill>
                  <pic:spPr>
                    <a:xfrm>
                      <a:off x="0" y="0"/>
                      <a:ext cx="6115685" cy="8154035"/>
                    </a:xfrm>
                    <a:prstGeom prst="rect">
                      <a:avLst/>
                    </a:prstGeom>
                  </pic:spPr>
                </pic:pic>
              </a:graphicData>
            </a:graphic>
          </wp:inline>
        </w:drawing>
      </w:r>
      <w:r>
        <w:rPr>
          <w:rFonts w:hint="eastAsia" w:ascii="Times New Roman" w:hAnsi="Times New Roman" w:eastAsia="宋体" w:cs="Times New Roman"/>
          <w:color w:val="auto"/>
          <w:lang w:eastAsia="zh-CN"/>
        </w:rPr>
        <w:drawing>
          <wp:inline distT="0" distB="0" distL="114300" distR="114300">
            <wp:extent cx="8181975" cy="6136640"/>
            <wp:effectExtent l="0" t="0" r="16510" b="9525"/>
            <wp:docPr id="45" name="图片 45" descr="8876c3ede6c5705683fe8adb6abc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876c3ede6c5705683fe8adb6abc132"/>
                    <pic:cNvPicPr>
                      <a:picLocks noChangeAspect="1"/>
                    </pic:cNvPicPr>
                  </pic:nvPicPr>
                  <pic:blipFill>
                    <a:blip r:embed="rId42"/>
                    <a:stretch>
                      <a:fillRect/>
                    </a:stretch>
                  </pic:blipFill>
                  <pic:spPr>
                    <a:xfrm rot="16200000">
                      <a:off x="0" y="0"/>
                      <a:ext cx="8181975" cy="6136640"/>
                    </a:xfrm>
                    <a:prstGeom prst="rect">
                      <a:avLst/>
                    </a:prstGeom>
                  </pic:spPr>
                </pic:pic>
              </a:graphicData>
            </a:graphic>
          </wp:inline>
        </w:drawing>
      </w:r>
    </w:p>
    <w:p w14:paraId="01E3D4B0">
      <w:pPr>
        <w:pStyle w:val="103"/>
        <w:bidi w:val="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10175" cy="7172325"/>
            <wp:effectExtent l="0" t="0" r="9525" b="9525"/>
            <wp:docPr id="35" name="图片 35" descr="f965e486-fa34-4e75-b3ac-d7e43fb0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965e486-fa34-4e75-b3ac-d7e43fb07630"/>
                    <pic:cNvPicPr>
                      <a:picLocks noChangeAspect="1"/>
                    </pic:cNvPicPr>
                  </pic:nvPicPr>
                  <pic:blipFill>
                    <a:blip r:embed="rId43"/>
                    <a:stretch>
                      <a:fillRect/>
                    </a:stretch>
                  </pic:blipFill>
                  <pic:spPr>
                    <a:xfrm>
                      <a:off x="0" y="0"/>
                      <a:ext cx="5210175" cy="7172325"/>
                    </a:xfrm>
                    <a:prstGeom prst="rect">
                      <a:avLst/>
                    </a:prstGeom>
                  </pic:spPr>
                </pic:pic>
              </a:graphicData>
            </a:graphic>
          </wp:inline>
        </w:drawing>
      </w:r>
      <w:r>
        <w:rPr>
          <w:rFonts w:hint="eastAsia" w:ascii="Times New Roman" w:hAnsi="Times New Roman" w:eastAsia="宋体" w:cs="Times New Roman"/>
          <w:color w:val="auto"/>
          <w:lang w:eastAsia="zh-CN"/>
        </w:rPr>
        <w:drawing>
          <wp:inline distT="0" distB="0" distL="114300" distR="114300">
            <wp:extent cx="5162550" cy="7000875"/>
            <wp:effectExtent l="0" t="0" r="0" b="9525"/>
            <wp:docPr id="37" name="图片 37" descr="34ff86f0-bf94-4ed3-9d61-e3756d24c6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34ff86f0-bf94-4ed3-9d61-e3756d24c6b7"/>
                    <pic:cNvPicPr>
                      <a:picLocks noChangeAspect="1"/>
                    </pic:cNvPicPr>
                  </pic:nvPicPr>
                  <pic:blipFill>
                    <a:blip r:embed="rId44"/>
                    <a:stretch>
                      <a:fillRect/>
                    </a:stretch>
                  </pic:blipFill>
                  <pic:spPr>
                    <a:xfrm>
                      <a:off x="0" y="0"/>
                      <a:ext cx="5162550" cy="7000875"/>
                    </a:xfrm>
                    <a:prstGeom prst="rect">
                      <a:avLst/>
                    </a:prstGeom>
                  </pic:spPr>
                </pic:pic>
              </a:graphicData>
            </a:graphic>
          </wp:inline>
        </w:drawing>
      </w:r>
      <w:r>
        <w:rPr>
          <w:rFonts w:hint="eastAsia" w:ascii="Times New Roman" w:hAnsi="Times New Roman" w:eastAsia="宋体" w:cs="Times New Roman"/>
          <w:color w:val="auto"/>
          <w:lang w:eastAsia="zh-CN"/>
        </w:rPr>
        <w:drawing>
          <wp:inline distT="0" distB="0" distL="114300" distR="114300">
            <wp:extent cx="5114925" cy="7010400"/>
            <wp:effectExtent l="0" t="0" r="9525" b="0"/>
            <wp:docPr id="51" name="图片 51" descr="35d7bb3f-11f7-4cdc-9d54-7a543e59c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5d7bb3f-11f7-4cdc-9d54-7a543e59c239"/>
                    <pic:cNvPicPr>
                      <a:picLocks noChangeAspect="1"/>
                    </pic:cNvPicPr>
                  </pic:nvPicPr>
                  <pic:blipFill>
                    <a:blip r:embed="rId45"/>
                    <a:stretch>
                      <a:fillRect/>
                    </a:stretch>
                  </pic:blipFill>
                  <pic:spPr>
                    <a:xfrm>
                      <a:off x="0" y="0"/>
                      <a:ext cx="5114925" cy="7010400"/>
                    </a:xfrm>
                    <a:prstGeom prst="rect">
                      <a:avLst/>
                    </a:prstGeom>
                  </pic:spPr>
                </pic:pic>
              </a:graphicData>
            </a:graphic>
          </wp:inline>
        </w:drawing>
      </w:r>
      <w:r>
        <w:rPr>
          <w:rFonts w:hint="eastAsia" w:ascii="Times New Roman" w:hAnsi="Times New Roman" w:eastAsia="宋体" w:cs="Times New Roman"/>
          <w:color w:val="auto"/>
          <w:lang w:eastAsia="zh-CN"/>
        </w:rPr>
        <w:drawing>
          <wp:inline distT="0" distB="0" distL="114300" distR="114300">
            <wp:extent cx="5867400" cy="7353300"/>
            <wp:effectExtent l="0" t="0" r="0" b="0"/>
            <wp:docPr id="53" name="图片 53" descr="c78106ce-92fb-414d-9921-1d3d9164d5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78106ce-92fb-414d-9921-1d3d9164d5ff"/>
                    <pic:cNvPicPr>
                      <a:picLocks noChangeAspect="1"/>
                    </pic:cNvPicPr>
                  </pic:nvPicPr>
                  <pic:blipFill>
                    <a:blip r:embed="rId46"/>
                    <a:stretch>
                      <a:fillRect/>
                    </a:stretch>
                  </pic:blipFill>
                  <pic:spPr>
                    <a:xfrm>
                      <a:off x="0" y="0"/>
                      <a:ext cx="5867400" cy="7353300"/>
                    </a:xfrm>
                    <a:prstGeom prst="rect">
                      <a:avLst/>
                    </a:prstGeom>
                  </pic:spPr>
                </pic:pic>
              </a:graphicData>
            </a:graphic>
          </wp:inline>
        </w:drawing>
      </w:r>
    </w:p>
    <w:p w14:paraId="0F7E9500">
      <w:pPr>
        <w:pStyle w:val="103"/>
        <w:bidi w:val="0"/>
        <w:rPr>
          <w:rFonts w:hint="default" w:ascii="Times New Roman" w:hAnsi="Times New Roman" w:cs="Times New Roman"/>
          <w:color w:val="auto"/>
        </w:rPr>
      </w:pPr>
    </w:p>
    <w:p w14:paraId="529BC5D6">
      <w:pPr>
        <w:pStyle w:val="103"/>
        <w:bidi w:val="0"/>
        <w:rPr>
          <w:rFonts w:hint="default" w:ascii="Times New Roman" w:hAnsi="Times New Roman" w:cs="Times New Roman"/>
          <w:color w:val="auto"/>
        </w:rPr>
      </w:pPr>
    </w:p>
    <w:p w14:paraId="19F3261C">
      <w:pPr>
        <w:pStyle w:val="103"/>
        <w:bidi w:val="0"/>
        <w:rPr>
          <w:rFonts w:hint="default" w:ascii="Times New Roman" w:hAnsi="Times New Roman" w:cs="Times New Roman"/>
          <w:color w:val="auto"/>
        </w:rPr>
      </w:pPr>
    </w:p>
    <w:p w14:paraId="23164D83">
      <w:pPr>
        <w:pStyle w:val="103"/>
        <w:bidi w:val="0"/>
        <w:rPr>
          <w:rFonts w:hint="default" w:ascii="Times New Roman" w:hAnsi="Times New Roman" w:cs="Times New Roman"/>
          <w:color w:val="auto"/>
        </w:rPr>
      </w:pPr>
    </w:p>
    <w:p w14:paraId="3B606C12">
      <w:pPr>
        <w:pStyle w:val="103"/>
        <w:bidi w:val="0"/>
        <w:rPr>
          <w:rFonts w:hint="default" w:ascii="Times New Roman" w:hAnsi="Times New Roman" w:cs="Times New Roman"/>
          <w:color w:val="auto"/>
        </w:rPr>
      </w:pPr>
    </w:p>
    <w:p w14:paraId="3B7754F3">
      <w:pPr>
        <w:pStyle w:val="103"/>
        <w:bidi w:val="0"/>
        <w:rPr>
          <w:rFonts w:hint="default" w:ascii="Times New Roman" w:hAnsi="Times New Roman" w:cs="Times New Roman"/>
          <w:color w:val="auto"/>
        </w:rPr>
      </w:pPr>
    </w:p>
    <w:p w14:paraId="11AAEA98">
      <w:pPr>
        <w:pStyle w:val="103"/>
        <w:bidi w:val="0"/>
        <w:rPr>
          <w:rFonts w:hint="default" w:ascii="Times New Roman" w:hAnsi="Times New Roman" w:cs="Times New Roman"/>
          <w:color w:val="auto"/>
        </w:rPr>
      </w:pPr>
    </w:p>
    <w:p w14:paraId="283C14AB">
      <w:pPr>
        <w:pStyle w:val="103"/>
        <w:bidi w:val="0"/>
        <w:rPr>
          <w:rFonts w:hint="default" w:ascii="Times New Roman" w:hAnsi="Times New Roman" w:cs="Times New Roman"/>
          <w:color w:val="auto"/>
        </w:rPr>
      </w:pPr>
    </w:p>
    <w:p w14:paraId="37B5CAB3">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lang w:val="en-US" w:eastAsia="zh-CN"/>
        </w:rPr>
      </w:pPr>
      <w:bookmarkStart w:id="98" w:name="_Toc20617"/>
      <w:r>
        <w:rPr>
          <w:rFonts w:hint="default" w:ascii="Times New Roman" w:hAnsi="Times New Roman" w:eastAsia="黑体" w:cs="Times New Roman"/>
          <w:b w:val="0"/>
          <w:bCs w:val="0"/>
          <w:color w:val="auto"/>
          <w:sz w:val="28"/>
          <w:szCs w:val="28"/>
        </w:rPr>
        <w:t>附件</w:t>
      </w:r>
      <w:r>
        <w:rPr>
          <w:rFonts w:hint="eastAsia" w:eastAsia="黑体" w:cs="Times New Roman"/>
          <w:b w:val="0"/>
          <w:bCs w:val="0"/>
          <w:color w:val="auto"/>
          <w:sz w:val="28"/>
          <w:szCs w:val="28"/>
          <w:lang w:val="en-US" w:eastAsia="zh-CN"/>
        </w:rPr>
        <w:t>3现有工程竣工环境保护验收意见</w:t>
      </w:r>
      <w:bookmarkEnd w:id="98"/>
    </w:p>
    <w:p w14:paraId="1D9A393E">
      <w:pPr>
        <w:pStyle w:val="103"/>
        <w:bidi w:val="0"/>
        <w:rPr>
          <w:rFonts w:hint="default"/>
          <w:color w:val="auto"/>
          <w:lang w:val="en-US" w:eastAsia="zh-CN"/>
        </w:rPr>
      </w:pPr>
      <w:bookmarkStart w:id="99" w:name="_Toc18773"/>
      <w:r>
        <w:rPr>
          <w:color w:val="auto"/>
        </w:rPr>
        <w:drawing>
          <wp:inline distT="0" distB="0" distL="114300" distR="114300">
            <wp:extent cx="5695950" cy="8115300"/>
            <wp:effectExtent l="0" t="0" r="0" b="0"/>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47"/>
                    <a:stretch>
                      <a:fillRect/>
                    </a:stretch>
                  </pic:blipFill>
                  <pic:spPr>
                    <a:xfrm>
                      <a:off x="0" y="0"/>
                      <a:ext cx="5695950" cy="8115300"/>
                    </a:xfrm>
                    <a:prstGeom prst="rect">
                      <a:avLst/>
                    </a:prstGeom>
                    <a:noFill/>
                    <a:ln>
                      <a:noFill/>
                    </a:ln>
                  </pic:spPr>
                </pic:pic>
              </a:graphicData>
            </a:graphic>
          </wp:inline>
        </w:drawing>
      </w:r>
      <w:r>
        <w:rPr>
          <w:color w:val="auto"/>
        </w:rPr>
        <w:drawing>
          <wp:inline distT="0" distB="0" distL="114300" distR="114300">
            <wp:extent cx="5667375" cy="7820025"/>
            <wp:effectExtent l="0" t="0" r="9525" b="952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48"/>
                    <a:stretch>
                      <a:fillRect/>
                    </a:stretch>
                  </pic:blipFill>
                  <pic:spPr>
                    <a:xfrm>
                      <a:off x="0" y="0"/>
                      <a:ext cx="5667375" cy="7820025"/>
                    </a:xfrm>
                    <a:prstGeom prst="rect">
                      <a:avLst/>
                    </a:prstGeom>
                    <a:noFill/>
                    <a:ln>
                      <a:noFill/>
                    </a:ln>
                  </pic:spPr>
                </pic:pic>
              </a:graphicData>
            </a:graphic>
          </wp:inline>
        </w:drawing>
      </w:r>
      <w:r>
        <w:rPr>
          <w:color w:val="auto"/>
        </w:rPr>
        <w:drawing>
          <wp:inline distT="0" distB="0" distL="114300" distR="114300">
            <wp:extent cx="5591175" cy="7877175"/>
            <wp:effectExtent l="0" t="0" r="9525" b="952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49"/>
                    <a:stretch>
                      <a:fillRect/>
                    </a:stretch>
                  </pic:blipFill>
                  <pic:spPr>
                    <a:xfrm>
                      <a:off x="0" y="0"/>
                      <a:ext cx="5591175" cy="7877175"/>
                    </a:xfrm>
                    <a:prstGeom prst="rect">
                      <a:avLst/>
                    </a:prstGeom>
                    <a:noFill/>
                    <a:ln>
                      <a:noFill/>
                    </a:ln>
                  </pic:spPr>
                </pic:pic>
              </a:graphicData>
            </a:graphic>
          </wp:inline>
        </w:drawing>
      </w:r>
      <w:r>
        <w:rPr>
          <w:color w:val="auto"/>
        </w:rPr>
        <w:drawing>
          <wp:inline distT="0" distB="0" distL="114300" distR="114300">
            <wp:extent cx="5648325" cy="7972425"/>
            <wp:effectExtent l="0" t="0" r="9525" b="9525"/>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50"/>
                    <a:stretch>
                      <a:fillRect/>
                    </a:stretch>
                  </pic:blipFill>
                  <pic:spPr>
                    <a:xfrm>
                      <a:off x="0" y="0"/>
                      <a:ext cx="5648325" cy="7972425"/>
                    </a:xfrm>
                    <a:prstGeom prst="rect">
                      <a:avLst/>
                    </a:prstGeom>
                    <a:noFill/>
                    <a:ln>
                      <a:noFill/>
                    </a:ln>
                  </pic:spPr>
                </pic:pic>
              </a:graphicData>
            </a:graphic>
          </wp:inline>
        </w:drawing>
      </w:r>
      <w:r>
        <w:rPr>
          <w:color w:val="auto"/>
        </w:rPr>
        <w:drawing>
          <wp:inline distT="0" distB="0" distL="114300" distR="114300">
            <wp:extent cx="5600700" cy="8039100"/>
            <wp:effectExtent l="0" t="0" r="0" b="0"/>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51"/>
                    <a:stretch>
                      <a:fillRect/>
                    </a:stretch>
                  </pic:blipFill>
                  <pic:spPr>
                    <a:xfrm>
                      <a:off x="0" y="0"/>
                      <a:ext cx="5600700" cy="8039100"/>
                    </a:xfrm>
                    <a:prstGeom prst="rect">
                      <a:avLst/>
                    </a:prstGeom>
                    <a:noFill/>
                    <a:ln>
                      <a:noFill/>
                    </a:ln>
                  </pic:spPr>
                </pic:pic>
              </a:graphicData>
            </a:graphic>
          </wp:inline>
        </w:drawing>
      </w:r>
      <w:bookmarkEnd w:id="99"/>
    </w:p>
    <w:p w14:paraId="4BCD000C">
      <w:pPr>
        <w:pStyle w:val="45"/>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drawing>
          <wp:inline distT="0" distB="0" distL="114300" distR="114300">
            <wp:extent cx="5572125" cy="8048625"/>
            <wp:effectExtent l="0" t="0" r="9525" b="9525"/>
            <wp:docPr id="56" name="图片 56" descr="19a1e27e-e0b1-4617-9f0d-8c6acefff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19a1e27e-e0b1-4617-9f0d-8c6acefffe55"/>
                    <pic:cNvPicPr>
                      <a:picLocks noChangeAspect="1"/>
                    </pic:cNvPicPr>
                  </pic:nvPicPr>
                  <pic:blipFill>
                    <a:blip r:embed="rId52"/>
                    <a:stretch>
                      <a:fillRect/>
                    </a:stretch>
                  </pic:blipFill>
                  <pic:spPr>
                    <a:xfrm>
                      <a:off x="0" y="0"/>
                      <a:ext cx="5572125" cy="80486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715000" cy="7934325"/>
            <wp:effectExtent l="0" t="0" r="0" b="9525"/>
            <wp:docPr id="87" name="图片 87" descr="a4d13cfd-c2a0-472f-9080-bb17d830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a4d13cfd-c2a0-472f-9080-bb17d8307346"/>
                    <pic:cNvPicPr>
                      <a:picLocks noChangeAspect="1"/>
                    </pic:cNvPicPr>
                  </pic:nvPicPr>
                  <pic:blipFill>
                    <a:blip r:embed="rId53"/>
                    <a:stretch>
                      <a:fillRect/>
                    </a:stretch>
                  </pic:blipFill>
                  <pic:spPr>
                    <a:xfrm>
                      <a:off x="0" y="0"/>
                      <a:ext cx="5715000" cy="79343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686425" cy="7696200"/>
            <wp:effectExtent l="0" t="0" r="9525" b="0"/>
            <wp:docPr id="88" name="图片 88" descr="ff1e9791-8777-4a72-9141-8e9c66252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ff1e9791-8777-4a72-9141-8e9c66252cde"/>
                    <pic:cNvPicPr>
                      <a:picLocks noChangeAspect="1"/>
                    </pic:cNvPicPr>
                  </pic:nvPicPr>
                  <pic:blipFill>
                    <a:blip r:embed="rId54"/>
                    <a:stretch>
                      <a:fillRect/>
                    </a:stretch>
                  </pic:blipFill>
                  <pic:spPr>
                    <a:xfrm>
                      <a:off x="0" y="0"/>
                      <a:ext cx="5686425" cy="7696200"/>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543550" cy="7962900"/>
            <wp:effectExtent l="0" t="0" r="0" b="0"/>
            <wp:docPr id="92" name="图片 92" descr="05838e76-7da4-4c23-8465-bfb90711ee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05838e76-7da4-4c23-8465-bfb90711ee9e"/>
                    <pic:cNvPicPr>
                      <a:picLocks noChangeAspect="1"/>
                    </pic:cNvPicPr>
                  </pic:nvPicPr>
                  <pic:blipFill>
                    <a:blip r:embed="rId55"/>
                    <a:stretch>
                      <a:fillRect/>
                    </a:stretch>
                  </pic:blipFill>
                  <pic:spPr>
                    <a:xfrm>
                      <a:off x="0" y="0"/>
                      <a:ext cx="5543550" cy="7962900"/>
                    </a:xfrm>
                    <a:prstGeom prst="rect">
                      <a:avLst/>
                    </a:prstGeom>
                  </pic:spPr>
                </pic:pic>
              </a:graphicData>
            </a:graphic>
          </wp:inline>
        </w:drawing>
      </w:r>
    </w:p>
    <w:p w14:paraId="042260AB">
      <w:pPr>
        <w:pStyle w:val="18"/>
        <w:rPr>
          <w:rFonts w:hint="default" w:ascii="Times New Roman" w:hAnsi="Times New Roman" w:eastAsia="宋体" w:cs="Times New Roman"/>
          <w:color w:val="auto"/>
          <w:lang w:eastAsia="zh-CN"/>
        </w:rPr>
      </w:pPr>
    </w:p>
    <w:p w14:paraId="5EB54312">
      <w:pPr>
        <w:pStyle w:val="14"/>
        <w:rPr>
          <w:rFonts w:hint="default"/>
          <w:color w:val="auto"/>
          <w:lang w:eastAsia="zh-CN"/>
        </w:rPr>
      </w:pPr>
    </w:p>
    <w:p w14:paraId="14FF8C0D">
      <w:pPr>
        <w:rPr>
          <w:rFonts w:hint="default"/>
          <w:color w:val="auto"/>
          <w:lang w:eastAsia="zh-CN"/>
        </w:rPr>
      </w:pPr>
    </w:p>
    <w:p w14:paraId="085013D9">
      <w:pPr>
        <w:rPr>
          <w:rFonts w:hint="default"/>
          <w:color w:val="auto"/>
          <w:lang w:eastAsia="zh-CN"/>
        </w:rPr>
      </w:pPr>
    </w:p>
    <w:p w14:paraId="17CA7374">
      <w:pPr>
        <w:rPr>
          <w:rFonts w:hint="default"/>
          <w:color w:val="auto"/>
          <w:lang w:eastAsia="zh-CN"/>
        </w:rPr>
      </w:pPr>
    </w:p>
    <w:p w14:paraId="186EEE8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eastAsia="黑体" w:cs="Times New Roman"/>
          <w:b w:val="0"/>
          <w:bCs w:val="0"/>
          <w:color w:val="auto"/>
          <w:sz w:val="28"/>
          <w:szCs w:val="28"/>
          <w:lang w:val="en-US" w:eastAsia="zh-CN"/>
        </w:rPr>
      </w:pPr>
      <w:bookmarkStart w:id="100" w:name="_Toc12840"/>
      <w:r>
        <w:rPr>
          <w:rFonts w:hint="eastAsia" w:eastAsia="黑体" w:cs="Times New Roman"/>
          <w:b w:val="0"/>
          <w:bCs w:val="0"/>
          <w:color w:val="auto"/>
          <w:sz w:val="28"/>
          <w:szCs w:val="28"/>
          <w:lang w:eastAsia="zh-CN"/>
        </w:rPr>
        <w:t>附件</w:t>
      </w:r>
      <w:r>
        <w:rPr>
          <w:rFonts w:hint="eastAsia" w:eastAsia="黑体" w:cs="Times New Roman"/>
          <w:b w:val="0"/>
          <w:bCs w:val="0"/>
          <w:color w:val="auto"/>
          <w:sz w:val="28"/>
          <w:szCs w:val="28"/>
          <w:lang w:val="en-US" w:eastAsia="zh-CN"/>
        </w:rPr>
        <w:t>4排污许可证</w:t>
      </w:r>
      <w:bookmarkEnd w:id="100"/>
    </w:p>
    <w:p w14:paraId="0E9F5A9C">
      <w:pPr>
        <w:pStyle w:val="15"/>
        <w:rPr>
          <w:rFonts w:hint="default"/>
          <w:color w:val="auto"/>
          <w:lang w:val="en-US" w:eastAsia="zh-CN"/>
        </w:rPr>
      </w:pPr>
      <w:r>
        <w:rPr>
          <w:rFonts w:hint="default"/>
          <w:color w:val="auto"/>
          <w:lang w:val="en-US" w:eastAsia="zh-CN"/>
        </w:rPr>
        <w:drawing>
          <wp:inline distT="0" distB="0" distL="114300" distR="114300">
            <wp:extent cx="6115685" cy="4311650"/>
            <wp:effectExtent l="0" t="0" r="18415" b="12700"/>
            <wp:docPr id="100" name="图片 100" descr="0448232beba7ea9d6b460f4aafc5d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0448232beba7ea9d6b460f4aafc5d82b"/>
                    <pic:cNvPicPr>
                      <a:picLocks noChangeAspect="1"/>
                    </pic:cNvPicPr>
                  </pic:nvPicPr>
                  <pic:blipFill>
                    <a:blip r:embed="rId56"/>
                    <a:stretch>
                      <a:fillRect/>
                    </a:stretch>
                  </pic:blipFill>
                  <pic:spPr>
                    <a:xfrm>
                      <a:off x="0" y="0"/>
                      <a:ext cx="6115685" cy="4311650"/>
                    </a:xfrm>
                    <a:prstGeom prst="rect">
                      <a:avLst/>
                    </a:prstGeom>
                  </pic:spPr>
                </pic:pic>
              </a:graphicData>
            </a:graphic>
          </wp:inline>
        </w:drawing>
      </w:r>
    </w:p>
    <w:p w14:paraId="5C7605A9">
      <w:pPr>
        <w:pStyle w:val="16"/>
        <w:rPr>
          <w:rFonts w:hint="default"/>
          <w:color w:val="auto"/>
          <w:lang w:val="en-US" w:eastAsia="zh-CN"/>
        </w:rPr>
      </w:pPr>
    </w:p>
    <w:p w14:paraId="55F364AB">
      <w:pPr>
        <w:pStyle w:val="17"/>
        <w:rPr>
          <w:rFonts w:hint="default"/>
          <w:color w:val="auto"/>
          <w:lang w:val="en-US" w:eastAsia="zh-CN"/>
        </w:rPr>
      </w:pPr>
    </w:p>
    <w:p w14:paraId="5C0678C2">
      <w:pPr>
        <w:rPr>
          <w:rFonts w:hint="default"/>
          <w:color w:val="auto"/>
          <w:lang w:val="en-US" w:eastAsia="zh-CN"/>
        </w:rPr>
      </w:pPr>
    </w:p>
    <w:p w14:paraId="41D837D1">
      <w:pPr>
        <w:rPr>
          <w:rFonts w:hint="default"/>
          <w:color w:val="auto"/>
          <w:lang w:val="en-US" w:eastAsia="zh-CN"/>
        </w:rPr>
      </w:pPr>
    </w:p>
    <w:p w14:paraId="3A4D6B14">
      <w:pPr>
        <w:rPr>
          <w:rFonts w:hint="default"/>
          <w:color w:val="auto"/>
          <w:lang w:val="en-US" w:eastAsia="zh-CN"/>
        </w:rPr>
      </w:pPr>
    </w:p>
    <w:p w14:paraId="7DAD049F">
      <w:pPr>
        <w:rPr>
          <w:rFonts w:hint="default"/>
          <w:color w:val="auto"/>
          <w:lang w:val="en-US" w:eastAsia="zh-CN"/>
        </w:rPr>
      </w:pPr>
    </w:p>
    <w:p w14:paraId="040A59AD">
      <w:pPr>
        <w:rPr>
          <w:rFonts w:hint="default"/>
          <w:color w:val="auto"/>
          <w:lang w:val="en-US" w:eastAsia="zh-CN"/>
        </w:rPr>
      </w:pPr>
    </w:p>
    <w:p w14:paraId="42A7C381">
      <w:pPr>
        <w:rPr>
          <w:rFonts w:hint="default"/>
          <w:color w:val="auto"/>
          <w:lang w:val="en-US" w:eastAsia="zh-CN"/>
        </w:rPr>
      </w:pPr>
    </w:p>
    <w:p w14:paraId="33A4BC14">
      <w:pPr>
        <w:rPr>
          <w:rFonts w:hint="default"/>
          <w:color w:val="auto"/>
          <w:lang w:val="en-US" w:eastAsia="zh-CN"/>
        </w:rPr>
      </w:pPr>
    </w:p>
    <w:p w14:paraId="60A6662B">
      <w:pPr>
        <w:rPr>
          <w:rFonts w:hint="default"/>
          <w:color w:val="auto"/>
          <w:lang w:val="en-US" w:eastAsia="zh-CN"/>
        </w:rPr>
      </w:pPr>
    </w:p>
    <w:p w14:paraId="6DEF9DE2">
      <w:pPr>
        <w:rPr>
          <w:rFonts w:hint="default"/>
          <w:color w:val="auto"/>
          <w:lang w:val="en-US" w:eastAsia="zh-CN"/>
        </w:rPr>
      </w:pPr>
    </w:p>
    <w:p w14:paraId="359D2276">
      <w:pPr>
        <w:rPr>
          <w:rFonts w:hint="default"/>
          <w:color w:val="auto"/>
          <w:lang w:val="en-US" w:eastAsia="zh-CN"/>
        </w:rPr>
      </w:pPr>
    </w:p>
    <w:p w14:paraId="065C5304">
      <w:pPr>
        <w:rPr>
          <w:rFonts w:hint="default"/>
          <w:color w:val="auto"/>
          <w:lang w:val="en-US" w:eastAsia="zh-CN"/>
        </w:rPr>
      </w:pPr>
    </w:p>
    <w:p w14:paraId="0D645088">
      <w:pPr>
        <w:rPr>
          <w:rFonts w:hint="default"/>
          <w:color w:val="auto"/>
          <w:lang w:val="en-US" w:eastAsia="zh-CN"/>
        </w:rPr>
      </w:pPr>
    </w:p>
    <w:p w14:paraId="3E8AFE25">
      <w:pPr>
        <w:rPr>
          <w:rFonts w:hint="default"/>
          <w:color w:val="auto"/>
          <w:lang w:val="en-US" w:eastAsia="zh-CN"/>
        </w:rPr>
      </w:pPr>
    </w:p>
    <w:p w14:paraId="7C2C0BFC">
      <w:pPr>
        <w:rPr>
          <w:rFonts w:hint="default"/>
          <w:color w:val="auto"/>
          <w:lang w:val="en-US" w:eastAsia="zh-CN"/>
        </w:rPr>
      </w:pPr>
    </w:p>
    <w:p w14:paraId="3E73020A">
      <w:pPr>
        <w:rPr>
          <w:rFonts w:hint="default"/>
          <w:color w:val="auto"/>
          <w:lang w:val="en-US" w:eastAsia="zh-CN"/>
        </w:rPr>
      </w:pPr>
    </w:p>
    <w:p w14:paraId="51A35296">
      <w:pPr>
        <w:rPr>
          <w:rFonts w:hint="default"/>
          <w:color w:val="auto"/>
          <w:lang w:val="en-US" w:eastAsia="zh-CN"/>
        </w:rPr>
      </w:pPr>
    </w:p>
    <w:p w14:paraId="0589E334">
      <w:pPr>
        <w:rPr>
          <w:rFonts w:hint="default"/>
          <w:color w:val="auto"/>
          <w:lang w:val="en-US" w:eastAsia="zh-CN"/>
        </w:rPr>
      </w:pPr>
    </w:p>
    <w:p w14:paraId="4255786B">
      <w:pPr>
        <w:rPr>
          <w:rFonts w:hint="default"/>
          <w:color w:val="auto"/>
          <w:lang w:val="en-US" w:eastAsia="zh-CN"/>
        </w:rPr>
      </w:pPr>
    </w:p>
    <w:p w14:paraId="75648371">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eastAsia="黑体" w:cs="Times New Roman"/>
          <w:b w:val="0"/>
          <w:bCs w:val="0"/>
          <w:color w:val="auto"/>
          <w:sz w:val="28"/>
          <w:szCs w:val="28"/>
          <w:lang w:val="en-US" w:eastAsia="zh-CN"/>
        </w:rPr>
      </w:pPr>
      <w:bookmarkStart w:id="101" w:name="_Toc8804"/>
      <w:r>
        <w:rPr>
          <w:rFonts w:hint="eastAsia" w:eastAsia="黑体" w:cs="Times New Roman"/>
          <w:b w:val="0"/>
          <w:bCs w:val="0"/>
          <w:color w:val="auto"/>
          <w:sz w:val="28"/>
          <w:szCs w:val="28"/>
          <w:lang w:eastAsia="zh-CN"/>
        </w:rPr>
        <w:t>附件</w:t>
      </w:r>
      <w:r>
        <w:rPr>
          <w:rFonts w:hint="eastAsia" w:eastAsia="黑体" w:cs="Times New Roman"/>
          <w:b w:val="0"/>
          <w:bCs w:val="0"/>
          <w:color w:val="auto"/>
          <w:sz w:val="28"/>
          <w:szCs w:val="28"/>
          <w:lang w:val="en-US" w:eastAsia="zh-CN"/>
        </w:rPr>
        <w:t>5轻质柴油成分分析报告</w:t>
      </w:r>
      <w:bookmarkEnd w:id="101"/>
    </w:p>
    <w:p w14:paraId="52062F47">
      <w:pPr>
        <w:pStyle w:val="103"/>
        <w:bidi w:val="0"/>
        <w:rPr>
          <w:rFonts w:hint="default"/>
          <w:color w:val="auto"/>
          <w:lang w:val="en-US" w:eastAsia="zh-CN"/>
        </w:rPr>
      </w:pPr>
      <w:r>
        <w:rPr>
          <w:rFonts w:hint="default"/>
          <w:color w:val="auto"/>
          <w:lang w:val="en-US" w:eastAsia="zh-CN"/>
        </w:rPr>
        <w:drawing>
          <wp:inline distT="0" distB="0" distL="114300" distR="114300">
            <wp:extent cx="5610860" cy="7934960"/>
            <wp:effectExtent l="0" t="0" r="8890" b="8890"/>
            <wp:docPr id="97" name="图片 8" descr="产品检验报告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 descr="产品检验报告单_04"/>
                    <pic:cNvPicPr>
                      <a:picLocks noChangeAspect="1"/>
                    </pic:cNvPicPr>
                  </pic:nvPicPr>
                  <pic:blipFill>
                    <a:blip r:embed="rId57"/>
                    <a:stretch>
                      <a:fillRect/>
                    </a:stretch>
                  </pic:blipFill>
                  <pic:spPr>
                    <a:xfrm>
                      <a:off x="0" y="0"/>
                      <a:ext cx="5610860" cy="7934960"/>
                    </a:xfrm>
                    <a:prstGeom prst="rect">
                      <a:avLst/>
                    </a:prstGeom>
                    <a:noFill/>
                    <a:ln>
                      <a:noFill/>
                    </a:ln>
                  </pic:spPr>
                </pic:pic>
              </a:graphicData>
            </a:graphic>
          </wp:inline>
        </w:drawing>
      </w:r>
    </w:p>
    <w:p w14:paraId="60F1B532">
      <w:pPr>
        <w:pStyle w:val="103"/>
        <w:bidi w:val="0"/>
        <w:rPr>
          <w:rFonts w:hint="default"/>
          <w:color w:val="auto"/>
          <w:lang w:val="en-US" w:eastAsia="zh-CN"/>
        </w:rPr>
      </w:pPr>
    </w:p>
    <w:p w14:paraId="1D679B2D">
      <w:pPr>
        <w:pStyle w:val="103"/>
        <w:bidi w:val="0"/>
        <w:rPr>
          <w:rFonts w:hint="default"/>
          <w:color w:val="auto"/>
          <w:lang w:val="en-US" w:eastAsia="zh-CN"/>
        </w:rPr>
      </w:pPr>
    </w:p>
    <w:p w14:paraId="5BAE1814">
      <w:pPr>
        <w:pStyle w:val="103"/>
        <w:bidi w:val="0"/>
        <w:rPr>
          <w:rFonts w:hint="default"/>
          <w:color w:val="auto"/>
          <w:lang w:val="en-US" w:eastAsia="zh-CN"/>
        </w:rPr>
      </w:pPr>
    </w:p>
    <w:p w14:paraId="1BC0879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lang w:val="en-US" w:eastAsia="zh-CN"/>
        </w:rPr>
      </w:pPr>
      <w:bookmarkStart w:id="102" w:name="_Toc26643"/>
      <w:r>
        <w:rPr>
          <w:rFonts w:hint="default" w:ascii="Times New Roman" w:hAnsi="Times New Roman" w:eastAsia="黑体" w:cs="Times New Roman"/>
          <w:b w:val="0"/>
          <w:bCs w:val="0"/>
          <w:color w:val="auto"/>
          <w:sz w:val="28"/>
          <w:szCs w:val="28"/>
        </w:rPr>
        <w:t>附件</w:t>
      </w:r>
      <w:r>
        <w:rPr>
          <w:rFonts w:hint="eastAsia" w:eastAsia="黑体" w:cs="Times New Roman"/>
          <w:b w:val="0"/>
          <w:bCs w:val="0"/>
          <w:color w:val="auto"/>
          <w:sz w:val="28"/>
          <w:szCs w:val="28"/>
          <w:lang w:val="en-US" w:eastAsia="zh-CN"/>
        </w:rPr>
        <w:t>6现状监测报告</w:t>
      </w:r>
      <w:bookmarkEnd w:id="102"/>
    </w:p>
    <w:p w14:paraId="619FC935">
      <w:pPr>
        <w:pStyle w:val="14"/>
        <w:rPr>
          <w:color w:val="auto"/>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r>
        <w:rPr>
          <w:color w:val="auto"/>
        </w:rPr>
        <w:drawing>
          <wp:inline distT="0" distB="0" distL="114300" distR="114300">
            <wp:extent cx="7778750" cy="5497830"/>
            <wp:effectExtent l="0" t="0" r="7620" b="12700"/>
            <wp:docPr id="6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3"/>
                    <pic:cNvPicPr>
                      <a:picLocks noChangeAspect="1"/>
                    </pic:cNvPicPr>
                  </pic:nvPicPr>
                  <pic:blipFill>
                    <a:blip r:embed="rId58"/>
                    <a:stretch>
                      <a:fillRect/>
                    </a:stretch>
                  </pic:blipFill>
                  <pic:spPr>
                    <a:xfrm rot="16200000">
                      <a:off x="0" y="0"/>
                      <a:ext cx="7778750" cy="5497830"/>
                    </a:xfrm>
                    <a:prstGeom prst="rect">
                      <a:avLst/>
                    </a:prstGeom>
                    <a:noFill/>
                    <a:ln>
                      <a:noFill/>
                    </a:ln>
                  </pic:spPr>
                </pic:pic>
              </a:graphicData>
            </a:graphic>
          </wp:inline>
        </w:drawing>
      </w:r>
      <w:r>
        <w:rPr>
          <w:color w:val="auto"/>
        </w:rPr>
        <w:drawing>
          <wp:inline distT="0" distB="0" distL="114300" distR="114300">
            <wp:extent cx="7892415" cy="5579110"/>
            <wp:effectExtent l="0" t="0" r="2540" b="13335"/>
            <wp:docPr id="9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4"/>
                    <pic:cNvPicPr>
                      <a:picLocks noChangeAspect="1"/>
                    </pic:cNvPicPr>
                  </pic:nvPicPr>
                  <pic:blipFill>
                    <a:blip r:embed="rId59"/>
                    <a:stretch>
                      <a:fillRect/>
                    </a:stretch>
                  </pic:blipFill>
                  <pic:spPr>
                    <a:xfrm rot="16200000">
                      <a:off x="0" y="0"/>
                      <a:ext cx="7892415" cy="5579110"/>
                    </a:xfrm>
                    <a:prstGeom prst="rect">
                      <a:avLst/>
                    </a:prstGeom>
                    <a:noFill/>
                    <a:ln>
                      <a:noFill/>
                    </a:ln>
                  </pic:spPr>
                </pic:pic>
              </a:graphicData>
            </a:graphic>
          </wp:inline>
        </w:drawing>
      </w:r>
      <w:r>
        <w:rPr>
          <w:color w:val="auto"/>
        </w:rPr>
        <w:drawing>
          <wp:inline distT="0" distB="0" distL="114300" distR="114300">
            <wp:extent cx="8112760" cy="5734685"/>
            <wp:effectExtent l="0" t="0" r="18415" b="2540"/>
            <wp:docPr id="1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5"/>
                    <pic:cNvPicPr>
                      <a:picLocks noChangeAspect="1"/>
                    </pic:cNvPicPr>
                  </pic:nvPicPr>
                  <pic:blipFill>
                    <a:blip r:embed="rId60"/>
                    <a:stretch>
                      <a:fillRect/>
                    </a:stretch>
                  </pic:blipFill>
                  <pic:spPr>
                    <a:xfrm rot="16200000">
                      <a:off x="0" y="0"/>
                      <a:ext cx="8112760" cy="5734685"/>
                    </a:xfrm>
                    <a:prstGeom prst="rect">
                      <a:avLst/>
                    </a:prstGeom>
                    <a:noFill/>
                    <a:ln>
                      <a:noFill/>
                    </a:ln>
                  </pic:spPr>
                </pic:pic>
              </a:graphicData>
            </a:graphic>
          </wp:inline>
        </w:drawing>
      </w:r>
      <w:r>
        <w:rPr>
          <w:color w:val="auto"/>
        </w:rPr>
        <w:drawing>
          <wp:inline distT="0" distB="0" distL="114300" distR="114300">
            <wp:extent cx="8150860" cy="5761355"/>
            <wp:effectExtent l="0" t="0" r="10795" b="2540"/>
            <wp:docPr id="1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6"/>
                    <pic:cNvPicPr>
                      <a:picLocks noChangeAspect="1"/>
                    </pic:cNvPicPr>
                  </pic:nvPicPr>
                  <pic:blipFill>
                    <a:blip r:embed="rId61"/>
                    <a:stretch>
                      <a:fillRect/>
                    </a:stretch>
                  </pic:blipFill>
                  <pic:spPr>
                    <a:xfrm rot="16200000">
                      <a:off x="0" y="0"/>
                      <a:ext cx="8150860" cy="5761355"/>
                    </a:xfrm>
                    <a:prstGeom prst="rect">
                      <a:avLst/>
                    </a:prstGeom>
                    <a:noFill/>
                    <a:ln>
                      <a:noFill/>
                    </a:ln>
                  </pic:spPr>
                </pic:pic>
              </a:graphicData>
            </a:graphic>
          </wp:inline>
        </w:drawing>
      </w:r>
      <w:r>
        <w:rPr>
          <w:color w:val="auto"/>
        </w:rPr>
        <w:drawing>
          <wp:inline distT="0" distB="0" distL="114300" distR="114300">
            <wp:extent cx="8025765" cy="5672455"/>
            <wp:effectExtent l="0" t="0" r="4445" b="13335"/>
            <wp:docPr id="1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7"/>
                    <pic:cNvPicPr>
                      <a:picLocks noChangeAspect="1"/>
                    </pic:cNvPicPr>
                  </pic:nvPicPr>
                  <pic:blipFill>
                    <a:blip r:embed="rId62"/>
                    <a:stretch>
                      <a:fillRect/>
                    </a:stretch>
                  </pic:blipFill>
                  <pic:spPr>
                    <a:xfrm rot="16200000">
                      <a:off x="0" y="0"/>
                      <a:ext cx="8025765" cy="5672455"/>
                    </a:xfrm>
                    <a:prstGeom prst="rect">
                      <a:avLst/>
                    </a:prstGeom>
                    <a:noFill/>
                    <a:ln>
                      <a:noFill/>
                    </a:ln>
                  </pic:spPr>
                </pic:pic>
              </a:graphicData>
            </a:graphic>
          </wp:inline>
        </w:drawing>
      </w:r>
      <w:r>
        <w:rPr>
          <w:color w:val="auto"/>
        </w:rPr>
        <w:drawing>
          <wp:inline distT="0" distB="0" distL="114300" distR="114300">
            <wp:extent cx="8159115" cy="5767070"/>
            <wp:effectExtent l="0" t="0" r="5080" b="13335"/>
            <wp:docPr id="15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8"/>
                    <pic:cNvPicPr>
                      <a:picLocks noChangeAspect="1"/>
                    </pic:cNvPicPr>
                  </pic:nvPicPr>
                  <pic:blipFill>
                    <a:blip r:embed="rId63"/>
                    <a:stretch>
                      <a:fillRect/>
                    </a:stretch>
                  </pic:blipFill>
                  <pic:spPr>
                    <a:xfrm rot="16200000">
                      <a:off x="0" y="0"/>
                      <a:ext cx="8159115" cy="5767070"/>
                    </a:xfrm>
                    <a:prstGeom prst="rect">
                      <a:avLst/>
                    </a:prstGeom>
                    <a:noFill/>
                    <a:ln>
                      <a:noFill/>
                    </a:ln>
                  </pic:spPr>
                </pic:pic>
              </a:graphicData>
            </a:graphic>
          </wp:inline>
        </w:drawing>
      </w:r>
      <w:r>
        <w:rPr>
          <w:color w:val="auto"/>
        </w:rPr>
        <w:drawing>
          <wp:inline distT="0" distB="0" distL="114300" distR="114300">
            <wp:extent cx="8302625" cy="5868670"/>
            <wp:effectExtent l="0" t="0" r="17780" b="3175"/>
            <wp:docPr id="1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9"/>
                    <pic:cNvPicPr>
                      <a:picLocks noChangeAspect="1"/>
                    </pic:cNvPicPr>
                  </pic:nvPicPr>
                  <pic:blipFill>
                    <a:blip r:embed="rId64"/>
                    <a:stretch>
                      <a:fillRect/>
                    </a:stretch>
                  </pic:blipFill>
                  <pic:spPr>
                    <a:xfrm rot="16200000">
                      <a:off x="0" y="0"/>
                      <a:ext cx="8302625" cy="5868670"/>
                    </a:xfrm>
                    <a:prstGeom prst="rect">
                      <a:avLst/>
                    </a:prstGeom>
                    <a:noFill/>
                    <a:ln>
                      <a:noFill/>
                    </a:ln>
                  </pic:spPr>
                </pic:pic>
              </a:graphicData>
            </a:graphic>
          </wp:inline>
        </w:drawing>
      </w:r>
    </w:p>
    <w:p w14:paraId="0BB8EB4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lang w:val="en-US" w:eastAsia="zh-CN"/>
        </w:rPr>
      </w:pPr>
      <w:bookmarkStart w:id="103" w:name="_Toc4813"/>
      <w:r>
        <w:rPr>
          <w:rFonts w:hint="default" w:ascii="Times New Roman" w:hAnsi="Times New Roman" w:eastAsia="黑体" w:cs="Times New Roman"/>
          <w:b w:val="0"/>
          <w:bCs w:val="0"/>
          <w:color w:val="auto"/>
          <w:sz w:val="28"/>
          <w:szCs w:val="28"/>
        </w:rPr>
        <w:t>附件</w:t>
      </w:r>
      <w:r>
        <w:rPr>
          <w:rFonts w:hint="eastAsia" w:eastAsia="黑体" w:cs="Times New Roman"/>
          <w:b w:val="0"/>
          <w:bCs w:val="0"/>
          <w:color w:val="auto"/>
          <w:sz w:val="28"/>
          <w:szCs w:val="28"/>
          <w:lang w:val="en-US" w:eastAsia="zh-CN"/>
        </w:rPr>
        <w:t>7分区管控报告</w:t>
      </w:r>
      <w:bookmarkEnd w:id="103"/>
    </w:p>
    <w:p w14:paraId="55D8725C">
      <w:pPr>
        <w:rPr>
          <w:rFonts w:hint="default"/>
          <w:color w:val="auto"/>
          <w:lang w:eastAsia="zh-CN"/>
        </w:rPr>
      </w:pPr>
      <w:r>
        <w:rPr>
          <w:rFonts w:hint="default"/>
          <w:color w:val="auto"/>
          <w:lang w:eastAsia="zh-CN"/>
        </w:rPr>
        <w:drawing>
          <wp:inline distT="0" distB="0" distL="114300" distR="114300">
            <wp:extent cx="6118225" cy="2227580"/>
            <wp:effectExtent l="0" t="0" r="15875" b="1270"/>
            <wp:docPr id="8" name="图片 8" descr="bdb3adfd-3e54-4dd7-b927-84cc2c3d9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db3adfd-3e54-4dd7-b927-84cc2c3d9d65"/>
                    <pic:cNvPicPr>
                      <a:picLocks noChangeAspect="1"/>
                    </pic:cNvPicPr>
                  </pic:nvPicPr>
                  <pic:blipFill>
                    <a:blip r:embed="rId65"/>
                    <a:stretch>
                      <a:fillRect/>
                    </a:stretch>
                  </pic:blipFill>
                  <pic:spPr>
                    <a:xfrm>
                      <a:off x="0" y="0"/>
                      <a:ext cx="6118225" cy="2227580"/>
                    </a:xfrm>
                    <a:prstGeom prst="rect">
                      <a:avLst/>
                    </a:prstGeom>
                  </pic:spPr>
                </pic:pic>
              </a:graphicData>
            </a:graphic>
          </wp:inline>
        </w:drawing>
      </w:r>
      <w:r>
        <w:rPr>
          <w:rFonts w:hint="default"/>
          <w:color w:val="auto"/>
          <w:lang w:eastAsia="zh-CN"/>
        </w:rPr>
        <w:drawing>
          <wp:inline distT="0" distB="0" distL="114300" distR="114300">
            <wp:extent cx="6116955" cy="3651885"/>
            <wp:effectExtent l="0" t="0" r="17145" b="5715"/>
            <wp:docPr id="9" name="图片 9" descr="c7424d04-ed12-46a4-8c17-28bf0c0dc1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7424d04-ed12-46a4-8c17-28bf0c0dc1eb"/>
                    <pic:cNvPicPr>
                      <a:picLocks noChangeAspect="1"/>
                    </pic:cNvPicPr>
                  </pic:nvPicPr>
                  <pic:blipFill>
                    <a:blip r:embed="rId66"/>
                    <a:stretch>
                      <a:fillRect/>
                    </a:stretch>
                  </pic:blipFill>
                  <pic:spPr>
                    <a:xfrm>
                      <a:off x="0" y="0"/>
                      <a:ext cx="6116955" cy="3651885"/>
                    </a:xfrm>
                    <a:prstGeom prst="rect">
                      <a:avLst/>
                    </a:prstGeom>
                  </pic:spPr>
                </pic:pic>
              </a:graphicData>
            </a:graphic>
          </wp:inline>
        </w:drawing>
      </w:r>
      <w:r>
        <w:rPr>
          <w:rFonts w:hint="default"/>
          <w:color w:val="auto"/>
          <w:lang w:eastAsia="zh-CN"/>
        </w:rPr>
        <w:drawing>
          <wp:inline distT="0" distB="0" distL="114300" distR="114300">
            <wp:extent cx="6109970" cy="3768090"/>
            <wp:effectExtent l="0" t="0" r="5080" b="3810"/>
            <wp:docPr id="10" name="图片 10" descr="d0d850ed-a358-4d66-b63a-79d7d055ee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0d850ed-a358-4d66-b63a-79d7d055ee5f"/>
                    <pic:cNvPicPr>
                      <a:picLocks noChangeAspect="1"/>
                    </pic:cNvPicPr>
                  </pic:nvPicPr>
                  <pic:blipFill>
                    <a:blip r:embed="rId67"/>
                    <a:stretch>
                      <a:fillRect/>
                    </a:stretch>
                  </pic:blipFill>
                  <pic:spPr>
                    <a:xfrm>
                      <a:off x="0" y="0"/>
                      <a:ext cx="6109970" cy="3768090"/>
                    </a:xfrm>
                    <a:prstGeom prst="rect">
                      <a:avLst/>
                    </a:prstGeom>
                  </pic:spPr>
                </pic:pic>
              </a:graphicData>
            </a:graphic>
          </wp:inline>
        </w:drawing>
      </w:r>
      <w:r>
        <w:rPr>
          <w:rFonts w:hint="default"/>
          <w:color w:val="auto"/>
          <w:lang w:eastAsia="zh-CN"/>
        </w:rPr>
        <w:drawing>
          <wp:inline distT="0" distB="0" distL="114300" distR="114300">
            <wp:extent cx="6119495" cy="3583305"/>
            <wp:effectExtent l="0" t="0" r="14605" b="17145"/>
            <wp:docPr id="11" name="图片 11" descr="99f908e2-a3cc-4043-8dde-2ba6435a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9f908e2-a3cc-4043-8dde-2ba6435a3469"/>
                    <pic:cNvPicPr>
                      <a:picLocks noChangeAspect="1"/>
                    </pic:cNvPicPr>
                  </pic:nvPicPr>
                  <pic:blipFill>
                    <a:blip r:embed="rId68"/>
                    <a:stretch>
                      <a:fillRect/>
                    </a:stretch>
                  </pic:blipFill>
                  <pic:spPr>
                    <a:xfrm>
                      <a:off x="0" y="0"/>
                      <a:ext cx="6119495" cy="3583305"/>
                    </a:xfrm>
                    <a:prstGeom prst="rect">
                      <a:avLst/>
                    </a:prstGeom>
                  </pic:spPr>
                </pic:pic>
              </a:graphicData>
            </a:graphic>
          </wp:inline>
        </w:drawing>
      </w:r>
      <w:r>
        <w:rPr>
          <w:rFonts w:hint="default"/>
          <w:color w:val="auto"/>
          <w:lang w:eastAsia="zh-CN"/>
        </w:rPr>
        <w:drawing>
          <wp:inline distT="0" distB="0" distL="114300" distR="114300">
            <wp:extent cx="6115685" cy="4067175"/>
            <wp:effectExtent l="0" t="0" r="18415" b="9525"/>
            <wp:docPr id="12" name="图片 12" descr="832332c9-d9e1-4781-b9e5-eb6d889f7d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32332c9-d9e1-4781-b9e5-eb6d889f7df8"/>
                    <pic:cNvPicPr>
                      <a:picLocks noChangeAspect="1"/>
                    </pic:cNvPicPr>
                  </pic:nvPicPr>
                  <pic:blipFill>
                    <a:blip r:embed="rId69"/>
                    <a:stretch>
                      <a:fillRect/>
                    </a:stretch>
                  </pic:blipFill>
                  <pic:spPr>
                    <a:xfrm>
                      <a:off x="0" y="0"/>
                      <a:ext cx="6115685" cy="4067175"/>
                    </a:xfrm>
                    <a:prstGeom prst="rect">
                      <a:avLst/>
                    </a:prstGeom>
                  </pic:spPr>
                </pic:pic>
              </a:graphicData>
            </a:graphic>
          </wp:inline>
        </w:drawing>
      </w:r>
      <w:r>
        <w:rPr>
          <w:rFonts w:hint="default"/>
          <w:color w:val="auto"/>
          <w:lang w:eastAsia="zh-CN"/>
        </w:rPr>
        <w:drawing>
          <wp:inline distT="0" distB="0" distL="114300" distR="114300">
            <wp:extent cx="6116320" cy="4135120"/>
            <wp:effectExtent l="0" t="0" r="17780" b="17780"/>
            <wp:docPr id="13" name="图片 13" descr="8d352181-bddd-443d-884d-53be3506c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d352181-bddd-443d-884d-53be3506cbd1"/>
                    <pic:cNvPicPr>
                      <a:picLocks noChangeAspect="1"/>
                    </pic:cNvPicPr>
                  </pic:nvPicPr>
                  <pic:blipFill>
                    <a:blip r:embed="rId70"/>
                    <a:stretch>
                      <a:fillRect/>
                    </a:stretch>
                  </pic:blipFill>
                  <pic:spPr>
                    <a:xfrm>
                      <a:off x="0" y="0"/>
                      <a:ext cx="6116320" cy="4135120"/>
                    </a:xfrm>
                    <a:prstGeom prst="rect">
                      <a:avLst/>
                    </a:prstGeom>
                  </pic:spPr>
                </pic:pic>
              </a:graphicData>
            </a:graphic>
          </wp:inline>
        </w:drawing>
      </w:r>
      <w:r>
        <w:rPr>
          <w:rFonts w:hint="default"/>
          <w:color w:val="auto"/>
          <w:lang w:eastAsia="zh-CN"/>
        </w:rPr>
        <w:drawing>
          <wp:inline distT="0" distB="0" distL="114300" distR="114300">
            <wp:extent cx="6113145" cy="3943985"/>
            <wp:effectExtent l="0" t="0" r="1905" b="18415"/>
            <wp:docPr id="14" name="图片 14" descr="2de86179-3b37-40a0-87a7-18dc7ca2d9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de86179-3b37-40a0-87a7-18dc7ca2d9fe"/>
                    <pic:cNvPicPr>
                      <a:picLocks noChangeAspect="1"/>
                    </pic:cNvPicPr>
                  </pic:nvPicPr>
                  <pic:blipFill>
                    <a:blip r:embed="rId71"/>
                    <a:stretch>
                      <a:fillRect/>
                    </a:stretch>
                  </pic:blipFill>
                  <pic:spPr>
                    <a:xfrm>
                      <a:off x="0" y="0"/>
                      <a:ext cx="6113145" cy="3943985"/>
                    </a:xfrm>
                    <a:prstGeom prst="rect">
                      <a:avLst/>
                    </a:prstGeom>
                  </pic:spPr>
                </pic:pic>
              </a:graphicData>
            </a:graphic>
          </wp:inline>
        </w:drawing>
      </w:r>
      <w:r>
        <w:rPr>
          <w:rFonts w:hint="default"/>
          <w:color w:val="auto"/>
          <w:lang w:eastAsia="zh-CN"/>
        </w:rPr>
        <w:drawing>
          <wp:inline distT="0" distB="0" distL="114300" distR="114300">
            <wp:extent cx="6113780" cy="4142105"/>
            <wp:effectExtent l="0" t="0" r="1270" b="10795"/>
            <wp:docPr id="15" name="图片 15" descr="218d5873-9f97-4b75-bcd0-a1dd5040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18d5873-9f97-4b75-bcd0-a1dd50405015"/>
                    <pic:cNvPicPr>
                      <a:picLocks noChangeAspect="1"/>
                    </pic:cNvPicPr>
                  </pic:nvPicPr>
                  <pic:blipFill>
                    <a:blip r:embed="rId72"/>
                    <a:stretch>
                      <a:fillRect/>
                    </a:stretch>
                  </pic:blipFill>
                  <pic:spPr>
                    <a:xfrm>
                      <a:off x="0" y="0"/>
                      <a:ext cx="6113780" cy="4142105"/>
                    </a:xfrm>
                    <a:prstGeom prst="rect">
                      <a:avLst/>
                    </a:prstGeom>
                  </pic:spPr>
                </pic:pic>
              </a:graphicData>
            </a:graphic>
          </wp:inline>
        </w:drawing>
      </w:r>
      <w:r>
        <w:rPr>
          <w:rFonts w:hint="default"/>
          <w:color w:val="auto"/>
          <w:lang w:eastAsia="zh-CN"/>
        </w:rPr>
        <w:drawing>
          <wp:inline distT="0" distB="0" distL="114300" distR="114300">
            <wp:extent cx="6114415" cy="4307840"/>
            <wp:effectExtent l="0" t="0" r="635" b="16510"/>
            <wp:docPr id="41" name="图片 41" descr="5432ea50-18a8-4c84-8f36-42e986640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5432ea50-18a8-4c84-8f36-42e9866403c6"/>
                    <pic:cNvPicPr>
                      <a:picLocks noChangeAspect="1"/>
                    </pic:cNvPicPr>
                  </pic:nvPicPr>
                  <pic:blipFill>
                    <a:blip r:embed="rId73"/>
                    <a:stretch>
                      <a:fillRect/>
                    </a:stretch>
                  </pic:blipFill>
                  <pic:spPr>
                    <a:xfrm>
                      <a:off x="0" y="0"/>
                      <a:ext cx="6114415" cy="4307840"/>
                    </a:xfrm>
                    <a:prstGeom prst="rect">
                      <a:avLst/>
                    </a:prstGeom>
                  </pic:spPr>
                </pic:pic>
              </a:graphicData>
            </a:graphic>
          </wp:inline>
        </w:drawing>
      </w:r>
      <w:r>
        <w:rPr>
          <w:rFonts w:hint="default"/>
          <w:color w:val="auto"/>
          <w:lang w:eastAsia="zh-CN"/>
        </w:rPr>
        <w:drawing>
          <wp:inline distT="0" distB="0" distL="114300" distR="114300">
            <wp:extent cx="6117590" cy="4178935"/>
            <wp:effectExtent l="0" t="0" r="16510" b="12065"/>
            <wp:docPr id="42" name="图片 42" descr="19f793d9-b7d7-4e60-9c7d-563a19db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9f793d9-b7d7-4e60-9c7d-563a19db1772"/>
                    <pic:cNvPicPr>
                      <a:picLocks noChangeAspect="1"/>
                    </pic:cNvPicPr>
                  </pic:nvPicPr>
                  <pic:blipFill>
                    <a:blip r:embed="rId74"/>
                    <a:stretch>
                      <a:fillRect/>
                    </a:stretch>
                  </pic:blipFill>
                  <pic:spPr>
                    <a:xfrm>
                      <a:off x="0" y="0"/>
                      <a:ext cx="6117590" cy="4178935"/>
                    </a:xfrm>
                    <a:prstGeom prst="rect">
                      <a:avLst/>
                    </a:prstGeom>
                  </pic:spPr>
                </pic:pic>
              </a:graphicData>
            </a:graphic>
          </wp:inline>
        </w:drawing>
      </w:r>
      <w:r>
        <w:rPr>
          <w:rFonts w:hint="default"/>
          <w:color w:val="auto"/>
          <w:lang w:eastAsia="zh-CN"/>
        </w:rPr>
        <w:drawing>
          <wp:inline distT="0" distB="0" distL="114300" distR="114300">
            <wp:extent cx="6113780" cy="4384675"/>
            <wp:effectExtent l="0" t="0" r="1270" b="15875"/>
            <wp:docPr id="44" name="图片 44" descr="2b2c0784-8aa6-45f4-8090-717fb6346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b2c0784-8aa6-45f4-8090-717fb6346c95"/>
                    <pic:cNvPicPr>
                      <a:picLocks noChangeAspect="1"/>
                    </pic:cNvPicPr>
                  </pic:nvPicPr>
                  <pic:blipFill>
                    <a:blip r:embed="rId75"/>
                    <a:stretch>
                      <a:fillRect/>
                    </a:stretch>
                  </pic:blipFill>
                  <pic:spPr>
                    <a:xfrm>
                      <a:off x="0" y="0"/>
                      <a:ext cx="6113780" cy="4384675"/>
                    </a:xfrm>
                    <a:prstGeom prst="rect">
                      <a:avLst/>
                    </a:prstGeom>
                  </pic:spPr>
                </pic:pic>
              </a:graphicData>
            </a:graphic>
          </wp:inline>
        </w:drawing>
      </w:r>
      <w:r>
        <w:rPr>
          <w:rFonts w:hint="default"/>
          <w:color w:val="auto"/>
          <w:lang w:eastAsia="zh-CN"/>
        </w:rPr>
        <w:drawing>
          <wp:inline distT="0" distB="0" distL="114300" distR="114300">
            <wp:extent cx="6116955" cy="4265295"/>
            <wp:effectExtent l="0" t="0" r="17145" b="1905"/>
            <wp:docPr id="48" name="图片 48" descr="869cca0b-976a-493b-a08b-87a7df0e63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869cca0b-976a-493b-a08b-87a7df0e63f2"/>
                    <pic:cNvPicPr>
                      <a:picLocks noChangeAspect="1"/>
                    </pic:cNvPicPr>
                  </pic:nvPicPr>
                  <pic:blipFill>
                    <a:blip r:embed="rId76"/>
                    <a:stretch>
                      <a:fillRect/>
                    </a:stretch>
                  </pic:blipFill>
                  <pic:spPr>
                    <a:xfrm>
                      <a:off x="0" y="0"/>
                      <a:ext cx="6116955" cy="4265295"/>
                    </a:xfrm>
                    <a:prstGeom prst="rect">
                      <a:avLst/>
                    </a:prstGeom>
                  </pic:spPr>
                </pic:pic>
              </a:graphicData>
            </a:graphic>
          </wp:inline>
        </w:drawing>
      </w:r>
    </w:p>
    <w:p w14:paraId="4678D667">
      <w:pPr>
        <w:pStyle w:val="15"/>
        <w:rPr>
          <w:rFonts w:hint="default"/>
          <w:color w:val="auto"/>
          <w:lang w:eastAsia="zh-CN"/>
        </w:rPr>
      </w:pPr>
    </w:p>
    <w:p w14:paraId="47745FF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黑体" w:cs="Times New Roman"/>
          <w:b w:val="0"/>
          <w:bCs w:val="0"/>
          <w:color w:val="auto"/>
          <w:sz w:val="28"/>
          <w:szCs w:val="28"/>
          <w:lang w:val="en-US" w:eastAsia="zh-CN"/>
        </w:rPr>
      </w:pPr>
      <w:bookmarkStart w:id="104" w:name="_Toc8828"/>
      <w:r>
        <w:rPr>
          <w:rFonts w:hint="default" w:ascii="Times New Roman" w:hAnsi="Times New Roman" w:eastAsia="黑体" w:cs="Times New Roman"/>
          <w:b w:val="0"/>
          <w:bCs w:val="0"/>
          <w:color w:val="auto"/>
          <w:sz w:val="28"/>
          <w:szCs w:val="28"/>
        </w:rPr>
        <w:t>附件</w:t>
      </w:r>
      <w:r>
        <w:rPr>
          <w:rFonts w:hint="eastAsia" w:eastAsia="黑体" w:cs="Times New Roman"/>
          <w:b w:val="0"/>
          <w:bCs w:val="0"/>
          <w:color w:val="auto"/>
          <w:sz w:val="28"/>
          <w:szCs w:val="28"/>
          <w:lang w:val="en-US" w:eastAsia="zh-CN"/>
        </w:rPr>
        <w:t>8应急预案备案表</w:t>
      </w:r>
      <w:bookmarkEnd w:id="104"/>
    </w:p>
    <w:p w14:paraId="1E2F5773">
      <w:pPr>
        <w:rPr>
          <w:rFonts w:hint="default"/>
          <w:color w:val="auto"/>
          <w:lang w:eastAsia="zh-CN"/>
        </w:rPr>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pPr>
      <w:r>
        <w:rPr>
          <w:rFonts w:hint="default"/>
          <w:color w:val="auto"/>
          <w:lang w:eastAsia="zh-CN"/>
        </w:rPr>
        <w:drawing>
          <wp:inline distT="0" distB="0" distL="114300" distR="114300">
            <wp:extent cx="5146040" cy="7582535"/>
            <wp:effectExtent l="0" t="0" r="0" b="0"/>
            <wp:docPr id="57" name="图片 57" descr="77122c5e06032766bd0910e546d626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77122c5e06032766bd0910e546d626bc"/>
                    <pic:cNvPicPr>
                      <a:picLocks noChangeAspect="1"/>
                    </pic:cNvPicPr>
                  </pic:nvPicPr>
                  <pic:blipFill>
                    <a:blip r:embed="rId77"/>
                    <a:srcRect l="-160" t="11779" r="160" b="5338"/>
                    <a:stretch>
                      <a:fillRect/>
                    </a:stretch>
                  </pic:blipFill>
                  <pic:spPr>
                    <a:xfrm>
                      <a:off x="0" y="0"/>
                      <a:ext cx="5146040" cy="7582535"/>
                    </a:xfrm>
                    <a:prstGeom prst="rect">
                      <a:avLst/>
                    </a:prstGeom>
                  </pic:spPr>
                </pic:pic>
              </a:graphicData>
            </a:graphic>
          </wp:inline>
        </w:drawing>
      </w:r>
      <w:r>
        <w:rPr>
          <w:rFonts w:hint="default"/>
          <w:color w:val="auto"/>
          <w:lang w:eastAsia="zh-CN"/>
        </w:rPr>
        <w:drawing>
          <wp:inline distT="0" distB="0" distL="114300" distR="114300">
            <wp:extent cx="5143500" cy="7335520"/>
            <wp:effectExtent l="0" t="0" r="0" b="0"/>
            <wp:docPr id="58" name="图片 58" descr="6ce0baca509ec143184aecade9264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6ce0baca509ec143184aecade9264fab"/>
                    <pic:cNvPicPr>
                      <a:picLocks noChangeAspect="1"/>
                    </pic:cNvPicPr>
                  </pic:nvPicPr>
                  <pic:blipFill>
                    <a:blip r:embed="rId78"/>
                    <a:srcRect t="19739"/>
                    <a:stretch>
                      <a:fillRect/>
                    </a:stretch>
                  </pic:blipFill>
                  <pic:spPr>
                    <a:xfrm>
                      <a:off x="0" y="0"/>
                      <a:ext cx="5143500" cy="7335520"/>
                    </a:xfrm>
                    <a:prstGeom prst="rect">
                      <a:avLst/>
                    </a:prstGeom>
                  </pic:spPr>
                </pic:pic>
              </a:graphicData>
            </a:graphic>
          </wp:inline>
        </w:drawing>
      </w:r>
    </w:p>
    <w:p w14:paraId="280207F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eastAsia="黑体" w:cs="Times New Roman"/>
          <w:b w:val="0"/>
          <w:bCs w:val="0"/>
          <w:color w:val="auto"/>
          <w:sz w:val="28"/>
          <w:szCs w:val="28"/>
          <w:lang w:val="en-US" w:eastAsia="zh-CN"/>
        </w:rPr>
      </w:pPr>
      <w:bookmarkStart w:id="105" w:name="_Toc31309"/>
      <w:r>
        <w:rPr>
          <w:rFonts w:hint="eastAsia" w:eastAsia="黑体" w:cs="Times New Roman"/>
          <w:b w:val="0"/>
          <w:bCs w:val="0"/>
          <w:color w:val="auto"/>
          <w:sz w:val="28"/>
          <w:szCs w:val="28"/>
          <w:lang w:val="en-US" w:eastAsia="zh-CN"/>
        </w:rPr>
        <w:t>附件9大气专题评价</w:t>
      </w:r>
      <w:bookmarkEnd w:id="105"/>
    </w:p>
    <w:p w14:paraId="0DA3A9B4">
      <w:pPr>
        <w:jc w:val="center"/>
        <w:rPr>
          <w:rFonts w:hint="default" w:ascii="Times New Roman" w:hAnsi="Times New Roman" w:eastAsia="黑体" w:cs="Times New Roman"/>
          <w:color w:val="auto"/>
          <w:kern w:val="0"/>
          <w:sz w:val="52"/>
          <w:szCs w:val="52"/>
          <w:lang w:val="en-US" w:eastAsia="zh-CN"/>
        </w:rPr>
      </w:pPr>
      <w:r>
        <w:rPr>
          <w:rFonts w:hint="eastAsia" w:ascii="Times New Roman" w:hAnsi="Times New Roman" w:eastAsia="黑体" w:cs="Times New Roman"/>
          <w:color w:val="auto"/>
          <w:kern w:val="0"/>
          <w:sz w:val="52"/>
          <w:szCs w:val="52"/>
          <w:lang w:val="en-US" w:eastAsia="zh-CN"/>
        </w:rPr>
        <w:t>伊春市公用市政建筑安装有限公司改扩建项目</w:t>
      </w:r>
      <w:r>
        <w:rPr>
          <w:rFonts w:hint="default" w:ascii="Times New Roman" w:hAnsi="Times New Roman" w:eastAsia="黑体" w:cs="Times New Roman"/>
          <w:color w:val="auto"/>
          <w:kern w:val="0"/>
          <w:sz w:val="52"/>
          <w:szCs w:val="52"/>
          <w:lang w:val="en-US" w:eastAsia="zh-CN"/>
        </w:rPr>
        <w:t>大气环境影响评价专题报告</w:t>
      </w:r>
    </w:p>
    <w:p w14:paraId="33D33CCB">
      <w:pPr>
        <w:jc w:val="left"/>
        <w:rPr>
          <w:rFonts w:hint="default" w:ascii="Times New Roman" w:hAnsi="Times New Roman" w:cs="Times New Roman"/>
          <w:color w:val="auto"/>
          <w:kern w:val="0"/>
          <w:sz w:val="24"/>
          <w:szCs w:val="20"/>
          <w:lang w:val="en-US" w:eastAsia="zh-CN"/>
        </w:rPr>
      </w:pPr>
    </w:p>
    <w:p w14:paraId="6C904262">
      <w:pPr>
        <w:jc w:val="left"/>
        <w:rPr>
          <w:rFonts w:hint="default" w:ascii="Times New Roman" w:hAnsi="Times New Roman" w:cs="Times New Roman"/>
          <w:color w:val="auto"/>
          <w:kern w:val="0"/>
          <w:sz w:val="24"/>
          <w:szCs w:val="20"/>
          <w:lang w:val="en-US" w:eastAsia="zh-CN"/>
        </w:rPr>
      </w:pPr>
    </w:p>
    <w:p w14:paraId="6C3E539E">
      <w:pPr>
        <w:jc w:val="left"/>
        <w:rPr>
          <w:rFonts w:hint="default" w:ascii="Times New Roman" w:hAnsi="Times New Roman" w:cs="Times New Roman"/>
          <w:color w:val="auto"/>
          <w:kern w:val="0"/>
          <w:sz w:val="24"/>
          <w:szCs w:val="20"/>
          <w:lang w:val="en-US" w:eastAsia="zh-CN"/>
        </w:rPr>
      </w:pPr>
    </w:p>
    <w:p w14:paraId="6FAFBB6E">
      <w:pPr>
        <w:jc w:val="left"/>
        <w:rPr>
          <w:rFonts w:hint="default" w:ascii="Times New Roman" w:hAnsi="Times New Roman" w:cs="Times New Roman"/>
          <w:color w:val="auto"/>
          <w:kern w:val="0"/>
          <w:sz w:val="24"/>
          <w:szCs w:val="20"/>
          <w:lang w:val="en-US" w:eastAsia="zh-CN"/>
        </w:rPr>
      </w:pPr>
    </w:p>
    <w:p w14:paraId="435FE2E4">
      <w:pPr>
        <w:jc w:val="left"/>
        <w:rPr>
          <w:rFonts w:hint="default" w:ascii="Times New Roman" w:hAnsi="Times New Roman" w:cs="Times New Roman"/>
          <w:color w:val="auto"/>
          <w:kern w:val="0"/>
          <w:sz w:val="24"/>
          <w:szCs w:val="20"/>
          <w:lang w:val="en-US" w:eastAsia="zh-CN"/>
        </w:rPr>
      </w:pPr>
    </w:p>
    <w:p w14:paraId="0015866B">
      <w:pPr>
        <w:jc w:val="left"/>
        <w:rPr>
          <w:rFonts w:hint="default" w:ascii="Times New Roman" w:hAnsi="Times New Roman" w:cs="Times New Roman"/>
          <w:color w:val="auto"/>
          <w:kern w:val="0"/>
          <w:sz w:val="24"/>
          <w:szCs w:val="20"/>
          <w:lang w:val="en-US" w:eastAsia="zh-CN"/>
        </w:rPr>
      </w:pPr>
    </w:p>
    <w:p w14:paraId="4CF920E6">
      <w:pPr>
        <w:jc w:val="left"/>
        <w:rPr>
          <w:rFonts w:hint="default" w:ascii="Times New Roman" w:hAnsi="Times New Roman" w:cs="Times New Roman"/>
          <w:color w:val="auto"/>
          <w:kern w:val="0"/>
          <w:sz w:val="24"/>
          <w:szCs w:val="20"/>
          <w:lang w:val="en-US" w:eastAsia="zh-CN"/>
        </w:rPr>
      </w:pPr>
    </w:p>
    <w:p w14:paraId="7D5EFE25">
      <w:pPr>
        <w:jc w:val="left"/>
        <w:rPr>
          <w:rFonts w:hint="default" w:ascii="Times New Roman" w:hAnsi="Times New Roman" w:cs="Times New Roman"/>
          <w:color w:val="auto"/>
          <w:kern w:val="0"/>
          <w:sz w:val="24"/>
          <w:szCs w:val="20"/>
          <w:lang w:val="en-US" w:eastAsia="zh-CN"/>
        </w:rPr>
      </w:pPr>
    </w:p>
    <w:p w14:paraId="017DDB02">
      <w:pPr>
        <w:jc w:val="left"/>
        <w:rPr>
          <w:rFonts w:hint="default" w:ascii="Times New Roman" w:hAnsi="Times New Roman" w:cs="Times New Roman"/>
          <w:color w:val="auto"/>
          <w:kern w:val="0"/>
          <w:sz w:val="24"/>
          <w:szCs w:val="20"/>
          <w:lang w:val="en-US" w:eastAsia="zh-CN"/>
        </w:rPr>
      </w:pPr>
    </w:p>
    <w:p w14:paraId="367BCD5A">
      <w:pPr>
        <w:widowControl w:val="0"/>
        <w:spacing w:after="120" w:afterLines="0"/>
        <w:ind w:firstLine="210" w:firstLineChars="100"/>
        <w:rPr>
          <w:rFonts w:hint="default" w:ascii="Times New Roman" w:hAnsi="Times New Roman" w:eastAsia="宋体" w:cs="Times New Roman"/>
          <w:color w:val="auto"/>
          <w:sz w:val="21"/>
          <w:lang w:val="en-US" w:eastAsia="zh-CN" w:bidi="ar-SA"/>
        </w:rPr>
      </w:pPr>
    </w:p>
    <w:p w14:paraId="3A0E23EA">
      <w:pPr>
        <w:jc w:val="left"/>
        <w:rPr>
          <w:rFonts w:hint="default" w:ascii="Times New Roman" w:hAnsi="Times New Roman" w:cs="Times New Roman"/>
          <w:color w:val="auto"/>
          <w:kern w:val="0"/>
          <w:sz w:val="24"/>
          <w:szCs w:val="20"/>
          <w:lang w:val="en-US" w:eastAsia="zh-CN"/>
        </w:rPr>
      </w:pPr>
    </w:p>
    <w:p w14:paraId="49EB852B">
      <w:pPr>
        <w:widowControl w:val="0"/>
        <w:spacing w:after="120" w:afterLines="0"/>
        <w:ind w:firstLine="210" w:firstLineChars="100"/>
        <w:rPr>
          <w:rFonts w:hint="default" w:ascii="Times New Roman" w:hAnsi="Times New Roman" w:eastAsia="宋体" w:cs="Times New Roman"/>
          <w:color w:val="auto"/>
          <w:sz w:val="21"/>
          <w:lang w:val="en-US" w:eastAsia="zh-CN" w:bidi="ar-SA"/>
        </w:rPr>
      </w:pPr>
    </w:p>
    <w:p w14:paraId="315AE4CB">
      <w:pPr>
        <w:jc w:val="left"/>
        <w:rPr>
          <w:rFonts w:hint="default" w:ascii="Times New Roman" w:hAnsi="Times New Roman" w:cs="Times New Roman"/>
          <w:color w:val="auto"/>
          <w:kern w:val="0"/>
          <w:sz w:val="24"/>
          <w:szCs w:val="20"/>
          <w:lang w:val="en-US" w:eastAsia="zh-CN"/>
        </w:rPr>
      </w:pPr>
    </w:p>
    <w:p w14:paraId="2A7705F2">
      <w:pPr>
        <w:jc w:val="left"/>
        <w:rPr>
          <w:rFonts w:hint="default" w:ascii="Times New Roman" w:hAnsi="Times New Roman" w:cs="Times New Roman"/>
          <w:color w:val="auto"/>
          <w:kern w:val="0"/>
          <w:sz w:val="24"/>
          <w:szCs w:val="20"/>
          <w:lang w:val="en-US" w:eastAsia="zh-CN"/>
        </w:rPr>
      </w:pPr>
    </w:p>
    <w:p w14:paraId="4863B411">
      <w:pPr>
        <w:jc w:val="left"/>
        <w:rPr>
          <w:rFonts w:hint="default" w:ascii="Times New Roman" w:hAnsi="Times New Roman" w:cs="Times New Roman"/>
          <w:color w:val="auto"/>
          <w:kern w:val="0"/>
          <w:sz w:val="24"/>
          <w:szCs w:val="20"/>
          <w:lang w:val="en-US" w:eastAsia="zh-CN"/>
        </w:rPr>
      </w:pPr>
    </w:p>
    <w:p w14:paraId="36985014">
      <w:pPr>
        <w:widowControl w:val="0"/>
        <w:spacing w:after="120" w:afterLines="0"/>
        <w:ind w:firstLine="210" w:firstLineChars="100"/>
        <w:rPr>
          <w:rFonts w:hint="default" w:ascii="Times New Roman" w:hAnsi="Times New Roman" w:eastAsia="宋体" w:cs="Times New Roman"/>
          <w:color w:val="auto"/>
          <w:sz w:val="21"/>
          <w:lang w:val="en-US" w:eastAsia="zh-CN" w:bidi="ar-SA"/>
        </w:rPr>
      </w:pPr>
    </w:p>
    <w:p w14:paraId="510482EE">
      <w:pPr>
        <w:jc w:val="left"/>
        <w:rPr>
          <w:rFonts w:hint="default" w:ascii="Times New Roman" w:hAnsi="Times New Roman" w:cs="Times New Roman"/>
          <w:color w:val="auto"/>
          <w:kern w:val="0"/>
          <w:sz w:val="24"/>
          <w:szCs w:val="20"/>
          <w:lang w:val="en-US" w:eastAsia="zh-CN"/>
        </w:rPr>
      </w:pPr>
    </w:p>
    <w:p w14:paraId="2C149EEC">
      <w:pPr>
        <w:jc w:val="left"/>
        <w:rPr>
          <w:rFonts w:hint="default" w:ascii="Times New Roman" w:hAnsi="Times New Roman" w:cs="Times New Roman"/>
          <w:color w:val="auto"/>
          <w:kern w:val="0"/>
          <w:sz w:val="24"/>
          <w:szCs w:val="20"/>
          <w:lang w:val="en-US" w:eastAsia="zh-CN"/>
        </w:rPr>
      </w:pPr>
    </w:p>
    <w:p w14:paraId="7AEDEF60">
      <w:pPr>
        <w:jc w:val="left"/>
        <w:rPr>
          <w:rFonts w:hint="default" w:ascii="Times New Roman" w:hAnsi="Times New Roman" w:cs="Times New Roman"/>
          <w:color w:val="auto"/>
          <w:kern w:val="0"/>
          <w:sz w:val="24"/>
          <w:szCs w:val="20"/>
          <w:lang w:val="en-US" w:eastAsia="zh-CN"/>
        </w:rPr>
      </w:pPr>
    </w:p>
    <w:p w14:paraId="4B049C2C">
      <w:pPr>
        <w:jc w:val="left"/>
        <w:rPr>
          <w:rFonts w:hint="default" w:ascii="Times New Roman" w:hAnsi="Times New Roman" w:cs="Times New Roman"/>
          <w:color w:val="auto"/>
          <w:kern w:val="0"/>
          <w:sz w:val="24"/>
          <w:szCs w:val="20"/>
          <w:lang w:val="en-US" w:eastAsia="zh-CN"/>
        </w:rPr>
      </w:pPr>
    </w:p>
    <w:p w14:paraId="057863CC">
      <w:pPr>
        <w:jc w:val="left"/>
        <w:rPr>
          <w:rFonts w:hint="default" w:ascii="Times New Roman" w:hAnsi="Times New Roman" w:cs="Times New Roman"/>
          <w:color w:val="auto"/>
          <w:kern w:val="0"/>
          <w:sz w:val="24"/>
          <w:szCs w:val="20"/>
          <w:lang w:val="en-US" w:eastAsia="zh-CN"/>
        </w:rPr>
      </w:pPr>
    </w:p>
    <w:p w14:paraId="27362770">
      <w:pPr>
        <w:jc w:val="left"/>
        <w:rPr>
          <w:rFonts w:hint="default" w:ascii="Times New Roman" w:hAnsi="Times New Roman" w:cs="Times New Roman"/>
          <w:color w:val="auto"/>
          <w:kern w:val="0"/>
          <w:sz w:val="24"/>
          <w:szCs w:val="20"/>
          <w:lang w:val="en-US" w:eastAsia="zh-CN"/>
        </w:rPr>
      </w:pPr>
    </w:p>
    <w:p w14:paraId="216E2489">
      <w:pPr>
        <w:jc w:val="left"/>
        <w:rPr>
          <w:rFonts w:hint="default" w:ascii="Times New Roman" w:hAnsi="Times New Roman" w:cs="Times New Roman"/>
          <w:color w:val="auto"/>
          <w:kern w:val="0"/>
          <w:sz w:val="24"/>
          <w:szCs w:val="20"/>
          <w:lang w:val="en-US" w:eastAsia="zh-CN"/>
        </w:rPr>
      </w:pPr>
    </w:p>
    <w:p w14:paraId="55D25A0D">
      <w:pPr>
        <w:jc w:val="left"/>
        <w:rPr>
          <w:rFonts w:hint="default" w:ascii="Times New Roman" w:hAnsi="Times New Roman" w:cs="Times New Roman"/>
          <w:color w:val="auto"/>
          <w:kern w:val="0"/>
          <w:sz w:val="24"/>
          <w:szCs w:val="20"/>
          <w:lang w:val="en-US" w:eastAsia="zh-CN"/>
        </w:rPr>
      </w:pPr>
    </w:p>
    <w:p w14:paraId="320B30E4">
      <w:pPr>
        <w:jc w:val="left"/>
        <w:rPr>
          <w:rFonts w:hint="default" w:ascii="Times New Roman" w:hAnsi="Times New Roman" w:cs="Times New Roman"/>
          <w:color w:val="auto"/>
          <w:kern w:val="0"/>
          <w:sz w:val="24"/>
          <w:szCs w:val="20"/>
          <w:lang w:val="en-US" w:eastAsia="zh-CN"/>
        </w:rPr>
      </w:pPr>
    </w:p>
    <w:p w14:paraId="0648B567">
      <w:pPr>
        <w:jc w:val="left"/>
        <w:rPr>
          <w:rFonts w:hint="default" w:ascii="Times New Roman" w:hAnsi="Times New Roman" w:cs="Times New Roman"/>
          <w:color w:val="auto"/>
          <w:kern w:val="0"/>
          <w:sz w:val="24"/>
          <w:szCs w:val="20"/>
          <w:lang w:val="en-US" w:eastAsia="zh-CN"/>
        </w:rPr>
      </w:pPr>
    </w:p>
    <w:p w14:paraId="25759BE8">
      <w:pPr>
        <w:ind w:firstLine="1200" w:firstLineChars="400"/>
        <w:jc w:val="left"/>
        <w:rPr>
          <w:rFonts w:hint="default" w:ascii="Times New Roman" w:hAnsi="Times New Roman" w:cs="Times New Roman"/>
          <w:color w:val="auto"/>
          <w:kern w:val="0"/>
          <w:sz w:val="30"/>
          <w:szCs w:val="30"/>
          <w:lang w:eastAsia="zh-CN"/>
        </w:rPr>
      </w:pPr>
      <w:r>
        <w:rPr>
          <w:rFonts w:hint="default" w:ascii="Times New Roman" w:hAnsi="Times New Roman" w:cs="Times New Roman"/>
          <w:color w:val="auto"/>
          <w:kern w:val="0"/>
          <w:sz w:val="30"/>
          <w:szCs w:val="30"/>
          <w:lang w:val="en-US" w:eastAsia="zh-CN"/>
        </w:rPr>
        <w:t>建设单位：伊春市公用市政建筑安装有限公司</w:t>
      </w:r>
    </w:p>
    <w:p w14:paraId="6BB8667B">
      <w:pPr>
        <w:ind w:firstLine="1200" w:firstLineChars="400"/>
        <w:jc w:val="left"/>
        <w:rPr>
          <w:rFonts w:hint="default" w:ascii="Times New Roman" w:hAnsi="Times New Roman" w:cs="Times New Roman"/>
          <w:color w:val="auto"/>
          <w:kern w:val="0"/>
          <w:sz w:val="30"/>
          <w:szCs w:val="30"/>
          <w:lang w:val="en-US" w:eastAsia="zh-CN"/>
        </w:rPr>
      </w:pPr>
      <w:r>
        <w:rPr>
          <w:rFonts w:hint="default" w:ascii="Times New Roman" w:hAnsi="Times New Roman" w:cs="Times New Roman"/>
          <w:color w:val="auto"/>
          <w:kern w:val="0"/>
          <w:sz w:val="30"/>
          <w:szCs w:val="30"/>
          <w:lang w:val="en-US" w:eastAsia="zh-CN"/>
        </w:rPr>
        <w:t>编制时间：202</w:t>
      </w:r>
      <w:r>
        <w:rPr>
          <w:rFonts w:hint="eastAsia" w:ascii="Times New Roman" w:hAnsi="Times New Roman" w:cs="Times New Roman"/>
          <w:color w:val="auto"/>
          <w:kern w:val="0"/>
          <w:sz w:val="30"/>
          <w:szCs w:val="30"/>
          <w:lang w:val="en-US" w:eastAsia="zh-CN"/>
        </w:rPr>
        <w:t>6</w:t>
      </w:r>
      <w:r>
        <w:rPr>
          <w:rFonts w:hint="default" w:ascii="Times New Roman" w:hAnsi="Times New Roman" w:cs="Times New Roman"/>
          <w:color w:val="auto"/>
          <w:kern w:val="0"/>
          <w:sz w:val="30"/>
          <w:szCs w:val="30"/>
          <w:lang w:val="en-US" w:eastAsia="zh-CN"/>
        </w:rPr>
        <w:t>年</w:t>
      </w:r>
      <w:r>
        <w:rPr>
          <w:rFonts w:hint="eastAsia" w:ascii="Times New Roman" w:hAnsi="Times New Roman" w:cs="Times New Roman"/>
          <w:color w:val="auto"/>
          <w:kern w:val="0"/>
          <w:sz w:val="30"/>
          <w:szCs w:val="30"/>
          <w:lang w:val="en-US" w:eastAsia="zh-CN"/>
        </w:rPr>
        <w:t>6</w:t>
      </w:r>
      <w:r>
        <w:rPr>
          <w:rFonts w:hint="default" w:ascii="Times New Roman" w:hAnsi="Times New Roman" w:cs="Times New Roman"/>
          <w:color w:val="auto"/>
          <w:kern w:val="0"/>
          <w:sz w:val="30"/>
          <w:szCs w:val="30"/>
          <w:lang w:val="en-US" w:eastAsia="zh-CN"/>
        </w:rPr>
        <w:t>月</w:t>
      </w:r>
    </w:p>
    <w:p w14:paraId="64609C15">
      <w:pPr>
        <w:jc w:val="left"/>
        <w:rPr>
          <w:rFonts w:hint="default" w:ascii="Times New Roman" w:hAnsi="Times New Roman" w:cs="Times New Roman"/>
          <w:color w:val="auto"/>
          <w:kern w:val="0"/>
          <w:sz w:val="24"/>
          <w:szCs w:val="20"/>
        </w:rPr>
      </w:pPr>
    </w:p>
    <w:p w14:paraId="1D378221">
      <w:pPr>
        <w:rPr>
          <w:rFonts w:hint="default" w:ascii="Times New Roman" w:hAnsi="Times New Roman" w:cs="Times New Roman"/>
          <w:color w:val="auto"/>
        </w:rPr>
        <w:sectPr>
          <w:footerReference r:id="rId7" w:type="even"/>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p>
    <w:p w14:paraId="68DBE86C">
      <w:pPr>
        <w:widowControl w:val="0"/>
        <w:spacing w:line="360" w:lineRule="auto"/>
        <w:ind w:firstLine="480" w:firstLineChars="200"/>
        <w:rPr>
          <w:rFonts w:hint="default" w:ascii="Times New Roman" w:hAnsi="Times New Roman" w:eastAsia="宋体" w:cs="Times New Roman"/>
          <w:color w:val="auto"/>
          <w:sz w:val="24"/>
          <w:szCs w:val="28"/>
          <w:lang w:val="en-US" w:eastAsia="zh-CN" w:bidi="ar-SA"/>
        </w:rPr>
      </w:pPr>
    </w:p>
    <w:p w14:paraId="16E9E3AE">
      <w:pPr>
        <w:widowControl w:val="0"/>
        <w:spacing w:line="360" w:lineRule="auto"/>
        <w:jc w:val="center"/>
        <w:outlineLvl w:val="0"/>
        <w:rPr>
          <w:rFonts w:hint="default" w:ascii="Times New Roman" w:hAnsi="Times New Roman" w:eastAsia="黑体" w:cs="Times New Roman"/>
          <w:color w:val="auto"/>
          <w:kern w:val="2"/>
          <w:sz w:val="36"/>
          <w:szCs w:val="36"/>
          <w:lang w:val="en-US" w:eastAsia="zh-CN" w:bidi="ar-SA"/>
        </w:rPr>
      </w:pPr>
      <w:bookmarkStart w:id="106" w:name="_Toc13102"/>
      <w:r>
        <w:rPr>
          <w:rFonts w:hint="default" w:ascii="Times New Roman" w:hAnsi="Times New Roman" w:eastAsia="黑体" w:cs="Times New Roman"/>
          <w:color w:val="auto"/>
          <w:kern w:val="2"/>
          <w:sz w:val="36"/>
          <w:szCs w:val="36"/>
          <w:lang w:val="en-US" w:eastAsia="zh-CN" w:bidi="ar-SA"/>
        </w:rPr>
        <w:t>目录</w:t>
      </w:r>
      <w:bookmarkEnd w:id="106"/>
    </w:p>
    <w:p w14:paraId="4193D29A">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TOC \o "1-2" \h \z \u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_Toc13102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目录</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_Toc13102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1</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17915BF1">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_Toc19460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1 总则</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_Toc19460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1</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15AAFF38">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_Toc8177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1.1 </w:t>
      </w:r>
      <w:r>
        <w:rPr>
          <w:rFonts w:hint="default" w:ascii="Times New Roman" w:hAnsi="Times New Roman" w:eastAsia="宋体" w:cs="Times New Roman"/>
          <w:color w:val="auto"/>
          <w:sz w:val="24"/>
          <w:szCs w:val="28"/>
          <w:lang w:val="en-US" w:eastAsia="zh-CN" w:bidi="ar-SA"/>
        </w:rPr>
        <w:t>编制依据</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_Toc8177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1</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6770C8B3">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_Toc23687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1.2 </w:t>
      </w:r>
      <w:r>
        <w:rPr>
          <w:rFonts w:hint="default" w:ascii="Times New Roman" w:hAnsi="Times New Roman" w:eastAsia="宋体" w:cs="Times New Roman"/>
          <w:color w:val="auto"/>
          <w:sz w:val="24"/>
          <w:szCs w:val="28"/>
          <w:lang w:val="en-US" w:eastAsia="zh-CN" w:bidi="ar-SA"/>
        </w:rPr>
        <w:t>评价目的与原则</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_Toc23687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1</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47D36C76">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_Toc674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1.3 </w:t>
      </w:r>
      <w:r>
        <w:rPr>
          <w:rFonts w:hint="default" w:ascii="Times New Roman" w:hAnsi="Times New Roman" w:eastAsia="宋体" w:cs="Times New Roman"/>
          <w:color w:val="auto"/>
          <w:sz w:val="24"/>
          <w:szCs w:val="28"/>
          <w:lang w:val="en-US" w:eastAsia="zh-CN" w:bidi="ar-SA"/>
        </w:rPr>
        <w:t>评价内容及评价重点</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_Toc674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3496C450">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_Toc11761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1.4 </w:t>
      </w:r>
      <w:r>
        <w:rPr>
          <w:rFonts w:hint="default" w:ascii="Times New Roman" w:hAnsi="Times New Roman" w:eastAsia="宋体" w:cs="Times New Roman"/>
          <w:color w:val="auto"/>
          <w:sz w:val="24"/>
          <w:szCs w:val="28"/>
          <w:lang w:val="en-US" w:eastAsia="zh-CN" w:bidi="ar-SA"/>
        </w:rPr>
        <w:t>环境评价标准</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_Toc11761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0A8B3D2D">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_Toc32657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1.5 </w:t>
      </w:r>
      <w:r>
        <w:rPr>
          <w:rFonts w:hint="default" w:ascii="Times New Roman" w:hAnsi="Times New Roman" w:eastAsia="宋体" w:cs="Times New Roman"/>
          <w:color w:val="auto"/>
          <w:sz w:val="24"/>
          <w:szCs w:val="28"/>
          <w:lang w:val="en-US" w:eastAsia="zh-CN" w:bidi="ar-SA"/>
        </w:rPr>
        <w:t>评价因子的识别与筛选</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_Toc32657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4</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1C265DE1">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_Toc19126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1.6 </w:t>
      </w:r>
      <w:r>
        <w:rPr>
          <w:rFonts w:hint="default" w:ascii="Times New Roman" w:hAnsi="Times New Roman" w:eastAsia="宋体" w:cs="Times New Roman"/>
          <w:color w:val="auto"/>
          <w:sz w:val="24"/>
          <w:szCs w:val="28"/>
          <w:lang w:val="en-US" w:eastAsia="zh-CN" w:bidi="ar-SA"/>
        </w:rPr>
        <w:t>评价工作等级及评价范围</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_Toc19126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4</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1E9A0389">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_Toc14636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1.7 </w:t>
      </w:r>
      <w:r>
        <w:rPr>
          <w:rFonts w:hint="default" w:ascii="Times New Roman" w:hAnsi="Times New Roman" w:eastAsia="宋体" w:cs="Times New Roman"/>
          <w:color w:val="auto"/>
          <w:sz w:val="24"/>
          <w:szCs w:val="28"/>
          <w:lang w:val="en-US" w:eastAsia="zh-CN" w:bidi="ar-SA"/>
        </w:rPr>
        <w:t>环境保护对象及目标</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_Toc14636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7</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1C96066E">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_Toc3654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2 工程概况</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_Toc3654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9</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09023576">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_Toc15601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2.1 </w:t>
      </w:r>
      <w:r>
        <w:rPr>
          <w:rFonts w:hint="default" w:ascii="Times New Roman" w:hAnsi="Times New Roman" w:eastAsia="宋体" w:cs="Times New Roman"/>
          <w:color w:val="auto"/>
          <w:sz w:val="24"/>
          <w:szCs w:val="28"/>
          <w:lang w:val="en-US" w:eastAsia="zh-CN" w:bidi="ar-SA"/>
        </w:rPr>
        <w:t>项目概况</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_Toc15601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9</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4B1F9051">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_Toc14519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2.2 </w:t>
      </w:r>
      <w:r>
        <w:rPr>
          <w:rFonts w:hint="default" w:ascii="Times New Roman" w:hAnsi="Times New Roman" w:eastAsia="宋体" w:cs="Times New Roman"/>
          <w:color w:val="auto"/>
          <w:sz w:val="24"/>
          <w:szCs w:val="28"/>
          <w:lang w:val="en-US" w:eastAsia="zh-CN" w:bidi="ar-SA"/>
        </w:rPr>
        <w:t>运营期环境影响因素与污染源强核算</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_Toc14519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10</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27F376D9">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_Toc14597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3 环境质量现状评价</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_Toc14597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21</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311DD5C4">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_Toc31856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3.1 </w:t>
      </w:r>
      <w:r>
        <w:rPr>
          <w:rFonts w:hint="default" w:ascii="Times New Roman" w:hAnsi="Times New Roman" w:eastAsia="宋体" w:cs="Times New Roman"/>
          <w:color w:val="auto"/>
          <w:sz w:val="24"/>
          <w:szCs w:val="28"/>
          <w:lang w:val="en-US" w:eastAsia="zh-CN" w:bidi="ar-SA"/>
        </w:rPr>
        <w:t>区域基本污染物环境质量达标情况</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_Toc31856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21</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3FCE48A7">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_Toc18331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3.2 </w:t>
      </w:r>
      <w:r>
        <w:rPr>
          <w:rFonts w:hint="default" w:ascii="Times New Roman" w:hAnsi="Times New Roman" w:eastAsia="宋体" w:cs="Times New Roman"/>
          <w:color w:val="auto"/>
          <w:sz w:val="24"/>
          <w:szCs w:val="28"/>
          <w:lang w:val="en-US" w:eastAsia="zh-CN" w:bidi="ar-SA"/>
        </w:rPr>
        <w:t>特征污染物补充监测</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_Toc18331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21</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18654827">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_Toc15999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4 环境影响预测评价</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_Toc15999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23</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0347523F">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_Toc18070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4.1 </w:t>
      </w:r>
      <w:r>
        <w:rPr>
          <w:rFonts w:hint="default" w:ascii="Times New Roman" w:hAnsi="Times New Roman" w:eastAsia="宋体" w:cs="Times New Roman"/>
          <w:color w:val="auto"/>
          <w:sz w:val="24"/>
          <w:szCs w:val="28"/>
          <w:lang w:val="en-US" w:eastAsia="zh-CN" w:bidi="ar-SA"/>
        </w:rPr>
        <w:t>环境影响分析</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_Toc18070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23</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43A570EE">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_Toc17981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zh-CN" w:eastAsia="zh-CN" w:bidi="ar-SA"/>
        </w:rPr>
        <w:t xml:space="preserve">4.2 </w:t>
      </w:r>
      <w:r>
        <w:rPr>
          <w:rFonts w:hint="default" w:ascii="Times New Roman" w:hAnsi="Times New Roman" w:eastAsia="宋体" w:cs="Times New Roman"/>
          <w:color w:val="auto"/>
          <w:sz w:val="24"/>
          <w:szCs w:val="28"/>
          <w:lang w:val="zh-CN" w:eastAsia="zh-CN" w:bidi="ar-SA"/>
        </w:rPr>
        <w:t>大气环境防护距离</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_Toc17981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26</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569367A7">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_Toc9463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zh-CN" w:eastAsia="zh-CN" w:bidi="ar-SA"/>
        </w:rPr>
        <w:t xml:space="preserve">4.3 </w:t>
      </w:r>
      <w:r>
        <w:rPr>
          <w:rFonts w:hint="default" w:ascii="Times New Roman" w:hAnsi="Times New Roman" w:eastAsia="宋体" w:cs="Times New Roman"/>
          <w:color w:val="auto"/>
          <w:sz w:val="24"/>
          <w:szCs w:val="28"/>
          <w:lang w:val="zh-CN" w:eastAsia="zh-CN" w:bidi="ar-SA"/>
        </w:rPr>
        <w:t>大气污染物排放量核算</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_Toc9463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26</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1C859880">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_Toc16233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5 污染保护措施及可行性论证</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_Toc16233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28</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52522CD1">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_Toc7460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5.1 </w:t>
      </w:r>
      <w:r>
        <w:rPr>
          <w:rFonts w:hint="default" w:ascii="Times New Roman" w:hAnsi="Times New Roman" w:eastAsia="宋体" w:cs="Times New Roman"/>
          <w:color w:val="auto"/>
          <w:sz w:val="24"/>
          <w:szCs w:val="28"/>
          <w:lang w:val="en-US" w:eastAsia="zh-CN" w:bidi="ar-SA"/>
        </w:rPr>
        <w:t>导热油炉废气</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_Toc7460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28</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475BB1DE">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_Toc18926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5.2 </w:t>
      </w:r>
      <w:r>
        <w:rPr>
          <w:rFonts w:hint="default" w:ascii="Times New Roman" w:hAnsi="Times New Roman" w:eastAsia="宋体" w:cs="Times New Roman"/>
          <w:color w:val="auto"/>
          <w:sz w:val="24"/>
          <w:szCs w:val="28"/>
          <w:lang w:val="en-US" w:eastAsia="zh-CN" w:bidi="ar-SA"/>
        </w:rPr>
        <w:t>骨料加热烘干废气</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_Toc18926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28</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2809E797">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_Toc18958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5.3 </w:t>
      </w:r>
      <w:r>
        <w:rPr>
          <w:rFonts w:hint="default" w:ascii="Times New Roman" w:hAnsi="Times New Roman" w:eastAsia="宋体" w:cs="Times New Roman"/>
          <w:color w:val="auto"/>
          <w:sz w:val="24"/>
          <w:szCs w:val="28"/>
          <w:lang w:val="en-US" w:eastAsia="zh-CN" w:bidi="ar-SA"/>
        </w:rPr>
        <w:t>沥青烟及苯并芘</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_Toc18958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28</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518F7877">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_Toc27875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5.4 </w:t>
      </w:r>
      <w:r>
        <w:rPr>
          <w:rFonts w:hint="default" w:ascii="Times New Roman" w:hAnsi="Times New Roman" w:eastAsia="宋体" w:cs="Times New Roman"/>
          <w:color w:val="auto"/>
          <w:sz w:val="24"/>
          <w:szCs w:val="28"/>
          <w:lang w:val="en-US" w:eastAsia="zh-CN" w:bidi="ar-SA"/>
        </w:rPr>
        <w:t>无组织排放措施</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_Toc27875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29</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05361A9E">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_Toc14002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6 环境监测计划</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_Toc14002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31</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7345D278">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_Toc11917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6.1 </w:t>
      </w:r>
      <w:r>
        <w:rPr>
          <w:rFonts w:hint="default" w:ascii="Times New Roman" w:hAnsi="Times New Roman" w:eastAsia="宋体" w:cs="Times New Roman"/>
          <w:color w:val="auto"/>
          <w:sz w:val="24"/>
          <w:szCs w:val="28"/>
          <w:lang w:val="en-US" w:eastAsia="zh-CN" w:bidi="ar-SA"/>
        </w:rPr>
        <w:t>环境监测计划</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_Toc11917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31</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76F252D4">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_Toc17044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6.2 </w:t>
      </w:r>
      <w:r>
        <w:rPr>
          <w:rFonts w:hint="default" w:ascii="Times New Roman" w:hAnsi="Times New Roman" w:eastAsia="宋体" w:cs="Times New Roman"/>
          <w:color w:val="auto"/>
          <w:sz w:val="24"/>
          <w:szCs w:val="28"/>
          <w:lang w:val="en-US" w:eastAsia="zh-CN" w:bidi="ar-SA"/>
        </w:rPr>
        <w:t>“三同时”竣工验收内容</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_Toc17044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32</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01E4E55B">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_Toc24935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36"/>
          <w:lang w:val="en-US" w:eastAsia="zh-CN" w:bidi="ar-SA"/>
        </w:rPr>
        <w:t>7 结论与建议</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_Toc24935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34</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4436FCD8">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_Toc19235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7.1 </w:t>
      </w:r>
      <w:r>
        <w:rPr>
          <w:rFonts w:hint="default" w:ascii="Times New Roman" w:hAnsi="Times New Roman" w:eastAsia="宋体" w:cs="Times New Roman"/>
          <w:color w:val="auto"/>
          <w:sz w:val="24"/>
          <w:szCs w:val="28"/>
          <w:lang w:val="en-US" w:eastAsia="zh-CN" w:bidi="ar-SA"/>
        </w:rPr>
        <w:t>结论</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_Toc19235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34</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3A1BB7F0">
      <w:pPr>
        <w:widowControl w:val="0"/>
        <w:tabs>
          <w:tab w:val="right" w:leader="dot" w:pos="8731"/>
        </w:tabs>
        <w:spacing w:line="360" w:lineRule="auto"/>
        <w:ind w:firstLine="480" w:firstLineChars="200"/>
        <w:rPr>
          <w:rFonts w:ascii="宋体" w:hAnsi="Calibri" w:eastAsia="宋体" w:cs="Times New Roman"/>
          <w:color w:val="auto"/>
          <w:sz w:val="24"/>
          <w:szCs w:val="28"/>
          <w:lang w:val="en-US" w:eastAsia="zh-CN" w:bidi="ar-SA"/>
        </w:rPr>
      </w:pPr>
      <w:r>
        <w:rPr>
          <w:rFonts w:hint="default" w:ascii="Times New Roman" w:hAnsi="Times New Roman" w:eastAsia="宋体" w:cs="Times New Roman"/>
          <w:color w:val="auto"/>
          <w:sz w:val="24"/>
          <w:szCs w:val="28"/>
          <w:lang w:val="en-US" w:eastAsia="zh-CN" w:bidi="ar-SA"/>
        </w:rPr>
        <w:fldChar w:fldCharType="begin"/>
      </w:r>
      <w:r>
        <w:rPr>
          <w:rFonts w:hint="default" w:ascii="Times New Roman" w:hAnsi="Times New Roman" w:eastAsia="宋体" w:cs="Times New Roman"/>
          <w:color w:val="auto"/>
          <w:sz w:val="24"/>
          <w:szCs w:val="28"/>
          <w:lang w:val="en-US" w:eastAsia="zh-CN" w:bidi="ar-SA"/>
        </w:rPr>
        <w:instrText xml:space="preserve"> HYPERLINK \l _Toc30337 </w:instrText>
      </w:r>
      <w:r>
        <w:rPr>
          <w:rFonts w:hint="default" w:ascii="Times New Roman" w:hAnsi="Times New Roman" w:eastAsia="宋体" w:cs="Times New Roman"/>
          <w:color w:val="auto"/>
          <w:sz w:val="24"/>
          <w:szCs w:val="28"/>
          <w:lang w:val="en-US" w:eastAsia="zh-CN" w:bidi="ar-SA"/>
        </w:rPr>
        <w:fldChar w:fldCharType="separate"/>
      </w:r>
      <w:r>
        <w:rPr>
          <w:rFonts w:hint="eastAsia" w:ascii="Times New Roman" w:hAnsi="Times New Roman" w:eastAsia="宋体" w:cs="Times New Roman"/>
          <w:color w:val="auto"/>
          <w:sz w:val="24"/>
          <w:szCs w:val="28"/>
          <w:lang w:val="en-US" w:eastAsia="zh-CN" w:bidi="ar-SA"/>
        </w:rPr>
        <w:t xml:space="preserve">7.2 </w:t>
      </w:r>
      <w:r>
        <w:rPr>
          <w:rFonts w:hint="default" w:ascii="Times New Roman" w:hAnsi="Times New Roman" w:eastAsia="宋体" w:cs="Times New Roman"/>
          <w:color w:val="auto"/>
          <w:sz w:val="24"/>
          <w:szCs w:val="28"/>
          <w:lang w:val="en-US" w:eastAsia="zh-CN" w:bidi="ar-SA"/>
        </w:rPr>
        <w:t>建议</w:t>
      </w:r>
      <w:r>
        <w:rPr>
          <w:rFonts w:ascii="宋体" w:hAnsi="Calibri" w:eastAsia="宋体" w:cs="Times New Roman"/>
          <w:color w:val="auto"/>
          <w:sz w:val="24"/>
          <w:szCs w:val="28"/>
          <w:lang w:val="en-US" w:eastAsia="zh-CN" w:bidi="ar-SA"/>
        </w:rPr>
        <w:tab/>
      </w:r>
      <w:r>
        <w:rPr>
          <w:rFonts w:ascii="宋体" w:hAnsi="Calibri" w:eastAsia="宋体" w:cs="Times New Roman"/>
          <w:color w:val="auto"/>
          <w:sz w:val="24"/>
          <w:szCs w:val="28"/>
          <w:lang w:val="en-US" w:eastAsia="zh-CN" w:bidi="ar-SA"/>
        </w:rPr>
        <w:fldChar w:fldCharType="begin"/>
      </w:r>
      <w:r>
        <w:rPr>
          <w:rFonts w:ascii="宋体" w:hAnsi="Calibri" w:eastAsia="宋体" w:cs="Times New Roman"/>
          <w:color w:val="auto"/>
          <w:sz w:val="24"/>
          <w:szCs w:val="28"/>
          <w:lang w:val="en-US" w:eastAsia="zh-CN" w:bidi="ar-SA"/>
        </w:rPr>
        <w:instrText xml:space="preserve"> PAGEREF _Toc30337 \h </w:instrText>
      </w:r>
      <w:r>
        <w:rPr>
          <w:rFonts w:ascii="宋体" w:hAnsi="Calibri" w:eastAsia="宋体" w:cs="Times New Roman"/>
          <w:color w:val="auto"/>
          <w:sz w:val="24"/>
          <w:szCs w:val="28"/>
          <w:lang w:val="en-US" w:eastAsia="zh-CN" w:bidi="ar-SA"/>
        </w:rPr>
        <w:fldChar w:fldCharType="separate"/>
      </w:r>
      <w:r>
        <w:rPr>
          <w:rFonts w:ascii="宋体" w:hAnsi="Calibri" w:eastAsia="宋体" w:cs="Times New Roman"/>
          <w:color w:val="auto"/>
          <w:sz w:val="24"/>
          <w:szCs w:val="28"/>
          <w:lang w:val="en-US" w:eastAsia="zh-CN" w:bidi="ar-SA"/>
        </w:rPr>
        <w:t>34</w:t>
      </w:r>
      <w:r>
        <w:rPr>
          <w:rFonts w:ascii="宋体" w:hAnsi="Calibri" w:eastAsia="宋体" w:cs="Times New Roman"/>
          <w:color w:val="auto"/>
          <w:sz w:val="24"/>
          <w:szCs w:val="28"/>
          <w:lang w:val="en-US" w:eastAsia="zh-CN" w:bidi="ar-SA"/>
        </w:rPr>
        <w:fldChar w:fldCharType="end"/>
      </w:r>
      <w:r>
        <w:rPr>
          <w:rFonts w:hint="default" w:ascii="Times New Roman" w:hAnsi="Times New Roman" w:eastAsia="宋体" w:cs="Times New Roman"/>
          <w:color w:val="auto"/>
          <w:sz w:val="24"/>
          <w:szCs w:val="28"/>
          <w:lang w:val="en-US" w:eastAsia="zh-CN" w:bidi="ar-SA"/>
        </w:rPr>
        <w:fldChar w:fldCharType="end"/>
      </w:r>
    </w:p>
    <w:p w14:paraId="35B6359A">
      <w:pPr>
        <w:widowControl w:val="0"/>
        <w:tabs>
          <w:tab w:val="right" w:leader="dot" w:pos="8731"/>
        </w:tabs>
        <w:spacing w:line="480" w:lineRule="auto"/>
        <w:rPr>
          <w:rFonts w:ascii="黑体" w:hAnsi="Calibri" w:eastAsia="黑体" w:cs="Times New Roman"/>
          <w:color w:val="auto"/>
          <w:sz w:val="24"/>
          <w:szCs w:val="36"/>
          <w:lang w:val="en-US" w:eastAsia="zh-CN" w:bidi="ar-SA"/>
        </w:rPr>
      </w:pPr>
      <w:r>
        <w:rPr>
          <w:rFonts w:hint="default" w:ascii="Times New Roman" w:hAnsi="Times New Roman" w:eastAsia="黑体" w:cs="Times New Roman"/>
          <w:color w:val="auto"/>
          <w:sz w:val="24"/>
          <w:szCs w:val="36"/>
          <w:lang w:val="en-US" w:eastAsia="zh-CN" w:bidi="ar-SA"/>
        </w:rPr>
        <w:fldChar w:fldCharType="begin"/>
      </w:r>
      <w:r>
        <w:rPr>
          <w:rFonts w:hint="default" w:ascii="Times New Roman" w:hAnsi="Times New Roman" w:eastAsia="黑体" w:cs="Times New Roman"/>
          <w:color w:val="auto"/>
          <w:sz w:val="24"/>
          <w:szCs w:val="36"/>
          <w:lang w:val="en-US" w:eastAsia="zh-CN" w:bidi="ar-SA"/>
        </w:rPr>
        <w:instrText xml:space="preserve"> HYPERLINK \l _Toc18726 </w:instrText>
      </w:r>
      <w:r>
        <w:rPr>
          <w:rFonts w:hint="default" w:ascii="Times New Roman" w:hAnsi="Times New Roman" w:eastAsia="黑体" w:cs="Times New Roman"/>
          <w:color w:val="auto"/>
          <w:sz w:val="24"/>
          <w:szCs w:val="36"/>
          <w:lang w:val="en-US" w:eastAsia="zh-CN" w:bidi="ar-SA"/>
        </w:rPr>
        <w:fldChar w:fldCharType="separate"/>
      </w:r>
      <w:r>
        <w:rPr>
          <w:rFonts w:hint="default" w:ascii="Times New Roman" w:hAnsi="Times New Roman" w:eastAsia="黑体" w:cs="Times New Roman"/>
          <w:color w:val="auto"/>
          <w:sz w:val="24"/>
          <w:szCs w:val="28"/>
          <w:lang w:val="en-US" w:eastAsia="zh-CN" w:bidi="ar-SA"/>
        </w:rPr>
        <w:t>附表1建设项目大气环境影响评价自查表</w:t>
      </w:r>
      <w:r>
        <w:rPr>
          <w:rFonts w:ascii="黑体" w:hAnsi="Calibri" w:eastAsia="黑体" w:cs="Times New Roman"/>
          <w:color w:val="auto"/>
          <w:sz w:val="24"/>
          <w:szCs w:val="36"/>
          <w:lang w:val="en-US" w:eastAsia="zh-CN" w:bidi="ar-SA"/>
        </w:rPr>
        <w:tab/>
      </w:r>
      <w:r>
        <w:rPr>
          <w:rFonts w:ascii="黑体" w:hAnsi="Calibri" w:eastAsia="黑体" w:cs="Times New Roman"/>
          <w:color w:val="auto"/>
          <w:sz w:val="24"/>
          <w:szCs w:val="36"/>
          <w:lang w:val="en-US" w:eastAsia="zh-CN" w:bidi="ar-SA"/>
        </w:rPr>
        <w:fldChar w:fldCharType="begin"/>
      </w:r>
      <w:r>
        <w:rPr>
          <w:rFonts w:ascii="黑体" w:hAnsi="Calibri" w:eastAsia="黑体" w:cs="Times New Roman"/>
          <w:color w:val="auto"/>
          <w:sz w:val="24"/>
          <w:szCs w:val="36"/>
          <w:lang w:val="en-US" w:eastAsia="zh-CN" w:bidi="ar-SA"/>
        </w:rPr>
        <w:instrText xml:space="preserve"> PAGEREF _Toc18726 \h </w:instrText>
      </w:r>
      <w:r>
        <w:rPr>
          <w:rFonts w:ascii="黑体" w:hAnsi="Calibri" w:eastAsia="黑体" w:cs="Times New Roman"/>
          <w:color w:val="auto"/>
          <w:sz w:val="24"/>
          <w:szCs w:val="36"/>
          <w:lang w:val="en-US" w:eastAsia="zh-CN" w:bidi="ar-SA"/>
        </w:rPr>
        <w:fldChar w:fldCharType="separate"/>
      </w:r>
      <w:r>
        <w:rPr>
          <w:rFonts w:ascii="黑体" w:hAnsi="Calibri" w:eastAsia="黑体" w:cs="Times New Roman"/>
          <w:color w:val="auto"/>
          <w:sz w:val="24"/>
          <w:szCs w:val="36"/>
          <w:lang w:val="en-US" w:eastAsia="zh-CN" w:bidi="ar-SA"/>
        </w:rPr>
        <w:t>35</w:t>
      </w:r>
      <w:r>
        <w:rPr>
          <w:rFonts w:ascii="黑体" w:hAnsi="Calibri" w:eastAsia="黑体" w:cs="Times New Roman"/>
          <w:color w:val="auto"/>
          <w:sz w:val="24"/>
          <w:szCs w:val="36"/>
          <w:lang w:val="en-US" w:eastAsia="zh-CN" w:bidi="ar-SA"/>
        </w:rPr>
        <w:fldChar w:fldCharType="end"/>
      </w:r>
      <w:r>
        <w:rPr>
          <w:rFonts w:hint="default" w:ascii="Times New Roman" w:hAnsi="Times New Roman" w:eastAsia="黑体" w:cs="Times New Roman"/>
          <w:color w:val="auto"/>
          <w:sz w:val="24"/>
          <w:szCs w:val="36"/>
          <w:lang w:val="en-US" w:eastAsia="zh-CN" w:bidi="ar-SA"/>
        </w:rPr>
        <w:fldChar w:fldCharType="end"/>
      </w:r>
    </w:p>
    <w:p w14:paraId="47386495">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fldChar w:fldCharType="end"/>
      </w:r>
    </w:p>
    <w:p w14:paraId="2E0B54D4">
      <w:pPr>
        <w:rPr>
          <w:rFonts w:hint="default" w:ascii="Times New Roman" w:hAnsi="Times New Roman" w:cs="Times New Roman"/>
          <w:color w:val="auto"/>
        </w:rPr>
        <w:sectPr>
          <w:headerReference r:id="rId8" w:type="default"/>
          <w:footerReference r:id="rId9" w:type="default"/>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p>
    <w:p w14:paraId="3C9ECE09">
      <w:pPr>
        <w:widowControl w:val="0"/>
        <w:numPr>
          <w:ilvl w:val="0"/>
          <w:numId w:val="1"/>
        </w:numPr>
        <w:spacing w:before="240" w:beforeLines="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107" w:name="_Toc19460"/>
      <w:r>
        <w:rPr>
          <w:rFonts w:hint="default" w:ascii="Times New Roman" w:hAnsi="Times New Roman" w:eastAsia="黑体" w:cs="Times New Roman"/>
          <w:color w:val="auto"/>
          <w:kern w:val="2"/>
          <w:sz w:val="36"/>
          <w:szCs w:val="24"/>
          <w:lang w:val="en-US" w:eastAsia="zh-CN" w:bidi="ar-SA"/>
        </w:rPr>
        <w:t>总则</w:t>
      </w:r>
      <w:bookmarkEnd w:id="107"/>
    </w:p>
    <w:p w14:paraId="16846379">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08" w:name="_Toc344060661"/>
      <w:bookmarkStart w:id="109" w:name="_Toc307229317"/>
      <w:bookmarkStart w:id="110" w:name="_Toc353554853"/>
      <w:bookmarkStart w:id="111" w:name="_Toc8177"/>
      <w:bookmarkStart w:id="112" w:name="_Toc245605558"/>
      <w:bookmarkStart w:id="113" w:name="_Toc307947588"/>
      <w:r>
        <w:rPr>
          <w:rFonts w:hint="default" w:ascii="Times New Roman" w:hAnsi="Times New Roman" w:eastAsia="黑体" w:cs="Times New Roman"/>
          <w:color w:val="auto"/>
          <w:sz w:val="28"/>
          <w:szCs w:val="20"/>
          <w:lang w:val="en-US" w:eastAsia="zh-CN" w:bidi="ar-SA"/>
        </w:rPr>
        <w:t>编制依据</w:t>
      </w:r>
      <w:bookmarkEnd w:id="108"/>
      <w:bookmarkEnd w:id="109"/>
      <w:bookmarkEnd w:id="110"/>
      <w:bookmarkEnd w:id="111"/>
      <w:bookmarkEnd w:id="112"/>
      <w:bookmarkEnd w:id="113"/>
    </w:p>
    <w:p w14:paraId="3F712E48">
      <w:pPr>
        <w:widowControl w:val="0"/>
        <w:numPr>
          <w:ilvl w:val="2"/>
          <w:numId w:val="1"/>
        </w:numPr>
        <w:bidi w:val="0"/>
        <w:spacing w:line="360" w:lineRule="auto"/>
        <w:jc w:val="both"/>
        <w:outlineLvl w:val="2"/>
        <w:rPr>
          <w:rFonts w:hint="default" w:ascii="Times New Roman" w:hAnsi="Times New Roman" w:eastAsia="黑体" w:cs="Times New Roman"/>
          <w:color w:val="auto"/>
          <w:sz w:val="24"/>
          <w:szCs w:val="24"/>
          <w:lang w:val="en-US" w:eastAsia="zh-CN" w:bidi="ar-SA"/>
        </w:rPr>
      </w:pPr>
      <w:bookmarkStart w:id="114" w:name="_Toc10018"/>
      <w:bookmarkStart w:id="115" w:name="_Toc1001"/>
      <w:r>
        <w:rPr>
          <w:rFonts w:hint="default" w:ascii="Times New Roman" w:hAnsi="Times New Roman" w:eastAsia="黑体" w:cs="Times New Roman"/>
          <w:color w:val="auto"/>
          <w:sz w:val="24"/>
          <w:szCs w:val="24"/>
          <w:lang w:val="en-US" w:eastAsia="zh-CN" w:bidi="ar-SA"/>
        </w:rPr>
        <w:t>环境保护法律法规</w:t>
      </w:r>
      <w:bookmarkEnd w:id="114"/>
    </w:p>
    <w:p w14:paraId="0A16A3E5">
      <w:pPr>
        <w:widowControl w:val="0"/>
        <w:numPr>
          <w:ilvl w:val="0"/>
          <w:numId w:val="2"/>
        </w:numPr>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《中华人民共和国环境保护法》（2015年1月1日）；</w:t>
      </w:r>
    </w:p>
    <w:p w14:paraId="5ECD0B42">
      <w:pPr>
        <w:widowControl w:val="0"/>
        <w:numPr>
          <w:ilvl w:val="0"/>
          <w:numId w:val="2"/>
        </w:numPr>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《中华人民共和国环境影响评价法》（2003年9月1日实施，2018年12月29日修订）；</w:t>
      </w:r>
    </w:p>
    <w:p w14:paraId="135464F6">
      <w:pPr>
        <w:widowControl w:val="0"/>
        <w:numPr>
          <w:ilvl w:val="0"/>
          <w:numId w:val="2"/>
        </w:numPr>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《中华人民共和国大气污染防治法》（2018年01月26日修订）；</w:t>
      </w:r>
    </w:p>
    <w:p w14:paraId="73874070">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（4）《国务院关于印发大气污染防治行动计划的通知》（国发[2013]37号，2013年9月10日）；</w:t>
      </w:r>
    </w:p>
    <w:p w14:paraId="105F5EB2">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（5）《黑龙江省人民政府关于印发黑龙江省大气污染防治行动计划实施细则的通知》（黑政发[2014]1号，2014年1月26日）；</w:t>
      </w:r>
    </w:p>
    <w:p w14:paraId="59E733B3">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（6）《黑龙江省人民代表大会常务委员会关于修改〈黑龙江省大气污染防治条例〉的决定》（2018年12月27日）；</w:t>
      </w:r>
    </w:p>
    <w:p w14:paraId="6DC197F1">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（7）《打赢蓝天保卫战三年行动计划》（国发[2018]22号）。</w:t>
      </w:r>
    </w:p>
    <w:p w14:paraId="54D6DE8E">
      <w:pPr>
        <w:widowControl w:val="0"/>
        <w:numPr>
          <w:ilvl w:val="2"/>
          <w:numId w:val="1"/>
        </w:numPr>
        <w:bidi w:val="0"/>
        <w:spacing w:line="360" w:lineRule="auto"/>
        <w:jc w:val="both"/>
        <w:outlineLvl w:val="2"/>
        <w:rPr>
          <w:rFonts w:hint="default" w:ascii="Times New Roman" w:hAnsi="Times New Roman" w:eastAsia="黑体" w:cs="Times New Roman"/>
          <w:color w:val="auto"/>
          <w:sz w:val="24"/>
          <w:szCs w:val="24"/>
          <w:lang w:val="en-US" w:eastAsia="zh-CN" w:bidi="ar-SA"/>
        </w:rPr>
      </w:pPr>
      <w:bookmarkStart w:id="116" w:name="_Toc8415"/>
      <w:r>
        <w:rPr>
          <w:rFonts w:hint="default" w:ascii="Times New Roman" w:hAnsi="Times New Roman" w:eastAsia="黑体" w:cs="Times New Roman"/>
          <w:color w:val="auto"/>
          <w:sz w:val="24"/>
          <w:szCs w:val="24"/>
          <w:lang w:val="en-US" w:eastAsia="zh-CN" w:bidi="ar-SA"/>
        </w:rPr>
        <w:t>有关技术导则及规范</w:t>
      </w:r>
      <w:bookmarkEnd w:id="116"/>
    </w:p>
    <w:p w14:paraId="6BA2DD2F">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（1）《建设项目环境影响评价技术导则总纲》（HJ2.1-2016）；</w:t>
      </w:r>
    </w:p>
    <w:p w14:paraId="60A61DF9">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（2）《环境影响评价技术导则大气环境》（HJ2.2-2018）。</w:t>
      </w:r>
    </w:p>
    <w:bookmarkEnd w:id="115"/>
    <w:p w14:paraId="6890EDFB">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17" w:name="_Toc344060660"/>
      <w:bookmarkStart w:id="118" w:name="_Toc353554852"/>
      <w:bookmarkStart w:id="119" w:name="_Toc307947587"/>
      <w:bookmarkStart w:id="120" w:name="_Toc307229316"/>
      <w:bookmarkStart w:id="121" w:name="_Toc245605557"/>
      <w:bookmarkStart w:id="122" w:name="_Toc23687"/>
      <w:r>
        <w:rPr>
          <w:rFonts w:hint="default" w:ascii="Times New Roman" w:hAnsi="Times New Roman" w:eastAsia="黑体" w:cs="Times New Roman"/>
          <w:color w:val="auto"/>
          <w:sz w:val="28"/>
          <w:szCs w:val="20"/>
          <w:lang w:val="en-US" w:eastAsia="zh-CN" w:bidi="ar-SA"/>
        </w:rPr>
        <w:t>评价目的</w:t>
      </w:r>
      <w:bookmarkEnd w:id="117"/>
      <w:bookmarkEnd w:id="118"/>
      <w:bookmarkEnd w:id="119"/>
      <w:bookmarkEnd w:id="120"/>
      <w:bookmarkEnd w:id="121"/>
      <w:r>
        <w:rPr>
          <w:rFonts w:hint="default" w:ascii="Times New Roman" w:hAnsi="Times New Roman" w:eastAsia="黑体" w:cs="Times New Roman"/>
          <w:color w:val="auto"/>
          <w:sz w:val="28"/>
          <w:szCs w:val="20"/>
          <w:lang w:val="en-US" w:eastAsia="zh-CN" w:bidi="ar-SA"/>
        </w:rPr>
        <w:t>与原则</w:t>
      </w:r>
      <w:bookmarkEnd w:id="122"/>
    </w:p>
    <w:p w14:paraId="18EE5645">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评价目的</w:t>
      </w:r>
    </w:p>
    <w:p w14:paraId="7915B711">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通过评价调查该拟建项目所在区域的环境质量现状，针对其工程特点及产生的环境污染特征，分析、预测项目建设过程中及建成投入使用后对项目区及周围地区社会环境、自然环境和生态环境造成的影响程度及影响范围，对不利的影响有针对性地提出防治措施及对策，把因项目建设而造成的不利环境影响控制在可以接受的限度内，并从环境保护角度，对项目选址建设的可行性给出结论，为决策部门提供技术支持。</w:t>
      </w:r>
    </w:p>
    <w:p w14:paraId="5E79E31D">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评价原则</w:t>
      </w:r>
    </w:p>
    <w:p w14:paraId="367B712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突出环境影响评价的源头预防作用，坚持保护和改善环境质量。</w:t>
      </w:r>
    </w:p>
    <w:p w14:paraId="5DF4F288">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（1）依法评价</w:t>
      </w:r>
    </w:p>
    <w:p w14:paraId="7474A800">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贯彻执行我国环境保护相关法律法规、标准、政策和规划等，优化项目建设，服务环境管理</w:t>
      </w:r>
    </w:p>
    <w:p w14:paraId="326FB785">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（2）科学评价</w:t>
      </w:r>
    </w:p>
    <w:p w14:paraId="7F3AEBEC">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规范环境影响评价方法，科学分析项目建设对环境质量的影响。</w:t>
      </w:r>
    </w:p>
    <w:p w14:paraId="0355FD3C">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（3）突出重点</w:t>
      </w:r>
    </w:p>
    <w:p w14:paraId="4CAA1848">
      <w:pPr>
        <w:widowControl w:val="0"/>
        <w:spacing w:line="360" w:lineRule="auto"/>
        <w:ind w:firstLine="480" w:firstLineChars="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根据建设项目的工程内容及其特点，明确与环境要素间的作用效应关系，根据规划环境影响评价结论和审查意见，充分利用符合时效的数据资料和成果，对建设项目主要环境影响予以重点分析和评价。</w:t>
      </w:r>
    </w:p>
    <w:p w14:paraId="5BC66235">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23" w:name="_Toc674"/>
      <w:bookmarkStart w:id="124" w:name="_Toc307229318"/>
      <w:bookmarkStart w:id="125" w:name="_Toc353554854"/>
      <w:bookmarkStart w:id="126" w:name="_Toc307947589"/>
      <w:bookmarkStart w:id="127" w:name="_Toc344060662"/>
      <w:bookmarkStart w:id="128" w:name="_Toc245605562"/>
      <w:r>
        <w:rPr>
          <w:rFonts w:hint="default" w:ascii="Times New Roman" w:hAnsi="Times New Roman" w:eastAsia="黑体" w:cs="Times New Roman"/>
          <w:color w:val="auto"/>
          <w:sz w:val="28"/>
          <w:szCs w:val="20"/>
          <w:lang w:val="en-US" w:eastAsia="zh-CN" w:bidi="ar-SA"/>
        </w:rPr>
        <w:t>评价内容及评价重点</w:t>
      </w:r>
      <w:bookmarkEnd w:id="123"/>
      <w:bookmarkEnd w:id="124"/>
      <w:bookmarkEnd w:id="125"/>
      <w:bookmarkEnd w:id="126"/>
      <w:bookmarkEnd w:id="127"/>
      <w:bookmarkEnd w:id="128"/>
    </w:p>
    <w:p w14:paraId="165FA6EA">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bookmarkStart w:id="129" w:name="_Toc307229319"/>
      <w:r>
        <w:rPr>
          <w:rFonts w:hint="default" w:ascii="Times New Roman" w:hAnsi="Times New Roman" w:eastAsia="黑体" w:cs="Times New Roman"/>
          <w:color w:val="auto"/>
          <w:sz w:val="24"/>
          <w:szCs w:val="24"/>
          <w:lang w:val="en-US" w:eastAsia="zh-CN" w:bidi="ar-SA"/>
        </w:rPr>
        <w:t>评价内容</w:t>
      </w:r>
      <w:bookmarkEnd w:id="129"/>
    </w:p>
    <w:p w14:paraId="1FFC1E4F">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根据本项目工程特点及所在区域环境特征，确定本项目环境影响评价内容为：</w:t>
      </w:r>
    </w:p>
    <w:p w14:paraId="3725631E">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表1-1本项目主要环境影响评价内容一览表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9"/>
        <w:gridCol w:w="8258"/>
      </w:tblGrid>
      <w:tr w14:paraId="2E69C9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noWrap w:val="0"/>
            <w:vAlign w:val="center"/>
          </w:tcPr>
          <w:p w14:paraId="119E17A2">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8258" w:type="dxa"/>
            <w:noWrap w:val="0"/>
            <w:vAlign w:val="center"/>
          </w:tcPr>
          <w:p w14:paraId="4D78B217">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评价内容</w:t>
            </w:r>
          </w:p>
        </w:tc>
      </w:tr>
      <w:tr w14:paraId="7722AF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89" w:type="dxa"/>
            <w:noWrap w:val="0"/>
            <w:vAlign w:val="center"/>
          </w:tcPr>
          <w:p w14:paraId="46E90C00">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8258" w:type="dxa"/>
            <w:noWrap w:val="0"/>
            <w:vAlign w:val="center"/>
          </w:tcPr>
          <w:p w14:paraId="71054473">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结合本项目建设特点及所在区域的环境特征，调查所在区域目前的环境质量问题，然后对本次项目进行工程污染分析，预测本项目建设后全厂污染物排放总量情况</w:t>
            </w:r>
          </w:p>
        </w:tc>
      </w:tr>
      <w:tr w14:paraId="097CF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89" w:type="dxa"/>
            <w:noWrap w:val="0"/>
            <w:vAlign w:val="center"/>
          </w:tcPr>
          <w:p w14:paraId="56D34F9A">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w:t>
            </w:r>
          </w:p>
        </w:tc>
        <w:tc>
          <w:tcPr>
            <w:tcW w:w="8258" w:type="dxa"/>
            <w:noWrap w:val="0"/>
            <w:vAlign w:val="center"/>
          </w:tcPr>
          <w:p w14:paraId="3F4E879D">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对本项目拟选厂址所在区域的环境质量进行现状评价，分析纳污环境的承载能力，作为环境影响预测评价的依据</w:t>
            </w:r>
          </w:p>
        </w:tc>
      </w:tr>
      <w:tr w14:paraId="003790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89" w:type="dxa"/>
            <w:noWrap w:val="0"/>
            <w:vAlign w:val="center"/>
          </w:tcPr>
          <w:p w14:paraId="0D9005AB">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3</w:t>
            </w:r>
          </w:p>
        </w:tc>
        <w:tc>
          <w:tcPr>
            <w:tcW w:w="8258" w:type="dxa"/>
            <w:noWrap w:val="0"/>
            <w:vAlign w:val="center"/>
          </w:tcPr>
          <w:p w14:paraId="1644C886">
            <w:pPr>
              <w:keepNext w:val="0"/>
              <w:keepLines w:val="0"/>
              <w:suppressLineNumbers w:val="0"/>
              <w:spacing w:before="0" w:beforeAutospacing="0" w:after="0" w:afterAutospacing="0"/>
              <w:ind w:left="0" w:right="0"/>
              <w:jc w:val="left"/>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预测本项目投产后产生的污染物对评价区环境质量产生影响的范围和程度，从环保角度论证本项目在拟建厂址建设的可行性</w:t>
            </w:r>
          </w:p>
        </w:tc>
      </w:tr>
    </w:tbl>
    <w:p w14:paraId="060D977C">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bookmarkStart w:id="130" w:name="_Toc307229320"/>
      <w:r>
        <w:rPr>
          <w:rFonts w:hint="default" w:ascii="Times New Roman" w:hAnsi="Times New Roman" w:eastAsia="黑体" w:cs="Times New Roman"/>
          <w:color w:val="auto"/>
          <w:sz w:val="24"/>
          <w:szCs w:val="24"/>
          <w:lang w:val="en-US" w:eastAsia="zh-CN" w:bidi="ar-SA"/>
        </w:rPr>
        <w:t>评价重点</w:t>
      </w:r>
      <w:bookmarkEnd w:id="130"/>
    </w:p>
    <w:p w14:paraId="3CA0380C">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根据建设项目特点和区域环境特征，本次评价工作的重点依次为：工程分析，环保措施可行性分析，环境影响预测与分析，环境空气质量评价等。</w:t>
      </w:r>
    </w:p>
    <w:p w14:paraId="0C9FC518">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p>
    <w:p w14:paraId="18465AD1">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31" w:name="_Toc307229321"/>
      <w:bookmarkStart w:id="132" w:name="_Toc11761"/>
      <w:bookmarkStart w:id="133" w:name="_Toc353554855"/>
      <w:bookmarkStart w:id="134" w:name="_Toc344060663"/>
      <w:bookmarkStart w:id="135" w:name="_Toc307947590"/>
      <w:r>
        <w:rPr>
          <w:rFonts w:hint="default" w:ascii="Times New Roman" w:hAnsi="Times New Roman" w:eastAsia="黑体" w:cs="Times New Roman"/>
          <w:color w:val="auto"/>
          <w:sz w:val="28"/>
          <w:szCs w:val="20"/>
          <w:lang w:val="en-US" w:eastAsia="zh-CN" w:bidi="ar-SA"/>
        </w:rPr>
        <w:t>环境评价标准</w:t>
      </w:r>
      <w:bookmarkEnd w:id="131"/>
      <w:bookmarkEnd w:id="132"/>
      <w:bookmarkEnd w:id="133"/>
      <w:bookmarkEnd w:id="134"/>
      <w:bookmarkEnd w:id="135"/>
    </w:p>
    <w:p w14:paraId="1EDB42FA">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本项目环境空气质量标准执行《环境空气质量标准》（GB3095-2026）及修改单二级标准，本次评价采用的环境质量标准和污染物排放标准见表1-2。</w:t>
      </w:r>
    </w:p>
    <w:p w14:paraId="36A6A1D9">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表1-2环境质量标准</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277"/>
        <w:gridCol w:w="1936"/>
        <w:gridCol w:w="892"/>
        <w:gridCol w:w="2085"/>
        <w:gridCol w:w="945"/>
      </w:tblGrid>
      <w:tr w14:paraId="75223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restart"/>
            <w:noWrap w:val="0"/>
            <w:vAlign w:val="center"/>
          </w:tcPr>
          <w:p w14:paraId="3FE4FBB4">
            <w:pPr>
              <w:pStyle w:val="183"/>
              <w:keepNext w:val="0"/>
              <w:keepLines w:val="0"/>
              <w:suppressLineNumbers w:val="0"/>
              <w:bidi w:val="0"/>
              <w:spacing w:before="0" w:beforeAutospacing="0" w:after="0" w:afterAutospacing="0"/>
              <w:ind w:right="0"/>
              <w:rPr>
                <w:rFonts w:hint="default"/>
                <w:color w:val="auto"/>
                <w:lang w:val="en-US" w:eastAsia="zh-CN"/>
              </w:rPr>
            </w:pPr>
            <w:bookmarkStart w:id="136" w:name="_Toc245605567"/>
            <w:bookmarkStart w:id="137" w:name="_Toc307947591"/>
            <w:bookmarkStart w:id="138" w:name="_Toc307229326"/>
            <w:bookmarkStart w:id="139" w:name="_Toc344060664"/>
            <w:bookmarkStart w:id="140" w:name="_Toc353554856"/>
            <w:r>
              <w:rPr>
                <w:rFonts w:hint="default"/>
                <w:color w:val="auto"/>
                <w:lang w:val="en-US" w:eastAsia="zh-CN"/>
              </w:rPr>
              <w:t>环境</w:t>
            </w:r>
          </w:p>
          <w:p w14:paraId="6B0B3427">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要素</w:t>
            </w:r>
          </w:p>
        </w:tc>
        <w:tc>
          <w:tcPr>
            <w:tcW w:w="2169" w:type="dxa"/>
            <w:vMerge w:val="restart"/>
            <w:noWrap w:val="0"/>
            <w:vAlign w:val="center"/>
          </w:tcPr>
          <w:p w14:paraId="0CEE06E9">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标准名称及级别</w:t>
            </w:r>
          </w:p>
        </w:tc>
        <w:tc>
          <w:tcPr>
            <w:tcW w:w="1843" w:type="dxa"/>
            <w:vMerge w:val="restart"/>
            <w:noWrap w:val="0"/>
            <w:vAlign w:val="center"/>
          </w:tcPr>
          <w:p w14:paraId="6DB94224">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项目</w:t>
            </w:r>
          </w:p>
        </w:tc>
        <w:tc>
          <w:tcPr>
            <w:tcW w:w="3736" w:type="dxa"/>
            <w:gridSpan w:val="3"/>
            <w:noWrap w:val="0"/>
            <w:vAlign w:val="center"/>
          </w:tcPr>
          <w:p w14:paraId="65F04FD1">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标准值</w:t>
            </w:r>
          </w:p>
        </w:tc>
      </w:tr>
      <w:tr w14:paraId="5F581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69203E0F">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5427E4A1">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44C67072">
            <w:pPr>
              <w:pStyle w:val="183"/>
              <w:keepNext w:val="0"/>
              <w:keepLines w:val="0"/>
              <w:suppressLineNumbers w:val="0"/>
              <w:bidi w:val="0"/>
              <w:spacing w:before="0" w:beforeAutospacing="0" w:after="0" w:afterAutospacing="0"/>
              <w:ind w:right="0"/>
              <w:rPr>
                <w:rFonts w:hint="default"/>
                <w:color w:val="auto"/>
              </w:rPr>
            </w:pPr>
          </w:p>
        </w:tc>
        <w:tc>
          <w:tcPr>
            <w:tcW w:w="850" w:type="dxa"/>
            <w:noWrap w:val="0"/>
            <w:vAlign w:val="center"/>
          </w:tcPr>
          <w:p w14:paraId="563C59DC">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单位</w:t>
            </w:r>
          </w:p>
        </w:tc>
        <w:tc>
          <w:tcPr>
            <w:tcW w:w="2886" w:type="dxa"/>
            <w:gridSpan w:val="2"/>
            <w:noWrap w:val="0"/>
            <w:vAlign w:val="center"/>
          </w:tcPr>
          <w:p w14:paraId="7B39D9B3">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数值</w:t>
            </w:r>
          </w:p>
        </w:tc>
      </w:tr>
      <w:tr w14:paraId="3DE66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restart"/>
            <w:noWrap w:val="0"/>
            <w:vAlign w:val="center"/>
          </w:tcPr>
          <w:p w14:paraId="062517DA">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环境空气</w:t>
            </w:r>
          </w:p>
        </w:tc>
        <w:tc>
          <w:tcPr>
            <w:tcW w:w="2169" w:type="dxa"/>
            <w:vMerge w:val="restart"/>
            <w:noWrap w:val="0"/>
            <w:vAlign w:val="center"/>
          </w:tcPr>
          <w:p w14:paraId="4F7F0AD8">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《环境空气质量标准》（GB3095-20</w:t>
            </w:r>
            <w:r>
              <w:rPr>
                <w:rFonts w:hint="eastAsia"/>
                <w:color w:val="auto"/>
                <w:lang w:val="en-US" w:eastAsia="zh-CN"/>
              </w:rPr>
              <w:t>26</w:t>
            </w:r>
            <w:r>
              <w:rPr>
                <w:rFonts w:hint="default"/>
                <w:color w:val="auto"/>
                <w:lang w:val="en-US" w:eastAsia="zh-CN"/>
              </w:rPr>
              <w:t>）</w:t>
            </w:r>
            <w:r>
              <w:rPr>
                <w:rFonts w:hint="eastAsia" w:ascii="Times New Roman" w:hAnsi="Times New Roman" w:cs="Times New Roman"/>
                <w:color w:val="auto"/>
                <w:kern w:val="2"/>
                <w:sz w:val="18"/>
                <w:szCs w:val="18"/>
                <w:highlight w:val="none"/>
                <w:lang w:val="en-US" w:eastAsia="zh-CN"/>
              </w:rPr>
              <w:t>过渡阶段浓度限</w:t>
            </w:r>
            <w:r>
              <w:rPr>
                <w:rFonts w:hint="default" w:ascii="Times New Roman" w:hAnsi="Times New Roman" w:cs="Times New Roman"/>
                <w:color w:val="auto"/>
                <w:kern w:val="2"/>
                <w:sz w:val="18"/>
                <w:szCs w:val="18"/>
                <w:highlight w:val="none"/>
              </w:rPr>
              <w:t>值</w:t>
            </w:r>
          </w:p>
        </w:tc>
        <w:tc>
          <w:tcPr>
            <w:tcW w:w="1843" w:type="dxa"/>
            <w:vMerge w:val="restart"/>
            <w:noWrap w:val="0"/>
            <w:vAlign w:val="center"/>
          </w:tcPr>
          <w:p w14:paraId="37FB92D9">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NO</w:t>
            </w:r>
            <w:r>
              <w:rPr>
                <w:rFonts w:hint="default"/>
                <w:color w:val="auto"/>
                <w:vertAlign w:val="subscript"/>
                <w:lang w:val="en-US" w:eastAsia="zh-CN"/>
              </w:rPr>
              <w:t>2</w:t>
            </w:r>
          </w:p>
        </w:tc>
        <w:tc>
          <w:tcPr>
            <w:tcW w:w="850" w:type="dxa"/>
            <w:vMerge w:val="restart"/>
            <w:noWrap w:val="0"/>
            <w:vAlign w:val="center"/>
          </w:tcPr>
          <w:p w14:paraId="2D8ED04F">
            <w:pPr>
              <w:pStyle w:val="183"/>
              <w:keepNext w:val="0"/>
              <w:keepLines w:val="0"/>
              <w:suppressLineNumbers w:val="0"/>
              <w:bidi w:val="0"/>
              <w:spacing w:before="0" w:beforeAutospacing="0" w:after="0" w:afterAutospacing="0"/>
              <w:ind w:right="0"/>
              <w:rPr>
                <w:rFonts w:hint="eastAsia"/>
                <w:color w:val="auto"/>
                <w:lang w:val="en-US" w:eastAsia="zh-CN"/>
              </w:rPr>
            </w:pPr>
            <w:r>
              <w:rPr>
                <w:rFonts w:hint="default"/>
                <w:color w:val="auto"/>
                <w:lang w:val="en-US" w:eastAsia="zh-CN"/>
              </w:rPr>
              <w:t>μg/m</w:t>
            </w:r>
            <w:r>
              <w:rPr>
                <w:rFonts w:hint="default"/>
                <w:color w:val="auto"/>
                <w:vertAlign w:val="superscript"/>
                <w:lang w:val="en-US" w:eastAsia="zh-CN"/>
              </w:rPr>
              <w:t>3</w:t>
            </w:r>
          </w:p>
        </w:tc>
        <w:tc>
          <w:tcPr>
            <w:tcW w:w="1986" w:type="dxa"/>
            <w:noWrap w:val="0"/>
            <w:vAlign w:val="center"/>
          </w:tcPr>
          <w:p w14:paraId="6C3E7FAE">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1小时平均</w:t>
            </w:r>
          </w:p>
        </w:tc>
        <w:tc>
          <w:tcPr>
            <w:tcW w:w="900" w:type="dxa"/>
            <w:noWrap w:val="0"/>
            <w:vAlign w:val="center"/>
          </w:tcPr>
          <w:p w14:paraId="6074F73B">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200</w:t>
            </w:r>
          </w:p>
        </w:tc>
      </w:tr>
      <w:tr w14:paraId="64C02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3244EE54">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3F899C20">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0BF20B77">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5B69A577">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411FA6A4">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0415729B">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80</w:t>
            </w:r>
          </w:p>
        </w:tc>
      </w:tr>
      <w:tr w14:paraId="397FB8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702A568F">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096E56F9">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4BEA938B">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6F2830B3">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25693BFE">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06B5E7DB">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40</w:t>
            </w:r>
          </w:p>
        </w:tc>
      </w:tr>
      <w:tr w14:paraId="10DF3C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3BCD6AB1">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40F4BEF8">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4A7B415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SO</w:t>
            </w:r>
            <w:r>
              <w:rPr>
                <w:rFonts w:hint="default"/>
                <w:color w:val="auto"/>
                <w:vertAlign w:val="subscript"/>
                <w:lang w:val="en-US" w:eastAsia="zh-CN"/>
              </w:rPr>
              <w:t>2</w:t>
            </w:r>
          </w:p>
        </w:tc>
        <w:tc>
          <w:tcPr>
            <w:tcW w:w="850" w:type="dxa"/>
            <w:vMerge w:val="continue"/>
            <w:noWrap w:val="0"/>
            <w:vAlign w:val="center"/>
          </w:tcPr>
          <w:p w14:paraId="3A0DC8EB">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608BC40C">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1小时平均</w:t>
            </w:r>
          </w:p>
        </w:tc>
        <w:tc>
          <w:tcPr>
            <w:tcW w:w="900" w:type="dxa"/>
            <w:noWrap w:val="0"/>
            <w:vAlign w:val="center"/>
          </w:tcPr>
          <w:p w14:paraId="19B094AB">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500</w:t>
            </w:r>
          </w:p>
        </w:tc>
      </w:tr>
      <w:tr w14:paraId="67EBE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0F899C1E">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4FA92EAD">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7DB95E35">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2B071528">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6C97C757">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3C8A254C">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150</w:t>
            </w:r>
          </w:p>
        </w:tc>
      </w:tr>
      <w:tr w14:paraId="211BC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1D0287DB">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313A1B8">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3DB160F6">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69478F4A">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75D7481C">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08A50305">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60</w:t>
            </w:r>
          </w:p>
        </w:tc>
      </w:tr>
      <w:tr w14:paraId="46CA9D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4060F859">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2DAB2E1A">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04036822">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CO</w:t>
            </w:r>
          </w:p>
        </w:tc>
        <w:tc>
          <w:tcPr>
            <w:tcW w:w="850" w:type="dxa"/>
            <w:vMerge w:val="continue"/>
            <w:noWrap w:val="0"/>
            <w:vAlign w:val="center"/>
          </w:tcPr>
          <w:p w14:paraId="3029C21E">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08D17729">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51F44DEE">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4</w:t>
            </w:r>
          </w:p>
        </w:tc>
      </w:tr>
      <w:tr w14:paraId="04D45C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347ECF8F">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1E71A45">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4CB03191">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6DD5C6A0">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67BAC2E2">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1小时平均</w:t>
            </w:r>
          </w:p>
        </w:tc>
        <w:tc>
          <w:tcPr>
            <w:tcW w:w="900" w:type="dxa"/>
            <w:noWrap w:val="0"/>
            <w:vAlign w:val="center"/>
          </w:tcPr>
          <w:p w14:paraId="136E9228">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10</w:t>
            </w:r>
          </w:p>
        </w:tc>
      </w:tr>
      <w:tr w14:paraId="24119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15A977D6">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24897496">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681FAD22">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O</w:t>
            </w:r>
            <w:r>
              <w:rPr>
                <w:rFonts w:hint="default"/>
                <w:color w:val="auto"/>
                <w:vertAlign w:val="subscript"/>
                <w:lang w:val="en-US" w:eastAsia="zh-CN"/>
              </w:rPr>
              <w:t>3</w:t>
            </w:r>
          </w:p>
        </w:tc>
        <w:tc>
          <w:tcPr>
            <w:tcW w:w="850" w:type="dxa"/>
            <w:vMerge w:val="continue"/>
            <w:noWrap w:val="0"/>
            <w:vAlign w:val="center"/>
          </w:tcPr>
          <w:p w14:paraId="2D8E25FD">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1FE5EC9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日最大8小时平均</w:t>
            </w:r>
          </w:p>
        </w:tc>
        <w:tc>
          <w:tcPr>
            <w:tcW w:w="900" w:type="dxa"/>
            <w:noWrap w:val="0"/>
            <w:vAlign w:val="center"/>
          </w:tcPr>
          <w:p w14:paraId="01ADBA74">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160</w:t>
            </w:r>
          </w:p>
        </w:tc>
      </w:tr>
      <w:tr w14:paraId="5DE1C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6D88EDAF">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40F3FC06">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083442DA">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091B962E">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20AF2955">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1小时平均</w:t>
            </w:r>
          </w:p>
        </w:tc>
        <w:tc>
          <w:tcPr>
            <w:tcW w:w="900" w:type="dxa"/>
            <w:noWrap w:val="0"/>
            <w:vAlign w:val="center"/>
          </w:tcPr>
          <w:p w14:paraId="48FAB8AD">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200</w:t>
            </w:r>
          </w:p>
        </w:tc>
      </w:tr>
      <w:tr w14:paraId="477DD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4D983DD4">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1285B167">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77E290B4">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颗粒物（粒径小于等于10μm）</w:t>
            </w:r>
          </w:p>
        </w:tc>
        <w:tc>
          <w:tcPr>
            <w:tcW w:w="850" w:type="dxa"/>
            <w:vMerge w:val="continue"/>
            <w:noWrap w:val="0"/>
            <w:vAlign w:val="center"/>
          </w:tcPr>
          <w:p w14:paraId="3FAEBF96">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38EBDC96">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731CEAE9">
            <w:pPr>
              <w:pStyle w:val="183"/>
              <w:keepNext w:val="0"/>
              <w:keepLines w:val="0"/>
              <w:suppressLineNumbers w:val="0"/>
              <w:bidi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w:t>
            </w:r>
          </w:p>
        </w:tc>
      </w:tr>
      <w:tr w14:paraId="3DEBD5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5918AA6D">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5DF38209">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033941BD">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0F6B04CA">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1130A725">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3964E5DF">
            <w:pPr>
              <w:pStyle w:val="183"/>
              <w:keepNext w:val="0"/>
              <w:keepLines w:val="0"/>
              <w:suppressLineNumbers w:val="0"/>
              <w:bidi w:val="0"/>
              <w:spacing w:before="0" w:beforeAutospacing="0" w:after="0" w:afterAutospacing="0"/>
              <w:ind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0</w:t>
            </w:r>
          </w:p>
        </w:tc>
      </w:tr>
      <w:tr w14:paraId="0EA4A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36BA231A">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0AD7A6C5">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2F6B9B9A">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颗粒物（粒径小于等于2.5μm）</w:t>
            </w:r>
          </w:p>
        </w:tc>
        <w:tc>
          <w:tcPr>
            <w:tcW w:w="850" w:type="dxa"/>
            <w:vMerge w:val="continue"/>
            <w:noWrap w:val="0"/>
            <w:vAlign w:val="center"/>
          </w:tcPr>
          <w:p w14:paraId="7CBA2278">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34BEAB34">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05697FBD">
            <w:pPr>
              <w:pStyle w:val="183"/>
              <w:keepNext w:val="0"/>
              <w:keepLines w:val="0"/>
              <w:suppressLineNumbers w:val="0"/>
              <w:bidi w:val="0"/>
              <w:spacing w:before="0" w:beforeAutospacing="0" w:after="0" w:afterAutospacing="0"/>
              <w:ind w:right="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r>
              <w:rPr>
                <w:rFonts w:hint="eastAsia" w:ascii="Times New Roman" w:hAnsi="Times New Roman" w:eastAsia="宋体" w:cs="Times New Roman"/>
                <w:color w:val="auto"/>
                <w:lang w:val="en-US" w:eastAsia="zh-CN"/>
              </w:rPr>
              <w:t>0</w:t>
            </w:r>
          </w:p>
        </w:tc>
      </w:tr>
      <w:tr w14:paraId="53F72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426A4069">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00A30DB1">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30A92CE1">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1720A94D">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353CC5C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3A751D63">
            <w:pPr>
              <w:pStyle w:val="183"/>
              <w:keepNext w:val="0"/>
              <w:keepLines w:val="0"/>
              <w:suppressLineNumbers w:val="0"/>
              <w:bidi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w:t>
            </w:r>
          </w:p>
        </w:tc>
      </w:tr>
      <w:tr w14:paraId="3FA891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44B7C3A3">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26FFAE2">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2FD46A17">
            <w:pPr>
              <w:pStyle w:val="183"/>
              <w:keepNext w:val="0"/>
              <w:keepLines w:val="0"/>
              <w:suppressLineNumbers w:val="0"/>
              <w:bidi w:val="0"/>
              <w:spacing w:before="0" w:beforeAutospacing="0" w:after="0" w:afterAutospacing="0"/>
              <w:ind w:right="0"/>
              <w:rPr>
                <w:rFonts w:hint="eastAsia"/>
                <w:color w:val="auto"/>
              </w:rPr>
            </w:pPr>
            <w:r>
              <w:rPr>
                <w:rFonts w:hint="eastAsia"/>
                <w:color w:val="auto"/>
                <w:lang w:val="en-US" w:eastAsia="zh-CN"/>
              </w:rPr>
              <w:t>总悬浮颗粒物T</w:t>
            </w:r>
            <w:r>
              <w:rPr>
                <w:rFonts w:hint="default"/>
                <w:color w:val="auto"/>
                <w:lang w:val="en-US" w:eastAsia="zh-CN"/>
              </w:rPr>
              <w:t>SP</w:t>
            </w:r>
          </w:p>
        </w:tc>
        <w:tc>
          <w:tcPr>
            <w:tcW w:w="850" w:type="dxa"/>
            <w:vMerge w:val="continue"/>
            <w:noWrap w:val="0"/>
            <w:vAlign w:val="center"/>
          </w:tcPr>
          <w:p w14:paraId="3D6EC953">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4F439287">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3CF37AF9">
            <w:pPr>
              <w:pStyle w:val="183"/>
              <w:keepNext w:val="0"/>
              <w:keepLines w:val="0"/>
              <w:suppressLineNumbers w:val="0"/>
              <w:bidi w:val="0"/>
              <w:spacing w:before="0" w:beforeAutospacing="0" w:after="0" w:afterAutospacing="0"/>
              <w:ind w:right="0"/>
              <w:rPr>
                <w:rFonts w:hint="default"/>
                <w:color w:val="auto"/>
                <w:lang w:val="en-US" w:eastAsia="zh-CN"/>
              </w:rPr>
            </w:pPr>
            <w:r>
              <w:rPr>
                <w:rFonts w:hint="eastAsia"/>
                <w:color w:val="auto"/>
                <w:lang w:val="en-US" w:eastAsia="zh-CN"/>
              </w:rPr>
              <w:t>2</w:t>
            </w:r>
            <w:r>
              <w:rPr>
                <w:rFonts w:hint="default"/>
                <w:color w:val="auto"/>
                <w:lang w:val="en-US" w:eastAsia="zh-CN"/>
              </w:rPr>
              <w:t>00</w:t>
            </w:r>
          </w:p>
        </w:tc>
      </w:tr>
      <w:tr w14:paraId="67E1E7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6F975CAE">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539227CC">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0A469CF4">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0D9A6977">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3A34650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07119866">
            <w:pPr>
              <w:pStyle w:val="183"/>
              <w:keepNext w:val="0"/>
              <w:keepLines w:val="0"/>
              <w:suppressLineNumbers w:val="0"/>
              <w:bidi w:val="0"/>
              <w:spacing w:before="0" w:beforeAutospacing="0" w:after="0" w:afterAutospacing="0"/>
              <w:ind w:right="0"/>
              <w:rPr>
                <w:rFonts w:hint="default"/>
                <w:color w:val="auto"/>
                <w:lang w:val="en-US" w:eastAsia="zh-CN"/>
              </w:rPr>
            </w:pPr>
            <w:r>
              <w:rPr>
                <w:rFonts w:hint="eastAsia"/>
                <w:color w:val="auto"/>
                <w:lang w:val="en-US" w:eastAsia="zh-CN"/>
              </w:rPr>
              <w:t>3</w:t>
            </w:r>
            <w:r>
              <w:rPr>
                <w:rFonts w:hint="default"/>
                <w:color w:val="auto"/>
                <w:lang w:val="en-US" w:eastAsia="zh-CN"/>
              </w:rPr>
              <w:t>00</w:t>
            </w:r>
          </w:p>
        </w:tc>
      </w:tr>
      <w:tr w14:paraId="0E4A8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4540ECE3">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66BA464">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48547A9D">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NOx</w:t>
            </w:r>
          </w:p>
        </w:tc>
        <w:tc>
          <w:tcPr>
            <w:tcW w:w="850" w:type="dxa"/>
            <w:vMerge w:val="continue"/>
            <w:noWrap w:val="0"/>
            <w:vAlign w:val="center"/>
          </w:tcPr>
          <w:p w14:paraId="36B25030">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3F87A2B1">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1C0EF9A9">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50</w:t>
            </w:r>
          </w:p>
        </w:tc>
      </w:tr>
      <w:tr w14:paraId="59E47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7F9CB9B8">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88A27E5">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438A669C">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4D94AD8C">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4719090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790562A2">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100</w:t>
            </w:r>
          </w:p>
        </w:tc>
      </w:tr>
      <w:tr w14:paraId="70163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165925DD">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5C3BCDA9">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3D088C90">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6BD6FCEA">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68962540">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1小时平均</w:t>
            </w:r>
          </w:p>
        </w:tc>
        <w:tc>
          <w:tcPr>
            <w:tcW w:w="900" w:type="dxa"/>
            <w:noWrap w:val="0"/>
            <w:vAlign w:val="center"/>
          </w:tcPr>
          <w:p w14:paraId="0E0E3B6A">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250</w:t>
            </w:r>
          </w:p>
        </w:tc>
      </w:tr>
      <w:tr w14:paraId="14FC9F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6ACAA0EC">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60B7F2AE">
            <w:pPr>
              <w:pStyle w:val="183"/>
              <w:keepNext w:val="0"/>
              <w:keepLines w:val="0"/>
              <w:suppressLineNumbers w:val="0"/>
              <w:bidi w:val="0"/>
              <w:spacing w:before="0" w:beforeAutospacing="0" w:after="0" w:afterAutospacing="0"/>
              <w:ind w:right="0"/>
              <w:rPr>
                <w:rFonts w:hint="default"/>
                <w:color w:val="auto"/>
              </w:rPr>
            </w:pPr>
          </w:p>
        </w:tc>
        <w:tc>
          <w:tcPr>
            <w:tcW w:w="1843" w:type="dxa"/>
            <w:vMerge w:val="restart"/>
            <w:noWrap w:val="0"/>
            <w:vAlign w:val="center"/>
          </w:tcPr>
          <w:p w14:paraId="731EDF73">
            <w:pPr>
              <w:pStyle w:val="183"/>
              <w:keepNext w:val="0"/>
              <w:keepLines w:val="0"/>
              <w:suppressLineNumbers w:val="0"/>
              <w:bidi w:val="0"/>
              <w:spacing w:before="0" w:beforeAutospacing="0" w:after="0" w:afterAutospacing="0"/>
              <w:ind w:right="0"/>
              <w:rPr>
                <w:rFonts w:hint="default"/>
                <w:color w:val="auto"/>
              </w:rPr>
            </w:pPr>
            <w:r>
              <w:rPr>
                <w:rFonts w:hint="eastAsia"/>
                <w:color w:val="auto"/>
              </w:rPr>
              <w:t>苯并[</w:t>
            </w:r>
            <w:r>
              <w:rPr>
                <w:rFonts w:hint="default"/>
                <w:color w:val="auto"/>
              </w:rPr>
              <w:t>a]</w:t>
            </w:r>
            <w:r>
              <w:rPr>
                <w:rFonts w:hint="eastAsia"/>
                <w:color w:val="auto"/>
              </w:rPr>
              <w:t>芘</w:t>
            </w:r>
          </w:p>
        </w:tc>
        <w:tc>
          <w:tcPr>
            <w:tcW w:w="850" w:type="dxa"/>
            <w:vMerge w:val="continue"/>
            <w:noWrap w:val="0"/>
            <w:vAlign w:val="center"/>
          </w:tcPr>
          <w:p w14:paraId="0E602272">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1CC7D20A">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年平均</w:t>
            </w:r>
          </w:p>
        </w:tc>
        <w:tc>
          <w:tcPr>
            <w:tcW w:w="900" w:type="dxa"/>
            <w:noWrap w:val="0"/>
            <w:vAlign w:val="center"/>
          </w:tcPr>
          <w:p w14:paraId="729F19E1">
            <w:pPr>
              <w:pStyle w:val="183"/>
              <w:keepNext w:val="0"/>
              <w:keepLines w:val="0"/>
              <w:suppressLineNumbers w:val="0"/>
              <w:bidi w:val="0"/>
              <w:spacing w:before="0" w:beforeAutospacing="0" w:after="0" w:afterAutospacing="0"/>
              <w:ind w:right="0"/>
              <w:rPr>
                <w:rFonts w:hint="default"/>
                <w:color w:val="auto"/>
                <w:lang w:val="en-US" w:eastAsia="zh-CN"/>
              </w:rPr>
            </w:pPr>
            <w:r>
              <w:rPr>
                <w:rFonts w:hint="eastAsia"/>
                <w:color w:val="auto"/>
                <w:lang w:val="en-US" w:eastAsia="zh-CN"/>
              </w:rPr>
              <w:t>0.001</w:t>
            </w:r>
          </w:p>
        </w:tc>
      </w:tr>
      <w:tr w14:paraId="5ED549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7A4B1122">
            <w:pPr>
              <w:pStyle w:val="183"/>
              <w:keepNext w:val="0"/>
              <w:keepLines w:val="0"/>
              <w:suppressLineNumbers w:val="0"/>
              <w:bidi w:val="0"/>
              <w:spacing w:before="0" w:beforeAutospacing="0" w:after="0" w:afterAutospacing="0"/>
              <w:ind w:right="0"/>
              <w:rPr>
                <w:rFonts w:hint="default"/>
                <w:color w:val="auto"/>
              </w:rPr>
            </w:pPr>
          </w:p>
        </w:tc>
        <w:tc>
          <w:tcPr>
            <w:tcW w:w="2169" w:type="dxa"/>
            <w:vMerge w:val="continue"/>
            <w:noWrap w:val="0"/>
            <w:vAlign w:val="center"/>
          </w:tcPr>
          <w:p w14:paraId="37D864D3">
            <w:pPr>
              <w:pStyle w:val="183"/>
              <w:keepNext w:val="0"/>
              <w:keepLines w:val="0"/>
              <w:suppressLineNumbers w:val="0"/>
              <w:bidi w:val="0"/>
              <w:spacing w:before="0" w:beforeAutospacing="0" w:after="0" w:afterAutospacing="0"/>
              <w:ind w:right="0"/>
              <w:rPr>
                <w:rFonts w:hint="default"/>
                <w:color w:val="auto"/>
              </w:rPr>
            </w:pPr>
          </w:p>
        </w:tc>
        <w:tc>
          <w:tcPr>
            <w:tcW w:w="1843" w:type="dxa"/>
            <w:vMerge w:val="continue"/>
            <w:noWrap w:val="0"/>
            <w:vAlign w:val="center"/>
          </w:tcPr>
          <w:p w14:paraId="7D5980D9">
            <w:pPr>
              <w:pStyle w:val="183"/>
              <w:keepNext w:val="0"/>
              <w:keepLines w:val="0"/>
              <w:suppressLineNumbers w:val="0"/>
              <w:bidi w:val="0"/>
              <w:spacing w:before="0" w:beforeAutospacing="0" w:after="0" w:afterAutospacing="0"/>
              <w:ind w:right="0"/>
              <w:rPr>
                <w:rFonts w:hint="default"/>
                <w:color w:val="auto"/>
              </w:rPr>
            </w:pPr>
          </w:p>
        </w:tc>
        <w:tc>
          <w:tcPr>
            <w:tcW w:w="850" w:type="dxa"/>
            <w:vMerge w:val="continue"/>
            <w:noWrap w:val="0"/>
            <w:vAlign w:val="center"/>
          </w:tcPr>
          <w:p w14:paraId="400BFA16">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5224F7BE">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7E94EC15">
            <w:pPr>
              <w:pStyle w:val="183"/>
              <w:keepNext w:val="0"/>
              <w:keepLines w:val="0"/>
              <w:suppressLineNumbers w:val="0"/>
              <w:bidi w:val="0"/>
              <w:spacing w:before="0" w:beforeAutospacing="0" w:after="0" w:afterAutospacing="0"/>
              <w:ind w:right="0"/>
              <w:rPr>
                <w:rFonts w:hint="default"/>
                <w:color w:val="auto"/>
                <w:lang w:val="en-US" w:eastAsia="zh-CN"/>
              </w:rPr>
            </w:pPr>
            <w:r>
              <w:rPr>
                <w:rFonts w:hint="eastAsia"/>
                <w:color w:val="auto"/>
                <w:lang w:val="en-US" w:eastAsia="zh-CN"/>
              </w:rPr>
              <w:t>0.0025</w:t>
            </w:r>
          </w:p>
        </w:tc>
      </w:tr>
      <w:tr w14:paraId="643A4F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4" w:type="dxa"/>
            <w:vMerge w:val="continue"/>
            <w:noWrap w:val="0"/>
            <w:vAlign w:val="center"/>
          </w:tcPr>
          <w:p w14:paraId="39D0CF9F">
            <w:pPr>
              <w:pStyle w:val="183"/>
              <w:keepNext w:val="0"/>
              <w:keepLines w:val="0"/>
              <w:suppressLineNumbers w:val="0"/>
              <w:bidi w:val="0"/>
              <w:spacing w:before="0" w:beforeAutospacing="0" w:after="0" w:afterAutospacing="0"/>
              <w:ind w:right="0"/>
              <w:rPr>
                <w:rFonts w:hint="default"/>
                <w:color w:val="auto"/>
              </w:rPr>
            </w:pPr>
          </w:p>
        </w:tc>
        <w:tc>
          <w:tcPr>
            <w:tcW w:w="2169" w:type="dxa"/>
            <w:noWrap w:val="0"/>
            <w:vAlign w:val="center"/>
          </w:tcPr>
          <w:p w14:paraId="30406C3A">
            <w:pPr>
              <w:pStyle w:val="183"/>
              <w:keepNext w:val="0"/>
              <w:keepLines w:val="0"/>
              <w:suppressLineNumbers w:val="0"/>
              <w:bidi w:val="0"/>
              <w:spacing w:before="0" w:beforeAutospacing="0" w:after="0" w:afterAutospacing="0"/>
              <w:ind w:right="0"/>
              <w:rPr>
                <w:rFonts w:hint="default"/>
                <w:color w:val="auto"/>
              </w:rPr>
            </w:pPr>
            <w:r>
              <w:rPr>
                <w:rFonts w:hint="eastAsia"/>
                <w:color w:val="auto"/>
              </w:rPr>
              <w:t>《大气污染物综合排放标准详解》</w:t>
            </w:r>
          </w:p>
        </w:tc>
        <w:tc>
          <w:tcPr>
            <w:tcW w:w="1843" w:type="dxa"/>
            <w:noWrap w:val="0"/>
            <w:vAlign w:val="center"/>
          </w:tcPr>
          <w:p w14:paraId="50F6DB01">
            <w:pPr>
              <w:pStyle w:val="183"/>
              <w:keepNext w:val="0"/>
              <w:keepLines w:val="0"/>
              <w:suppressLineNumbers w:val="0"/>
              <w:bidi w:val="0"/>
              <w:spacing w:before="0" w:beforeAutospacing="0" w:after="0" w:afterAutospacing="0"/>
              <w:ind w:right="0"/>
              <w:rPr>
                <w:rFonts w:hint="default"/>
                <w:color w:val="auto"/>
              </w:rPr>
            </w:pPr>
            <w:r>
              <w:rPr>
                <w:rFonts w:hint="default"/>
                <w:color w:val="auto"/>
              </w:rPr>
              <w:t>非甲烷总烃</w:t>
            </w:r>
          </w:p>
        </w:tc>
        <w:tc>
          <w:tcPr>
            <w:tcW w:w="850" w:type="dxa"/>
            <w:vMerge w:val="continue"/>
            <w:noWrap w:val="0"/>
            <w:vAlign w:val="center"/>
          </w:tcPr>
          <w:p w14:paraId="6D12BC97">
            <w:pPr>
              <w:pStyle w:val="183"/>
              <w:keepNext w:val="0"/>
              <w:keepLines w:val="0"/>
              <w:suppressLineNumbers w:val="0"/>
              <w:bidi w:val="0"/>
              <w:spacing w:before="0" w:beforeAutospacing="0" w:after="0" w:afterAutospacing="0"/>
              <w:ind w:right="0"/>
              <w:rPr>
                <w:rFonts w:hint="default"/>
                <w:color w:val="auto"/>
              </w:rPr>
            </w:pPr>
          </w:p>
        </w:tc>
        <w:tc>
          <w:tcPr>
            <w:tcW w:w="1986" w:type="dxa"/>
            <w:noWrap w:val="0"/>
            <w:vAlign w:val="center"/>
          </w:tcPr>
          <w:p w14:paraId="2FE3A645">
            <w:pPr>
              <w:pStyle w:val="183"/>
              <w:keepNext w:val="0"/>
              <w:keepLines w:val="0"/>
              <w:suppressLineNumbers w:val="0"/>
              <w:bidi w:val="0"/>
              <w:spacing w:before="0" w:beforeAutospacing="0" w:after="0" w:afterAutospacing="0"/>
              <w:ind w:right="0"/>
              <w:rPr>
                <w:rFonts w:hint="default"/>
                <w:color w:val="auto"/>
                <w:lang w:val="en-US" w:eastAsia="zh-CN"/>
              </w:rPr>
            </w:pPr>
            <w:r>
              <w:rPr>
                <w:rFonts w:hint="default"/>
                <w:color w:val="auto"/>
                <w:lang w:val="en-US" w:eastAsia="zh-CN"/>
              </w:rPr>
              <w:t>24小时平均</w:t>
            </w:r>
          </w:p>
        </w:tc>
        <w:tc>
          <w:tcPr>
            <w:tcW w:w="900" w:type="dxa"/>
            <w:noWrap w:val="0"/>
            <w:vAlign w:val="center"/>
          </w:tcPr>
          <w:p w14:paraId="66912A25">
            <w:pPr>
              <w:pStyle w:val="183"/>
              <w:keepNext w:val="0"/>
              <w:keepLines w:val="0"/>
              <w:suppressLineNumbers w:val="0"/>
              <w:bidi w:val="0"/>
              <w:spacing w:before="0" w:beforeAutospacing="0" w:after="0" w:afterAutospacing="0"/>
              <w:ind w:right="0"/>
              <w:rPr>
                <w:rFonts w:hint="eastAsia"/>
                <w:color w:val="auto"/>
                <w:lang w:val="en-US" w:eastAsia="zh-CN"/>
              </w:rPr>
            </w:pPr>
            <w:r>
              <w:rPr>
                <w:rFonts w:hint="eastAsia"/>
                <w:color w:val="auto"/>
                <w:lang w:val="en-US" w:eastAsia="zh-CN"/>
              </w:rPr>
              <w:t>2000</w:t>
            </w:r>
          </w:p>
        </w:tc>
      </w:tr>
    </w:tbl>
    <w:p w14:paraId="295B0C7D">
      <w:pPr>
        <w:keepNext w:val="0"/>
        <w:keepLines w:val="0"/>
        <w:suppressLineNumbers w:val="0"/>
        <w:spacing w:before="0" w:beforeAutospacing="0" w:after="0" w:afterAutospacing="0" w:line="360" w:lineRule="auto"/>
        <w:ind w:right="0"/>
        <w:jc w:val="left"/>
        <w:rPr>
          <w:rFonts w:hint="default" w:ascii="Times New Roman" w:hAnsi="Times New Roman" w:eastAsia="宋体" w:cs="Times New Roman"/>
          <w:color w:val="auto"/>
          <w:kern w:val="0"/>
          <w:sz w:val="24"/>
          <w:szCs w:val="20"/>
          <w:highlight w:val="none"/>
          <w:lang w:val="en-US" w:eastAsia="zh-CN"/>
        </w:rPr>
      </w:pPr>
    </w:p>
    <w:p w14:paraId="6E865A05">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0"/>
          <w:sz w:val="24"/>
          <w:szCs w:val="20"/>
          <w:highlight w:val="none"/>
          <w:lang w:val="en-US" w:eastAsia="zh-CN"/>
        </w:rPr>
      </w:pPr>
      <w:r>
        <w:rPr>
          <w:rFonts w:hint="default" w:ascii="Times New Roman" w:hAnsi="Times New Roman" w:eastAsia="宋体" w:cs="Times New Roman"/>
          <w:color w:val="auto"/>
          <w:kern w:val="0"/>
          <w:sz w:val="24"/>
          <w:szCs w:val="20"/>
          <w:highlight w:val="none"/>
          <w:lang w:val="en-US" w:eastAsia="zh-CN"/>
        </w:rPr>
        <w:t>沥青烟等执行《大气污染物综合排放标准》（GB16297-1996）表2中二级标准限值；导热油锅炉烟气参考执行《锅炉大气污染物综合排放标准》（GB13271-2014）表2中燃油锅炉标准；烘干筒配套燃烧器执行《大气污染物综合排放标准》（GB16297-1996）表2中二级排放标准；厂界执行《大气污染物综合排放标准》（GB16297-1996）表2中无组织排放监控浓度限值标准。</w:t>
      </w:r>
    </w:p>
    <w:p w14:paraId="1E72594A">
      <w:pPr>
        <w:spacing w:line="500" w:lineRule="exact"/>
        <w:jc w:val="center"/>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表</w:t>
      </w:r>
      <w:r>
        <w:rPr>
          <w:rFonts w:hint="default" w:ascii="Times New Roman" w:hAnsi="Times New Roman" w:eastAsia="宋体" w:cs="Times New Roman"/>
          <w:b/>
          <w:bCs/>
          <w:color w:val="auto"/>
          <w:kern w:val="0"/>
          <w:sz w:val="24"/>
          <w:szCs w:val="20"/>
          <w:lang w:val="en-US" w:eastAsia="zh-CN"/>
        </w:rPr>
        <w:t>1-3</w:t>
      </w:r>
      <w:r>
        <w:rPr>
          <w:rFonts w:hint="default" w:ascii="Times New Roman" w:hAnsi="Times New Roman" w:eastAsia="宋体" w:cs="Times New Roman"/>
          <w:b/>
          <w:bCs/>
          <w:color w:val="auto"/>
          <w:kern w:val="0"/>
          <w:sz w:val="24"/>
          <w:szCs w:val="20"/>
        </w:rPr>
        <w:t>本项目大气污染物排放标准</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63"/>
        <w:gridCol w:w="3298"/>
        <w:gridCol w:w="1407"/>
        <w:gridCol w:w="1169"/>
        <w:gridCol w:w="1181"/>
        <w:gridCol w:w="1325"/>
      </w:tblGrid>
      <w:tr w14:paraId="6613E8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8" w:hRule="exact"/>
          <w:jc w:val="center"/>
        </w:trPr>
        <w:tc>
          <w:tcPr>
            <w:tcW w:w="315" w:type="pct"/>
            <w:vMerge w:val="restart"/>
            <w:noWrap w:val="0"/>
            <w:vAlign w:val="center"/>
          </w:tcPr>
          <w:p w14:paraId="7510098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类</w:t>
            </w:r>
            <w:r>
              <w:rPr>
                <w:rFonts w:hint="default" w:ascii="Times New Roman" w:hAnsi="Times New Roman" w:eastAsia="宋体" w:cs="Times New Roman"/>
                <w:color w:val="auto"/>
                <w:kern w:val="0"/>
                <w:sz w:val="21"/>
                <w:szCs w:val="21"/>
              </w:rPr>
              <w:cr/>
            </w:r>
          </w:p>
        </w:tc>
        <w:tc>
          <w:tcPr>
            <w:tcW w:w="1843" w:type="pct"/>
            <w:vMerge w:val="restart"/>
            <w:noWrap w:val="0"/>
            <w:vAlign w:val="center"/>
          </w:tcPr>
          <w:p w14:paraId="0C8E01C0">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标准名称及级（类）别</w:t>
            </w:r>
          </w:p>
        </w:tc>
        <w:tc>
          <w:tcPr>
            <w:tcW w:w="786" w:type="pct"/>
            <w:vMerge w:val="restart"/>
            <w:noWrap w:val="0"/>
            <w:vAlign w:val="center"/>
          </w:tcPr>
          <w:p w14:paraId="3C969B3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污染因子</w:t>
            </w:r>
          </w:p>
        </w:tc>
        <w:tc>
          <w:tcPr>
            <w:tcW w:w="2053" w:type="pct"/>
            <w:gridSpan w:val="3"/>
            <w:noWrap w:val="0"/>
            <w:vAlign w:val="center"/>
          </w:tcPr>
          <w:p w14:paraId="4066176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标准值</w:t>
            </w:r>
          </w:p>
        </w:tc>
      </w:tr>
      <w:tr w14:paraId="6174AB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6" w:hRule="exact"/>
          <w:jc w:val="center"/>
        </w:trPr>
        <w:tc>
          <w:tcPr>
            <w:tcW w:w="315" w:type="pct"/>
            <w:vMerge w:val="continue"/>
            <w:noWrap w:val="0"/>
            <w:vAlign w:val="center"/>
          </w:tcPr>
          <w:p w14:paraId="68F1607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47F7A84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vMerge w:val="continue"/>
            <w:noWrap w:val="0"/>
            <w:vAlign w:val="center"/>
          </w:tcPr>
          <w:p w14:paraId="533137B6">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313" w:type="pct"/>
            <w:gridSpan w:val="2"/>
            <w:noWrap w:val="0"/>
            <w:vAlign w:val="center"/>
          </w:tcPr>
          <w:p w14:paraId="7E2BD59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单位</w:t>
            </w:r>
          </w:p>
        </w:tc>
        <w:tc>
          <w:tcPr>
            <w:tcW w:w="740" w:type="pct"/>
            <w:noWrap w:val="0"/>
            <w:vAlign w:val="center"/>
          </w:tcPr>
          <w:p w14:paraId="70DE260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数值</w:t>
            </w:r>
          </w:p>
        </w:tc>
      </w:tr>
      <w:tr w14:paraId="3C023B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8" w:hRule="exact"/>
          <w:jc w:val="center"/>
        </w:trPr>
        <w:tc>
          <w:tcPr>
            <w:tcW w:w="315" w:type="pct"/>
            <w:vMerge w:val="restart"/>
            <w:noWrap w:val="0"/>
            <w:vAlign w:val="center"/>
          </w:tcPr>
          <w:p w14:paraId="7574DE6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干燥筒废气</w:t>
            </w:r>
          </w:p>
        </w:tc>
        <w:tc>
          <w:tcPr>
            <w:tcW w:w="1843" w:type="pct"/>
            <w:vMerge w:val="restart"/>
            <w:noWrap w:val="0"/>
            <w:vAlign w:val="center"/>
          </w:tcPr>
          <w:p w14:paraId="06B3F10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bCs/>
                <w:iCs/>
                <w:color w:val="auto"/>
                <w:spacing w:val="-10"/>
                <w:kern w:val="0"/>
                <w:sz w:val="21"/>
                <w:szCs w:val="21"/>
              </w:rPr>
              <w:t>《大气污染物综合排放标准》（GB16297-1996）</w:t>
            </w:r>
          </w:p>
        </w:tc>
        <w:tc>
          <w:tcPr>
            <w:tcW w:w="786" w:type="pct"/>
            <w:noWrap w:val="0"/>
            <w:vAlign w:val="center"/>
          </w:tcPr>
          <w:p w14:paraId="5C1FF46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颗粒物</w:t>
            </w:r>
          </w:p>
        </w:tc>
        <w:tc>
          <w:tcPr>
            <w:tcW w:w="1313" w:type="pct"/>
            <w:gridSpan w:val="2"/>
            <w:noWrap w:val="0"/>
            <w:vAlign w:val="center"/>
          </w:tcPr>
          <w:p w14:paraId="779D35E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2467C901">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120</w:t>
            </w:r>
          </w:p>
        </w:tc>
      </w:tr>
      <w:tr w14:paraId="64CEC7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6" w:hRule="exact"/>
          <w:jc w:val="center"/>
        </w:trPr>
        <w:tc>
          <w:tcPr>
            <w:tcW w:w="315" w:type="pct"/>
            <w:vMerge w:val="continue"/>
            <w:noWrap w:val="0"/>
            <w:vAlign w:val="center"/>
          </w:tcPr>
          <w:p w14:paraId="1F5971B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199F233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noWrap w:val="0"/>
            <w:vAlign w:val="center"/>
          </w:tcPr>
          <w:p w14:paraId="3152A0D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SO</w:t>
            </w:r>
            <w:r>
              <w:rPr>
                <w:rFonts w:hint="default" w:ascii="Times New Roman" w:hAnsi="Times New Roman" w:eastAsia="宋体" w:cs="Times New Roman"/>
                <w:color w:val="auto"/>
                <w:kern w:val="0"/>
                <w:sz w:val="21"/>
                <w:szCs w:val="21"/>
                <w:vertAlign w:val="subscript"/>
              </w:rPr>
              <w:t>2</w:t>
            </w:r>
          </w:p>
        </w:tc>
        <w:tc>
          <w:tcPr>
            <w:tcW w:w="1313" w:type="pct"/>
            <w:gridSpan w:val="2"/>
            <w:noWrap w:val="0"/>
            <w:vAlign w:val="center"/>
          </w:tcPr>
          <w:p w14:paraId="59D24A0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48DFDAA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550</w:t>
            </w:r>
          </w:p>
        </w:tc>
      </w:tr>
      <w:tr w14:paraId="09068B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11" w:hRule="exact"/>
          <w:jc w:val="center"/>
        </w:trPr>
        <w:tc>
          <w:tcPr>
            <w:tcW w:w="315" w:type="pct"/>
            <w:vMerge w:val="continue"/>
            <w:noWrap w:val="0"/>
            <w:vAlign w:val="center"/>
          </w:tcPr>
          <w:p w14:paraId="1FCBD56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5F3B4B2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noWrap w:val="0"/>
            <w:vAlign w:val="center"/>
          </w:tcPr>
          <w:p w14:paraId="7663A54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氮氧化物</w:t>
            </w:r>
          </w:p>
        </w:tc>
        <w:tc>
          <w:tcPr>
            <w:tcW w:w="1313" w:type="pct"/>
            <w:gridSpan w:val="2"/>
            <w:noWrap w:val="0"/>
            <w:vAlign w:val="center"/>
          </w:tcPr>
          <w:p w14:paraId="534BFE9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65EDA64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240</w:t>
            </w:r>
          </w:p>
        </w:tc>
      </w:tr>
      <w:tr w14:paraId="0DAEF7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3" w:hRule="exact"/>
          <w:jc w:val="center"/>
        </w:trPr>
        <w:tc>
          <w:tcPr>
            <w:tcW w:w="315" w:type="pct"/>
            <w:vMerge w:val="restart"/>
            <w:noWrap w:val="0"/>
            <w:vAlign w:val="center"/>
          </w:tcPr>
          <w:p w14:paraId="08F85D6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导热油锅炉</w:t>
            </w:r>
          </w:p>
        </w:tc>
        <w:tc>
          <w:tcPr>
            <w:tcW w:w="1843" w:type="pct"/>
            <w:vMerge w:val="restart"/>
            <w:noWrap w:val="0"/>
            <w:vAlign w:val="center"/>
          </w:tcPr>
          <w:p w14:paraId="1FCC99B6">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《锅炉大气污染物综合排放标准》（GB13271-2014）表2中燃油锅炉标准</w:t>
            </w:r>
          </w:p>
        </w:tc>
        <w:tc>
          <w:tcPr>
            <w:tcW w:w="786" w:type="pct"/>
            <w:noWrap w:val="0"/>
            <w:vAlign w:val="center"/>
          </w:tcPr>
          <w:p w14:paraId="351AC1E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颗粒物</w:t>
            </w:r>
          </w:p>
        </w:tc>
        <w:tc>
          <w:tcPr>
            <w:tcW w:w="1313" w:type="pct"/>
            <w:gridSpan w:val="2"/>
            <w:noWrap w:val="0"/>
            <w:vAlign w:val="center"/>
          </w:tcPr>
          <w:p w14:paraId="6E4D5F9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3BC1135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30</w:t>
            </w:r>
          </w:p>
        </w:tc>
      </w:tr>
      <w:tr w14:paraId="434682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exact"/>
          <w:jc w:val="center"/>
        </w:trPr>
        <w:tc>
          <w:tcPr>
            <w:tcW w:w="315" w:type="pct"/>
            <w:vMerge w:val="continue"/>
            <w:noWrap w:val="0"/>
            <w:vAlign w:val="center"/>
          </w:tcPr>
          <w:p w14:paraId="702BD9D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3733B6E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noWrap w:val="0"/>
            <w:vAlign w:val="center"/>
          </w:tcPr>
          <w:p w14:paraId="53D074E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二氧化硫</w:t>
            </w:r>
          </w:p>
        </w:tc>
        <w:tc>
          <w:tcPr>
            <w:tcW w:w="1313" w:type="pct"/>
            <w:gridSpan w:val="2"/>
            <w:noWrap w:val="0"/>
            <w:vAlign w:val="center"/>
          </w:tcPr>
          <w:p w14:paraId="7616B7C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1154DE90">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200</w:t>
            </w:r>
          </w:p>
        </w:tc>
      </w:tr>
      <w:tr w14:paraId="35390C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9" w:hRule="exact"/>
          <w:jc w:val="center"/>
        </w:trPr>
        <w:tc>
          <w:tcPr>
            <w:tcW w:w="315" w:type="pct"/>
            <w:vMerge w:val="continue"/>
            <w:noWrap w:val="0"/>
            <w:vAlign w:val="center"/>
          </w:tcPr>
          <w:p w14:paraId="479B725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75C88C8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noWrap w:val="0"/>
            <w:vAlign w:val="center"/>
          </w:tcPr>
          <w:p w14:paraId="0CD1905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氮氧化物</w:t>
            </w:r>
          </w:p>
        </w:tc>
        <w:tc>
          <w:tcPr>
            <w:tcW w:w="1313" w:type="pct"/>
            <w:gridSpan w:val="2"/>
            <w:noWrap w:val="0"/>
            <w:vAlign w:val="center"/>
          </w:tcPr>
          <w:p w14:paraId="1CF596A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3D418C8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250</w:t>
            </w:r>
          </w:p>
        </w:tc>
      </w:tr>
      <w:tr w14:paraId="4B5659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9" w:hRule="exact"/>
          <w:jc w:val="center"/>
        </w:trPr>
        <w:tc>
          <w:tcPr>
            <w:tcW w:w="315" w:type="pct"/>
            <w:vMerge w:val="continue"/>
            <w:noWrap w:val="0"/>
            <w:vAlign w:val="center"/>
          </w:tcPr>
          <w:p w14:paraId="3F469EEF">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0"/>
                <w:sz w:val="21"/>
                <w:szCs w:val="21"/>
              </w:rPr>
            </w:pPr>
          </w:p>
        </w:tc>
        <w:tc>
          <w:tcPr>
            <w:tcW w:w="1843" w:type="pct"/>
            <w:vMerge w:val="continue"/>
            <w:noWrap w:val="0"/>
            <w:vAlign w:val="center"/>
          </w:tcPr>
          <w:p w14:paraId="397DB322">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0"/>
                <w:sz w:val="21"/>
                <w:szCs w:val="21"/>
              </w:rPr>
            </w:pPr>
          </w:p>
        </w:tc>
        <w:tc>
          <w:tcPr>
            <w:tcW w:w="786" w:type="pct"/>
            <w:noWrap w:val="0"/>
            <w:vAlign w:val="center"/>
          </w:tcPr>
          <w:p w14:paraId="3FB0E9E2">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烟气黑度</w:t>
            </w:r>
          </w:p>
        </w:tc>
        <w:tc>
          <w:tcPr>
            <w:tcW w:w="1313" w:type="pct"/>
            <w:gridSpan w:val="2"/>
            <w:noWrap w:val="0"/>
            <w:vAlign w:val="center"/>
          </w:tcPr>
          <w:p w14:paraId="6F463BF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级</w:t>
            </w:r>
          </w:p>
        </w:tc>
        <w:tc>
          <w:tcPr>
            <w:tcW w:w="740" w:type="pct"/>
            <w:noWrap w:val="0"/>
            <w:vAlign w:val="center"/>
          </w:tcPr>
          <w:p w14:paraId="0AB3E50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r>
      <w:tr w14:paraId="54B214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restart"/>
            <w:noWrap w:val="0"/>
            <w:vAlign w:val="center"/>
          </w:tcPr>
          <w:p w14:paraId="107DE87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废气</w:t>
            </w:r>
          </w:p>
        </w:tc>
        <w:tc>
          <w:tcPr>
            <w:tcW w:w="1843" w:type="pct"/>
            <w:vMerge w:val="restart"/>
            <w:noWrap w:val="0"/>
            <w:vAlign w:val="center"/>
          </w:tcPr>
          <w:p w14:paraId="2E147D9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bCs/>
                <w:iCs/>
                <w:color w:val="auto"/>
                <w:spacing w:val="-10"/>
                <w:kern w:val="0"/>
                <w:sz w:val="21"/>
                <w:szCs w:val="21"/>
              </w:rPr>
              <w:t>《大气污染物综合排放标准》（GB16297-1996）</w:t>
            </w:r>
          </w:p>
        </w:tc>
        <w:tc>
          <w:tcPr>
            <w:tcW w:w="786" w:type="pct"/>
            <w:noWrap w:val="0"/>
            <w:vAlign w:val="center"/>
          </w:tcPr>
          <w:p w14:paraId="5F3124B6">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无组织颗粒物</w:t>
            </w:r>
          </w:p>
        </w:tc>
        <w:tc>
          <w:tcPr>
            <w:tcW w:w="1313" w:type="pct"/>
            <w:gridSpan w:val="2"/>
            <w:noWrap w:val="0"/>
            <w:vAlign w:val="center"/>
          </w:tcPr>
          <w:p w14:paraId="25BA472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2C3955E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1.0</w:t>
            </w:r>
          </w:p>
        </w:tc>
      </w:tr>
      <w:tr w14:paraId="4F34D0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continue"/>
            <w:noWrap w:val="0"/>
            <w:vAlign w:val="center"/>
          </w:tcPr>
          <w:p w14:paraId="5C4B0BCB">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0"/>
                <w:sz w:val="21"/>
                <w:szCs w:val="21"/>
              </w:rPr>
            </w:pPr>
          </w:p>
        </w:tc>
        <w:tc>
          <w:tcPr>
            <w:tcW w:w="1843" w:type="pct"/>
            <w:vMerge w:val="continue"/>
            <w:noWrap w:val="0"/>
            <w:vAlign w:val="center"/>
          </w:tcPr>
          <w:p w14:paraId="19857D47">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bCs/>
                <w:iCs/>
                <w:color w:val="auto"/>
                <w:spacing w:val="-10"/>
                <w:kern w:val="0"/>
                <w:sz w:val="21"/>
                <w:szCs w:val="21"/>
              </w:rPr>
            </w:pPr>
          </w:p>
        </w:tc>
        <w:tc>
          <w:tcPr>
            <w:tcW w:w="786" w:type="pct"/>
            <w:noWrap w:val="0"/>
            <w:vAlign w:val="center"/>
          </w:tcPr>
          <w:p w14:paraId="4C3AFDC0">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无组织苯并[a]芘</w:t>
            </w:r>
          </w:p>
        </w:tc>
        <w:tc>
          <w:tcPr>
            <w:tcW w:w="1313" w:type="pct"/>
            <w:gridSpan w:val="2"/>
            <w:noWrap w:val="0"/>
            <w:vAlign w:val="center"/>
          </w:tcPr>
          <w:p w14:paraId="61FBD0C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μg/m</w:t>
            </w:r>
            <w:r>
              <w:rPr>
                <w:rFonts w:hint="default" w:ascii="Times New Roman" w:hAnsi="Times New Roman" w:eastAsia="宋体" w:cs="Times New Roman"/>
                <w:color w:val="auto"/>
                <w:kern w:val="0"/>
                <w:sz w:val="21"/>
                <w:szCs w:val="21"/>
                <w:vertAlign w:val="superscript"/>
              </w:rPr>
              <w:t>3</w:t>
            </w:r>
          </w:p>
        </w:tc>
        <w:tc>
          <w:tcPr>
            <w:tcW w:w="740" w:type="pct"/>
            <w:noWrap w:val="0"/>
            <w:vAlign w:val="center"/>
          </w:tcPr>
          <w:p w14:paraId="3634E1E1">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0.</w:t>
            </w:r>
            <w:r>
              <w:rPr>
                <w:rFonts w:hint="default" w:ascii="Times New Roman" w:hAnsi="Times New Roman" w:eastAsia="宋体" w:cs="Times New Roman"/>
                <w:color w:val="auto"/>
                <w:kern w:val="0"/>
                <w:sz w:val="21"/>
                <w:szCs w:val="21"/>
              </w:rPr>
              <w:cr/>
            </w:r>
            <w:r>
              <w:rPr>
                <w:rFonts w:hint="default" w:ascii="Times New Roman" w:hAnsi="Times New Roman" w:eastAsia="宋体" w:cs="Times New Roman"/>
                <w:color w:val="auto"/>
                <w:kern w:val="0"/>
                <w:sz w:val="21"/>
                <w:szCs w:val="21"/>
              </w:rPr>
              <w:t>08</w:t>
            </w:r>
          </w:p>
        </w:tc>
      </w:tr>
      <w:tr w14:paraId="1FC19A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315" w:type="pct"/>
            <w:vMerge w:val="continue"/>
            <w:noWrap w:val="0"/>
            <w:vAlign w:val="center"/>
          </w:tcPr>
          <w:p w14:paraId="0B98E9BC">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kern w:val="0"/>
                <w:sz w:val="21"/>
                <w:szCs w:val="21"/>
              </w:rPr>
            </w:pPr>
          </w:p>
        </w:tc>
        <w:tc>
          <w:tcPr>
            <w:tcW w:w="1843" w:type="pct"/>
            <w:vMerge w:val="continue"/>
            <w:noWrap w:val="0"/>
            <w:vAlign w:val="center"/>
          </w:tcPr>
          <w:p w14:paraId="3B2E1BB5">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bCs/>
                <w:iCs/>
                <w:color w:val="auto"/>
                <w:spacing w:val="-10"/>
                <w:kern w:val="0"/>
                <w:sz w:val="21"/>
                <w:szCs w:val="21"/>
              </w:rPr>
            </w:pPr>
          </w:p>
        </w:tc>
        <w:tc>
          <w:tcPr>
            <w:tcW w:w="786" w:type="pct"/>
            <w:noWrap w:val="0"/>
            <w:vAlign w:val="center"/>
          </w:tcPr>
          <w:p w14:paraId="7928316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无组织沥青烟</w:t>
            </w:r>
          </w:p>
        </w:tc>
        <w:tc>
          <w:tcPr>
            <w:tcW w:w="2053" w:type="pct"/>
            <w:gridSpan w:val="3"/>
            <w:noWrap w:val="0"/>
            <w:vAlign w:val="center"/>
          </w:tcPr>
          <w:p w14:paraId="4B8C702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生产设备不得有明显无组织排放存在</w:t>
            </w:r>
          </w:p>
        </w:tc>
      </w:tr>
      <w:tr w14:paraId="201AFD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85" w:hRule="exact"/>
          <w:jc w:val="center"/>
        </w:trPr>
        <w:tc>
          <w:tcPr>
            <w:tcW w:w="315" w:type="pct"/>
            <w:vMerge w:val="continue"/>
            <w:noWrap w:val="0"/>
            <w:vAlign w:val="center"/>
          </w:tcPr>
          <w:p w14:paraId="3DBB1CE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3AA936C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noWrap w:val="0"/>
            <w:vAlign w:val="center"/>
          </w:tcPr>
          <w:p w14:paraId="08766DF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有组织颗粒物</w:t>
            </w:r>
          </w:p>
        </w:tc>
        <w:tc>
          <w:tcPr>
            <w:tcW w:w="653" w:type="pct"/>
            <w:tcBorders>
              <w:right w:val="single" w:color="auto" w:sz="4" w:space="0"/>
            </w:tcBorders>
            <w:noWrap w:val="0"/>
            <w:vAlign w:val="center"/>
          </w:tcPr>
          <w:p w14:paraId="54E0537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15m</w:t>
            </w:r>
          </w:p>
          <w:p w14:paraId="01222D5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排气筒</w:t>
            </w:r>
          </w:p>
        </w:tc>
        <w:tc>
          <w:tcPr>
            <w:tcW w:w="660" w:type="pct"/>
            <w:tcBorders>
              <w:left w:val="single" w:color="auto" w:sz="4" w:space="0"/>
            </w:tcBorders>
            <w:noWrap w:val="0"/>
            <w:vAlign w:val="center"/>
          </w:tcPr>
          <w:p w14:paraId="36D9F0B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p w14:paraId="3CD5427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kg/h</w:t>
            </w:r>
          </w:p>
        </w:tc>
        <w:tc>
          <w:tcPr>
            <w:tcW w:w="740" w:type="pct"/>
            <w:noWrap w:val="0"/>
            <w:vAlign w:val="center"/>
          </w:tcPr>
          <w:p w14:paraId="5649700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120</w:t>
            </w:r>
          </w:p>
          <w:p w14:paraId="33FCB7B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3.5</w:t>
            </w:r>
          </w:p>
        </w:tc>
      </w:tr>
      <w:tr w14:paraId="01D273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2" w:hRule="exact"/>
          <w:jc w:val="center"/>
        </w:trPr>
        <w:tc>
          <w:tcPr>
            <w:tcW w:w="315" w:type="pct"/>
            <w:vMerge w:val="continue"/>
            <w:noWrap w:val="0"/>
            <w:vAlign w:val="center"/>
          </w:tcPr>
          <w:p w14:paraId="304EE51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3FDAC6A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vMerge w:val="restart"/>
            <w:noWrap w:val="0"/>
            <w:vAlign w:val="center"/>
          </w:tcPr>
          <w:p w14:paraId="130BB36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苯并[a]芘</w:t>
            </w:r>
          </w:p>
        </w:tc>
        <w:tc>
          <w:tcPr>
            <w:tcW w:w="653" w:type="pct"/>
            <w:vMerge w:val="restart"/>
            <w:tcBorders>
              <w:right w:val="single" w:color="auto" w:sz="4" w:space="0"/>
            </w:tcBorders>
            <w:noWrap w:val="0"/>
            <w:vAlign w:val="center"/>
          </w:tcPr>
          <w:p w14:paraId="6213CEE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15m</w:t>
            </w:r>
          </w:p>
          <w:p w14:paraId="27FDE128">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排气筒</w:t>
            </w:r>
          </w:p>
        </w:tc>
        <w:tc>
          <w:tcPr>
            <w:tcW w:w="660" w:type="pct"/>
            <w:tcBorders>
              <w:left w:val="single" w:color="auto" w:sz="4" w:space="0"/>
              <w:bottom w:val="single" w:color="auto" w:sz="4" w:space="0"/>
            </w:tcBorders>
            <w:noWrap w:val="0"/>
            <w:vAlign w:val="center"/>
          </w:tcPr>
          <w:p w14:paraId="7CE25B7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tcBorders>
              <w:bottom w:val="single" w:color="auto" w:sz="4" w:space="0"/>
            </w:tcBorders>
            <w:noWrap w:val="0"/>
            <w:vAlign w:val="center"/>
          </w:tcPr>
          <w:p w14:paraId="5D2351A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0.30×10</w:t>
            </w:r>
            <w:r>
              <w:rPr>
                <w:rFonts w:hint="default" w:ascii="Times New Roman" w:hAnsi="Times New Roman" w:eastAsia="宋体" w:cs="Times New Roman"/>
                <w:color w:val="auto"/>
                <w:kern w:val="0"/>
                <w:sz w:val="21"/>
                <w:szCs w:val="21"/>
                <w:vertAlign w:val="superscript"/>
              </w:rPr>
              <w:t>-3</w:t>
            </w:r>
          </w:p>
        </w:tc>
      </w:tr>
      <w:tr w14:paraId="3C498F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0" w:hRule="exact"/>
          <w:jc w:val="center"/>
        </w:trPr>
        <w:tc>
          <w:tcPr>
            <w:tcW w:w="315" w:type="pct"/>
            <w:vMerge w:val="continue"/>
            <w:noWrap w:val="0"/>
            <w:vAlign w:val="center"/>
          </w:tcPr>
          <w:p w14:paraId="6CBFD2B9">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1A6859F5">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vMerge w:val="continue"/>
            <w:noWrap w:val="0"/>
            <w:vAlign w:val="center"/>
          </w:tcPr>
          <w:p w14:paraId="48A10E4C">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653" w:type="pct"/>
            <w:vMerge w:val="continue"/>
            <w:tcBorders>
              <w:right w:val="single" w:color="auto" w:sz="4" w:space="0"/>
            </w:tcBorders>
            <w:noWrap w:val="0"/>
            <w:vAlign w:val="center"/>
          </w:tcPr>
          <w:p w14:paraId="5B2F8A2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660" w:type="pct"/>
            <w:tcBorders>
              <w:top w:val="single" w:color="auto" w:sz="4" w:space="0"/>
              <w:left w:val="single" w:color="auto" w:sz="4" w:space="0"/>
            </w:tcBorders>
            <w:noWrap w:val="0"/>
            <w:vAlign w:val="center"/>
          </w:tcPr>
          <w:p w14:paraId="2B816D1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kg/h</w:t>
            </w:r>
          </w:p>
        </w:tc>
        <w:tc>
          <w:tcPr>
            <w:tcW w:w="740" w:type="pct"/>
            <w:tcBorders>
              <w:top w:val="single" w:color="auto" w:sz="4" w:space="0"/>
            </w:tcBorders>
            <w:noWrap w:val="0"/>
            <w:vAlign w:val="center"/>
          </w:tcPr>
          <w:p w14:paraId="6BE8CB0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0.050×10</w:t>
            </w:r>
            <w:r>
              <w:rPr>
                <w:rFonts w:hint="default" w:ascii="Times New Roman" w:hAnsi="Times New Roman" w:eastAsia="宋体" w:cs="Times New Roman"/>
                <w:color w:val="auto"/>
                <w:kern w:val="0"/>
                <w:sz w:val="21"/>
                <w:szCs w:val="21"/>
                <w:vertAlign w:val="superscript"/>
              </w:rPr>
              <w:t>-3</w:t>
            </w:r>
          </w:p>
        </w:tc>
      </w:tr>
      <w:tr w14:paraId="0D5E80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exact"/>
          <w:jc w:val="center"/>
        </w:trPr>
        <w:tc>
          <w:tcPr>
            <w:tcW w:w="315" w:type="pct"/>
            <w:vMerge w:val="continue"/>
            <w:noWrap w:val="0"/>
            <w:vAlign w:val="center"/>
          </w:tcPr>
          <w:p w14:paraId="2D1436D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4793E23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vMerge w:val="restart"/>
            <w:noWrap w:val="0"/>
            <w:vAlign w:val="center"/>
          </w:tcPr>
          <w:p w14:paraId="4C5559D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沥青烟</w:t>
            </w:r>
          </w:p>
        </w:tc>
        <w:tc>
          <w:tcPr>
            <w:tcW w:w="653" w:type="pct"/>
            <w:vMerge w:val="restart"/>
            <w:tcBorders>
              <w:right w:val="single" w:color="auto" w:sz="4" w:space="0"/>
            </w:tcBorders>
            <w:noWrap w:val="0"/>
            <w:vAlign w:val="center"/>
          </w:tcPr>
          <w:p w14:paraId="29FD0D46">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15m</w:t>
            </w:r>
          </w:p>
          <w:p w14:paraId="50D7350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排气筒</w:t>
            </w:r>
          </w:p>
        </w:tc>
        <w:tc>
          <w:tcPr>
            <w:tcW w:w="660" w:type="pct"/>
            <w:tcBorders>
              <w:left w:val="single" w:color="auto" w:sz="4" w:space="0"/>
              <w:bottom w:val="single" w:color="auto" w:sz="4" w:space="0"/>
            </w:tcBorders>
            <w:noWrap w:val="0"/>
            <w:vAlign w:val="center"/>
          </w:tcPr>
          <w:p w14:paraId="36A1C95F">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740" w:type="pct"/>
            <w:tcBorders>
              <w:bottom w:val="single" w:color="auto" w:sz="4" w:space="0"/>
            </w:tcBorders>
            <w:noWrap w:val="0"/>
            <w:vAlign w:val="center"/>
          </w:tcPr>
          <w:p w14:paraId="653F39A3">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75</w:t>
            </w:r>
          </w:p>
        </w:tc>
      </w:tr>
      <w:tr w14:paraId="0A91CB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16" w:hRule="exact"/>
          <w:jc w:val="center"/>
        </w:trPr>
        <w:tc>
          <w:tcPr>
            <w:tcW w:w="315" w:type="pct"/>
            <w:vMerge w:val="continue"/>
            <w:noWrap w:val="0"/>
            <w:vAlign w:val="center"/>
          </w:tcPr>
          <w:p w14:paraId="39D926C4">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1843" w:type="pct"/>
            <w:vMerge w:val="continue"/>
            <w:noWrap w:val="0"/>
            <w:vAlign w:val="center"/>
          </w:tcPr>
          <w:p w14:paraId="48DF612D">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786" w:type="pct"/>
            <w:vMerge w:val="continue"/>
            <w:noWrap w:val="0"/>
            <w:vAlign w:val="center"/>
          </w:tcPr>
          <w:p w14:paraId="214E37C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653" w:type="pct"/>
            <w:vMerge w:val="continue"/>
            <w:tcBorders>
              <w:right w:val="single" w:color="auto" w:sz="4" w:space="0"/>
            </w:tcBorders>
            <w:noWrap w:val="0"/>
            <w:vAlign w:val="center"/>
          </w:tcPr>
          <w:p w14:paraId="6C40FD4E">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p>
        </w:tc>
        <w:tc>
          <w:tcPr>
            <w:tcW w:w="660" w:type="pct"/>
            <w:tcBorders>
              <w:top w:val="single" w:color="auto" w:sz="4" w:space="0"/>
              <w:left w:val="single" w:color="auto" w:sz="4" w:space="0"/>
            </w:tcBorders>
            <w:noWrap w:val="0"/>
            <w:vAlign w:val="center"/>
          </w:tcPr>
          <w:p w14:paraId="26B0F98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kg/h</w:t>
            </w:r>
          </w:p>
        </w:tc>
        <w:tc>
          <w:tcPr>
            <w:tcW w:w="740" w:type="pct"/>
            <w:tcBorders>
              <w:top w:val="single" w:color="auto" w:sz="4" w:space="0"/>
            </w:tcBorders>
            <w:noWrap w:val="0"/>
            <w:vAlign w:val="center"/>
          </w:tcPr>
          <w:p w14:paraId="18D673F7">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0.18</w:t>
            </w:r>
          </w:p>
        </w:tc>
      </w:tr>
    </w:tbl>
    <w:p w14:paraId="54569049">
      <w:pPr>
        <w:widowControl w:val="0"/>
        <w:spacing w:line="360" w:lineRule="auto"/>
        <w:ind w:firstLine="422" w:firstLineChars="200"/>
        <w:jc w:val="both"/>
        <w:rPr>
          <w:rFonts w:hint="default" w:ascii="Times New Roman" w:hAnsi="Times New Roman" w:eastAsia="宋体" w:cs="Times New Roman"/>
          <w:color w:val="auto"/>
          <w:kern w:val="2"/>
          <w:sz w:val="21"/>
          <w:szCs w:val="21"/>
          <w:lang w:val="en-US" w:eastAsia="zh-CN" w:bidi="ar-SA"/>
        </w:rPr>
      </w:pPr>
      <w:bookmarkStart w:id="141" w:name="_Toc307947592"/>
      <w:bookmarkStart w:id="142" w:name="_Toc353554857"/>
      <w:bookmarkStart w:id="143" w:name="_Toc307229329"/>
      <w:bookmarkStart w:id="144" w:name="_Toc245605573"/>
      <w:bookmarkStart w:id="145" w:name="_Toc344060665"/>
      <w:r>
        <w:rPr>
          <w:rFonts w:hint="default" w:ascii="Times New Roman" w:hAnsi="Times New Roman" w:eastAsia="宋体" w:cs="Times New Roman"/>
          <w:b/>
          <w:color w:val="auto"/>
          <w:kern w:val="2"/>
          <w:sz w:val="21"/>
          <w:szCs w:val="21"/>
          <w:lang w:val="en-US" w:eastAsia="zh-CN" w:bidi="ar-SA"/>
        </w:rPr>
        <w:t>注：本项目烘干、沥青搅拌、加热系统采用一根排气筒进行排放，因此本项目排放标准比较《大气污染物综合排放标准》（GB16297-1996）及《工业窑炉大气污染物排放标准》（GB9078-1996），从严执行《大气污染物综合排放标准》（GB16297-1996）中表2中的标准（颗粒物：120mg/m</w:t>
      </w:r>
      <w:r>
        <w:rPr>
          <w:rFonts w:hint="default" w:ascii="Times New Roman" w:hAnsi="Times New Roman" w:eastAsia="宋体" w:cs="Times New Roman"/>
          <w:b/>
          <w:color w:val="auto"/>
          <w:kern w:val="2"/>
          <w:sz w:val="21"/>
          <w:szCs w:val="21"/>
          <w:vertAlign w:val="superscript"/>
          <w:lang w:val="en-US" w:eastAsia="zh-CN" w:bidi="ar-SA"/>
        </w:rPr>
        <w:t>3</w:t>
      </w:r>
      <w:r>
        <w:rPr>
          <w:rFonts w:hint="default" w:ascii="Times New Roman" w:hAnsi="Times New Roman" w:eastAsia="宋体" w:cs="Times New Roman"/>
          <w:b/>
          <w:color w:val="auto"/>
          <w:kern w:val="2"/>
          <w:sz w:val="21"/>
          <w:szCs w:val="21"/>
          <w:lang w:val="en-US" w:eastAsia="zh-CN" w:bidi="ar-SA"/>
        </w:rPr>
        <w:t>、二氧化硫：550mg/m</w:t>
      </w:r>
      <w:r>
        <w:rPr>
          <w:rFonts w:hint="default" w:ascii="Times New Roman" w:hAnsi="Times New Roman" w:eastAsia="宋体" w:cs="Times New Roman"/>
          <w:b/>
          <w:color w:val="auto"/>
          <w:kern w:val="2"/>
          <w:sz w:val="21"/>
          <w:szCs w:val="21"/>
          <w:vertAlign w:val="superscript"/>
          <w:lang w:val="en-US" w:eastAsia="zh-CN" w:bidi="ar-SA"/>
        </w:rPr>
        <w:t>3</w:t>
      </w:r>
      <w:r>
        <w:rPr>
          <w:rFonts w:hint="default" w:ascii="Times New Roman" w:hAnsi="Times New Roman" w:eastAsia="宋体" w:cs="Times New Roman"/>
          <w:b/>
          <w:color w:val="auto"/>
          <w:kern w:val="2"/>
          <w:sz w:val="21"/>
          <w:szCs w:val="21"/>
          <w:lang w:val="en-US" w:eastAsia="zh-CN" w:bidi="ar-SA"/>
        </w:rPr>
        <w:t>氮氧化物：240mg/m</w:t>
      </w:r>
      <w:r>
        <w:rPr>
          <w:rFonts w:hint="default" w:ascii="Times New Roman" w:hAnsi="Times New Roman" w:eastAsia="宋体" w:cs="Times New Roman"/>
          <w:b/>
          <w:color w:val="auto"/>
          <w:kern w:val="2"/>
          <w:sz w:val="21"/>
          <w:szCs w:val="21"/>
          <w:vertAlign w:val="superscript"/>
          <w:lang w:val="en-US" w:eastAsia="zh-CN" w:bidi="ar-SA"/>
        </w:rPr>
        <w:t>3</w:t>
      </w:r>
      <w:r>
        <w:rPr>
          <w:rFonts w:hint="default" w:ascii="Times New Roman" w:hAnsi="Times New Roman" w:eastAsia="宋体" w:cs="Times New Roman"/>
          <w:b/>
          <w:color w:val="auto"/>
          <w:kern w:val="2"/>
          <w:sz w:val="21"/>
          <w:szCs w:val="21"/>
          <w:lang w:val="en-US" w:eastAsia="zh-CN" w:bidi="ar-SA"/>
        </w:rPr>
        <w:t>）。</w:t>
      </w:r>
    </w:p>
    <w:p w14:paraId="0A044B3F">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46" w:name="_Toc32657"/>
      <w:r>
        <w:rPr>
          <w:rFonts w:hint="default" w:ascii="Times New Roman" w:hAnsi="Times New Roman" w:eastAsia="黑体" w:cs="Times New Roman"/>
          <w:color w:val="auto"/>
          <w:sz w:val="28"/>
          <w:szCs w:val="20"/>
          <w:lang w:val="en-US" w:eastAsia="zh-CN" w:bidi="ar-SA"/>
        </w:rPr>
        <w:t>评价因子</w:t>
      </w:r>
      <w:bookmarkEnd w:id="141"/>
      <w:bookmarkEnd w:id="142"/>
      <w:bookmarkEnd w:id="143"/>
      <w:bookmarkEnd w:id="144"/>
      <w:bookmarkEnd w:id="145"/>
      <w:r>
        <w:rPr>
          <w:rFonts w:hint="default" w:ascii="Times New Roman" w:hAnsi="Times New Roman" w:eastAsia="黑体" w:cs="Times New Roman"/>
          <w:color w:val="auto"/>
          <w:sz w:val="28"/>
          <w:szCs w:val="20"/>
          <w:lang w:val="en-US" w:eastAsia="zh-CN" w:bidi="ar-SA"/>
        </w:rPr>
        <w:t>的识别与筛选</w:t>
      </w:r>
      <w:bookmarkEnd w:id="146"/>
    </w:p>
    <w:p w14:paraId="02B18FF0">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在工程分析及现状监测的基础上，分析项目在施工期和营运期对自然环境、社会环境、居民生活质量等诸因素可能产生的影响。</w:t>
      </w:r>
    </w:p>
    <w:p w14:paraId="3E076E19">
      <w:pPr>
        <w:spacing w:line="360" w:lineRule="auto"/>
        <w:ind w:firstLine="480" w:firstLineChars="200"/>
        <w:jc w:val="left"/>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影响因子筛选结果见表</w:t>
      </w:r>
      <w:r>
        <w:rPr>
          <w:rFonts w:hint="default" w:ascii="Times New Roman" w:hAnsi="Times New Roman" w:cs="Times New Roman"/>
          <w:color w:val="auto"/>
          <w:kern w:val="0"/>
          <w:sz w:val="24"/>
          <w:szCs w:val="24"/>
          <w:lang w:val="en-US" w:eastAsia="zh-CN"/>
        </w:rPr>
        <w:t>1-4</w:t>
      </w:r>
      <w:r>
        <w:rPr>
          <w:rFonts w:hint="default" w:ascii="Times New Roman" w:hAnsi="Times New Roman" w:cs="Times New Roman"/>
          <w:color w:val="auto"/>
          <w:kern w:val="0"/>
          <w:sz w:val="24"/>
          <w:szCs w:val="24"/>
        </w:rPr>
        <w:t>。</w:t>
      </w:r>
    </w:p>
    <w:p w14:paraId="03BF3CF9">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表1-4环境影响因子筛选结果</w:t>
      </w:r>
    </w:p>
    <w:tbl>
      <w:tblPr>
        <w:tblStyle w:val="35"/>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693"/>
        <w:gridCol w:w="2298"/>
        <w:gridCol w:w="4531"/>
      </w:tblGrid>
      <w:tr w14:paraId="0B80F6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1693" w:type="dxa"/>
            <w:noWrap w:val="0"/>
            <w:vAlign w:val="center"/>
          </w:tcPr>
          <w:p w14:paraId="72BA8E25">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环境要素</w:t>
            </w:r>
          </w:p>
        </w:tc>
        <w:tc>
          <w:tcPr>
            <w:tcW w:w="2298" w:type="dxa"/>
            <w:noWrap w:val="0"/>
            <w:vAlign w:val="center"/>
          </w:tcPr>
          <w:p w14:paraId="5199244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项目</w:t>
            </w:r>
          </w:p>
        </w:tc>
        <w:tc>
          <w:tcPr>
            <w:tcW w:w="4531" w:type="dxa"/>
            <w:noWrap w:val="0"/>
            <w:vAlign w:val="center"/>
          </w:tcPr>
          <w:p w14:paraId="45A28A30">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影响评价因子</w:t>
            </w:r>
          </w:p>
        </w:tc>
      </w:tr>
      <w:tr w14:paraId="42E77E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93" w:type="dxa"/>
            <w:vMerge w:val="restart"/>
            <w:noWrap w:val="0"/>
            <w:vAlign w:val="center"/>
          </w:tcPr>
          <w:p w14:paraId="16383CF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环境空气</w:t>
            </w:r>
          </w:p>
        </w:tc>
        <w:tc>
          <w:tcPr>
            <w:tcW w:w="2298" w:type="dxa"/>
            <w:noWrap w:val="0"/>
            <w:vAlign w:val="center"/>
          </w:tcPr>
          <w:p w14:paraId="294194D5">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现状评价</w:t>
            </w:r>
          </w:p>
        </w:tc>
        <w:tc>
          <w:tcPr>
            <w:tcW w:w="4531" w:type="dxa"/>
            <w:noWrap w:val="0"/>
            <w:vAlign w:val="center"/>
          </w:tcPr>
          <w:p w14:paraId="447DA02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rPr>
              <w:t>2</w:t>
            </w:r>
            <w:r>
              <w:rPr>
                <w:rFonts w:hint="default" w:ascii="Times New Roman" w:hAnsi="Times New Roman" w:cs="Times New Roman"/>
                <w:color w:val="auto"/>
                <w:kern w:val="0"/>
                <w:sz w:val="21"/>
                <w:szCs w:val="21"/>
                <w:highlight w:val="none"/>
              </w:rPr>
              <w:t>、PM</w:t>
            </w:r>
            <w:r>
              <w:rPr>
                <w:rFonts w:hint="default" w:ascii="Times New Roman" w:hAnsi="Times New Roman" w:cs="Times New Roman"/>
                <w:color w:val="auto"/>
                <w:kern w:val="0"/>
                <w:sz w:val="21"/>
                <w:szCs w:val="21"/>
                <w:highlight w:val="none"/>
                <w:vertAlign w:val="subscript"/>
              </w:rPr>
              <w:t>10</w:t>
            </w:r>
            <w:r>
              <w:rPr>
                <w:rFonts w:hint="default" w:ascii="Times New Roman" w:hAnsi="Times New Roman" w:cs="Times New Roman"/>
                <w:color w:val="auto"/>
                <w:kern w:val="0"/>
                <w:sz w:val="21"/>
                <w:szCs w:val="21"/>
                <w:highlight w:val="none"/>
              </w:rPr>
              <w:t>、PM</w:t>
            </w:r>
            <w:r>
              <w:rPr>
                <w:rFonts w:hint="default" w:ascii="Times New Roman" w:hAnsi="Times New Roman" w:cs="Times New Roman"/>
                <w:color w:val="auto"/>
                <w:kern w:val="0"/>
                <w:sz w:val="21"/>
                <w:szCs w:val="21"/>
                <w:highlight w:val="none"/>
                <w:vertAlign w:val="subscript"/>
              </w:rPr>
              <w:t>2.5</w:t>
            </w:r>
            <w:r>
              <w:rPr>
                <w:rFonts w:hint="default" w:ascii="Times New Roman" w:hAnsi="Times New Roman" w:cs="Times New Roman"/>
                <w:color w:val="auto"/>
                <w:kern w:val="0"/>
                <w:sz w:val="21"/>
                <w:szCs w:val="21"/>
                <w:highlight w:val="none"/>
              </w:rPr>
              <w:t>、CO、O</w:t>
            </w:r>
            <w:r>
              <w:rPr>
                <w:rFonts w:hint="default" w:ascii="Times New Roman" w:hAnsi="Times New Roman" w:cs="Times New Roman"/>
                <w:color w:val="auto"/>
                <w:kern w:val="0"/>
                <w:sz w:val="21"/>
                <w:szCs w:val="21"/>
                <w:highlight w:val="none"/>
                <w:vertAlign w:val="subscript"/>
              </w:rPr>
              <w:t>3</w:t>
            </w:r>
            <w:r>
              <w:rPr>
                <w:rFonts w:hint="default" w:ascii="Times New Roman" w:hAnsi="Times New Roman" w:cs="Times New Roman"/>
                <w:color w:val="auto"/>
                <w:kern w:val="0"/>
                <w:sz w:val="21"/>
                <w:szCs w:val="21"/>
                <w:highlight w:val="none"/>
              </w:rPr>
              <w:t>、TSP、</w:t>
            </w:r>
            <w:r>
              <w:rPr>
                <w:rFonts w:hint="default" w:ascii="Times New Roman" w:hAnsi="Times New Roman" w:cs="Times New Roman"/>
                <w:color w:val="auto"/>
                <w:kern w:val="0"/>
                <w:sz w:val="21"/>
                <w:szCs w:val="21"/>
                <w:highlight w:val="none"/>
                <w:lang w:val="en-US" w:eastAsia="zh-CN"/>
              </w:rPr>
              <w:t>苯并[a]芘</w:t>
            </w:r>
          </w:p>
        </w:tc>
      </w:tr>
      <w:tr w14:paraId="1C4BB4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93" w:type="dxa"/>
            <w:vMerge w:val="continue"/>
            <w:noWrap w:val="0"/>
            <w:vAlign w:val="center"/>
          </w:tcPr>
          <w:p w14:paraId="7FA6E82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p>
        </w:tc>
        <w:tc>
          <w:tcPr>
            <w:tcW w:w="2298" w:type="dxa"/>
            <w:noWrap w:val="0"/>
            <w:vAlign w:val="center"/>
          </w:tcPr>
          <w:p w14:paraId="7637FF0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污染源评价</w:t>
            </w:r>
          </w:p>
        </w:tc>
        <w:tc>
          <w:tcPr>
            <w:tcW w:w="4531" w:type="dxa"/>
            <w:noWrap w:val="0"/>
            <w:vAlign w:val="center"/>
          </w:tcPr>
          <w:p w14:paraId="377A66EC">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lang w:val="en-US" w:eastAsia="zh-CN"/>
              </w:rPr>
              <w:t>x</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eastAsia="zh-CN"/>
              </w:rPr>
              <w:t>颗粒物</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苯并[a]芘</w:t>
            </w:r>
          </w:p>
        </w:tc>
      </w:tr>
      <w:tr w14:paraId="3C9C76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693" w:type="dxa"/>
            <w:vMerge w:val="continue"/>
            <w:noWrap w:val="0"/>
            <w:vAlign w:val="center"/>
          </w:tcPr>
          <w:p w14:paraId="7C86C4F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p>
        </w:tc>
        <w:tc>
          <w:tcPr>
            <w:tcW w:w="2298" w:type="dxa"/>
            <w:noWrap w:val="0"/>
            <w:vAlign w:val="center"/>
          </w:tcPr>
          <w:p w14:paraId="32A010D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环境影响分析</w:t>
            </w:r>
          </w:p>
        </w:tc>
        <w:tc>
          <w:tcPr>
            <w:tcW w:w="4531" w:type="dxa"/>
            <w:noWrap w:val="0"/>
            <w:vAlign w:val="center"/>
          </w:tcPr>
          <w:p w14:paraId="210BD10C">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lang w:val="en-US" w:eastAsia="zh-CN"/>
              </w:rPr>
              <w:t>x</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eastAsia="zh-CN"/>
              </w:rPr>
              <w:t>颗粒物</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苯并[a]芘</w:t>
            </w:r>
          </w:p>
        </w:tc>
      </w:tr>
    </w:tbl>
    <w:p w14:paraId="5F9601B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p w14:paraId="48BF3C12">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47" w:name="_Toc19126"/>
      <w:r>
        <w:rPr>
          <w:rFonts w:hint="default" w:ascii="Times New Roman" w:hAnsi="Times New Roman" w:eastAsia="黑体" w:cs="Times New Roman"/>
          <w:color w:val="auto"/>
          <w:sz w:val="28"/>
          <w:szCs w:val="20"/>
          <w:lang w:val="en-US" w:eastAsia="zh-CN" w:bidi="ar-SA"/>
        </w:rPr>
        <w:t>评价工作等级</w:t>
      </w:r>
      <w:bookmarkEnd w:id="136"/>
      <w:r>
        <w:rPr>
          <w:rFonts w:hint="default" w:ascii="Times New Roman" w:hAnsi="Times New Roman" w:eastAsia="黑体" w:cs="Times New Roman"/>
          <w:color w:val="auto"/>
          <w:sz w:val="28"/>
          <w:szCs w:val="20"/>
          <w:lang w:val="en-US" w:eastAsia="zh-CN" w:bidi="ar-SA"/>
        </w:rPr>
        <w:t>及评价范围</w:t>
      </w:r>
      <w:bookmarkEnd w:id="137"/>
      <w:bookmarkEnd w:id="138"/>
      <w:bookmarkEnd w:id="139"/>
      <w:bookmarkEnd w:id="140"/>
      <w:bookmarkEnd w:id="147"/>
    </w:p>
    <w:p w14:paraId="4B494A03">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bookmarkStart w:id="148" w:name="_Toc307229327"/>
      <w:r>
        <w:rPr>
          <w:rFonts w:hint="default" w:ascii="Times New Roman" w:hAnsi="Times New Roman" w:eastAsia="黑体" w:cs="Times New Roman"/>
          <w:color w:val="auto"/>
          <w:sz w:val="24"/>
          <w:szCs w:val="24"/>
          <w:lang w:val="en-US" w:eastAsia="zh-CN" w:bidi="ar-SA"/>
        </w:rPr>
        <w:t>评价工作等级</w:t>
      </w:r>
      <w:bookmarkEnd w:id="148"/>
    </w:p>
    <w:p w14:paraId="363C90C9">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环境影响评价技术导则大气环境》（HJ2.2-2018），根据项目污染源初步调查结果，分别计算项目排放主要污染物的最大地面空气质量浓度占标率Pi，及第i个污染物的地面空气质量浓度达到标准值的10%所对应的最远距离D10%，其中Pi定义见公式：</w:t>
      </w:r>
    </w:p>
    <w:p w14:paraId="270410CB">
      <w:pPr>
        <w:ind w:firstLine="480"/>
        <w:jc w:val="left"/>
        <w:rPr>
          <w:rFonts w:hint="default" w:ascii="Times New Roman" w:hAnsi="Times New Roman" w:cs="Times New Roman"/>
          <w:color w:val="auto"/>
          <w:kern w:val="0"/>
          <w:sz w:val="24"/>
          <w:szCs w:val="20"/>
        </w:rPr>
      </w:pPr>
      <w:r>
        <w:rPr>
          <w:rFonts w:hint="default" w:ascii="Times New Roman" w:hAnsi="Times New Roman" w:cs="Times New Roman"/>
          <w:snapToGrid w:val="0"/>
          <w:color w:val="auto"/>
          <w:kern w:val="0"/>
          <w:sz w:val="24"/>
          <w:szCs w:val="20"/>
        </w:rPr>
        <w:t>Pi＝（C</w:t>
      </w:r>
      <w:r>
        <w:rPr>
          <w:rFonts w:hint="default" w:ascii="Times New Roman" w:hAnsi="Times New Roman" w:cs="Times New Roman"/>
          <w:snapToGrid w:val="0"/>
          <w:color w:val="auto"/>
          <w:kern w:val="0"/>
          <w:sz w:val="24"/>
          <w:szCs w:val="20"/>
          <w:vertAlign w:val="subscript"/>
        </w:rPr>
        <w:t>i</w:t>
      </w:r>
      <w:r>
        <w:rPr>
          <w:rFonts w:hint="default" w:ascii="Times New Roman" w:hAnsi="Times New Roman" w:cs="Times New Roman"/>
          <w:snapToGrid w:val="0"/>
          <w:color w:val="auto"/>
          <w:kern w:val="0"/>
          <w:sz w:val="24"/>
          <w:szCs w:val="20"/>
        </w:rPr>
        <w:t>/C</w:t>
      </w:r>
      <w:r>
        <w:rPr>
          <w:rFonts w:hint="default" w:ascii="Times New Roman" w:hAnsi="Times New Roman" w:cs="Times New Roman"/>
          <w:snapToGrid w:val="0"/>
          <w:color w:val="auto"/>
          <w:kern w:val="0"/>
          <w:sz w:val="24"/>
          <w:szCs w:val="20"/>
          <w:vertAlign w:val="subscript"/>
        </w:rPr>
        <w:t>0i</w:t>
      </w:r>
      <w:r>
        <w:rPr>
          <w:rFonts w:hint="default" w:ascii="Times New Roman" w:hAnsi="Times New Roman" w:cs="Times New Roman"/>
          <w:snapToGrid w:val="0"/>
          <w:color w:val="auto"/>
          <w:kern w:val="0"/>
          <w:sz w:val="24"/>
          <w:szCs w:val="20"/>
        </w:rPr>
        <w:t>）×100%</w:t>
      </w:r>
    </w:p>
    <w:p w14:paraId="05A337E4">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p w14:paraId="220697FE">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Pi-----第i个污染物的最大地面空气质量浓度占标率，%</w:t>
      </w:r>
    </w:p>
    <w:p w14:paraId="7A6A0816">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Ci-----采用估算模型计算出的第i个污染物的最大1h地面空气质量浓度，μg/m</w:t>
      </w:r>
      <w:r>
        <w:rPr>
          <w:rFonts w:hint="default" w:ascii="Times New Roman" w:hAnsi="Times New Roman" w:eastAsia="宋体" w:cs="Times New Roman"/>
          <w:color w:val="auto"/>
          <w:kern w:val="2"/>
          <w:sz w:val="24"/>
          <w:szCs w:val="24"/>
          <w:vertAlign w:val="superscript"/>
          <w:lang w:val="en-US" w:eastAsia="zh-CN" w:bidi="ar-SA"/>
        </w:rPr>
        <w:t>3</w:t>
      </w:r>
    </w:p>
    <w:p w14:paraId="1D9D81EF">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C0i-----第i个污染物的环境空气质量浓度标准，μg/m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一般选用GB3095中1h平均质量浓度的二级浓度限值，如项目位于一类环境空气功能区，应选择相应的一级浓度限值；对该标准中未包含的污染物，使用5.2确定的各评价因子1h平均质量浓度限值。对仅有8h平均质量浓度限值、日平均质量浓度限值或年平均质量浓度限值的，可分别按2倍、3倍、6倍折算为1h平均质量浓度限值。</w:t>
      </w:r>
    </w:p>
    <w:p w14:paraId="124CD2A8">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表1-5估算模型参数表</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80"/>
        <w:gridCol w:w="2983"/>
        <w:gridCol w:w="2983"/>
      </w:tblGrid>
      <w:tr w14:paraId="44E4B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5963" w:type="dxa"/>
            <w:gridSpan w:val="2"/>
            <w:noWrap w:val="0"/>
            <w:vAlign w:val="center"/>
          </w:tcPr>
          <w:p w14:paraId="586E8EE4">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参数</w:t>
            </w:r>
          </w:p>
        </w:tc>
        <w:tc>
          <w:tcPr>
            <w:tcW w:w="2983" w:type="dxa"/>
            <w:noWrap w:val="0"/>
            <w:vAlign w:val="center"/>
          </w:tcPr>
          <w:p w14:paraId="1BC9D062">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取值</w:t>
            </w:r>
          </w:p>
        </w:tc>
      </w:tr>
      <w:tr w14:paraId="09F717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restart"/>
            <w:noWrap w:val="0"/>
            <w:vAlign w:val="center"/>
          </w:tcPr>
          <w:p w14:paraId="24F29079">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城市/农村选项</w:t>
            </w:r>
          </w:p>
        </w:tc>
        <w:tc>
          <w:tcPr>
            <w:tcW w:w="2983" w:type="dxa"/>
            <w:noWrap w:val="0"/>
            <w:vAlign w:val="center"/>
          </w:tcPr>
          <w:p w14:paraId="2737826B">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城市/农村</w:t>
            </w:r>
          </w:p>
        </w:tc>
        <w:tc>
          <w:tcPr>
            <w:tcW w:w="2983" w:type="dxa"/>
            <w:noWrap w:val="0"/>
            <w:vAlign w:val="center"/>
          </w:tcPr>
          <w:p w14:paraId="3AA04431">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highlight w:val="none"/>
                <w:lang w:eastAsia="zh-CN"/>
              </w:rPr>
              <w:t>农村</w:t>
            </w:r>
          </w:p>
        </w:tc>
      </w:tr>
      <w:tr w14:paraId="1E62F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continue"/>
            <w:noWrap w:val="0"/>
            <w:vAlign w:val="center"/>
          </w:tcPr>
          <w:p w14:paraId="05B323A2">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p>
        </w:tc>
        <w:tc>
          <w:tcPr>
            <w:tcW w:w="2983" w:type="dxa"/>
            <w:noWrap w:val="0"/>
            <w:vAlign w:val="center"/>
          </w:tcPr>
          <w:p w14:paraId="5413A441">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人口数（城市选项时）</w:t>
            </w:r>
          </w:p>
        </w:tc>
        <w:tc>
          <w:tcPr>
            <w:tcW w:w="2983" w:type="dxa"/>
            <w:noWrap w:val="0"/>
            <w:vAlign w:val="center"/>
          </w:tcPr>
          <w:p w14:paraId="6E4A9245">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r>
      <w:tr w14:paraId="7232C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63" w:type="dxa"/>
            <w:gridSpan w:val="2"/>
            <w:noWrap w:val="0"/>
            <w:vAlign w:val="center"/>
          </w:tcPr>
          <w:p w14:paraId="2923F1A6">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最高环境温度/℃</w:t>
            </w:r>
          </w:p>
        </w:tc>
        <w:tc>
          <w:tcPr>
            <w:tcW w:w="2983" w:type="dxa"/>
            <w:noWrap w:val="0"/>
            <w:vAlign w:val="center"/>
          </w:tcPr>
          <w:p w14:paraId="3B30D481">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36.2</w:t>
            </w:r>
          </w:p>
        </w:tc>
      </w:tr>
      <w:tr w14:paraId="55B0D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63" w:type="dxa"/>
            <w:gridSpan w:val="2"/>
            <w:noWrap w:val="0"/>
            <w:vAlign w:val="center"/>
          </w:tcPr>
          <w:p w14:paraId="7D4BDECB">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最低环境温度/℃</w:t>
            </w:r>
          </w:p>
        </w:tc>
        <w:tc>
          <w:tcPr>
            <w:tcW w:w="2983" w:type="dxa"/>
            <w:noWrap w:val="0"/>
            <w:vAlign w:val="center"/>
          </w:tcPr>
          <w:p w14:paraId="57FB63A5">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-40.1</w:t>
            </w:r>
          </w:p>
        </w:tc>
      </w:tr>
      <w:tr w14:paraId="0262A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63" w:type="dxa"/>
            <w:gridSpan w:val="2"/>
            <w:noWrap w:val="0"/>
            <w:vAlign w:val="center"/>
          </w:tcPr>
          <w:p w14:paraId="43163C4C">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土地利用类型</w:t>
            </w:r>
          </w:p>
        </w:tc>
        <w:tc>
          <w:tcPr>
            <w:tcW w:w="2983" w:type="dxa"/>
            <w:noWrap w:val="0"/>
            <w:vAlign w:val="center"/>
          </w:tcPr>
          <w:p w14:paraId="0808BBA4">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eastAsia="zh-CN"/>
              </w:rPr>
              <w:t>建设用地</w:t>
            </w:r>
          </w:p>
        </w:tc>
      </w:tr>
      <w:tr w14:paraId="1F8D3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63" w:type="dxa"/>
            <w:gridSpan w:val="2"/>
            <w:noWrap w:val="0"/>
            <w:vAlign w:val="center"/>
          </w:tcPr>
          <w:p w14:paraId="023C5F38">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区域湿度条件</w:t>
            </w:r>
          </w:p>
        </w:tc>
        <w:tc>
          <w:tcPr>
            <w:tcW w:w="2983" w:type="dxa"/>
            <w:noWrap w:val="0"/>
            <w:vAlign w:val="center"/>
          </w:tcPr>
          <w:p w14:paraId="4A998BAA">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中等湿润</w:t>
            </w:r>
          </w:p>
        </w:tc>
      </w:tr>
      <w:tr w14:paraId="38BFE8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restart"/>
            <w:noWrap w:val="0"/>
            <w:vAlign w:val="center"/>
          </w:tcPr>
          <w:p w14:paraId="7D99A291">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是否考虑地形</w:t>
            </w:r>
          </w:p>
        </w:tc>
        <w:tc>
          <w:tcPr>
            <w:tcW w:w="2983" w:type="dxa"/>
            <w:noWrap w:val="0"/>
            <w:vAlign w:val="center"/>
          </w:tcPr>
          <w:p w14:paraId="5A8EACE6">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考虑地形</w:t>
            </w:r>
          </w:p>
        </w:tc>
        <w:tc>
          <w:tcPr>
            <w:tcW w:w="2983" w:type="dxa"/>
            <w:noWrap w:val="0"/>
            <w:vAlign w:val="center"/>
          </w:tcPr>
          <w:p w14:paraId="7CCCF8DE">
            <w:pPr>
              <w:keepNext w:val="0"/>
              <w:keepLines w:val="0"/>
              <w:suppressLineNumbers w:val="0"/>
              <w:spacing w:before="0" w:beforeAutospacing="0" w:after="0" w:afterAutospacing="0" w:line="300" w:lineRule="auto"/>
              <w:ind w:left="0" w:right="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否</w:t>
            </w:r>
          </w:p>
        </w:tc>
      </w:tr>
      <w:tr w14:paraId="2CE294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continue"/>
            <w:noWrap w:val="0"/>
            <w:vAlign w:val="center"/>
          </w:tcPr>
          <w:p w14:paraId="7CA69B56">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p>
        </w:tc>
        <w:tc>
          <w:tcPr>
            <w:tcW w:w="2983" w:type="dxa"/>
            <w:noWrap w:val="0"/>
            <w:vAlign w:val="center"/>
          </w:tcPr>
          <w:p w14:paraId="163E4FD1">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地形数据分辨率/m</w:t>
            </w:r>
          </w:p>
        </w:tc>
        <w:tc>
          <w:tcPr>
            <w:tcW w:w="2983" w:type="dxa"/>
            <w:noWrap w:val="0"/>
            <w:vAlign w:val="center"/>
          </w:tcPr>
          <w:p w14:paraId="2B98E088">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r>
      <w:tr w14:paraId="78ABED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restart"/>
            <w:noWrap w:val="0"/>
            <w:vAlign w:val="center"/>
          </w:tcPr>
          <w:p w14:paraId="16AFBC71">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是否考虑岸线熏烟</w:t>
            </w:r>
          </w:p>
        </w:tc>
        <w:tc>
          <w:tcPr>
            <w:tcW w:w="2983" w:type="dxa"/>
            <w:noWrap w:val="0"/>
            <w:vAlign w:val="center"/>
          </w:tcPr>
          <w:p w14:paraId="4C087FFC">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考虑岸线熏烟</w:t>
            </w:r>
          </w:p>
        </w:tc>
        <w:tc>
          <w:tcPr>
            <w:tcW w:w="2983" w:type="dxa"/>
            <w:noWrap w:val="0"/>
            <w:vAlign w:val="center"/>
          </w:tcPr>
          <w:p w14:paraId="497C39DF">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否</w:t>
            </w:r>
          </w:p>
        </w:tc>
      </w:tr>
      <w:tr w14:paraId="40EA94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0" w:type="dxa"/>
            <w:vMerge w:val="continue"/>
            <w:noWrap w:val="0"/>
            <w:vAlign w:val="center"/>
          </w:tcPr>
          <w:p w14:paraId="3B6936A7">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p>
        </w:tc>
        <w:tc>
          <w:tcPr>
            <w:tcW w:w="2983" w:type="dxa"/>
            <w:noWrap w:val="0"/>
            <w:vAlign w:val="center"/>
          </w:tcPr>
          <w:p w14:paraId="5CA85A30">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岸线距离/km</w:t>
            </w:r>
          </w:p>
        </w:tc>
        <w:tc>
          <w:tcPr>
            <w:tcW w:w="2983" w:type="dxa"/>
            <w:noWrap w:val="0"/>
            <w:vAlign w:val="center"/>
          </w:tcPr>
          <w:p w14:paraId="516D7479">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r>
      <w:tr w14:paraId="24F6C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80" w:type="dxa"/>
            <w:vMerge w:val="continue"/>
            <w:noWrap w:val="0"/>
            <w:vAlign w:val="center"/>
          </w:tcPr>
          <w:p w14:paraId="4F4E6399">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p>
        </w:tc>
        <w:tc>
          <w:tcPr>
            <w:tcW w:w="2983" w:type="dxa"/>
            <w:noWrap w:val="0"/>
            <w:vAlign w:val="center"/>
          </w:tcPr>
          <w:p w14:paraId="070FD5CF">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岸线方向/°</w:t>
            </w:r>
          </w:p>
        </w:tc>
        <w:tc>
          <w:tcPr>
            <w:tcW w:w="2983" w:type="dxa"/>
            <w:noWrap w:val="0"/>
            <w:vAlign w:val="center"/>
          </w:tcPr>
          <w:p w14:paraId="7F340A4D">
            <w:pPr>
              <w:keepNext w:val="0"/>
              <w:keepLines w:val="0"/>
              <w:suppressLineNumbers w:val="0"/>
              <w:spacing w:before="0" w:beforeAutospacing="0" w:after="0" w:afterAutospacing="0" w:line="300"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r>
    </w:tbl>
    <w:p w14:paraId="1CDF793C">
      <w:pPr>
        <w:widowControl w:val="0"/>
        <w:spacing w:after="0" w:afterLines="0" w:line="360" w:lineRule="exact"/>
        <w:ind w:firstLine="240" w:firstLineChars="100"/>
        <w:jc w:val="center"/>
        <w:rPr>
          <w:rFonts w:hint="default" w:ascii="Times New Roman" w:hAnsi="Times New Roman" w:eastAsia="黑体" w:cs="Times New Roman"/>
          <w:color w:val="auto"/>
          <w:sz w:val="24"/>
          <w:szCs w:val="24"/>
          <w:lang w:val="zh-CN" w:eastAsia="zh-CN" w:bidi="ar-SA"/>
        </w:rPr>
      </w:pPr>
      <w:r>
        <w:rPr>
          <w:rFonts w:hint="default" w:ascii="Times New Roman" w:hAnsi="Times New Roman" w:eastAsia="黑体" w:cs="Times New Roman"/>
          <w:color w:val="auto"/>
          <w:sz w:val="24"/>
          <w:szCs w:val="24"/>
          <w:lang w:val="zh-CN" w:eastAsia="zh-CN" w:bidi="ar-SA"/>
        </w:rPr>
        <w:t>表</w:t>
      </w:r>
      <w:r>
        <w:rPr>
          <w:rFonts w:hint="default" w:ascii="Times New Roman" w:hAnsi="Times New Roman" w:eastAsia="黑体" w:cs="Times New Roman"/>
          <w:color w:val="auto"/>
          <w:sz w:val="24"/>
          <w:szCs w:val="24"/>
          <w:lang w:val="en-US" w:eastAsia="zh-CN" w:bidi="ar-SA"/>
        </w:rPr>
        <w:t>1-6</w:t>
      </w:r>
      <w:r>
        <w:rPr>
          <w:rFonts w:hint="default" w:ascii="Times New Roman" w:hAnsi="Times New Roman" w:eastAsia="黑体" w:cs="Times New Roman"/>
          <w:color w:val="auto"/>
          <w:sz w:val="24"/>
          <w:szCs w:val="24"/>
          <w:lang w:val="zh-CN" w:eastAsia="zh-CN" w:bidi="ar-SA"/>
        </w:rPr>
        <w:t>点源参数表</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13"/>
        <w:gridCol w:w="1126"/>
        <w:gridCol w:w="1015"/>
        <w:gridCol w:w="1199"/>
        <w:gridCol w:w="647"/>
        <w:gridCol w:w="676"/>
        <w:gridCol w:w="647"/>
        <w:gridCol w:w="682"/>
        <w:gridCol w:w="791"/>
        <w:gridCol w:w="866"/>
      </w:tblGrid>
      <w:tr w14:paraId="4268F9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713" w:type="dxa"/>
            <w:vMerge w:val="restart"/>
            <w:tcBorders>
              <w:tl2br w:val="nil"/>
              <w:tr2bl w:val="nil"/>
            </w:tcBorders>
            <w:noWrap w:val="0"/>
            <w:vAlign w:val="center"/>
          </w:tcPr>
          <w:p w14:paraId="7D6153D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污染源名称</w:t>
            </w:r>
          </w:p>
        </w:tc>
        <w:tc>
          <w:tcPr>
            <w:tcW w:w="2141" w:type="dxa"/>
            <w:gridSpan w:val="2"/>
            <w:tcBorders>
              <w:tl2br w:val="nil"/>
              <w:tr2bl w:val="nil"/>
            </w:tcBorders>
            <w:noWrap w:val="0"/>
            <w:vAlign w:val="center"/>
          </w:tcPr>
          <w:p w14:paraId="19950379">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排气筒底部中心坐标</w:t>
            </w:r>
          </w:p>
        </w:tc>
        <w:tc>
          <w:tcPr>
            <w:tcW w:w="1199" w:type="dxa"/>
            <w:vMerge w:val="restart"/>
            <w:tcBorders>
              <w:tl2br w:val="nil"/>
              <w:tr2bl w:val="nil"/>
            </w:tcBorders>
            <w:noWrap w:val="0"/>
            <w:vAlign w:val="center"/>
          </w:tcPr>
          <w:p w14:paraId="121F395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排气筒底部海拔高度(m)</w:t>
            </w:r>
          </w:p>
        </w:tc>
        <w:tc>
          <w:tcPr>
            <w:tcW w:w="2652" w:type="dxa"/>
            <w:gridSpan w:val="4"/>
            <w:tcBorders>
              <w:tl2br w:val="nil"/>
              <w:tr2bl w:val="nil"/>
            </w:tcBorders>
            <w:noWrap w:val="0"/>
            <w:vAlign w:val="center"/>
          </w:tcPr>
          <w:p w14:paraId="67FA58E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排气筒参数</w:t>
            </w:r>
          </w:p>
        </w:tc>
        <w:tc>
          <w:tcPr>
            <w:tcW w:w="791" w:type="dxa"/>
            <w:vMerge w:val="restart"/>
            <w:tcBorders>
              <w:tl2br w:val="nil"/>
              <w:tr2bl w:val="nil"/>
            </w:tcBorders>
            <w:noWrap w:val="0"/>
            <w:vAlign w:val="center"/>
          </w:tcPr>
          <w:p w14:paraId="3C1F4FDD">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污染物名称</w:t>
            </w:r>
          </w:p>
        </w:tc>
        <w:tc>
          <w:tcPr>
            <w:tcW w:w="866" w:type="dxa"/>
            <w:vMerge w:val="restart"/>
            <w:tcBorders>
              <w:tl2br w:val="nil"/>
              <w:tr2bl w:val="nil"/>
            </w:tcBorders>
            <w:noWrap w:val="0"/>
            <w:vAlign w:val="center"/>
          </w:tcPr>
          <w:p w14:paraId="41E6FE3D">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排放速率kg/h</w:t>
            </w:r>
          </w:p>
        </w:tc>
      </w:tr>
      <w:tr w14:paraId="1F733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713" w:type="dxa"/>
            <w:vMerge w:val="continue"/>
            <w:tcBorders>
              <w:tl2br w:val="nil"/>
              <w:tr2bl w:val="nil"/>
            </w:tcBorders>
            <w:noWrap w:val="0"/>
            <w:vAlign w:val="center"/>
          </w:tcPr>
          <w:p w14:paraId="3689CA0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tcBorders>
              <w:tl2br w:val="nil"/>
              <w:tr2bl w:val="nil"/>
            </w:tcBorders>
            <w:noWrap w:val="0"/>
            <w:vAlign w:val="center"/>
          </w:tcPr>
          <w:p w14:paraId="60154DF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X/m</w:t>
            </w:r>
          </w:p>
        </w:tc>
        <w:tc>
          <w:tcPr>
            <w:tcW w:w="1015" w:type="dxa"/>
            <w:tcBorders>
              <w:tl2br w:val="nil"/>
              <w:tr2bl w:val="nil"/>
            </w:tcBorders>
            <w:noWrap w:val="0"/>
            <w:vAlign w:val="center"/>
          </w:tcPr>
          <w:p w14:paraId="580BEC8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Y/m</w:t>
            </w:r>
          </w:p>
        </w:tc>
        <w:tc>
          <w:tcPr>
            <w:tcW w:w="1199" w:type="dxa"/>
            <w:vMerge w:val="continue"/>
            <w:tcBorders>
              <w:tl2br w:val="nil"/>
              <w:tr2bl w:val="nil"/>
            </w:tcBorders>
            <w:noWrap w:val="0"/>
            <w:vAlign w:val="center"/>
          </w:tcPr>
          <w:p w14:paraId="76EA1CA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tcBorders>
              <w:tl2br w:val="nil"/>
              <w:tr2bl w:val="nil"/>
            </w:tcBorders>
            <w:noWrap w:val="0"/>
            <w:vAlign w:val="center"/>
          </w:tcPr>
          <w:p w14:paraId="4CF9DC5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高度(m)</w:t>
            </w:r>
          </w:p>
        </w:tc>
        <w:tc>
          <w:tcPr>
            <w:tcW w:w="676" w:type="dxa"/>
            <w:tcBorders>
              <w:tl2br w:val="nil"/>
              <w:tr2bl w:val="nil"/>
            </w:tcBorders>
            <w:noWrap w:val="0"/>
            <w:vAlign w:val="center"/>
          </w:tcPr>
          <w:p w14:paraId="67A703A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内径(m)</w:t>
            </w:r>
          </w:p>
        </w:tc>
        <w:tc>
          <w:tcPr>
            <w:tcW w:w="647" w:type="dxa"/>
            <w:tcBorders>
              <w:tl2br w:val="nil"/>
              <w:tr2bl w:val="nil"/>
            </w:tcBorders>
            <w:noWrap w:val="0"/>
            <w:vAlign w:val="center"/>
          </w:tcPr>
          <w:p w14:paraId="45D986E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温度</w:t>
            </w:r>
          </w:p>
          <w:p w14:paraId="16E37D8D">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682" w:type="dxa"/>
            <w:tcBorders>
              <w:tl2br w:val="nil"/>
              <w:tr2bl w:val="nil"/>
            </w:tcBorders>
            <w:noWrap w:val="0"/>
            <w:vAlign w:val="center"/>
          </w:tcPr>
          <w:p w14:paraId="62DEAA91">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流速</w:t>
            </w:r>
          </w:p>
          <w:p w14:paraId="5BE0565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w:t>
            </w:r>
            <w:r>
              <w:rPr>
                <w:rFonts w:hint="default" w:ascii="Times New Roman" w:hAnsi="Times New Roman" w:cs="Times New Roman"/>
                <w:color w:val="auto"/>
                <w:kern w:val="0"/>
                <w:sz w:val="21"/>
                <w:szCs w:val="21"/>
                <w:highlight w:val="none"/>
                <w:vertAlign w:val="superscript"/>
                <w:lang w:val="en-US" w:eastAsia="zh-CN"/>
              </w:rPr>
              <w:t>3</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h</w:t>
            </w:r>
            <w:r>
              <w:rPr>
                <w:rFonts w:hint="default" w:ascii="Times New Roman" w:hAnsi="Times New Roman" w:cs="Times New Roman"/>
                <w:color w:val="auto"/>
                <w:kern w:val="0"/>
                <w:sz w:val="21"/>
                <w:szCs w:val="21"/>
                <w:highlight w:val="none"/>
              </w:rPr>
              <w:t>)</w:t>
            </w:r>
          </w:p>
        </w:tc>
        <w:tc>
          <w:tcPr>
            <w:tcW w:w="791" w:type="dxa"/>
            <w:vMerge w:val="continue"/>
            <w:tcBorders>
              <w:tl2br w:val="nil"/>
              <w:tr2bl w:val="nil"/>
            </w:tcBorders>
            <w:noWrap w:val="0"/>
            <w:vAlign w:val="center"/>
          </w:tcPr>
          <w:p w14:paraId="542C79D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66" w:type="dxa"/>
            <w:vMerge w:val="continue"/>
            <w:tcBorders>
              <w:tl2br w:val="nil"/>
              <w:tr2bl w:val="nil"/>
            </w:tcBorders>
            <w:noWrap w:val="0"/>
            <w:vAlign w:val="center"/>
          </w:tcPr>
          <w:p w14:paraId="764D0496">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23671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713" w:type="dxa"/>
            <w:vMerge w:val="restart"/>
            <w:tcBorders>
              <w:tl2br w:val="nil"/>
              <w:tr2bl w:val="nil"/>
            </w:tcBorders>
            <w:noWrap w:val="0"/>
            <w:vAlign w:val="center"/>
          </w:tcPr>
          <w:p w14:paraId="0941286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lang w:val="en-US" w:eastAsia="zh-CN"/>
              </w:rPr>
              <w:t>导热油炉</w:t>
            </w:r>
          </w:p>
        </w:tc>
        <w:tc>
          <w:tcPr>
            <w:tcW w:w="1126" w:type="dxa"/>
            <w:vMerge w:val="restart"/>
            <w:tcBorders>
              <w:tl2br w:val="nil"/>
              <w:tr2bl w:val="nil"/>
            </w:tcBorders>
            <w:noWrap w:val="0"/>
            <w:vAlign w:val="center"/>
          </w:tcPr>
          <w:p w14:paraId="5C493FBF">
            <w:pPr>
              <w:keepNext w:val="0"/>
              <w:keepLines w:val="0"/>
              <w:widowControl w:val="0"/>
              <w:suppressLineNumbers w:val="0"/>
              <w:spacing w:before="0" w:beforeAutospacing="0" w:after="0" w:afterAutospacing="0" w:line="360" w:lineRule="auto"/>
              <w:ind w:left="0" w:right="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宋体" w:hAnsi="Calibri" w:eastAsia="宋体" w:cs="Times New Roman"/>
                <w:b w:val="0"/>
                <w:bCs w:val="0"/>
                <w:color w:val="auto"/>
                <w:kern w:val="2"/>
                <w:sz w:val="18"/>
                <w:szCs w:val="18"/>
                <w:lang w:val="en-US" w:eastAsia="zh-CN" w:bidi="ar-SA"/>
              </w:rPr>
              <w:t>8</w:t>
            </w:r>
            <w:r>
              <w:rPr>
                <w:rFonts w:hint="default" w:ascii="Times New Roman" w:hAnsi="Times New Roman" w:eastAsia="宋体" w:cs="Times New Roman"/>
                <w:b w:val="0"/>
                <w:bCs w:val="0"/>
                <w:color w:val="auto"/>
                <w:kern w:val="2"/>
                <w:sz w:val="18"/>
                <w:szCs w:val="18"/>
                <w:lang w:val="en-US" w:eastAsia="zh-CN" w:bidi="ar-SA"/>
              </w:rPr>
              <w:t>8</w:t>
            </w:r>
          </w:p>
        </w:tc>
        <w:tc>
          <w:tcPr>
            <w:tcW w:w="1015" w:type="dxa"/>
            <w:vMerge w:val="restart"/>
            <w:tcBorders>
              <w:tl2br w:val="nil"/>
              <w:tr2bl w:val="nil"/>
            </w:tcBorders>
            <w:noWrap w:val="0"/>
            <w:vAlign w:val="center"/>
          </w:tcPr>
          <w:p w14:paraId="69E79E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val="0"/>
                <w:bCs w:val="0"/>
                <w:color w:val="auto"/>
                <w:kern w:val="2"/>
                <w:sz w:val="18"/>
                <w:szCs w:val="18"/>
                <w:lang w:val="en-US" w:eastAsia="zh-CN" w:bidi="ar-SA"/>
              </w:rPr>
              <w:t>1</w:t>
            </w:r>
            <w:r>
              <w:rPr>
                <w:rFonts w:hint="eastAsia" w:ascii="宋体" w:hAnsi="Calibri" w:cs="Times New Roman"/>
                <w:b w:val="0"/>
                <w:bCs w:val="0"/>
                <w:color w:val="auto"/>
                <w:kern w:val="2"/>
                <w:sz w:val="18"/>
                <w:szCs w:val="18"/>
                <w:lang w:val="en-US" w:eastAsia="zh-CN" w:bidi="ar-SA"/>
              </w:rPr>
              <w:t>5</w:t>
            </w:r>
            <w:r>
              <w:rPr>
                <w:rFonts w:hint="eastAsia" w:ascii="Times New Roman" w:hAnsi="Times New Roman" w:eastAsia="宋体" w:cs="Times New Roman"/>
                <w:b w:val="0"/>
                <w:bCs w:val="0"/>
                <w:color w:val="auto"/>
                <w:kern w:val="2"/>
                <w:sz w:val="18"/>
                <w:szCs w:val="18"/>
                <w:lang w:val="en-US" w:eastAsia="zh-CN" w:bidi="ar-SA"/>
              </w:rPr>
              <w:t>5</w:t>
            </w:r>
          </w:p>
        </w:tc>
        <w:tc>
          <w:tcPr>
            <w:tcW w:w="1199" w:type="dxa"/>
            <w:vMerge w:val="restart"/>
            <w:tcBorders>
              <w:tl2br w:val="nil"/>
              <w:tr2bl w:val="nil"/>
            </w:tcBorders>
            <w:noWrap w:val="0"/>
            <w:vAlign w:val="center"/>
          </w:tcPr>
          <w:p w14:paraId="2A595CF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222</w:t>
            </w:r>
          </w:p>
        </w:tc>
        <w:tc>
          <w:tcPr>
            <w:tcW w:w="647" w:type="dxa"/>
            <w:vMerge w:val="restart"/>
            <w:tcBorders>
              <w:tl2br w:val="nil"/>
              <w:tr2bl w:val="nil"/>
            </w:tcBorders>
            <w:noWrap w:val="0"/>
            <w:vAlign w:val="center"/>
          </w:tcPr>
          <w:p w14:paraId="1F62975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15</w:t>
            </w:r>
          </w:p>
        </w:tc>
        <w:tc>
          <w:tcPr>
            <w:tcW w:w="676" w:type="dxa"/>
            <w:vMerge w:val="restart"/>
            <w:tcBorders>
              <w:tl2br w:val="nil"/>
              <w:tr2bl w:val="nil"/>
            </w:tcBorders>
            <w:noWrap w:val="0"/>
            <w:vAlign w:val="center"/>
          </w:tcPr>
          <w:p w14:paraId="2654C453">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0.6</w:t>
            </w:r>
          </w:p>
        </w:tc>
        <w:tc>
          <w:tcPr>
            <w:tcW w:w="647" w:type="dxa"/>
            <w:vMerge w:val="restart"/>
            <w:tcBorders>
              <w:tl2br w:val="nil"/>
              <w:tr2bl w:val="nil"/>
            </w:tcBorders>
            <w:noWrap w:val="0"/>
            <w:vAlign w:val="center"/>
          </w:tcPr>
          <w:p w14:paraId="79EEFA7C">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80</w:t>
            </w:r>
          </w:p>
        </w:tc>
        <w:tc>
          <w:tcPr>
            <w:tcW w:w="682" w:type="dxa"/>
            <w:vMerge w:val="restart"/>
            <w:tcBorders>
              <w:tl2br w:val="nil"/>
              <w:tr2bl w:val="nil"/>
            </w:tcBorders>
            <w:noWrap w:val="0"/>
            <w:vAlign w:val="center"/>
          </w:tcPr>
          <w:p w14:paraId="19C23F5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3566.7</w:t>
            </w:r>
          </w:p>
        </w:tc>
        <w:tc>
          <w:tcPr>
            <w:tcW w:w="791" w:type="dxa"/>
            <w:tcBorders>
              <w:tl2br w:val="nil"/>
              <w:tr2bl w:val="nil"/>
            </w:tcBorders>
            <w:noWrap w:val="0"/>
            <w:vAlign w:val="center"/>
          </w:tcPr>
          <w:p w14:paraId="75531C63">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颗粒物</w:t>
            </w:r>
          </w:p>
        </w:tc>
        <w:tc>
          <w:tcPr>
            <w:tcW w:w="866" w:type="dxa"/>
            <w:tcBorders>
              <w:tl2br w:val="nil"/>
              <w:tr2bl w:val="nil"/>
            </w:tcBorders>
            <w:noWrap w:val="0"/>
            <w:vAlign w:val="center"/>
          </w:tcPr>
          <w:p w14:paraId="70F52C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w:t>
            </w:r>
            <w:r>
              <w:rPr>
                <w:rFonts w:hint="eastAsia" w:ascii="Times New Roman" w:hAnsi="Times New Roman" w:eastAsia="宋体" w:cs="Times New Roman"/>
                <w:color w:val="auto"/>
                <w:kern w:val="0"/>
                <w:sz w:val="21"/>
                <w:szCs w:val="21"/>
                <w:highlight w:val="none"/>
                <w:lang w:val="en-US" w:eastAsia="zh-CN"/>
              </w:rPr>
              <w:t>24</w:t>
            </w:r>
          </w:p>
        </w:tc>
      </w:tr>
      <w:tr w14:paraId="6A0D5C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70" w:hRule="atLeast"/>
        </w:trPr>
        <w:tc>
          <w:tcPr>
            <w:tcW w:w="713" w:type="dxa"/>
            <w:vMerge w:val="continue"/>
            <w:tcBorders>
              <w:tl2br w:val="nil"/>
              <w:tr2bl w:val="nil"/>
            </w:tcBorders>
            <w:noWrap w:val="0"/>
            <w:vAlign w:val="center"/>
          </w:tcPr>
          <w:p w14:paraId="71E35C4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vMerge w:val="continue"/>
            <w:tcBorders>
              <w:tl2br w:val="nil"/>
              <w:tr2bl w:val="nil"/>
            </w:tcBorders>
            <w:noWrap w:val="0"/>
            <w:vAlign w:val="center"/>
          </w:tcPr>
          <w:p w14:paraId="73DD52E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5" w:type="dxa"/>
            <w:vMerge w:val="continue"/>
            <w:tcBorders>
              <w:tl2br w:val="nil"/>
              <w:tr2bl w:val="nil"/>
            </w:tcBorders>
            <w:noWrap w:val="0"/>
            <w:vAlign w:val="center"/>
          </w:tcPr>
          <w:p w14:paraId="161693D1">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99" w:type="dxa"/>
            <w:vMerge w:val="continue"/>
            <w:tcBorders>
              <w:tl2br w:val="nil"/>
              <w:tr2bl w:val="nil"/>
            </w:tcBorders>
            <w:noWrap w:val="0"/>
            <w:vAlign w:val="center"/>
          </w:tcPr>
          <w:p w14:paraId="5DF4979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3B93BFF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76" w:type="dxa"/>
            <w:vMerge w:val="continue"/>
            <w:tcBorders>
              <w:tl2br w:val="nil"/>
              <w:tr2bl w:val="nil"/>
            </w:tcBorders>
            <w:noWrap w:val="0"/>
            <w:vAlign w:val="center"/>
          </w:tcPr>
          <w:p w14:paraId="63B0D794">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79544439">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82" w:type="dxa"/>
            <w:vMerge w:val="continue"/>
            <w:tcBorders>
              <w:tl2br w:val="nil"/>
              <w:tr2bl w:val="nil"/>
            </w:tcBorders>
            <w:noWrap w:val="0"/>
            <w:vAlign w:val="center"/>
          </w:tcPr>
          <w:p w14:paraId="6E0C1A8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91" w:type="dxa"/>
            <w:tcBorders>
              <w:tl2br w:val="nil"/>
              <w:tr2bl w:val="nil"/>
            </w:tcBorders>
            <w:noWrap w:val="0"/>
            <w:vAlign w:val="center"/>
          </w:tcPr>
          <w:p w14:paraId="56DC7165">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p>
        </w:tc>
        <w:tc>
          <w:tcPr>
            <w:tcW w:w="866" w:type="dxa"/>
            <w:tcBorders>
              <w:tl2br w:val="nil"/>
              <w:tr2bl w:val="nil"/>
            </w:tcBorders>
            <w:noWrap w:val="0"/>
            <w:vAlign w:val="center"/>
          </w:tcPr>
          <w:p w14:paraId="23F48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rPr>
              <w:t>0.00</w:t>
            </w:r>
            <w:r>
              <w:rPr>
                <w:rFonts w:hint="eastAsia" w:ascii="Times New Roman" w:hAnsi="Times New Roman" w:eastAsia="宋体" w:cs="Times New Roman"/>
                <w:color w:val="auto"/>
                <w:kern w:val="0"/>
                <w:sz w:val="21"/>
                <w:szCs w:val="21"/>
                <w:highlight w:val="none"/>
                <w:lang w:val="en-US" w:eastAsia="zh-CN"/>
              </w:rPr>
              <w:t>1</w:t>
            </w:r>
          </w:p>
        </w:tc>
      </w:tr>
      <w:tr w14:paraId="57A912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0" w:hRule="atLeast"/>
        </w:trPr>
        <w:tc>
          <w:tcPr>
            <w:tcW w:w="713" w:type="dxa"/>
            <w:vMerge w:val="continue"/>
            <w:tcBorders>
              <w:tl2br w:val="nil"/>
              <w:tr2bl w:val="nil"/>
            </w:tcBorders>
            <w:noWrap w:val="0"/>
            <w:vAlign w:val="center"/>
          </w:tcPr>
          <w:p w14:paraId="19398DD8">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vMerge w:val="continue"/>
            <w:tcBorders>
              <w:tl2br w:val="nil"/>
              <w:tr2bl w:val="nil"/>
            </w:tcBorders>
            <w:noWrap w:val="0"/>
            <w:vAlign w:val="center"/>
          </w:tcPr>
          <w:p w14:paraId="166D9DD9">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5" w:type="dxa"/>
            <w:vMerge w:val="continue"/>
            <w:tcBorders>
              <w:tl2br w:val="nil"/>
              <w:tr2bl w:val="nil"/>
            </w:tcBorders>
            <w:noWrap w:val="0"/>
            <w:vAlign w:val="center"/>
          </w:tcPr>
          <w:p w14:paraId="144D869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99" w:type="dxa"/>
            <w:vMerge w:val="continue"/>
            <w:tcBorders>
              <w:tl2br w:val="nil"/>
              <w:tr2bl w:val="nil"/>
            </w:tcBorders>
            <w:noWrap w:val="0"/>
            <w:vAlign w:val="center"/>
          </w:tcPr>
          <w:p w14:paraId="01A36BE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59A84B1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76" w:type="dxa"/>
            <w:vMerge w:val="continue"/>
            <w:tcBorders>
              <w:tl2br w:val="nil"/>
              <w:tr2bl w:val="nil"/>
            </w:tcBorders>
            <w:noWrap w:val="0"/>
            <w:vAlign w:val="center"/>
          </w:tcPr>
          <w:p w14:paraId="31CB2A6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4BC4D8E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82" w:type="dxa"/>
            <w:vMerge w:val="continue"/>
            <w:tcBorders>
              <w:tl2br w:val="nil"/>
              <w:tr2bl w:val="nil"/>
            </w:tcBorders>
            <w:noWrap w:val="0"/>
            <w:vAlign w:val="center"/>
          </w:tcPr>
          <w:p w14:paraId="2BFF841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91" w:type="dxa"/>
            <w:tcBorders>
              <w:tl2br w:val="nil"/>
              <w:tr2bl w:val="nil"/>
            </w:tcBorders>
            <w:noWrap w:val="0"/>
            <w:vAlign w:val="center"/>
          </w:tcPr>
          <w:p w14:paraId="49EB09B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rPr>
              <w:t>x</w:t>
            </w:r>
          </w:p>
        </w:tc>
        <w:tc>
          <w:tcPr>
            <w:tcW w:w="866" w:type="dxa"/>
            <w:tcBorders>
              <w:tl2br w:val="nil"/>
              <w:tr2bl w:val="nil"/>
            </w:tcBorders>
            <w:noWrap w:val="0"/>
            <w:vAlign w:val="center"/>
          </w:tcPr>
          <w:p w14:paraId="5270B5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196</w:t>
            </w:r>
          </w:p>
        </w:tc>
      </w:tr>
      <w:tr w14:paraId="468F3D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713" w:type="dxa"/>
            <w:vMerge w:val="restart"/>
            <w:tcBorders>
              <w:tl2br w:val="nil"/>
              <w:tr2bl w:val="nil"/>
            </w:tcBorders>
            <w:noWrap w:val="0"/>
            <w:vAlign w:val="center"/>
          </w:tcPr>
          <w:p w14:paraId="564B7168">
            <w:pPr>
              <w:keepNext w:val="0"/>
              <w:keepLines w:val="0"/>
              <w:suppressLineNumbers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骨料烘干、燃烧器等</w:t>
            </w:r>
          </w:p>
        </w:tc>
        <w:tc>
          <w:tcPr>
            <w:tcW w:w="1126" w:type="dxa"/>
            <w:vMerge w:val="restart"/>
            <w:tcBorders>
              <w:tl2br w:val="nil"/>
              <w:tr2bl w:val="nil"/>
            </w:tcBorders>
            <w:noWrap w:val="0"/>
            <w:vAlign w:val="center"/>
          </w:tcPr>
          <w:p w14:paraId="5653895E">
            <w:pPr>
              <w:keepNext w:val="0"/>
              <w:keepLines w:val="0"/>
              <w:widowControl w:val="0"/>
              <w:suppressLineNumbers w:val="0"/>
              <w:spacing w:before="0" w:beforeAutospacing="0" w:after="0" w:afterAutospacing="0" w:line="360" w:lineRule="auto"/>
              <w:ind w:left="0" w:right="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宋体" w:hAnsi="Calibri" w:eastAsia="宋体" w:cs="Times New Roman"/>
                <w:b w:val="0"/>
                <w:bCs w:val="0"/>
                <w:color w:val="auto"/>
                <w:kern w:val="2"/>
                <w:sz w:val="18"/>
                <w:szCs w:val="18"/>
                <w:lang w:val="en-US" w:eastAsia="zh-CN" w:bidi="ar-SA"/>
              </w:rPr>
              <w:t>7</w:t>
            </w:r>
            <w:r>
              <w:rPr>
                <w:rFonts w:hint="default" w:ascii="Times New Roman" w:hAnsi="Times New Roman" w:eastAsia="宋体" w:cs="Times New Roman"/>
                <w:b w:val="0"/>
                <w:bCs w:val="0"/>
                <w:color w:val="auto"/>
                <w:kern w:val="2"/>
                <w:sz w:val="18"/>
                <w:szCs w:val="18"/>
                <w:lang w:val="en-US" w:eastAsia="zh-CN" w:bidi="ar-SA"/>
              </w:rPr>
              <w:t>8</w:t>
            </w:r>
          </w:p>
        </w:tc>
        <w:tc>
          <w:tcPr>
            <w:tcW w:w="1015" w:type="dxa"/>
            <w:vMerge w:val="restart"/>
            <w:tcBorders>
              <w:tl2br w:val="nil"/>
              <w:tr2bl w:val="nil"/>
            </w:tcBorders>
            <w:noWrap w:val="0"/>
            <w:vAlign w:val="center"/>
          </w:tcPr>
          <w:p w14:paraId="442902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val="0"/>
                <w:bCs w:val="0"/>
                <w:color w:val="auto"/>
                <w:kern w:val="0"/>
                <w:sz w:val="18"/>
                <w:szCs w:val="18"/>
                <w:lang w:val="en-US" w:eastAsia="zh-CN"/>
              </w:rPr>
              <w:t>128</w:t>
            </w:r>
          </w:p>
        </w:tc>
        <w:tc>
          <w:tcPr>
            <w:tcW w:w="1199" w:type="dxa"/>
            <w:vMerge w:val="restart"/>
            <w:tcBorders>
              <w:tl2br w:val="nil"/>
              <w:tr2bl w:val="nil"/>
            </w:tcBorders>
            <w:noWrap w:val="0"/>
            <w:vAlign w:val="center"/>
          </w:tcPr>
          <w:p w14:paraId="2BBEDA3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222</w:t>
            </w:r>
          </w:p>
        </w:tc>
        <w:tc>
          <w:tcPr>
            <w:tcW w:w="647" w:type="dxa"/>
            <w:vMerge w:val="restart"/>
            <w:tcBorders>
              <w:tl2br w:val="nil"/>
              <w:tr2bl w:val="nil"/>
            </w:tcBorders>
            <w:noWrap w:val="0"/>
            <w:vAlign w:val="center"/>
          </w:tcPr>
          <w:p w14:paraId="45BC24C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15</w:t>
            </w:r>
          </w:p>
        </w:tc>
        <w:tc>
          <w:tcPr>
            <w:tcW w:w="676" w:type="dxa"/>
            <w:vMerge w:val="restart"/>
            <w:tcBorders>
              <w:tl2br w:val="nil"/>
              <w:tr2bl w:val="nil"/>
            </w:tcBorders>
            <w:noWrap w:val="0"/>
            <w:vAlign w:val="center"/>
          </w:tcPr>
          <w:p w14:paraId="4EDF8ED2">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0.3</w:t>
            </w:r>
          </w:p>
        </w:tc>
        <w:tc>
          <w:tcPr>
            <w:tcW w:w="647" w:type="dxa"/>
            <w:vMerge w:val="restart"/>
            <w:tcBorders>
              <w:tl2br w:val="nil"/>
              <w:tr2bl w:val="nil"/>
            </w:tcBorders>
            <w:noWrap w:val="0"/>
            <w:vAlign w:val="center"/>
          </w:tcPr>
          <w:p w14:paraId="573058E8">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80</w:t>
            </w:r>
          </w:p>
        </w:tc>
        <w:tc>
          <w:tcPr>
            <w:tcW w:w="682" w:type="dxa"/>
            <w:vMerge w:val="restart"/>
            <w:tcBorders>
              <w:tl2br w:val="nil"/>
              <w:tr2bl w:val="nil"/>
            </w:tcBorders>
            <w:noWrap w:val="0"/>
            <w:vAlign w:val="center"/>
          </w:tcPr>
          <w:p w14:paraId="1FE738C4">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2845.7</w:t>
            </w:r>
          </w:p>
        </w:tc>
        <w:tc>
          <w:tcPr>
            <w:tcW w:w="791" w:type="dxa"/>
            <w:tcBorders>
              <w:tl2br w:val="nil"/>
              <w:tr2bl w:val="nil"/>
            </w:tcBorders>
            <w:noWrap w:val="0"/>
            <w:vAlign w:val="center"/>
          </w:tcPr>
          <w:p w14:paraId="79CEB861">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颗粒物（含沥青烟）</w:t>
            </w:r>
          </w:p>
        </w:tc>
        <w:tc>
          <w:tcPr>
            <w:tcW w:w="866" w:type="dxa"/>
            <w:tcBorders>
              <w:tl2br w:val="nil"/>
              <w:tr2bl w:val="nil"/>
            </w:tcBorders>
            <w:noWrap w:val="0"/>
            <w:vAlign w:val="center"/>
          </w:tcPr>
          <w:p w14:paraId="0900400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0.0064</w:t>
            </w:r>
          </w:p>
        </w:tc>
      </w:tr>
      <w:tr w14:paraId="7BB16E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713" w:type="dxa"/>
            <w:vMerge w:val="continue"/>
            <w:tcBorders>
              <w:tl2br w:val="nil"/>
              <w:tr2bl w:val="nil"/>
            </w:tcBorders>
            <w:noWrap w:val="0"/>
            <w:vAlign w:val="center"/>
          </w:tcPr>
          <w:p w14:paraId="43DC7443">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vMerge w:val="continue"/>
            <w:tcBorders>
              <w:tl2br w:val="nil"/>
              <w:tr2bl w:val="nil"/>
            </w:tcBorders>
            <w:noWrap w:val="0"/>
            <w:vAlign w:val="center"/>
          </w:tcPr>
          <w:p w14:paraId="053F48D5">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5" w:type="dxa"/>
            <w:vMerge w:val="continue"/>
            <w:tcBorders>
              <w:tl2br w:val="nil"/>
              <w:tr2bl w:val="nil"/>
            </w:tcBorders>
            <w:noWrap w:val="0"/>
            <w:vAlign w:val="center"/>
          </w:tcPr>
          <w:p w14:paraId="49B4AAA4">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99" w:type="dxa"/>
            <w:vMerge w:val="continue"/>
            <w:tcBorders>
              <w:tl2br w:val="nil"/>
              <w:tr2bl w:val="nil"/>
            </w:tcBorders>
            <w:noWrap w:val="0"/>
            <w:vAlign w:val="center"/>
          </w:tcPr>
          <w:p w14:paraId="3721F6A3">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744FD8EA">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76" w:type="dxa"/>
            <w:vMerge w:val="continue"/>
            <w:tcBorders>
              <w:tl2br w:val="nil"/>
              <w:tr2bl w:val="nil"/>
            </w:tcBorders>
            <w:noWrap w:val="0"/>
            <w:vAlign w:val="center"/>
          </w:tcPr>
          <w:p w14:paraId="79B43FC5">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08728A35">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82" w:type="dxa"/>
            <w:vMerge w:val="continue"/>
            <w:tcBorders>
              <w:tl2br w:val="nil"/>
              <w:tr2bl w:val="nil"/>
            </w:tcBorders>
            <w:noWrap w:val="0"/>
            <w:vAlign w:val="center"/>
          </w:tcPr>
          <w:p w14:paraId="17B38195">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91" w:type="dxa"/>
            <w:tcBorders>
              <w:tl2br w:val="nil"/>
              <w:tr2bl w:val="nil"/>
            </w:tcBorders>
            <w:noWrap w:val="0"/>
            <w:vAlign w:val="center"/>
          </w:tcPr>
          <w:p w14:paraId="00684622">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SO</w:t>
            </w:r>
            <w:r>
              <w:rPr>
                <w:rFonts w:hint="default" w:ascii="Times New Roman" w:hAnsi="Times New Roman" w:cs="Times New Roman"/>
                <w:color w:val="auto"/>
                <w:kern w:val="0"/>
                <w:sz w:val="21"/>
                <w:szCs w:val="21"/>
                <w:highlight w:val="none"/>
                <w:vertAlign w:val="subscript"/>
              </w:rPr>
              <w:t>2</w:t>
            </w:r>
          </w:p>
        </w:tc>
        <w:tc>
          <w:tcPr>
            <w:tcW w:w="866" w:type="dxa"/>
            <w:tcBorders>
              <w:tl2br w:val="nil"/>
              <w:tr2bl w:val="nil"/>
            </w:tcBorders>
            <w:noWrap w:val="0"/>
            <w:vAlign w:val="center"/>
          </w:tcPr>
          <w:p w14:paraId="097CBD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0.1233</w:t>
            </w:r>
          </w:p>
        </w:tc>
      </w:tr>
      <w:tr w14:paraId="4E1448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713" w:type="dxa"/>
            <w:vMerge w:val="continue"/>
            <w:tcBorders>
              <w:tl2br w:val="nil"/>
              <w:tr2bl w:val="nil"/>
            </w:tcBorders>
            <w:noWrap w:val="0"/>
            <w:vAlign w:val="center"/>
          </w:tcPr>
          <w:p w14:paraId="2190749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vMerge w:val="continue"/>
            <w:tcBorders>
              <w:tl2br w:val="nil"/>
              <w:tr2bl w:val="nil"/>
            </w:tcBorders>
            <w:noWrap w:val="0"/>
            <w:vAlign w:val="center"/>
          </w:tcPr>
          <w:p w14:paraId="4737635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5" w:type="dxa"/>
            <w:vMerge w:val="continue"/>
            <w:tcBorders>
              <w:tl2br w:val="nil"/>
              <w:tr2bl w:val="nil"/>
            </w:tcBorders>
            <w:noWrap w:val="0"/>
            <w:vAlign w:val="center"/>
          </w:tcPr>
          <w:p w14:paraId="17E1E854">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99" w:type="dxa"/>
            <w:vMerge w:val="continue"/>
            <w:tcBorders>
              <w:tl2br w:val="nil"/>
              <w:tr2bl w:val="nil"/>
            </w:tcBorders>
            <w:noWrap w:val="0"/>
            <w:vAlign w:val="center"/>
          </w:tcPr>
          <w:p w14:paraId="397BEE2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0F696243">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76" w:type="dxa"/>
            <w:vMerge w:val="continue"/>
            <w:tcBorders>
              <w:tl2br w:val="nil"/>
              <w:tr2bl w:val="nil"/>
            </w:tcBorders>
            <w:noWrap w:val="0"/>
            <w:vAlign w:val="center"/>
          </w:tcPr>
          <w:p w14:paraId="58899BE6">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105704AE">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82" w:type="dxa"/>
            <w:vMerge w:val="continue"/>
            <w:tcBorders>
              <w:tl2br w:val="nil"/>
              <w:tr2bl w:val="nil"/>
            </w:tcBorders>
            <w:noWrap w:val="0"/>
            <w:vAlign w:val="center"/>
          </w:tcPr>
          <w:p w14:paraId="207A53FA">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91" w:type="dxa"/>
            <w:tcBorders>
              <w:tl2br w:val="nil"/>
              <w:tr2bl w:val="nil"/>
            </w:tcBorders>
            <w:noWrap w:val="0"/>
            <w:vAlign w:val="center"/>
          </w:tcPr>
          <w:p w14:paraId="3C98FB78">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NO</w:t>
            </w:r>
            <w:r>
              <w:rPr>
                <w:rFonts w:hint="default" w:ascii="Times New Roman" w:hAnsi="Times New Roman" w:cs="Times New Roman"/>
                <w:color w:val="auto"/>
                <w:kern w:val="0"/>
                <w:sz w:val="21"/>
                <w:szCs w:val="21"/>
                <w:highlight w:val="none"/>
                <w:vertAlign w:val="subscript"/>
              </w:rPr>
              <w:t>x</w:t>
            </w:r>
          </w:p>
        </w:tc>
        <w:tc>
          <w:tcPr>
            <w:tcW w:w="866" w:type="dxa"/>
            <w:tcBorders>
              <w:tl2br w:val="nil"/>
              <w:tr2bl w:val="nil"/>
            </w:tcBorders>
            <w:noWrap w:val="0"/>
            <w:vAlign w:val="center"/>
          </w:tcPr>
          <w:p w14:paraId="612AFCE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0.6667</w:t>
            </w:r>
          </w:p>
        </w:tc>
      </w:tr>
      <w:tr w14:paraId="495FC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4" w:hRule="atLeast"/>
        </w:trPr>
        <w:tc>
          <w:tcPr>
            <w:tcW w:w="713" w:type="dxa"/>
            <w:vMerge w:val="continue"/>
            <w:tcBorders>
              <w:tl2br w:val="nil"/>
              <w:tr2bl w:val="nil"/>
            </w:tcBorders>
            <w:noWrap w:val="0"/>
            <w:vAlign w:val="center"/>
          </w:tcPr>
          <w:p w14:paraId="6AA879DC">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26" w:type="dxa"/>
            <w:vMerge w:val="continue"/>
            <w:tcBorders>
              <w:tl2br w:val="nil"/>
              <w:tr2bl w:val="nil"/>
            </w:tcBorders>
            <w:noWrap w:val="0"/>
            <w:vAlign w:val="center"/>
          </w:tcPr>
          <w:p w14:paraId="0A3A9CBD">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5" w:type="dxa"/>
            <w:vMerge w:val="continue"/>
            <w:tcBorders>
              <w:tl2br w:val="nil"/>
              <w:tr2bl w:val="nil"/>
            </w:tcBorders>
            <w:noWrap w:val="0"/>
            <w:vAlign w:val="center"/>
          </w:tcPr>
          <w:p w14:paraId="313A004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199" w:type="dxa"/>
            <w:vMerge w:val="continue"/>
            <w:tcBorders>
              <w:tl2br w:val="nil"/>
              <w:tr2bl w:val="nil"/>
            </w:tcBorders>
            <w:noWrap w:val="0"/>
            <w:vAlign w:val="center"/>
          </w:tcPr>
          <w:p w14:paraId="1034C14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60076D1A">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76" w:type="dxa"/>
            <w:vMerge w:val="continue"/>
            <w:tcBorders>
              <w:tl2br w:val="nil"/>
              <w:tr2bl w:val="nil"/>
            </w:tcBorders>
            <w:noWrap w:val="0"/>
            <w:vAlign w:val="center"/>
          </w:tcPr>
          <w:p w14:paraId="69F63082">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47" w:type="dxa"/>
            <w:vMerge w:val="continue"/>
            <w:tcBorders>
              <w:tl2br w:val="nil"/>
              <w:tr2bl w:val="nil"/>
            </w:tcBorders>
            <w:noWrap w:val="0"/>
            <w:vAlign w:val="center"/>
          </w:tcPr>
          <w:p w14:paraId="42A9910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82" w:type="dxa"/>
            <w:vMerge w:val="continue"/>
            <w:tcBorders>
              <w:tl2br w:val="nil"/>
              <w:tr2bl w:val="nil"/>
            </w:tcBorders>
            <w:noWrap w:val="0"/>
            <w:vAlign w:val="center"/>
          </w:tcPr>
          <w:p w14:paraId="3EEDAC30">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791" w:type="dxa"/>
            <w:tcBorders>
              <w:tl2br w:val="nil"/>
              <w:tr2bl w:val="nil"/>
            </w:tcBorders>
            <w:noWrap w:val="0"/>
            <w:vAlign w:val="center"/>
          </w:tcPr>
          <w:p w14:paraId="198382C9">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苯并</w:t>
            </w:r>
            <w:r>
              <w:rPr>
                <w:rFonts w:hint="default" w:ascii="Times New Roman" w:hAnsi="Times New Roman" w:cs="Times New Roman"/>
                <w:color w:val="auto"/>
                <w:kern w:val="0"/>
                <w:sz w:val="21"/>
                <w:szCs w:val="21"/>
                <w:highlight w:val="none"/>
                <w:lang w:val="en-US" w:eastAsia="zh-CN"/>
              </w:rPr>
              <w:t>[a]</w:t>
            </w:r>
            <w:r>
              <w:rPr>
                <w:rFonts w:hint="default" w:ascii="Times New Roman" w:hAnsi="Times New Roman" w:cs="Times New Roman"/>
                <w:color w:val="auto"/>
                <w:kern w:val="0"/>
                <w:sz w:val="21"/>
                <w:szCs w:val="21"/>
                <w:highlight w:val="none"/>
                <w:lang w:eastAsia="zh-CN"/>
              </w:rPr>
              <w:t>芘</w:t>
            </w:r>
          </w:p>
        </w:tc>
        <w:tc>
          <w:tcPr>
            <w:tcW w:w="866" w:type="dxa"/>
            <w:tcBorders>
              <w:tl2br w:val="nil"/>
              <w:tr2bl w:val="nil"/>
            </w:tcBorders>
            <w:noWrap w:val="0"/>
            <w:vAlign w:val="center"/>
          </w:tcPr>
          <w:p w14:paraId="2CE29F5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yellow"/>
                <w:lang w:val="en-US" w:eastAsia="zh-CN"/>
              </w:rPr>
            </w:pPr>
            <w:r>
              <w:rPr>
                <w:rFonts w:hint="eastAsia" w:ascii="Times New Roman" w:hAnsi="Times New Roman" w:eastAsia="宋体" w:cs="Times New Roman"/>
                <w:color w:val="auto"/>
                <w:kern w:val="0"/>
                <w:sz w:val="21"/>
                <w:szCs w:val="21"/>
                <w:highlight w:val="none"/>
                <w:lang w:val="en-US" w:eastAsia="zh-CN"/>
              </w:rPr>
              <w:t>0.0000004</w:t>
            </w:r>
          </w:p>
        </w:tc>
      </w:tr>
    </w:tbl>
    <w:p w14:paraId="1E84183C">
      <w:pPr>
        <w:ind w:firstLine="393"/>
        <w:jc w:val="center"/>
        <w:rPr>
          <w:rFonts w:hint="default" w:ascii="Times New Roman" w:hAnsi="Times New Roman" w:cs="Times New Roman"/>
          <w:b/>
          <w:color w:val="auto"/>
          <w:kern w:val="0"/>
          <w:sz w:val="24"/>
          <w:szCs w:val="24"/>
          <w:highlight w:val="none"/>
        </w:rPr>
      </w:pPr>
      <w:r>
        <w:rPr>
          <w:rFonts w:hint="default" w:ascii="Times New Roman" w:hAnsi="Times New Roman" w:eastAsia="黑体" w:cs="Times New Roman"/>
          <w:color w:val="auto"/>
          <w:kern w:val="0"/>
          <w:sz w:val="24"/>
          <w:szCs w:val="24"/>
        </w:rPr>
        <w:t>表</w:t>
      </w:r>
      <w:r>
        <w:rPr>
          <w:rFonts w:hint="default" w:ascii="Times New Roman" w:hAnsi="Times New Roman" w:eastAsia="黑体" w:cs="Times New Roman"/>
          <w:color w:val="auto"/>
          <w:kern w:val="0"/>
          <w:sz w:val="24"/>
          <w:szCs w:val="24"/>
          <w:lang w:val="en-US" w:eastAsia="zh-CN"/>
        </w:rPr>
        <w:t>1-7</w:t>
      </w:r>
      <w:r>
        <w:rPr>
          <w:rFonts w:hint="default" w:ascii="Times New Roman" w:hAnsi="Times New Roman" w:eastAsia="黑体" w:cs="Times New Roman"/>
          <w:color w:val="auto"/>
          <w:kern w:val="0"/>
          <w:sz w:val="24"/>
          <w:szCs w:val="24"/>
        </w:rPr>
        <w:t>无组织排放面源参数表</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213"/>
        <w:gridCol w:w="1004"/>
        <w:gridCol w:w="866"/>
        <w:gridCol w:w="769"/>
        <w:gridCol w:w="685"/>
        <w:gridCol w:w="977"/>
        <w:gridCol w:w="1018"/>
        <w:gridCol w:w="1181"/>
      </w:tblGrid>
      <w:tr w14:paraId="3BDC68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09" w:type="dxa"/>
            <w:vMerge w:val="restart"/>
            <w:noWrap w:val="0"/>
            <w:vAlign w:val="center"/>
          </w:tcPr>
          <w:p w14:paraId="20C26C1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污染源名称</w:t>
            </w:r>
          </w:p>
        </w:tc>
        <w:tc>
          <w:tcPr>
            <w:tcW w:w="2217" w:type="dxa"/>
            <w:gridSpan w:val="2"/>
            <w:noWrap w:val="0"/>
            <w:vAlign w:val="center"/>
          </w:tcPr>
          <w:p w14:paraId="0CB3A7BA">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坐标</w:t>
            </w:r>
          </w:p>
        </w:tc>
        <w:tc>
          <w:tcPr>
            <w:tcW w:w="866" w:type="dxa"/>
            <w:vMerge w:val="restart"/>
            <w:noWrap w:val="0"/>
            <w:vAlign w:val="center"/>
          </w:tcPr>
          <w:p w14:paraId="1B254B4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海拔高度(m)</w:t>
            </w:r>
          </w:p>
        </w:tc>
        <w:tc>
          <w:tcPr>
            <w:tcW w:w="2431" w:type="dxa"/>
            <w:gridSpan w:val="3"/>
            <w:noWrap w:val="0"/>
            <w:vAlign w:val="center"/>
          </w:tcPr>
          <w:p w14:paraId="5F72FE5E">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矩形面源</w:t>
            </w:r>
          </w:p>
        </w:tc>
        <w:tc>
          <w:tcPr>
            <w:tcW w:w="1018" w:type="dxa"/>
            <w:vMerge w:val="restart"/>
            <w:noWrap w:val="0"/>
            <w:vAlign w:val="center"/>
          </w:tcPr>
          <w:p w14:paraId="1C74EB9C">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w:t>
            </w:r>
          </w:p>
        </w:tc>
        <w:tc>
          <w:tcPr>
            <w:tcW w:w="1181" w:type="dxa"/>
            <w:vMerge w:val="restart"/>
            <w:noWrap w:val="0"/>
            <w:vAlign w:val="center"/>
          </w:tcPr>
          <w:p w14:paraId="74C07DB6">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排放速率kg/h</w:t>
            </w:r>
          </w:p>
        </w:tc>
      </w:tr>
      <w:tr w14:paraId="26CE77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809" w:type="dxa"/>
            <w:vMerge w:val="continue"/>
            <w:noWrap w:val="0"/>
            <w:vAlign w:val="center"/>
          </w:tcPr>
          <w:p w14:paraId="45218EDD">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13" w:type="dxa"/>
            <w:noWrap w:val="0"/>
            <w:vAlign w:val="center"/>
          </w:tcPr>
          <w:p w14:paraId="7711394A">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X/m</w:t>
            </w:r>
          </w:p>
        </w:tc>
        <w:tc>
          <w:tcPr>
            <w:tcW w:w="1004" w:type="dxa"/>
            <w:noWrap w:val="0"/>
            <w:vAlign w:val="center"/>
          </w:tcPr>
          <w:p w14:paraId="71A385D5">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Y/m</w:t>
            </w:r>
          </w:p>
        </w:tc>
        <w:tc>
          <w:tcPr>
            <w:tcW w:w="866" w:type="dxa"/>
            <w:vMerge w:val="continue"/>
            <w:noWrap w:val="0"/>
            <w:vAlign w:val="center"/>
          </w:tcPr>
          <w:p w14:paraId="3A97EA6B">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769" w:type="dxa"/>
            <w:noWrap w:val="0"/>
            <w:vAlign w:val="center"/>
          </w:tcPr>
          <w:p w14:paraId="69F21981">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长度(m)</w:t>
            </w:r>
          </w:p>
        </w:tc>
        <w:tc>
          <w:tcPr>
            <w:tcW w:w="685" w:type="dxa"/>
            <w:noWrap w:val="0"/>
            <w:vAlign w:val="center"/>
          </w:tcPr>
          <w:p w14:paraId="7737E961">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宽度(m)</w:t>
            </w:r>
          </w:p>
        </w:tc>
        <w:tc>
          <w:tcPr>
            <w:tcW w:w="977" w:type="dxa"/>
            <w:noWrap w:val="0"/>
            <w:vAlign w:val="center"/>
          </w:tcPr>
          <w:p w14:paraId="4FF7795B">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有效高度(m)</w:t>
            </w:r>
          </w:p>
        </w:tc>
        <w:tc>
          <w:tcPr>
            <w:tcW w:w="1018" w:type="dxa"/>
            <w:vMerge w:val="continue"/>
            <w:noWrap w:val="0"/>
            <w:vAlign w:val="center"/>
          </w:tcPr>
          <w:p w14:paraId="29F5BCC2">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181" w:type="dxa"/>
            <w:vMerge w:val="continue"/>
            <w:noWrap w:val="0"/>
            <w:vAlign w:val="center"/>
          </w:tcPr>
          <w:p w14:paraId="2CC38267">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r>
      <w:tr w14:paraId="228DE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09" w:type="dxa"/>
            <w:vMerge w:val="restart"/>
            <w:noWrap w:val="0"/>
            <w:vAlign w:val="center"/>
          </w:tcPr>
          <w:p w14:paraId="28C86862">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全厂</w:t>
            </w:r>
          </w:p>
        </w:tc>
        <w:tc>
          <w:tcPr>
            <w:tcW w:w="1213" w:type="dxa"/>
            <w:vMerge w:val="restart"/>
            <w:noWrap w:val="0"/>
            <w:vAlign w:val="center"/>
          </w:tcPr>
          <w:p w14:paraId="7CBAD688">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158</w:t>
            </w:r>
          </w:p>
        </w:tc>
        <w:tc>
          <w:tcPr>
            <w:tcW w:w="1004" w:type="dxa"/>
            <w:vMerge w:val="restart"/>
            <w:noWrap w:val="0"/>
            <w:vAlign w:val="center"/>
          </w:tcPr>
          <w:p w14:paraId="2B8401FD">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268</w:t>
            </w:r>
          </w:p>
        </w:tc>
        <w:tc>
          <w:tcPr>
            <w:tcW w:w="866" w:type="dxa"/>
            <w:vMerge w:val="restart"/>
            <w:noWrap w:val="0"/>
            <w:vAlign w:val="center"/>
          </w:tcPr>
          <w:p w14:paraId="10F68E69">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222</w:t>
            </w:r>
          </w:p>
        </w:tc>
        <w:tc>
          <w:tcPr>
            <w:tcW w:w="769" w:type="dxa"/>
            <w:vMerge w:val="restart"/>
            <w:noWrap w:val="0"/>
            <w:vAlign w:val="center"/>
          </w:tcPr>
          <w:p w14:paraId="796A2FCA">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222</w:t>
            </w:r>
          </w:p>
        </w:tc>
        <w:tc>
          <w:tcPr>
            <w:tcW w:w="685" w:type="dxa"/>
            <w:vMerge w:val="restart"/>
            <w:noWrap w:val="0"/>
            <w:vAlign w:val="center"/>
          </w:tcPr>
          <w:p w14:paraId="4ABBFDA3">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144</w:t>
            </w:r>
          </w:p>
        </w:tc>
        <w:tc>
          <w:tcPr>
            <w:tcW w:w="977" w:type="dxa"/>
            <w:vMerge w:val="restart"/>
            <w:noWrap w:val="0"/>
            <w:vAlign w:val="center"/>
          </w:tcPr>
          <w:p w14:paraId="1ADD3DD4">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4</w:t>
            </w:r>
          </w:p>
        </w:tc>
        <w:tc>
          <w:tcPr>
            <w:tcW w:w="1018" w:type="dxa"/>
            <w:noWrap w:val="0"/>
            <w:vAlign w:val="center"/>
          </w:tcPr>
          <w:p w14:paraId="7804EF04">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颗粒物（含沥青烟）</w:t>
            </w:r>
          </w:p>
        </w:tc>
        <w:tc>
          <w:tcPr>
            <w:tcW w:w="1181" w:type="dxa"/>
            <w:noWrap w:val="0"/>
            <w:vAlign w:val="center"/>
          </w:tcPr>
          <w:p w14:paraId="04C477F7">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0.02135</w:t>
            </w:r>
          </w:p>
        </w:tc>
      </w:tr>
      <w:tr w14:paraId="00F306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09" w:type="dxa"/>
            <w:vMerge w:val="continue"/>
            <w:noWrap w:val="0"/>
            <w:vAlign w:val="center"/>
          </w:tcPr>
          <w:p w14:paraId="5F4839D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eastAsia="zh-CN"/>
              </w:rPr>
            </w:pPr>
          </w:p>
        </w:tc>
        <w:tc>
          <w:tcPr>
            <w:tcW w:w="1213" w:type="dxa"/>
            <w:vMerge w:val="continue"/>
            <w:noWrap w:val="0"/>
            <w:vAlign w:val="center"/>
          </w:tcPr>
          <w:p w14:paraId="581775BF">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1004" w:type="dxa"/>
            <w:vMerge w:val="continue"/>
            <w:noWrap w:val="0"/>
            <w:vAlign w:val="center"/>
          </w:tcPr>
          <w:p w14:paraId="1C6DBBD7">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866" w:type="dxa"/>
            <w:vMerge w:val="continue"/>
            <w:noWrap w:val="0"/>
            <w:vAlign w:val="center"/>
          </w:tcPr>
          <w:p w14:paraId="164BE117">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769" w:type="dxa"/>
            <w:vMerge w:val="continue"/>
            <w:noWrap w:val="0"/>
            <w:vAlign w:val="center"/>
          </w:tcPr>
          <w:p w14:paraId="718FEF8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685" w:type="dxa"/>
            <w:vMerge w:val="continue"/>
            <w:noWrap w:val="0"/>
            <w:vAlign w:val="center"/>
          </w:tcPr>
          <w:p w14:paraId="76CC2B2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977" w:type="dxa"/>
            <w:vMerge w:val="continue"/>
            <w:noWrap w:val="0"/>
            <w:vAlign w:val="center"/>
          </w:tcPr>
          <w:p w14:paraId="4CC04578">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1018" w:type="dxa"/>
            <w:noWrap w:val="0"/>
            <w:vAlign w:val="center"/>
          </w:tcPr>
          <w:p w14:paraId="61146930">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苯并</w:t>
            </w:r>
            <w:r>
              <w:rPr>
                <w:rFonts w:hint="default" w:ascii="Times New Roman" w:hAnsi="Times New Roman" w:cs="Times New Roman"/>
                <w:color w:val="auto"/>
                <w:kern w:val="0"/>
                <w:sz w:val="21"/>
                <w:szCs w:val="21"/>
                <w:highlight w:val="none"/>
                <w:lang w:val="en-US" w:eastAsia="zh-CN"/>
              </w:rPr>
              <w:t>[a]</w:t>
            </w:r>
            <w:r>
              <w:rPr>
                <w:rFonts w:hint="default" w:ascii="Times New Roman" w:hAnsi="Times New Roman" w:cs="Times New Roman"/>
                <w:color w:val="auto"/>
                <w:kern w:val="0"/>
                <w:sz w:val="21"/>
                <w:szCs w:val="21"/>
                <w:highlight w:val="none"/>
                <w:lang w:eastAsia="zh-CN"/>
              </w:rPr>
              <w:t>芘</w:t>
            </w:r>
          </w:p>
        </w:tc>
        <w:tc>
          <w:tcPr>
            <w:tcW w:w="1181" w:type="dxa"/>
            <w:noWrap w:val="0"/>
            <w:vAlign w:val="center"/>
          </w:tcPr>
          <w:p w14:paraId="2D0DD838">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0.0000026</w:t>
            </w:r>
          </w:p>
        </w:tc>
      </w:tr>
      <w:tr w14:paraId="4B344D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09" w:type="dxa"/>
            <w:vMerge w:val="continue"/>
            <w:noWrap w:val="0"/>
            <w:vAlign w:val="center"/>
          </w:tcPr>
          <w:p w14:paraId="28A73C5C">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eastAsia="zh-CN"/>
              </w:rPr>
            </w:pPr>
          </w:p>
        </w:tc>
        <w:tc>
          <w:tcPr>
            <w:tcW w:w="1213" w:type="dxa"/>
            <w:vMerge w:val="continue"/>
            <w:noWrap w:val="0"/>
            <w:vAlign w:val="center"/>
          </w:tcPr>
          <w:p w14:paraId="0898C201">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1004" w:type="dxa"/>
            <w:vMerge w:val="continue"/>
            <w:noWrap w:val="0"/>
            <w:vAlign w:val="center"/>
          </w:tcPr>
          <w:p w14:paraId="4DB6B84B">
            <w:pPr>
              <w:keepNext w:val="0"/>
              <w:keepLines w:val="0"/>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866" w:type="dxa"/>
            <w:vMerge w:val="continue"/>
            <w:noWrap w:val="0"/>
            <w:vAlign w:val="center"/>
          </w:tcPr>
          <w:p w14:paraId="086ABD7F">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769" w:type="dxa"/>
            <w:vMerge w:val="continue"/>
            <w:noWrap w:val="0"/>
            <w:vAlign w:val="center"/>
          </w:tcPr>
          <w:p w14:paraId="446BC1FC">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685" w:type="dxa"/>
            <w:vMerge w:val="continue"/>
            <w:noWrap w:val="0"/>
            <w:vAlign w:val="center"/>
          </w:tcPr>
          <w:p w14:paraId="2C113C06">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977" w:type="dxa"/>
            <w:vMerge w:val="continue"/>
            <w:noWrap w:val="0"/>
            <w:vAlign w:val="center"/>
          </w:tcPr>
          <w:p w14:paraId="7C573D15">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1018" w:type="dxa"/>
            <w:noWrap w:val="0"/>
            <w:vAlign w:val="center"/>
          </w:tcPr>
          <w:p w14:paraId="05EBA1C5">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非甲烷总烃</w:t>
            </w:r>
          </w:p>
        </w:tc>
        <w:tc>
          <w:tcPr>
            <w:tcW w:w="1181" w:type="dxa"/>
            <w:noWrap w:val="0"/>
            <w:vAlign w:val="center"/>
          </w:tcPr>
          <w:p w14:paraId="6233CE8D">
            <w:pPr>
              <w:keepNext w:val="0"/>
              <w:keepLines w:val="0"/>
              <w:suppressLineNumbers w:val="0"/>
              <w:snapToGrid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0.069</w:t>
            </w:r>
          </w:p>
        </w:tc>
      </w:tr>
    </w:tbl>
    <w:p w14:paraId="5F0AFD31">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p>
    <w:p w14:paraId="72A14170">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表1-8估算模式计算结果一览表</w:t>
      </w:r>
    </w:p>
    <w:tbl>
      <w:tblPr>
        <w:tblStyle w:val="144"/>
        <w:tblW w:w="873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2"/>
        <w:gridCol w:w="12"/>
        <w:gridCol w:w="1088"/>
        <w:gridCol w:w="12"/>
        <w:gridCol w:w="2144"/>
        <w:gridCol w:w="12"/>
        <w:gridCol w:w="2188"/>
        <w:gridCol w:w="12"/>
        <w:gridCol w:w="2190"/>
        <w:gridCol w:w="11"/>
      </w:tblGrid>
      <w:tr w14:paraId="549C8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74" w:type="dxa"/>
            <w:gridSpan w:val="2"/>
            <w:tcBorders>
              <w:top w:val="single" w:color="000000" w:sz="12" w:space="0"/>
              <w:left w:val="nil"/>
              <w:bottom w:val="single" w:color="000000" w:sz="2" w:space="0"/>
              <w:right w:val="single" w:color="000000" w:sz="4" w:space="0"/>
            </w:tcBorders>
            <w:noWrap w:val="0"/>
            <w:vAlign w:val="top"/>
          </w:tcPr>
          <w:p w14:paraId="4903D02A">
            <w:pPr>
              <w:spacing w:before="89" w:line="221" w:lineRule="auto"/>
              <w:ind w:left="34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类</w:t>
            </w:r>
            <w:r>
              <w:rPr>
                <w:rFonts w:hint="default" w:ascii="Times New Roman" w:hAnsi="Times New Roman" w:eastAsia="宋体" w:cs="Times New Roman"/>
                <w:color w:val="auto"/>
                <w:spacing w:val="-1"/>
                <w:kern w:val="0"/>
                <w:sz w:val="21"/>
                <w:szCs w:val="21"/>
              </w:rPr>
              <w:t>别</w:t>
            </w:r>
          </w:p>
        </w:tc>
        <w:tc>
          <w:tcPr>
            <w:tcW w:w="1100" w:type="dxa"/>
            <w:gridSpan w:val="2"/>
            <w:tcBorders>
              <w:top w:val="single" w:color="000000" w:sz="12" w:space="0"/>
              <w:left w:val="single" w:color="000000" w:sz="4" w:space="0"/>
              <w:bottom w:val="single" w:color="000000" w:sz="2" w:space="0"/>
              <w:right w:val="single" w:color="000000" w:sz="4" w:space="0"/>
            </w:tcBorders>
            <w:noWrap w:val="0"/>
            <w:vAlign w:val="top"/>
          </w:tcPr>
          <w:p w14:paraId="3089235B">
            <w:pPr>
              <w:spacing w:before="88" w:line="222" w:lineRule="auto"/>
              <w:ind w:left="24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污</w:t>
            </w:r>
            <w:r>
              <w:rPr>
                <w:rFonts w:hint="default" w:ascii="Times New Roman" w:hAnsi="Times New Roman" w:eastAsia="宋体" w:cs="Times New Roman"/>
                <w:color w:val="auto"/>
                <w:spacing w:val="-1"/>
                <w:kern w:val="0"/>
                <w:sz w:val="21"/>
                <w:szCs w:val="21"/>
              </w:rPr>
              <w:t>染源</w:t>
            </w:r>
          </w:p>
        </w:tc>
        <w:tc>
          <w:tcPr>
            <w:tcW w:w="2156" w:type="dxa"/>
            <w:gridSpan w:val="2"/>
            <w:tcBorders>
              <w:top w:val="single" w:color="000000" w:sz="12" w:space="0"/>
              <w:left w:val="single" w:color="000000" w:sz="4" w:space="0"/>
              <w:bottom w:val="single" w:color="000000" w:sz="2" w:space="0"/>
              <w:right w:val="single" w:color="000000" w:sz="4" w:space="0"/>
            </w:tcBorders>
            <w:noWrap w:val="0"/>
            <w:vAlign w:val="top"/>
          </w:tcPr>
          <w:p w14:paraId="10368C04">
            <w:pPr>
              <w:spacing w:before="88" w:line="222" w:lineRule="auto"/>
              <w:ind w:left="766"/>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污</w:t>
            </w:r>
            <w:r>
              <w:rPr>
                <w:rFonts w:hint="default" w:ascii="Times New Roman" w:hAnsi="Times New Roman" w:eastAsia="宋体" w:cs="Times New Roman"/>
                <w:color w:val="auto"/>
                <w:spacing w:val="-1"/>
                <w:kern w:val="0"/>
                <w:sz w:val="21"/>
                <w:szCs w:val="21"/>
              </w:rPr>
              <w:t>染物</w:t>
            </w:r>
          </w:p>
        </w:tc>
        <w:tc>
          <w:tcPr>
            <w:tcW w:w="2200" w:type="dxa"/>
            <w:gridSpan w:val="2"/>
            <w:tcBorders>
              <w:top w:val="single" w:color="000000" w:sz="12" w:space="0"/>
              <w:left w:val="single" w:color="000000" w:sz="4" w:space="0"/>
              <w:bottom w:val="single" w:color="000000" w:sz="2" w:space="0"/>
              <w:right w:val="single" w:color="000000" w:sz="4" w:space="0"/>
            </w:tcBorders>
            <w:noWrap w:val="0"/>
            <w:vAlign w:val="top"/>
          </w:tcPr>
          <w:p w14:paraId="0F337985">
            <w:pPr>
              <w:spacing w:before="50" w:line="286" w:lineRule="exact"/>
              <w:ind w:left="624"/>
              <w:jc w:val="left"/>
              <w:rPr>
                <w:rFonts w:hint="default" w:ascii="Times New Roman" w:hAnsi="Times New Roman" w:eastAsia="宋体" w:cs="Times New Roman"/>
                <w:color w:val="auto"/>
                <w:kern w:val="0"/>
                <w:sz w:val="21"/>
                <w:szCs w:val="21"/>
              </w:rPr>
            </w:pPr>
            <w:r>
              <w:rPr>
                <w:rFonts w:hint="default" w:ascii="Times New Roman" w:hAnsi="Times New Roman" w:eastAsia="Times New Roman" w:cs="Times New Roman"/>
                <w:color w:val="auto"/>
                <w:kern w:val="0"/>
                <w:position w:val="1"/>
                <w:sz w:val="21"/>
                <w:szCs w:val="21"/>
              </w:rPr>
              <w:t>P</w:t>
            </w:r>
            <w:r>
              <w:rPr>
                <w:rFonts w:hint="default" w:ascii="Times New Roman" w:hAnsi="Times New Roman" w:eastAsia="Times New Roman" w:cs="Times New Roman"/>
                <w:color w:val="auto"/>
                <w:kern w:val="0"/>
                <w:sz w:val="14"/>
                <w:szCs w:val="14"/>
              </w:rPr>
              <w:t>max</w:t>
            </w:r>
            <w:r>
              <w:rPr>
                <w:rFonts w:hint="default" w:ascii="Times New Roman" w:hAnsi="Times New Roman" w:eastAsia="宋体" w:cs="Times New Roman"/>
                <w:color w:val="auto"/>
                <w:kern w:val="0"/>
                <w:position w:val="1"/>
                <w:sz w:val="21"/>
                <w:szCs w:val="21"/>
              </w:rPr>
              <w:t>(</w:t>
            </w:r>
            <w:r>
              <w:rPr>
                <w:rFonts w:hint="default" w:ascii="Times New Roman" w:hAnsi="Times New Roman" w:eastAsia="Times New Roman" w:cs="Times New Roman"/>
                <w:color w:val="auto"/>
                <w:kern w:val="0"/>
                <w:position w:val="1"/>
                <w:sz w:val="21"/>
                <w:szCs w:val="21"/>
              </w:rPr>
              <w:t>%</w:t>
            </w:r>
            <w:r>
              <w:rPr>
                <w:rFonts w:hint="default" w:ascii="Times New Roman" w:hAnsi="Times New Roman" w:eastAsia="宋体" w:cs="Times New Roman"/>
                <w:color w:val="auto"/>
                <w:kern w:val="0"/>
                <w:position w:val="1"/>
                <w:sz w:val="21"/>
                <w:szCs w:val="21"/>
              </w:rPr>
              <w:t>)</w:t>
            </w:r>
          </w:p>
        </w:tc>
        <w:tc>
          <w:tcPr>
            <w:tcW w:w="2201" w:type="dxa"/>
            <w:gridSpan w:val="2"/>
            <w:tcBorders>
              <w:top w:val="single" w:color="000000" w:sz="12" w:space="0"/>
              <w:left w:val="single" w:color="000000" w:sz="4" w:space="0"/>
              <w:bottom w:val="single" w:color="000000" w:sz="2" w:space="0"/>
              <w:right w:val="nil"/>
            </w:tcBorders>
            <w:noWrap w:val="0"/>
            <w:vAlign w:val="top"/>
          </w:tcPr>
          <w:p w14:paraId="15FA1905">
            <w:pPr>
              <w:spacing w:before="56" w:line="220" w:lineRule="auto"/>
              <w:ind w:left="68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评价</w:t>
            </w:r>
            <w:r>
              <w:rPr>
                <w:rFonts w:hint="default" w:ascii="Times New Roman" w:hAnsi="Times New Roman" w:eastAsia="宋体" w:cs="Times New Roman"/>
                <w:color w:val="auto"/>
                <w:kern w:val="0"/>
                <w:sz w:val="21"/>
                <w:szCs w:val="21"/>
              </w:rPr>
              <w:t>等级</w:t>
            </w:r>
          </w:p>
        </w:tc>
      </w:tr>
      <w:tr w14:paraId="428D2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69" w:hRule="atLeast"/>
        </w:trPr>
        <w:tc>
          <w:tcPr>
            <w:tcW w:w="1062" w:type="dxa"/>
            <w:vMerge w:val="restart"/>
            <w:tcBorders>
              <w:top w:val="single" w:color="000000" w:sz="2" w:space="0"/>
              <w:left w:val="nil"/>
              <w:bottom w:val="single" w:color="000000" w:sz="2" w:space="0"/>
              <w:right w:val="single" w:color="000000" w:sz="4" w:space="0"/>
            </w:tcBorders>
            <w:noWrap w:val="0"/>
            <w:vAlign w:val="top"/>
          </w:tcPr>
          <w:p w14:paraId="0ECFFA5D">
            <w:pPr>
              <w:spacing w:line="284" w:lineRule="auto"/>
              <w:jc w:val="left"/>
              <w:rPr>
                <w:rFonts w:hint="default" w:ascii="Times New Roman" w:hAnsi="Times New Roman" w:cs="Times New Roman"/>
                <w:color w:val="auto"/>
                <w:kern w:val="0"/>
                <w:sz w:val="21"/>
                <w:szCs w:val="20"/>
              </w:rPr>
            </w:pPr>
          </w:p>
          <w:p w14:paraId="1C82EC0C">
            <w:pPr>
              <w:spacing w:line="284" w:lineRule="auto"/>
              <w:jc w:val="left"/>
              <w:rPr>
                <w:rFonts w:hint="default" w:ascii="Times New Roman" w:hAnsi="Times New Roman" w:cs="Times New Roman"/>
                <w:color w:val="auto"/>
                <w:kern w:val="0"/>
                <w:sz w:val="21"/>
                <w:szCs w:val="20"/>
              </w:rPr>
            </w:pPr>
          </w:p>
          <w:p w14:paraId="1E501868">
            <w:pPr>
              <w:spacing w:line="284" w:lineRule="auto"/>
              <w:jc w:val="left"/>
              <w:rPr>
                <w:rFonts w:hint="default" w:ascii="Times New Roman" w:hAnsi="Times New Roman" w:cs="Times New Roman"/>
                <w:color w:val="auto"/>
                <w:kern w:val="0"/>
                <w:sz w:val="21"/>
                <w:szCs w:val="20"/>
              </w:rPr>
            </w:pPr>
          </w:p>
          <w:p w14:paraId="5CAD7B56">
            <w:pPr>
              <w:spacing w:before="69" w:line="222" w:lineRule="auto"/>
              <w:ind w:left="339"/>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5"/>
                <w:kern w:val="0"/>
                <w:sz w:val="21"/>
                <w:szCs w:val="21"/>
              </w:rPr>
              <w:t>点</w:t>
            </w:r>
            <w:r>
              <w:rPr>
                <w:rFonts w:hint="default" w:ascii="Times New Roman" w:hAnsi="Times New Roman" w:eastAsia="宋体" w:cs="Times New Roman"/>
                <w:color w:val="auto"/>
                <w:spacing w:val="-3"/>
                <w:kern w:val="0"/>
                <w:sz w:val="21"/>
                <w:szCs w:val="21"/>
              </w:rPr>
              <w:t>源</w:t>
            </w:r>
          </w:p>
        </w:tc>
        <w:tc>
          <w:tcPr>
            <w:tcW w:w="1100" w:type="dxa"/>
            <w:gridSpan w:val="2"/>
            <w:vMerge w:val="restart"/>
            <w:tcBorders>
              <w:top w:val="single" w:color="000000" w:sz="2" w:space="0"/>
              <w:left w:val="single" w:color="000000" w:sz="4" w:space="0"/>
              <w:bottom w:val="single" w:color="000000" w:sz="2" w:space="0"/>
              <w:right w:val="single" w:color="000000" w:sz="4" w:space="0"/>
            </w:tcBorders>
            <w:noWrap w:val="0"/>
            <w:vAlign w:val="top"/>
          </w:tcPr>
          <w:p w14:paraId="0F507990">
            <w:pPr>
              <w:spacing w:line="255" w:lineRule="auto"/>
              <w:jc w:val="left"/>
              <w:rPr>
                <w:rFonts w:hint="default" w:ascii="Times New Roman" w:hAnsi="Times New Roman" w:cs="Times New Roman"/>
                <w:color w:val="auto"/>
                <w:kern w:val="0"/>
                <w:sz w:val="21"/>
                <w:szCs w:val="20"/>
              </w:rPr>
            </w:pPr>
          </w:p>
          <w:p w14:paraId="1D72601E">
            <w:pPr>
              <w:spacing w:line="255" w:lineRule="auto"/>
              <w:jc w:val="left"/>
              <w:rPr>
                <w:rFonts w:hint="default" w:ascii="Times New Roman" w:hAnsi="Times New Roman" w:cs="Times New Roman"/>
                <w:color w:val="auto"/>
                <w:kern w:val="0"/>
                <w:sz w:val="21"/>
                <w:szCs w:val="20"/>
              </w:rPr>
            </w:pPr>
          </w:p>
          <w:p w14:paraId="0803358D">
            <w:pPr>
              <w:spacing w:before="60" w:line="188"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spacing w:val="-1"/>
                <w:kern w:val="0"/>
                <w:sz w:val="21"/>
                <w:szCs w:val="21"/>
                <w:lang w:val="en-US" w:eastAsia="zh-CN"/>
              </w:rPr>
              <w:t>DA004</w:t>
            </w: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328EB167">
            <w:pPr>
              <w:spacing w:before="85" w:line="221" w:lineRule="auto"/>
              <w:ind w:left="76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颗</w:t>
            </w:r>
            <w:r>
              <w:rPr>
                <w:rFonts w:hint="default" w:ascii="Times New Roman" w:hAnsi="Times New Roman" w:eastAsia="宋体" w:cs="Times New Roman"/>
                <w:color w:val="auto"/>
                <w:kern w:val="0"/>
                <w:sz w:val="21"/>
                <w:szCs w:val="21"/>
              </w:rPr>
              <w:t>粒物</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153A2421">
            <w:pPr>
              <w:spacing w:before="123" w:line="188" w:lineRule="auto"/>
              <w:ind w:left="920"/>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1"/>
                <w:kern w:val="0"/>
                <w:sz w:val="21"/>
                <w:szCs w:val="21"/>
                <w:lang w:val="en-US" w:eastAsia="zh-CN"/>
              </w:rPr>
              <w:t>0.30</w:t>
            </w:r>
          </w:p>
        </w:tc>
        <w:tc>
          <w:tcPr>
            <w:tcW w:w="2202" w:type="dxa"/>
            <w:gridSpan w:val="2"/>
            <w:tcBorders>
              <w:top w:val="single" w:color="000000" w:sz="2" w:space="0"/>
              <w:left w:val="single" w:color="000000" w:sz="4" w:space="0"/>
              <w:bottom w:val="single" w:color="000000" w:sz="2" w:space="0"/>
              <w:right w:val="nil"/>
            </w:tcBorders>
            <w:noWrap w:val="0"/>
            <w:vAlign w:val="top"/>
          </w:tcPr>
          <w:p w14:paraId="0FCCFD17">
            <w:pPr>
              <w:spacing w:before="53" w:line="223" w:lineRule="auto"/>
              <w:ind w:left="89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647D7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5120FD5A">
            <w:pPr>
              <w:jc w:val="left"/>
              <w:rPr>
                <w:rFonts w:hint="default" w:ascii="Times New Roman" w:hAnsi="Times New Roman" w:cs="Times New Roman"/>
                <w:color w:val="auto"/>
                <w:kern w:val="0"/>
                <w:sz w:val="21"/>
                <w:szCs w:val="20"/>
              </w:rPr>
            </w:pPr>
          </w:p>
        </w:tc>
        <w:tc>
          <w:tcPr>
            <w:tcW w:w="1100" w:type="dxa"/>
            <w:gridSpan w:val="2"/>
            <w:vMerge w:val="continue"/>
            <w:tcBorders>
              <w:top w:val="single" w:color="000000" w:sz="2" w:space="0"/>
              <w:left w:val="single" w:color="000000" w:sz="4" w:space="0"/>
              <w:bottom w:val="single" w:color="000000" w:sz="2" w:space="0"/>
              <w:right w:val="single" w:color="000000" w:sz="4" w:space="0"/>
            </w:tcBorders>
            <w:noWrap w:val="0"/>
            <w:vAlign w:val="top"/>
          </w:tcPr>
          <w:p w14:paraId="58AEFD0E">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4B1D22A8">
            <w:pPr>
              <w:spacing w:before="66" w:line="221" w:lineRule="auto"/>
              <w:ind w:left="66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二氧</w:t>
            </w:r>
            <w:r>
              <w:rPr>
                <w:rFonts w:hint="default" w:ascii="Times New Roman" w:hAnsi="Times New Roman" w:eastAsia="宋体" w:cs="Times New Roman"/>
                <w:color w:val="auto"/>
                <w:spacing w:val="-1"/>
                <w:kern w:val="0"/>
                <w:sz w:val="21"/>
                <w:szCs w:val="21"/>
              </w:rPr>
              <w:t>化硫</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4DCB75EC">
            <w:pPr>
              <w:spacing w:before="106" w:line="187" w:lineRule="auto"/>
              <w:ind w:left="920"/>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2"/>
                <w:kern w:val="0"/>
                <w:sz w:val="21"/>
                <w:szCs w:val="21"/>
                <w:lang w:val="en-US" w:eastAsia="zh-CN"/>
              </w:rPr>
              <w:t>0.91</w:t>
            </w:r>
          </w:p>
        </w:tc>
        <w:tc>
          <w:tcPr>
            <w:tcW w:w="2202" w:type="dxa"/>
            <w:gridSpan w:val="2"/>
            <w:tcBorders>
              <w:top w:val="single" w:color="000000" w:sz="2" w:space="0"/>
              <w:left w:val="single" w:color="000000" w:sz="4" w:space="0"/>
              <w:bottom w:val="single" w:color="000000" w:sz="2" w:space="0"/>
              <w:right w:val="nil"/>
            </w:tcBorders>
            <w:noWrap w:val="0"/>
            <w:vAlign w:val="top"/>
          </w:tcPr>
          <w:p w14:paraId="4856F660">
            <w:pPr>
              <w:spacing w:before="31" w:line="223" w:lineRule="auto"/>
              <w:ind w:left="89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77667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68E55CF3">
            <w:pPr>
              <w:jc w:val="left"/>
              <w:rPr>
                <w:rFonts w:hint="default" w:ascii="Times New Roman" w:hAnsi="Times New Roman" w:cs="Times New Roman"/>
                <w:color w:val="auto"/>
                <w:kern w:val="0"/>
                <w:sz w:val="21"/>
                <w:szCs w:val="20"/>
              </w:rPr>
            </w:pPr>
          </w:p>
        </w:tc>
        <w:tc>
          <w:tcPr>
            <w:tcW w:w="1100" w:type="dxa"/>
            <w:gridSpan w:val="2"/>
            <w:vMerge w:val="continue"/>
            <w:tcBorders>
              <w:top w:val="single" w:color="000000" w:sz="2" w:space="0"/>
              <w:left w:val="single" w:color="000000" w:sz="4" w:space="0"/>
              <w:bottom w:val="single" w:color="000000" w:sz="2" w:space="0"/>
              <w:right w:val="single" w:color="000000" w:sz="4" w:space="0"/>
            </w:tcBorders>
            <w:noWrap w:val="0"/>
            <w:vAlign w:val="top"/>
          </w:tcPr>
          <w:p w14:paraId="7FECC9F7">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04B72DC8">
            <w:pPr>
              <w:spacing w:before="67" w:line="218" w:lineRule="auto"/>
              <w:ind w:left="659"/>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氮</w:t>
            </w:r>
            <w:r>
              <w:rPr>
                <w:rFonts w:hint="default" w:ascii="Times New Roman" w:hAnsi="Times New Roman" w:eastAsia="宋体" w:cs="Times New Roman"/>
                <w:color w:val="auto"/>
                <w:kern w:val="0"/>
                <w:sz w:val="21"/>
                <w:szCs w:val="21"/>
              </w:rPr>
              <w:t>氧化物</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71EC07A6">
            <w:pPr>
              <w:spacing w:before="107" w:line="187" w:lineRule="auto"/>
              <w:ind w:left="920"/>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2"/>
                <w:kern w:val="0"/>
                <w:sz w:val="21"/>
                <w:szCs w:val="21"/>
                <w:lang w:val="en-US" w:eastAsia="zh-CN"/>
              </w:rPr>
              <w:t>6.95</w:t>
            </w:r>
          </w:p>
        </w:tc>
        <w:tc>
          <w:tcPr>
            <w:tcW w:w="2202" w:type="dxa"/>
            <w:gridSpan w:val="2"/>
            <w:tcBorders>
              <w:top w:val="single" w:color="000000" w:sz="2" w:space="0"/>
              <w:left w:val="single" w:color="000000" w:sz="4" w:space="0"/>
              <w:bottom w:val="single" w:color="000000" w:sz="2" w:space="0"/>
              <w:right w:val="nil"/>
            </w:tcBorders>
            <w:noWrap w:val="0"/>
            <w:vAlign w:val="top"/>
          </w:tcPr>
          <w:p w14:paraId="5BEE13A9">
            <w:pPr>
              <w:spacing w:before="36" w:line="223" w:lineRule="auto"/>
              <w:ind w:left="892"/>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17C7E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0216E3B0">
            <w:pPr>
              <w:jc w:val="left"/>
              <w:rPr>
                <w:rFonts w:hint="default" w:ascii="Times New Roman" w:hAnsi="Times New Roman" w:cs="Times New Roman"/>
                <w:color w:val="auto"/>
                <w:kern w:val="0"/>
                <w:sz w:val="21"/>
                <w:szCs w:val="20"/>
              </w:rPr>
            </w:pPr>
          </w:p>
        </w:tc>
        <w:tc>
          <w:tcPr>
            <w:tcW w:w="1100" w:type="dxa"/>
            <w:gridSpan w:val="2"/>
            <w:vMerge w:val="continue"/>
            <w:tcBorders>
              <w:top w:val="single" w:color="000000" w:sz="2" w:space="0"/>
              <w:left w:val="single" w:color="000000" w:sz="4" w:space="0"/>
              <w:bottom w:val="single" w:color="000000" w:sz="2" w:space="0"/>
              <w:right w:val="single" w:color="000000" w:sz="4" w:space="0"/>
            </w:tcBorders>
            <w:noWrap w:val="0"/>
            <w:vAlign w:val="top"/>
          </w:tcPr>
          <w:p w14:paraId="48CCA67D">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536151F6">
            <w:pPr>
              <w:spacing w:before="30" w:line="286" w:lineRule="exact"/>
              <w:ind w:left="65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position w:val="2"/>
                <w:sz w:val="21"/>
                <w:szCs w:val="21"/>
              </w:rPr>
              <w:t>苯并</w:t>
            </w:r>
            <w:r>
              <w:rPr>
                <w:rFonts w:hint="default" w:ascii="Times New Roman" w:hAnsi="Times New Roman" w:eastAsia="Times New Roman" w:cs="Times New Roman"/>
                <w:color w:val="auto"/>
                <w:spacing w:val="-1"/>
                <w:kern w:val="0"/>
                <w:position w:val="2"/>
                <w:sz w:val="21"/>
                <w:szCs w:val="21"/>
              </w:rPr>
              <w:t>[a]</w:t>
            </w:r>
            <w:r>
              <w:rPr>
                <w:rFonts w:hint="default" w:ascii="Times New Roman" w:hAnsi="Times New Roman" w:eastAsia="宋体" w:cs="Times New Roman"/>
                <w:color w:val="auto"/>
                <w:spacing w:val="-1"/>
                <w:kern w:val="0"/>
                <w:position w:val="2"/>
                <w:sz w:val="21"/>
                <w:szCs w:val="21"/>
              </w:rPr>
              <w:t>芘</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75F8C42A">
            <w:pPr>
              <w:spacing w:before="108" w:line="187" w:lineRule="auto"/>
              <w:ind w:left="937"/>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7"/>
                <w:kern w:val="0"/>
                <w:sz w:val="21"/>
                <w:szCs w:val="21"/>
                <w:lang w:val="en-US" w:eastAsia="zh-CN"/>
              </w:rPr>
              <w:t>0.23</w:t>
            </w:r>
          </w:p>
        </w:tc>
        <w:tc>
          <w:tcPr>
            <w:tcW w:w="2202" w:type="dxa"/>
            <w:gridSpan w:val="2"/>
            <w:tcBorders>
              <w:top w:val="single" w:color="000000" w:sz="2" w:space="0"/>
              <w:left w:val="single" w:color="000000" w:sz="4" w:space="0"/>
              <w:bottom w:val="single" w:color="000000" w:sz="2" w:space="0"/>
              <w:right w:val="nil"/>
            </w:tcBorders>
            <w:noWrap w:val="0"/>
            <w:vAlign w:val="top"/>
          </w:tcPr>
          <w:p w14:paraId="416FC30A">
            <w:pPr>
              <w:spacing w:before="37" w:line="223" w:lineRule="auto"/>
              <w:ind w:left="896"/>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二级</w:t>
            </w:r>
          </w:p>
        </w:tc>
      </w:tr>
      <w:tr w14:paraId="22341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1EEDA554">
            <w:pPr>
              <w:jc w:val="left"/>
              <w:rPr>
                <w:rFonts w:hint="default" w:ascii="Times New Roman" w:hAnsi="Times New Roman" w:cs="Times New Roman"/>
                <w:color w:val="auto"/>
                <w:kern w:val="0"/>
                <w:sz w:val="21"/>
                <w:szCs w:val="20"/>
              </w:rPr>
            </w:pPr>
          </w:p>
        </w:tc>
        <w:tc>
          <w:tcPr>
            <w:tcW w:w="1100" w:type="dxa"/>
            <w:gridSpan w:val="2"/>
            <w:vMerge w:val="restart"/>
            <w:tcBorders>
              <w:top w:val="single" w:color="000000" w:sz="2" w:space="0"/>
              <w:left w:val="single" w:color="000000" w:sz="4" w:space="0"/>
              <w:bottom w:val="single" w:color="000000" w:sz="2" w:space="0"/>
              <w:right w:val="single" w:color="000000" w:sz="4" w:space="0"/>
            </w:tcBorders>
            <w:noWrap w:val="0"/>
            <w:vAlign w:val="top"/>
          </w:tcPr>
          <w:p w14:paraId="341B02AE">
            <w:pPr>
              <w:spacing w:line="397" w:lineRule="auto"/>
              <w:jc w:val="left"/>
              <w:rPr>
                <w:rFonts w:hint="default" w:ascii="Times New Roman" w:hAnsi="Times New Roman" w:cs="Times New Roman"/>
                <w:color w:val="auto"/>
                <w:kern w:val="0"/>
                <w:sz w:val="21"/>
                <w:szCs w:val="20"/>
              </w:rPr>
            </w:pPr>
          </w:p>
          <w:p w14:paraId="44A00F83">
            <w:pPr>
              <w:spacing w:before="60" w:line="188"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spacing w:val="-1"/>
                <w:kern w:val="0"/>
                <w:sz w:val="21"/>
                <w:szCs w:val="21"/>
                <w:lang w:val="en-US" w:eastAsia="zh-CN"/>
              </w:rPr>
              <w:t>DA003</w:t>
            </w: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2968884E">
            <w:pPr>
              <w:spacing w:before="70" w:line="221" w:lineRule="auto"/>
              <w:ind w:left="76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颗</w:t>
            </w:r>
            <w:r>
              <w:rPr>
                <w:rFonts w:hint="default" w:ascii="Times New Roman" w:hAnsi="Times New Roman" w:eastAsia="宋体" w:cs="Times New Roman"/>
                <w:color w:val="auto"/>
                <w:kern w:val="0"/>
                <w:sz w:val="21"/>
                <w:szCs w:val="21"/>
              </w:rPr>
              <w:t>粒物</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5F637D4B">
            <w:pPr>
              <w:spacing w:before="109" w:line="187" w:lineRule="auto"/>
              <w:ind w:left="97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Times New Roman" w:cs="Times New Roman"/>
                <w:color w:val="auto"/>
                <w:spacing w:val="-2"/>
                <w:kern w:val="0"/>
                <w:sz w:val="21"/>
                <w:szCs w:val="21"/>
              </w:rPr>
              <w:t>0.</w:t>
            </w:r>
            <w:r>
              <w:rPr>
                <w:rFonts w:hint="default" w:ascii="Times New Roman" w:hAnsi="Times New Roman" w:eastAsia="宋体" w:cs="Times New Roman"/>
                <w:color w:val="auto"/>
                <w:spacing w:val="-2"/>
                <w:kern w:val="0"/>
                <w:sz w:val="21"/>
                <w:szCs w:val="21"/>
                <w:lang w:val="en-US" w:eastAsia="zh-CN"/>
              </w:rPr>
              <w:t>59</w:t>
            </w:r>
          </w:p>
        </w:tc>
        <w:tc>
          <w:tcPr>
            <w:tcW w:w="2202" w:type="dxa"/>
            <w:gridSpan w:val="2"/>
            <w:tcBorders>
              <w:top w:val="single" w:color="000000" w:sz="2" w:space="0"/>
              <w:left w:val="single" w:color="000000" w:sz="4" w:space="0"/>
              <w:bottom w:val="single" w:color="000000" w:sz="2" w:space="0"/>
              <w:right w:val="nil"/>
            </w:tcBorders>
            <w:noWrap w:val="0"/>
            <w:vAlign w:val="top"/>
          </w:tcPr>
          <w:p w14:paraId="07751F93">
            <w:pPr>
              <w:spacing w:before="34" w:line="223" w:lineRule="auto"/>
              <w:ind w:left="89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0FE81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27C74C3C">
            <w:pPr>
              <w:jc w:val="left"/>
              <w:rPr>
                <w:rFonts w:hint="default" w:ascii="Times New Roman" w:hAnsi="Times New Roman" w:cs="Times New Roman"/>
                <w:color w:val="auto"/>
                <w:kern w:val="0"/>
                <w:sz w:val="21"/>
                <w:szCs w:val="20"/>
              </w:rPr>
            </w:pPr>
          </w:p>
        </w:tc>
        <w:tc>
          <w:tcPr>
            <w:tcW w:w="1100" w:type="dxa"/>
            <w:gridSpan w:val="2"/>
            <w:vMerge w:val="continue"/>
            <w:tcBorders>
              <w:top w:val="single" w:color="000000" w:sz="2" w:space="0"/>
              <w:left w:val="single" w:color="000000" w:sz="4" w:space="0"/>
              <w:bottom w:val="single" w:color="000000" w:sz="2" w:space="0"/>
              <w:right w:val="single" w:color="000000" w:sz="4" w:space="0"/>
            </w:tcBorders>
            <w:noWrap w:val="0"/>
            <w:vAlign w:val="top"/>
          </w:tcPr>
          <w:p w14:paraId="0520DA3A">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68B4D48B">
            <w:pPr>
              <w:spacing w:before="109" w:line="198" w:lineRule="auto"/>
              <w:ind w:left="914"/>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3"/>
                <w:kern w:val="0"/>
                <w:sz w:val="21"/>
                <w:szCs w:val="21"/>
              </w:rPr>
              <w:t>SO</w:t>
            </w:r>
            <w:r>
              <w:rPr>
                <w:rFonts w:hint="default" w:ascii="Times New Roman" w:hAnsi="Times New Roman" w:eastAsia="Times New Roman" w:cs="Times New Roman"/>
                <w:color w:val="auto"/>
                <w:spacing w:val="-3"/>
                <w:kern w:val="0"/>
                <w:position w:val="-1"/>
                <w:sz w:val="14"/>
                <w:szCs w:val="14"/>
              </w:rPr>
              <w:t>2</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50E0A5C8">
            <w:pPr>
              <w:spacing w:before="110" w:line="187" w:lineRule="auto"/>
              <w:ind w:left="920"/>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spacing w:val="-2"/>
                <w:kern w:val="0"/>
                <w:sz w:val="21"/>
                <w:szCs w:val="21"/>
              </w:rPr>
              <w:t>0</w:t>
            </w:r>
            <w:r>
              <w:rPr>
                <w:rFonts w:hint="default" w:ascii="Times New Roman" w:hAnsi="Times New Roman" w:eastAsia="Times New Roman" w:cs="Times New Roman"/>
                <w:color w:val="auto"/>
                <w:spacing w:val="-1"/>
                <w:kern w:val="0"/>
                <w:sz w:val="21"/>
                <w:szCs w:val="21"/>
              </w:rPr>
              <w:t>.02</w:t>
            </w:r>
          </w:p>
        </w:tc>
        <w:tc>
          <w:tcPr>
            <w:tcW w:w="2202" w:type="dxa"/>
            <w:gridSpan w:val="2"/>
            <w:tcBorders>
              <w:top w:val="single" w:color="000000" w:sz="2" w:space="0"/>
              <w:left w:val="single" w:color="000000" w:sz="4" w:space="0"/>
              <w:bottom w:val="single" w:color="000000" w:sz="2" w:space="0"/>
              <w:right w:val="nil"/>
            </w:tcBorders>
            <w:noWrap w:val="0"/>
            <w:vAlign w:val="top"/>
          </w:tcPr>
          <w:p w14:paraId="013B82C5">
            <w:pPr>
              <w:spacing w:before="39" w:line="223" w:lineRule="auto"/>
              <w:ind w:left="89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46141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7" w:hRule="atLeast"/>
        </w:trPr>
        <w:tc>
          <w:tcPr>
            <w:tcW w:w="1062" w:type="dxa"/>
            <w:vMerge w:val="continue"/>
            <w:tcBorders>
              <w:top w:val="single" w:color="000000" w:sz="2" w:space="0"/>
              <w:left w:val="nil"/>
              <w:bottom w:val="single" w:color="000000" w:sz="2" w:space="0"/>
              <w:right w:val="single" w:color="000000" w:sz="4" w:space="0"/>
            </w:tcBorders>
            <w:noWrap w:val="0"/>
            <w:vAlign w:val="top"/>
          </w:tcPr>
          <w:p w14:paraId="0AE3B9F2">
            <w:pPr>
              <w:jc w:val="left"/>
              <w:rPr>
                <w:rFonts w:hint="default" w:ascii="Times New Roman" w:hAnsi="Times New Roman" w:cs="Times New Roman"/>
                <w:color w:val="auto"/>
                <w:kern w:val="0"/>
                <w:sz w:val="21"/>
                <w:szCs w:val="20"/>
              </w:rPr>
            </w:pPr>
          </w:p>
        </w:tc>
        <w:tc>
          <w:tcPr>
            <w:tcW w:w="1100" w:type="dxa"/>
            <w:gridSpan w:val="2"/>
            <w:vMerge w:val="continue"/>
            <w:tcBorders>
              <w:top w:val="single" w:color="000000" w:sz="2" w:space="0"/>
              <w:left w:val="single" w:color="000000" w:sz="4" w:space="0"/>
              <w:bottom w:val="single" w:color="000000" w:sz="2" w:space="0"/>
              <w:right w:val="single" w:color="000000" w:sz="4" w:space="0"/>
            </w:tcBorders>
            <w:noWrap w:val="0"/>
            <w:vAlign w:val="top"/>
          </w:tcPr>
          <w:p w14:paraId="1895D891">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4A3D2690">
            <w:pPr>
              <w:spacing w:before="110" w:line="198" w:lineRule="auto"/>
              <w:ind w:left="866"/>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2"/>
                <w:kern w:val="0"/>
                <w:sz w:val="21"/>
                <w:szCs w:val="21"/>
              </w:rPr>
              <w:t>N</w:t>
            </w:r>
            <w:r>
              <w:rPr>
                <w:rFonts w:hint="default" w:ascii="Times New Roman" w:hAnsi="Times New Roman" w:eastAsia="Times New Roman" w:cs="Times New Roman"/>
                <w:color w:val="auto"/>
                <w:spacing w:val="1"/>
                <w:kern w:val="0"/>
                <w:sz w:val="21"/>
                <w:szCs w:val="21"/>
              </w:rPr>
              <w:t>O</w:t>
            </w:r>
            <w:r>
              <w:rPr>
                <w:rFonts w:hint="default" w:ascii="Times New Roman" w:hAnsi="Times New Roman" w:eastAsia="Times New Roman" w:cs="Times New Roman"/>
                <w:color w:val="auto"/>
                <w:spacing w:val="1"/>
                <w:kern w:val="0"/>
                <w:position w:val="-1"/>
                <w:sz w:val="14"/>
                <w:szCs w:val="14"/>
              </w:rPr>
              <w:t>X</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1C084926">
            <w:pPr>
              <w:spacing w:before="111" w:line="187" w:lineRule="auto"/>
              <w:ind w:left="921"/>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8.66</w:t>
            </w:r>
          </w:p>
        </w:tc>
        <w:tc>
          <w:tcPr>
            <w:tcW w:w="2202" w:type="dxa"/>
            <w:gridSpan w:val="2"/>
            <w:tcBorders>
              <w:top w:val="single" w:color="000000" w:sz="2" w:space="0"/>
              <w:left w:val="single" w:color="000000" w:sz="4" w:space="0"/>
              <w:bottom w:val="single" w:color="000000" w:sz="2" w:space="0"/>
              <w:right w:val="nil"/>
            </w:tcBorders>
            <w:noWrap w:val="0"/>
            <w:vAlign w:val="top"/>
          </w:tcPr>
          <w:p w14:paraId="76CA0068">
            <w:pPr>
              <w:spacing w:before="40" w:line="223" w:lineRule="auto"/>
              <w:ind w:left="896"/>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二级</w:t>
            </w:r>
          </w:p>
        </w:tc>
      </w:tr>
      <w:tr w14:paraId="53C3F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restart"/>
            <w:tcBorders>
              <w:top w:val="single" w:color="000000" w:sz="2" w:space="0"/>
              <w:left w:val="nil"/>
              <w:right w:val="single" w:color="000000" w:sz="4" w:space="0"/>
            </w:tcBorders>
            <w:noWrap w:val="0"/>
            <w:vAlign w:val="top"/>
          </w:tcPr>
          <w:p w14:paraId="64985F04">
            <w:pPr>
              <w:spacing w:line="353" w:lineRule="auto"/>
              <w:jc w:val="left"/>
              <w:rPr>
                <w:rFonts w:hint="default" w:ascii="Times New Roman" w:hAnsi="Times New Roman" w:cs="Times New Roman"/>
                <w:color w:val="auto"/>
                <w:kern w:val="0"/>
                <w:sz w:val="21"/>
                <w:szCs w:val="20"/>
              </w:rPr>
            </w:pPr>
          </w:p>
          <w:p w14:paraId="6184171A">
            <w:pPr>
              <w:spacing w:before="68" w:line="223" w:lineRule="auto"/>
              <w:ind w:left="329"/>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4"/>
                <w:kern w:val="0"/>
                <w:sz w:val="21"/>
                <w:szCs w:val="21"/>
              </w:rPr>
              <w:t>面</w:t>
            </w:r>
            <w:r>
              <w:rPr>
                <w:rFonts w:hint="default" w:ascii="Times New Roman" w:hAnsi="Times New Roman" w:eastAsia="宋体" w:cs="Times New Roman"/>
                <w:color w:val="auto"/>
                <w:spacing w:val="-2"/>
                <w:kern w:val="0"/>
                <w:sz w:val="21"/>
                <w:szCs w:val="21"/>
              </w:rPr>
              <w:t>源</w:t>
            </w:r>
          </w:p>
        </w:tc>
        <w:tc>
          <w:tcPr>
            <w:tcW w:w="1100" w:type="dxa"/>
            <w:gridSpan w:val="2"/>
            <w:vMerge w:val="restart"/>
            <w:tcBorders>
              <w:top w:val="single" w:color="000000" w:sz="2" w:space="0"/>
              <w:left w:val="single" w:color="000000" w:sz="4" w:space="0"/>
              <w:right w:val="single" w:color="000000" w:sz="4" w:space="0"/>
            </w:tcBorders>
            <w:noWrap w:val="0"/>
            <w:vAlign w:val="top"/>
          </w:tcPr>
          <w:p w14:paraId="2A736A5A">
            <w:pPr>
              <w:spacing w:line="353" w:lineRule="auto"/>
              <w:jc w:val="left"/>
              <w:rPr>
                <w:rFonts w:hint="default" w:ascii="Times New Roman" w:hAnsi="Times New Roman" w:cs="Times New Roman"/>
                <w:color w:val="auto"/>
                <w:kern w:val="0"/>
                <w:sz w:val="21"/>
                <w:szCs w:val="20"/>
              </w:rPr>
            </w:pPr>
          </w:p>
          <w:p w14:paraId="6DFFC4F3">
            <w:pPr>
              <w:spacing w:before="69" w:line="221" w:lineRule="auto"/>
              <w:ind w:left="138"/>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生产工序</w:t>
            </w: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73D41B6F">
            <w:pPr>
              <w:spacing w:before="72" w:line="221" w:lineRule="auto"/>
              <w:ind w:left="76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颗</w:t>
            </w:r>
            <w:r>
              <w:rPr>
                <w:rFonts w:hint="default" w:ascii="Times New Roman" w:hAnsi="Times New Roman" w:eastAsia="宋体" w:cs="Times New Roman"/>
                <w:color w:val="auto"/>
                <w:kern w:val="0"/>
                <w:sz w:val="21"/>
                <w:szCs w:val="21"/>
              </w:rPr>
              <w:t>粒物</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3CACE927">
            <w:pPr>
              <w:spacing w:before="111" w:line="187" w:lineRule="auto"/>
              <w:ind w:left="92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2"/>
                <w:kern w:val="0"/>
                <w:sz w:val="21"/>
                <w:szCs w:val="21"/>
                <w:lang w:val="en-US" w:eastAsia="zh-CN"/>
              </w:rPr>
              <w:t>1.01</w:t>
            </w:r>
          </w:p>
        </w:tc>
        <w:tc>
          <w:tcPr>
            <w:tcW w:w="2202" w:type="dxa"/>
            <w:gridSpan w:val="2"/>
            <w:tcBorders>
              <w:top w:val="single" w:color="000000" w:sz="2" w:space="0"/>
              <w:left w:val="single" w:color="000000" w:sz="4" w:space="0"/>
              <w:bottom w:val="single" w:color="000000" w:sz="2" w:space="0"/>
              <w:right w:val="nil"/>
            </w:tcBorders>
            <w:noWrap w:val="0"/>
            <w:vAlign w:val="top"/>
          </w:tcPr>
          <w:p w14:paraId="2843711D">
            <w:pPr>
              <w:spacing w:before="36" w:line="223" w:lineRule="auto"/>
              <w:ind w:left="896"/>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二级</w:t>
            </w:r>
          </w:p>
        </w:tc>
      </w:tr>
      <w:tr w14:paraId="603F2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left w:val="nil"/>
              <w:right w:val="single" w:color="000000" w:sz="4" w:space="0"/>
            </w:tcBorders>
            <w:noWrap w:val="0"/>
            <w:vAlign w:val="top"/>
          </w:tcPr>
          <w:p w14:paraId="240BD459">
            <w:pPr>
              <w:jc w:val="left"/>
              <w:rPr>
                <w:rFonts w:hint="default" w:ascii="Times New Roman" w:hAnsi="Times New Roman" w:cs="Times New Roman"/>
                <w:color w:val="auto"/>
                <w:kern w:val="0"/>
                <w:sz w:val="21"/>
                <w:szCs w:val="20"/>
              </w:rPr>
            </w:pPr>
          </w:p>
        </w:tc>
        <w:tc>
          <w:tcPr>
            <w:tcW w:w="1100" w:type="dxa"/>
            <w:gridSpan w:val="2"/>
            <w:vMerge w:val="continue"/>
            <w:tcBorders>
              <w:left w:val="single" w:color="000000" w:sz="4" w:space="0"/>
              <w:right w:val="single" w:color="000000" w:sz="4" w:space="0"/>
            </w:tcBorders>
            <w:noWrap w:val="0"/>
            <w:vAlign w:val="top"/>
          </w:tcPr>
          <w:p w14:paraId="148B33B9">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2" w:space="0"/>
              <w:right w:val="single" w:color="000000" w:sz="4" w:space="0"/>
            </w:tcBorders>
            <w:noWrap w:val="0"/>
            <w:vAlign w:val="top"/>
          </w:tcPr>
          <w:p w14:paraId="139DD260">
            <w:pPr>
              <w:spacing w:before="34" w:line="286" w:lineRule="exact"/>
              <w:ind w:left="65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position w:val="2"/>
                <w:sz w:val="21"/>
                <w:szCs w:val="21"/>
              </w:rPr>
              <w:t>苯并</w:t>
            </w:r>
            <w:r>
              <w:rPr>
                <w:rFonts w:hint="default" w:ascii="Times New Roman" w:hAnsi="Times New Roman" w:eastAsia="Times New Roman" w:cs="Times New Roman"/>
                <w:color w:val="auto"/>
                <w:spacing w:val="-1"/>
                <w:kern w:val="0"/>
                <w:position w:val="2"/>
                <w:sz w:val="21"/>
                <w:szCs w:val="21"/>
              </w:rPr>
              <w:t>[a]</w:t>
            </w:r>
            <w:r>
              <w:rPr>
                <w:rFonts w:hint="default" w:ascii="Times New Roman" w:hAnsi="Times New Roman" w:eastAsia="宋体" w:cs="Times New Roman"/>
                <w:color w:val="auto"/>
                <w:spacing w:val="-1"/>
                <w:kern w:val="0"/>
                <w:position w:val="2"/>
                <w:sz w:val="21"/>
                <w:szCs w:val="21"/>
              </w:rPr>
              <w:t>芘</w:t>
            </w:r>
          </w:p>
        </w:tc>
        <w:tc>
          <w:tcPr>
            <w:tcW w:w="2200" w:type="dxa"/>
            <w:gridSpan w:val="2"/>
            <w:tcBorders>
              <w:top w:val="single" w:color="000000" w:sz="2" w:space="0"/>
              <w:left w:val="single" w:color="000000" w:sz="4" w:space="0"/>
              <w:bottom w:val="single" w:color="000000" w:sz="2" w:space="0"/>
              <w:right w:val="single" w:color="000000" w:sz="4" w:space="0"/>
            </w:tcBorders>
            <w:noWrap w:val="0"/>
            <w:vAlign w:val="top"/>
          </w:tcPr>
          <w:p w14:paraId="0686B9B6">
            <w:pPr>
              <w:spacing w:before="41" w:line="223" w:lineRule="auto"/>
              <w:ind w:left="892"/>
              <w:jc w:val="left"/>
              <w:rPr>
                <w:rFonts w:hint="default" w:ascii="Times New Roman" w:hAnsi="Times New Roman" w:eastAsia="宋体" w:cs="Times New Roman"/>
                <w:color w:val="auto"/>
                <w:spacing w:val="-2"/>
                <w:kern w:val="0"/>
                <w:sz w:val="21"/>
                <w:szCs w:val="21"/>
                <w:lang w:val="en-US" w:eastAsia="zh-CN"/>
              </w:rPr>
            </w:pPr>
            <w:r>
              <w:rPr>
                <w:rFonts w:hint="default" w:ascii="Times New Roman" w:hAnsi="Times New Roman" w:eastAsia="宋体" w:cs="Times New Roman"/>
                <w:color w:val="auto"/>
                <w:spacing w:val="-2"/>
                <w:kern w:val="0"/>
                <w:sz w:val="21"/>
                <w:szCs w:val="21"/>
                <w:lang w:val="en-US" w:eastAsia="zh-CN"/>
              </w:rPr>
              <w:t>6.61</w:t>
            </w:r>
          </w:p>
        </w:tc>
        <w:tc>
          <w:tcPr>
            <w:tcW w:w="2202" w:type="dxa"/>
            <w:gridSpan w:val="2"/>
            <w:tcBorders>
              <w:top w:val="single" w:color="000000" w:sz="2" w:space="0"/>
              <w:left w:val="single" w:color="000000" w:sz="4" w:space="0"/>
              <w:bottom w:val="single" w:color="000000" w:sz="2" w:space="0"/>
              <w:right w:val="nil"/>
            </w:tcBorders>
            <w:noWrap w:val="0"/>
            <w:vAlign w:val="top"/>
          </w:tcPr>
          <w:p w14:paraId="49248548">
            <w:pPr>
              <w:spacing w:before="41" w:line="223" w:lineRule="auto"/>
              <w:ind w:left="892"/>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r w14:paraId="2FCB2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1" w:type="dxa"/>
          <w:trHeight w:val="346" w:hRule="atLeast"/>
        </w:trPr>
        <w:tc>
          <w:tcPr>
            <w:tcW w:w="1062" w:type="dxa"/>
            <w:vMerge w:val="continue"/>
            <w:tcBorders>
              <w:left w:val="nil"/>
              <w:bottom w:val="single" w:color="000000" w:sz="12" w:space="0"/>
              <w:right w:val="single" w:color="000000" w:sz="4" w:space="0"/>
            </w:tcBorders>
            <w:noWrap w:val="0"/>
            <w:vAlign w:val="top"/>
          </w:tcPr>
          <w:p w14:paraId="681A9983">
            <w:pPr>
              <w:jc w:val="left"/>
              <w:rPr>
                <w:rFonts w:hint="default" w:ascii="Times New Roman" w:hAnsi="Times New Roman" w:cs="Times New Roman"/>
                <w:color w:val="auto"/>
                <w:kern w:val="0"/>
                <w:sz w:val="21"/>
                <w:szCs w:val="20"/>
              </w:rPr>
            </w:pPr>
          </w:p>
        </w:tc>
        <w:tc>
          <w:tcPr>
            <w:tcW w:w="1100" w:type="dxa"/>
            <w:gridSpan w:val="2"/>
            <w:vMerge w:val="continue"/>
            <w:tcBorders>
              <w:left w:val="single" w:color="000000" w:sz="4" w:space="0"/>
              <w:bottom w:val="single" w:color="000000" w:sz="12" w:space="0"/>
              <w:right w:val="single" w:color="000000" w:sz="4" w:space="0"/>
            </w:tcBorders>
            <w:noWrap w:val="0"/>
            <w:vAlign w:val="top"/>
          </w:tcPr>
          <w:p w14:paraId="4D6953BB">
            <w:pPr>
              <w:jc w:val="left"/>
              <w:rPr>
                <w:rFonts w:hint="default" w:ascii="Times New Roman" w:hAnsi="Times New Roman" w:cs="Times New Roman"/>
                <w:color w:val="auto"/>
                <w:kern w:val="0"/>
                <w:sz w:val="21"/>
                <w:szCs w:val="20"/>
              </w:rPr>
            </w:pPr>
          </w:p>
        </w:tc>
        <w:tc>
          <w:tcPr>
            <w:tcW w:w="2156" w:type="dxa"/>
            <w:gridSpan w:val="2"/>
            <w:tcBorders>
              <w:top w:val="single" w:color="000000" w:sz="2" w:space="0"/>
              <w:left w:val="single" w:color="000000" w:sz="4" w:space="0"/>
              <w:bottom w:val="single" w:color="000000" w:sz="12" w:space="0"/>
              <w:right w:val="single" w:color="000000" w:sz="4" w:space="0"/>
            </w:tcBorders>
            <w:noWrap w:val="0"/>
            <w:vAlign w:val="top"/>
          </w:tcPr>
          <w:p w14:paraId="138CF9DD">
            <w:pPr>
              <w:spacing w:before="34" w:line="286" w:lineRule="exact"/>
              <w:ind w:left="651"/>
              <w:jc w:val="left"/>
              <w:rPr>
                <w:rFonts w:hint="eastAsia" w:ascii="Times New Roman" w:hAnsi="Times New Roman" w:eastAsia="宋体" w:cs="Times New Roman"/>
                <w:color w:val="auto"/>
                <w:spacing w:val="-1"/>
                <w:kern w:val="0"/>
                <w:position w:val="2"/>
                <w:sz w:val="21"/>
                <w:szCs w:val="21"/>
                <w:lang w:val="en-US" w:eastAsia="zh-CN"/>
              </w:rPr>
            </w:pPr>
            <w:r>
              <w:rPr>
                <w:rFonts w:hint="eastAsia" w:ascii="Times New Roman" w:hAnsi="Times New Roman" w:eastAsia="宋体" w:cs="Times New Roman"/>
                <w:color w:val="auto"/>
                <w:spacing w:val="-1"/>
                <w:kern w:val="0"/>
                <w:position w:val="2"/>
                <w:sz w:val="21"/>
                <w:szCs w:val="21"/>
                <w:lang w:val="en-US" w:eastAsia="zh-CN"/>
              </w:rPr>
              <w:t>非甲烷总烃</w:t>
            </w:r>
          </w:p>
        </w:tc>
        <w:tc>
          <w:tcPr>
            <w:tcW w:w="2200" w:type="dxa"/>
            <w:gridSpan w:val="2"/>
            <w:tcBorders>
              <w:top w:val="single" w:color="000000" w:sz="2" w:space="0"/>
              <w:left w:val="single" w:color="000000" w:sz="4" w:space="0"/>
              <w:bottom w:val="single" w:color="000000" w:sz="12" w:space="0"/>
              <w:right w:val="single" w:color="000000" w:sz="4" w:space="0"/>
            </w:tcBorders>
            <w:noWrap w:val="0"/>
            <w:vAlign w:val="top"/>
          </w:tcPr>
          <w:p w14:paraId="2E447223">
            <w:pPr>
              <w:spacing w:before="41" w:line="223" w:lineRule="auto"/>
              <w:jc w:val="center"/>
              <w:rPr>
                <w:rFonts w:hint="default" w:ascii="Times New Roman" w:hAnsi="Times New Roman" w:eastAsia="宋体" w:cs="Times New Roman"/>
                <w:color w:val="auto"/>
                <w:spacing w:val="-2"/>
                <w:kern w:val="0"/>
                <w:sz w:val="21"/>
                <w:szCs w:val="21"/>
                <w:lang w:val="en-US" w:eastAsia="zh-CN"/>
              </w:rPr>
            </w:pPr>
            <w:r>
              <w:rPr>
                <w:rFonts w:hint="default" w:ascii="Times New Roman" w:hAnsi="Times New Roman" w:eastAsia="宋体" w:cs="Times New Roman"/>
                <w:color w:val="auto"/>
                <w:spacing w:val="-2"/>
                <w:kern w:val="0"/>
                <w:sz w:val="21"/>
                <w:szCs w:val="21"/>
              </w:rPr>
              <w:t>7.5</w:t>
            </w:r>
            <w:r>
              <w:rPr>
                <w:rFonts w:hint="eastAsia" w:ascii="Times New Roman" w:hAnsi="Times New Roman" w:eastAsia="宋体" w:cs="Times New Roman"/>
                <w:color w:val="auto"/>
                <w:spacing w:val="-2"/>
                <w:kern w:val="0"/>
                <w:sz w:val="21"/>
                <w:szCs w:val="21"/>
                <w:lang w:val="en-US" w:eastAsia="zh-CN"/>
              </w:rPr>
              <w:t>9</w:t>
            </w:r>
            <w:r>
              <w:rPr>
                <w:rFonts w:hint="default" w:ascii="Times New Roman" w:hAnsi="Times New Roman" w:eastAsia="宋体" w:cs="Times New Roman"/>
                <w:color w:val="auto"/>
                <w:spacing w:val="-2"/>
                <w:kern w:val="0"/>
                <w:sz w:val="21"/>
                <w:szCs w:val="21"/>
              </w:rPr>
              <w:t>E-03</w:t>
            </w:r>
          </w:p>
        </w:tc>
        <w:tc>
          <w:tcPr>
            <w:tcW w:w="2202" w:type="dxa"/>
            <w:gridSpan w:val="2"/>
            <w:tcBorders>
              <w:top w:val="single" w:color="000000" w:sz="2" w:space="0"/>
              <w:left w:val="single" w:color="000000" w:sz="4" w:space="0"/>
              <w:bottom w:val="single" w:color="000000" w:sz="12" w:space="0"/>
              <w:right w:val="nil"/>
            </w:tcBorders>
            <w:noWrap w:val="0"/>
            <w:vAlign w:val="top"/>
          </w:tcPr>
          <w:p w14:paraId="567E9B91">
            <w:pPr>
              <w:spacing w:before="41" w:line="223" w:lineRule="auto"/>
              <w:ind w:left="892"/>
              <w:jc w:val="left"/>
              <w:rPr>
                <w:rFonts w:hint="default" w:ascii="Times New Roman" w:hAnsi="Times New Roman" w:eastAsia="宋体" w:cs="Times New Roman"/>
                <w:color w:val="auto"/>
                <w:spacing w:val="-2"/>
                <w:kern w:val="0"/>
                <w:sz w:val="21"/>
                <w:szCs w:val="21"/>
              </w:rPr>
            </w:pPr>
            <w:r>
              <w:rPr>
                <w:rFonts w:hint="default" w:ascii="Times New Roman" w:hAnsi="Times New Roman" w:eastAsia="宋体" w:cs="Times New Roman"/>
                <w:color w:val="auto"/>
                <w:spacing w:val="-2"/>
                <w:kern w:val="0"/>
                <w:sz w:val="21"/>
                <w:szCs w:val="21"/>
              </w:rPr>
              <w:t>三</w:t>
            </w:r>
            <w:r>
              <w:rPr>
                <w:rFonts w:hint="default" w:ascii="Times New Roman" w:hAnsi="Times New Roman" w:eastAsia="宋体" w:cs="Times New Roman"/>
                <w:color w:val="auto"/>
                <w:spacing w:val="-1"/>
                <w:kern w:val="0"/>
                <w:sz w:val="21"/>
                <w:szCs w:val="21"/>
              </w:rPr>
              <w:t>级</w:t>
            </w:r>
          </w:p>
        </w:tc>
      </w:tr>
    </w:tbl>
    <w:p w14:paraId="5334B445">
      <w:pPr>
        <w:widowControl w:val="0"/>
        <w:jc w:val="both"/>
        <w:rPr>
          <w:rFonts w:hint="default" w:ascii="Times New Roman" w:hAnsi="Times New Roman" w:eastAsia="宋体" w:cs="Times New Roman"/>
          <w:color w:val="auto"/>
          <w:sz w:val="24"/>
          <w:lang w:val="en-US" w:eastAsia="zh-CN" w:bidi="ar-SA"/>
        </w:rPr>
      </w:pPr>
    </w:p>
    <w:p w14:paraId="7E9C8F4F">
      <w:pPr>
        <w:widowControl w:val="0"/>
        <w:adjustRightInd/>
        <w:snapToGrid/>
        <w:jc w:val="center"/>
        <w:rPr>
          <w:rFonts w:hint="default" w:ascii="Times New Roman" w:hAnsi="Times New Roman" w:eastAsia="黑体" w:cs="Times New Roman"/>
          <w:color w:val="auto"/>
          <w:kern w:val="2"/>
          <w:sz w:val="24"/>
          <w:szCs w:val="18"/>
          <w:lang w:val="en-US" w:eastAsia="zh-CN" w:bidi="ar-SA"/>
        </w:rPr>
      </w:pPr>
      <w:r>
        <w:rPr>
          <w:rFonts w:hint="default" w:ascii="Times New Roman" w:hAnsi="Times New Roman" w:eastAsia="黑体" w:cs="Times New Roman"/>
          <w:color w:val="auto"/>
          <w:kern w:val="2"/>
          <w:sz w:val="24"/>
          <w:szCs w:val="18"/>
          <w:lang w:val="en-US" w:eastAsia="zh-CN" w:bidi="ar-SA"/>
        </w:rPr>
        <w:t>表1-8评价工作级别划分</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24"/>
        <w:gridCol w:w="5523"/>
      </w:tblGrid>
      <w:tr w14:paraId="5C56DE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24" w:type="dxa"/>
            <w:noWrap w:val="0"/>
            <w:vAlign w:val="center"/>
          </w:tcPr>
          <w:p w14:paraId="7FD0C30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评价工作等级</w:t>
            </w:r>
          </w:p>
        </w:tc>
        <w:tc>
          <w:tcPr>
            <w:tcW w:w="5523" w:type="dxa"/>
            <w:noWrap w:val="0"/>
            <w:vAlign w:val="center"/>
          </w:tcPr>
          <w:p w14:paraId="1EC7983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评价工作等级</w:t>
            </w:r>
          </w:p>
        </w:tc>
      </w:tr>
      <w:tr w14:paraId="2914C0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24" w:type="dxa"/>
            <w:noWrap w:val="0"/>
            <w:vAlign w:val="center"/>
          </w:tcPr>
          <w:p w14:paraId="50144F2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一级</w:t>
            </w:r>
          </w:p>
        </w:tc>
        <w:tc>
          <w:tcPr>
            <w:tcW w:w="5523" w:type="dxa"/>
            <w:noWrap w:val="0"/>
            <w:vAlign w:val="center"/>
          </w:tcPr>
          <w:p w14:paraId="566F779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Pmax≥10%</w:t>
            </w:r>
          </w:p>
        </w:tc>
      </w:tr>
      <w:tr w14:paraId="78A45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24" w:type="dxa"/>
            <w:noWrap w:val="0"/>
            <w:vAlign w:val="center"/>
          </w:tcPr>
          <w:p w14:paraId="1C19D10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二级</w:t>
            </w:r>
          </w:p>
        </w:tc>
        <w:tc>
          <w:tcPr>
            <w:tcW w:w="5523" w:type="dxa"/>
            <w:noWrap w:val="0"/>
            <w:vAlign w:val="center"/>
          </w:tcPr>
          <w:p w14:paraId="42DF059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1%≤Pmax＜10%</w:t>
            </w:r>
          </w:p>
        </w:tc>
      </w:tr>
      <w:tr w14:paraId="3F9B1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24" w:type="dxa"/>
            <w:noWrap w:val="0"/>
            <w:vAlign w:val="center"/>
          </w:tcPr>
          <w:p w14:paraId="2DDF945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三级</w:t>
            </w:r>
          </w:p>
        </w:tc>
        <w:tc>
          <w:tcPr>
            <w:tcW w:w="5523" w:type="dxa"/>
            <w:noWrap w:val="0"/>
            <w:vAlign w:val="center"/>
          </w:tcPr>
          <w:p w14:paraId="53EA101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Pmax＜1%</w:t>
            </w:r>
          </w:p>
        </w:tc>
      </w:tr>
    </w:tbl>
    <w:p w14:paraId="542B7A55">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p w14:paraId="5166B959">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根据评价工作等级划分，大气环境评价工作等级确定为二级。</w:t>
      </w:r>
    </w:p>
    <w:p w14:paraId="717B6268">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bookmarkStart w:id="149" w:name="_Toc307229328"/>
      <w:r>
        <w:rPr>
          <w:rFonts w:hint="default" w:ascii="Times New Roman" w:hAnsi="Times New Roman" w:eastAsia="黑体" w:cs="Times New Roman"/>
          <w:color w:val="auto"/>
          <w:sz w:val="24"/>
          <w:szCs w:val="24"/>
          <w:lang w:val="en-US" w:eastAsia="zh-CN" w:bidi="ar-SA"/>
        </w:rPr>
        <w:t>评价范围</w:t>
      </w:r>
      <w:bookmarkEnd w:id="149"/>
    </w:p>
    <w:p w14:paraId="74CE7F78">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根据评价工作等级，并结合环境技术导则要求，以及建设项目在施工期、运行期对环境影响的特点，具体内容见表1-9。</w:t>
      </w:r>
    </w:p>
    <w:p w14:paraId="6D3E745D">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表1-9拟建项目评价等级与评价范围一览表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5721"/>
      </w:tblGrid>
      <w:tr w14:paraId="0F9D07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gridSpan w:val="2"/>
            <w:noWrap w:val="0"/>
            <w:vAlign w:val="center"/>
          </w:tcPr>
          <w:p w14:paraId="0F5C8E55">
            <w:pPr>
              <w:pStyle w:val="184"/>
              <w:keepNext w:val="0"/>
              <w:keepLines w:val="0"/>
              <w:suppressLineNumbers w:val="0"/>
              <w:spacing w:before="156" w:beforeAutospacing="0" w:after="0" w:afterAutospacing="0"/>
              <w:ind w:left="0" w:right="0" w:firstLine="0" w:firstLineChars="0"/>
              <w:jc w:val="center"/>
              <w:rPr>
                <w:rFonts w:hint="default" w:ascii="Times New Roman" w:hAnsi="Times New Roman" w:cs="Times New Roman"/>
                <w:color w:val="auto"/>
                <w:sz w:val="21"/>
                <w:szCs w:val="21"/>
                <w:highlight w:val="none"/>
              </w:rPr>
            </w:pPr>
            <w:bookmarkStart w:id="150" w:name="_Toc245605574"/>
            <w:bookmarkStart w:id="151" w:name="_Toc307947593"/>
            <w:bookmarkStart w:id="152" w:name="_Toc353554858"/>
            <w:bookmarkStart w:id="153" w:name="_Toc307229330"/>
            <w:bookmarkStart w:id="154" w:name="_Toc344060666"/>
            <w:r>
              <w:rPr>
                <w:rFonts w:hint="default" w:ascii="Times New Roman" w:hAnsi="Times New Roman" w:cs="Times New Roman"/>
                <w:color w:val="auto"/>
                <w:sz w:val="21"/>
                <w:szCs w:val="21"/>
                <w:highlight w:val="none"/>
              </w:rPr>
              <w:t>评价内容</w:t>
            </w:r>
          </w:p>
        </w:tc>
        <w:tc>
          <w:tcPr>
            <w:tcW w:w="5721" w:type="dxa"/>
            <w:noWrap w:val="0"/>
            <w:vAlign w:val="center"/>
          </w:tcPr>
          <w:p w14:paraId="74052D6F">
            <w:pPr>
              <w:pStyle w:val="184"/>
              <w:keepNext w:val="0"/>
              <w:keepLines w:val="0"/>
              <w:suppressLineNumbers w:val="0"/>
              <w:spacing w:before="156" w:beforeAutospacing="0" w:after="0" w:afterAutospacing="0"/>
              <w:ind w:left="0" w:right="0" w:firstLine="0" w:firstLineChars="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评价范围</w:t>
            </w:r>
          </w:p>
        </w:tc>
      </w:tr>
      <w:tr w14:paraId="54CEA5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242" w:type="dxa"/>
            <w:vMerge w:val="restart"/>
            <w:noWrap w:val="0"/>
            <w:vAlign w:val="center"/>
          </w:tcPr>
          <w:p w14:paraId="39D6D048">
            <w:pPr>
              <w:pStyle w:val="184"/>
              <w:keepNext w:val="0"/>
              <w:keepLines w:val="0"/>
              <w:suppressLineNumbers w:val="0"/>
              <w:spacing w:before="156" w:beforeAutospacing="0" w:after="0" w:afterAutospacing="0"/>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环境空气</w:t>
            </w:r>
          </w:p>
        </w:tc>
        <w:tc>
          <w:tcPr>
            <w:tcW w:w="1418" w:type="dxa"/>
            <w:noWrap w:val="0"/>
            <w:vAlign w:val="center"/>
          </w:tcPr>
          <w:p w14:paraId="27E55D73">
            <w:pPr>
              <w:pStyle w:val="184"/>
              <w:keepNext w:val="0"/>
              <w:keepLines w:val="0"/>
              <w:suppressLineNumbers w:val="0"/>
              <w:spacing w:before="156" w:beforeAutospacing="0" w:after="0" w:afterAutospacing="0"/>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现状监测</w:t>
            </w:r>
          </w:p>
        </w:tc>
        <w:tc>
          <w:tcPr>
            <w:tcW w:w="5721" w:type="dxa"/>
            <w:vMerge w:val="restart"/>
            <w:noWrap w:val="0"/>
            <w:vAlign w:val="center"/>
          </w:tcPr>
          <w:p w14:paraId="23620CA2">
            <w:pPr>
              <w:pStyle w:val="184"/>
              <w:keepNext w:val="0"/>
              <w:keepLines w:val="0"/>
              <w:suppressLineNumbers w:val="0"/>
              <w:spacing w:before="156" w:beforeAutospacing="0" w:after="0" w:afterAutospacing="0"/>
              <w:ind w:left="0" w:right="0" w:firstLine="0" w:firstLineChars="0"/>
              <w:jc w:val="left"/>
              <w:rPr>
                <w:rFonts w:hint="default" w:ascii="Times New Roman" w:hAnsi="Times New Roman" w:cs="Times New Roman"/>
                <w:color w:val="auto"/>
                <w:szCs w:val="22"/>
                <w:highlight w:val="none"/>
              </w:rPr>
            </w:pPr>
            <w:r>
              <w:rPr>
                <w:rFonts w:hint="default" w:ascii="Times New Roman" w:hAnsi="Times New Roman" w:cs="Times New Roman"/>
                <w:color w:val="auto"/>
                <w:sz w:val="21"/>
                <w:szCs w:val="21"/>
                <w:highlight w:val="none"/>
              </w:rPr>
              <w:t>根据《环境影响评价技术导则-大气环境》（HJ2.2-2018）中规定，</w:t>
            </w:r>
            <w:bookmarkStart w:id="155" w:name="OLE_LINK3"/>
            <w:r>
              <w:rPr>
                <w:rFonts w:hint="default" w:ascii="Times New Roman" w:hAnsi="Times New Roman" w:cs="Times New Roman"/>
                <w:color w:val="auto"/>
                <w:sz w:val="21"/>
                <w:szCs w:val="21"/>
                <w:highlight w:val="none"/>
              </w:rPr>
              <w:t>本次评价确定本项目大气环境影响评价范围为以项目厂址为中心区域，</w:t>
            </w:r>
            <w:bookmarkEnd w:id="155"/>
            <w:r>
              <w:rPr>
                <w:rFonts w:hint="default" w:ascii="Times New Roman" w:hAnsi="Times New Roman" w:cs="Times New Roman"/>
                <w:color w:val="auto"/>
                <w:sz w:val="21"/>
                <w:szCs w:val="21"/>
                <w:highlight w:val="none"/>
              </w:rPr>
              <w:t>以</w:t>
            </w:r>
            <w:r>
              <w:rPr>
                <w:rFonts w:hint="default"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km为边长的矩形区域为评价范围。</w:t>
            </w:r>
          </w:p>
        </w:tc>
      </w:tr>
      <w:tr w14:paraId="1729E2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noWrap w:val="0"/>
            <w:vAlign w:val="center"/>
          </w:tcPr>
          <w:p w14:paraId="201F3EF4">
            <w:pPr>
              <w:pStyle w:val="184"/>
              <w:keepNext w:val="0"/>
              <w:keepLines w:val="0"/>
              <w:suppressLineNumbers w:val="0"/>
              <w:spacing w:before="156" w:beforeAutospacing="0" w:after="0" w:afterAutospacing="0"/>
              <w:ind w:left="0" w:right="0" w:firstLine="0" w:firstLineChars="0"/>
              <w:jc w:val="center"/>
              <w:rPr>
                <w:rFonts w:hint="default" w:ascii="Times New Roman" w:hAnsi="Times New Roman" w:cs="Times New Roman"/>
                <w:color w:val="auto"/>
                <w:sz w:val="21"/>
                <w:szCs w:val="21"/>
                <w:highlight w:val="none"/>
              </w:rPr>
            </w:pPr>
          </w:p>
        </w:tc>
        <w:tc>
          <w:tcPr>
            <w:tcW w:w="1418" w:type="dxa"/>
            <w:noWrap w:val="0"/>
            <w:vAlign w:val="center"/>
          </w:tcPr>
          <w:p w14:paraId="7637ABD4">
            <w:pPr>
              <w:pStyle w:val="184"/>
              <w:keepNext w:val="0"/>
              <w:keepLines w:val="0"/>
              <w:suppressLineNumbers w:val="0"/>
              <w:spacing w:before="156" w:beforeAutospacing="0" w:after="0" w:afterAutospacing="0"/>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影响预测</w:t>
            </w:r>
          </w:p>
        </w:tc>
        <w:tc>
          <w:tcPr>
            <w:tcW w:w="5721" w:type="dxa"/>
            <w:vMerge w:val="continue"/>
            <w:noWrap w:val="0"/>
            <w:vAlign w:val="center"/>
          </w:tcPr>
          <w:p w14:paraId="57A7C619">
            <w:pPr>
              <w:pStyle w:val="184"/>
              <w:keepNext w:val="0"/>
              <w:keepLines w:val="0"/>
              <w:suppressLineNumbers w:val="0"/>
              <w:spacing w:before="156" w:beforeAutospacing="0" w:after="0" w:afterAutospacing="0"/>
              <w:ind w:left="0" w:right="0" w:firstLine="0" w:firstLineChars="0"/>
              <w:jc w:val="left"/>
              <w:rPr>
                <w:rFonts w:hint="default" w:ascii="Times New Roman" w:hAnsi="Times New Roman" w:cs="Times New Roman"/>
                <w:color w:val="auto"/>
                <w:sz w:val="21"/>
                <w:szCs w:val="21"/>
                <w:highlight w:val="none"/>
              </w:rPr>
            </w:pPr>
          </w:p>
        </w:tc>
      </w:tr>
    </w:tbl>
    <w:p w14:paraId="64550F0F">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drawing>
          <wp:anchor distT="0" distB="0" distL="114300" distR="114300" simplePos="0" relativeHeight="251697152" behindDoc="0" locked="0" layoutInCell="1" allowOverlap="1">
            <wp:simplePos x="0" y="0"/>
            <wp:positionH relativeFrom="column">
              <wp:posOffset>4189730</wp:posOffset>
            </wp:positionH>
            <wp:positionV relativeFrom="paragraph">
              <wp:posOffset>-17145</wp:posOffset>
            </wp:positionV>
            <wp:extent cx="1333500" cy="1304925"/>
            <wp:effectExtent l="0" t="0" r="0" b="9525"/>
            <wp:wrapNone/>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36"/>
                    <a:stretch>
                      <a:fillRect/>
                    </a:stretch>
                  </pic:blipFill>
                  <pic:spPr>
                    <a:xfrm>
                      <a:off x="0" y="0"/>
                      <a:ext cx="1333500" cy="1304925"/>
                    </a:xfrm>
                    <a:prstGeom prst="rect">
                      <a:avLst/>
                    </a:prstGeom>
                    <a:noFill/>
                    <a:ln>
                      <a:noFill/>
                    </a:ln>
                  </pic:spPr>
                </pic:pic>
              </a:graphicData>
            </a:graphic>
          </wp:anchor>
        </w:drawing>
      </w:r>
      <w:r>
        <w:rPr>
          <w:rFonts w:hint="default" w:ascii="Times New Roman" w:hAnsi="Times New Roman" w:eastAsia="黑体" w:cs="Times New Roman"/>
          <w:color w:val="auto"/>
          <w:kern w:val="0"/>
          <w:sz w:val="24"/>
          <w:szCs w:val="20"/>
          <w:lang w:val="en-US" w:eastAsia="zh-CN" w:bidi="ar-SA"/>
        </w:rPr>
        <w:drawing>
          <wp:inline distT="0" distB="0" distL="114300" distR="114300">
            <wp:extent cx="5540375" cy="4683760"/>
            <wp:effectExtent l="0" t="0" r="3175" b="2540"/>
            <wp:docPr id="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pic:cNvPicPr>
                      <a:picLocks noChangeAspect="1"/>
                    </pic:cNvPicPr>
                  </pic:nvPicPr>
                  <pic:blipFill>
                    <a:blip r:embed="rId79"/>
                    <a:stretch>
                      <a:fillRect/>
                    </a:stretch>
                  </pic:blipFill>
                  <pic:spPr>
                    <a:xfrm>
                      <a:off x="0" y="0"/>
                      <a:ext cx="5540375" cy="4683760"/>
                    </a:xfrm>
                    <a:prstGeom prst="rect">
                      <a:avLst/>
                    </a:prstGeom>
                    <a:noFill/>
                    <a:ln>
                      <a:noFill/>
                    </a:ln>
                  </pic:spPr>
                </pic:pic>
              </a:graphicData>
            </a:graphic>
          </wp:inline>
        </w:drawing>
      </w:r>
      <w:r>
        <w:rPr>
          <w:rFonts w:hint="default" w:ascii="Times New Roman" w:hAnsi="Times New Roman" w:eastAsia="黑体" w:cs="Times New Roman"/>
          <w:color w:val="auto"/>
          <w:kern w:val="0"/>
          <w:sz w:val="24"/>
          <w:szCs w:val="20"/>
          <w:lang w:val="en-US" w:eastAsia="zh-CN" w:bidi="ar-SA"/>
        </w:rPr>
        <w:t>图1-1评价范围图</w:t>
      </w:r>
    </w:p>
    <w:p w14:paraId="12CBB7EC">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56" w:name="_Toc14636"/>
      <w:r>
        <w:rPr>
          <w:rFonts w:hint="default" w:ascii="Times New Roman" w:hAnsi="Times New Roman" w:eastAsia="黑体" w:cs="Times New Roman"/>
          <w:color w:val="auto"/>
          <w:sz w:val="28"/>
          <w:szCs w:val="20"/>
          <w:lang w:val="en-US" w:eastAsia="zh-CN" w:bidi="ar-SA"/>
        </w:rPr>
        <w:t>环境保护对象及目标</w:t>
      </w:r>
      <w:bookmarkEnd w:id="150"/>
      <w:bookmarkEnd w:id="151"/>
      <w:bookmarkEnd w:id="152"/>
      <w:bookmarkEnd w:id="153"/>
      <w:bookmarkEnd w:id="154"/>
      <w:bookmarkEnd w:id="156"/>
    </w:p>
    <w:p w14:paraId="63D4008F">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不在国家法律、法规、规章和规划确定或县级及以上人民政府规定的自然保护区、风景名胜区、饮用水源保护区、基本农田保护区和其他需要特别保护的区域内，其主要保护对象及目标为本项目所在地周围居民区。本项目环境空气保护目标见表1-10。</w:t>
      </w:r>
    </w:p>
    <w:p w14:paraId="54466BA1">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表1-10环境空气敏感目标的分布情况</w:t>
      </w:r>
    </w:p>
    <w:tbl>
      <w:tblPr>
        <w:tblStyle w:val="3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1301"/>
        <w:gridCol w:w="1369"/>
        <w:gridCol w:w="1002"/>
        <w:gridCol w:w="782"/>
        <w:gridCol w:w="1838"/>
        <w:gridCol w:w="661"/>
        <w:gridCol w:w="937"/>
      </w:tblGrid>
      <w:tr w14:paraId="4352B9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88" w:type="pct"/>
            <w:vMerge w:val="restart"/>
            <w:noWrap w:val="0"/>
            <w:vAlign w:val="center"/>
          </w:tcPr>
          <w:p w14:paraId="0434636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名称</w:t>
            </w:r>
          </w:p>
        </w:tc>
        <w:tc>
          <w:tcPr>
            <w:tcW w:w="1492" w:type="pct"/>
            <w:gridSpan w:val="2"/>
            <w:noWrap w:val="0"/>
            <w:vAlign w:val="center"/>
          </w:tcPr>
          <w:p w14:paraId="6AD68FB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坐标/°</w:t>
            </w:r>
          </w:p>
        </w:tc>
        <w:tc>
          <w:tcPr>
            <w:tcW w:w="560" w:type="pct"/>
            <w:vMerge w:val="restart"/>
            <w:noWrap w:val="0"/>
            <w:vAlign w:val="center"/>
          </w:tcPr>
          <w:p w14:paraId="2622A065">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保护对象</w:t>
            </w:r>
          </w:p>
        </w:tc>
        <w:tc>
          <w:tcPr>
            <w:tcW w:w="437" w:type="pct"/>
            <w:vMerge w:val="restart"/>
            <w:noWrap w:val="0"/>
            <w:vAlign w:val="center"/>
          </w:tcPr>
          <w:p w14:paraId="583DA15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保护内容</w:t>
            </w:r>
          </w:p>
        </w:tc>
        <w:tc>
          <w:tcPr>
            <w:tcW w:w="1027" w:type="pct"/>
            <w:vMerge w:val="restart"/>
            <w:noWrap w:val="0"/>
            <w:vAlign w:val="center"/>
          </w:tcPr>
          <w:p w14:paraId="0820395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环境功能区</w:t>
            </w:r>
          </w:p>
        </w:tc>
        <w:tc>
          <w:tcPr>
            <w:tcW w:w="369" w:type="pct"/>
            <w:vMerge w:val="restart"/>
            <w:noWrap w:val="0"/>
            <w:vAlign w:val="center"/>
          </w:tcPr>
          <w:p w14:paraId="360FFDA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相对厂址方位</w:t>
            </w:r>
          </w:p>
        </w:tc>
        <w:tc>
          <w:tcPr>
            <w:tcW w:w="523" w:type="pct"/>
            <w:vMerge w:val="restart"/>
            <w:noWrap w:val="0"/>
            <w:vAlign w:val="center"/>
          </w:tcPr>
          <w:p w14:paraId="6BB4C03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相对厂址距离/m</w:t>
            </w:r>
          </w:p>
        </w:tc>
      </w:tr>
      <w:tr w14:paraId="6C995E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05CCBE2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727" w:type="pct"/>
            <w:noWrap w:val="0"/>
            <w:vAlign w:val="center"/>
          </w:tcPr>
          <w:p w14:paraId="5DF2912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经度</w:t>
            </w:r>
          </w:p>
        </w:tc>
        <w:tc>
          <w:tcPr>
            <w:tcW w:w="765" w:type="pct"/>
            <w:noWrap w:val="0"/>
            <w:vAlign w:val="center"/>
          </w:tcPr>
          <w:p w14:paraId="28166CA1">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纬度</w:t>
            </w:r>
          </w:p>
        </w:tc>
        <w:tc>
          <w:tcPr>
            <w:tcW w:w="560" w:type="pct"/>
            <w:vMerge w:val="continue"/>
            <w:noWrap w:val="0"/>
            <w:vAlign w:val="center"/>
          </w:tcPr>
          <w:p w14:paraId="242ACE0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437" w:type="pct"/>
            <w:vMerge w:val="continue"/>
            <w:noWrap w:val="0"/>
            <w:vAlign w:val="center"/>
          </w:tcPr>
          <w:p w14:paraId="5776B49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1027" w:type="pct"/>
            <w:vMerge w:val="continue"/>
            <w:noWrap w:val="0"/>
            <w:vAlign w:val="center"/>
          </w:tcPr>
          <w:p w14:paraId="37F2F9D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369" w:type="pct"/>
            <w:vMerge w:val="continue"/>
            <w:noWrap w:val="0"/>
            <w:vAlign w:val="center"/>
          </w:tcPr>
          <w:p w14:paraId="33D4805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523" w:type="pct"/>
            <w:vMerge w:val="continue"/>
            <w:noWrap w:val="0"/>
            <w:vAlign w:val="center"/>
          </w:tcPr>
          <w:p w14:paraId="5E33E6E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r>
      <w:tr w14:paraId="2E638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88" w:type="pct"/>
            <w:vMerge w:val="restart"/>
            <w:noWrap w:val="0"/>
            <w:vAlign w:val="center"/>
          </w:tcPr>
          <w:p w14:paraId="630B0A5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eastAsia" w:ascii="宋体" w:hAnsi="Calibri"/>
                <w:bCs/>
                <w:color w:val="FF0000"/>
                <w:kern w:val="0"/>
                <w:sz w:val="21"/>
                <w:szCs w:val="21"/>
                <w:highlight w:val="none"/>
                <w:lang w:val="en-US" w:eastAsia="zh-CN"/>
              </w:rPr>
              <w:t>红旗村</w:t>
            </w:r>
          </w:p>
        </w:tc>
        <w:tc>
          <w:tcPr>
            <w:tcW w:w="727" w:type="pct"/>
            <w:vMerge w:val="restart"/>
            <w:noWrap w:val="0"/>
            <w:vAlign w:val="center"/>
          </w:tcPr>
          <w:p w14:paraId="11CCF6B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128.950653°</w:t>
            </w:r>
          </w:p>
        </w:tc>
        <w:tc>
          <w:tcPr>
            <w:tcW w:w="765" w:type="pct"/>
            <w:vMerge w:val="restart"/>
            <w:noWrap w:val="0"/>
            <w:vAlign w:val="center"/>
          </w:tcPr>
          <w:p w14:paraId="15659DF2">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47.699826°</w:t>
            </w:r>
          </w:p>
        </w:tc>
        <w:tc>
          <w:tcPr>
            <w:tcW w:w="560" w:type="pct"/>
            <w:vMerge w:val="restart"/>
            <w:noWrap w:val="0"/>
            <w:vAlign w:val="center"/>
          </w:tcPr>
          <w:p w14:paraId="7436EA6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居民</w:t>
            </w:r>
          </w:p>
        </w:tc>
        <w:tc>
          <w:tcPr>
            <w:tcW w:w="437" w:type="pct"/>
            <w:vMerge w:val="restart"/>
            <w:noWrap w:val="0"/>
            <w:vAlign w:val="center"/>
          </w:tcPr>
          <w:p w14:paraId="7A93A36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大气环境</w:t>
            </w:r>
          </w:p>
        </w:tc>
        <w:tc>
          <w:tcPr>
            <w:tcW w:w="1027" w:type="pct"/>
            <w:vMerge w:val="restart"/>
            <w:noWrap w:val="0"/>
            <w:vAlign w:val="center"/>
          </w:tcPr>
          <w:p w14:paraId="1C86D544">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Calibri"/>
                <w:color w:val="FF0000"/>
                <w:kern w:val="0"/>
                <w:sz w:val="21"/>
                <w:szCs w:val="21"/>
                <w:highlight w:val="none"/>
              </w:rPr>
              <w:t>《环境空气质量标准》（GB3095-20</w:t>
            </w:r>
            <w:r>
              <w:rPr>
                <w:rFonts w:hint="eastAsia" w:ascii="宋体" w:hAnsi="Calibri"/>
                <w:color w:val="FF0000"/>
                <w:kern w:val="0"/>
                <w:sz w:val="21"/>
                <w:szCs w:val="21"/>
                <w:highlight w:val="none"/>
                <w:lang w:val="en-US" w:eastAsia="zh-CN"/>
              </w:rPr>
              <w:t>26</w:t>
            </w:r>
            <w:r>
              <w:rPr>
                <w:rFonts w:hint="default" w:ascii="Times New Roman" w:hAnsi="Calibri"/>
                <w:color w:val="FF0000"/>
                <w:kern w:val="0"/>
                <w:sz w:val="21"/>
                <w:szCs w:val="21"/>
                <w:highlight w:val="none"/>
              </w:rPr>
              <w:t>）二类区</w:t>
            </w:r>
          </w:p>
        </w:tc>
        <w:tc>
          <w:tcPr>
            <w:tcW w:w="369" w:type="pct"/>
            <w:noWrap w:val="0"/>
            <w:vAlign w:val="center"/>
          </w:tcPr>
          <w:p w14:paraId="4034F0FB">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w:t>
            </w:r>
          </w:p>
        </w:tc>
        <w:tc>
          <w:tcPr>
            <w:tcW w:w="523" w:type="pct"/>
            <w:noWrap w:val="0"/>
            <w:vAlign w:val="center"/>
          </w:tcPr>
          <w:p w14:paraId="485FE0E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15</w:t>
            </w:r>
          </w:p>
        </w:tc>
      </w:tr>
      <w:tr w14:paraId="0BA50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1C4B2961">
            <w:pPr>
              <w:keepNext w:val="0"/>
              <w:keepLines w:val="0"/>
              <w:suppressLineNumbers w:val="0"/>
              <w:spacing w:before="0" w:beforeAutospacing="0" w:after="0" w:afterAutospacing="0" w:line="320" w:lineRule="exact"/>
              <w:ind w:left="0" w:right="0"/>
              <w:jc w:val="center"/>
              <w:rPr>
                <w:rFonts w:hint="eastAsia" w:ascii="宋体" w:hAnsi="Calibri"/>
                <w:bCs/>
                <w:color w:val="FF0000"/>
                <w:kern w:val="0"/>
                <w:sz w:val="21"/>
                <w:szCs w:val="21"/>
                <w:highlight w:val="none"/>
                <w:lang w:val="en-US" w:eastAsia="zh-CN"/>
              </w:rPr>
            </w:pPr>
          </w:p>
        </w:tc>
        <w:tc>
          <w:tcPr>
            <w:tcW w:w="727" w:type="pct"/>
            <w:vMerge w:val="continue"/>
            <w:noWrap w:val="0"/>
            <w:vAlign w:val="center"/>
          </w:tcPr>
          <w:p w14:paraId="1FBDBD6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765" w:type="pct"/>
            <w:vMerge w:val="continue"/>
            <w:noWrap w:val="0"/>
            <w:vAlign w:val="center"/>
          </w:tcPr>
          <w:p w14:paraId="2FC012A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560" w:type="pct"/>
            <w:vMerge w:val="continue"/>
            <w:noWrap w:val="0"/>
            <w:vAlign w:val="center"/>
          </w:tcPr>
          <w:p w14:paraId="263A846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437" w:type="pct"/>
            <w:vMerge w:val="continue"/>
            <w:noWrap w:val="0"/>
            <w:vAlign w:val="center"/>
          </w:tcPr>
          <w:p w14:paraId="7FA3280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1027" w:type="pct"/>
            <w:vMerge w:val="continue"/>
            <w:noWrap w:val="0"/>
            <w:vAlign w:val="center"/>
          </w:tcPr>
          <w:p w14:paraId="0F40628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369" w:type="pct"/>
            <w:noWrap w:val="0"/>
            <w:vAlign w:val="center"/>
          </w:tcPr>
          <w:p w14:paraId="71723ECE">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FF0000"/>
                <w:kern w:val="0"/>
                <w:sz w:val="21"/>
                <w:szCs w:val="21"/>
                <w:lang w:val="en-US" w:eastAsia="zh-CN"/>
              </w:rPr>
            </w:pPr>
            <w:r>
              <w:rPr>
                <w:rFonts w:hint="eastAsia" w:ascii="宋体" w:hAnsi="Calibri"/>
                <w:color w:val="FF0000"/>
                <w:kern w:val="0"/>
                <w:sz w:val="21"/>
                <w:szCs w:val="21"/>
                <w:highlight w:val="none"/>
                <w:lang w:val="en-US" w:eastAsia="zh-CN"/>
              </w:rPr>
              <w:t>N</w:t>
            </w:r>
          </w:p>
        </w:tc>
        <w:tc>
          <w:tcPr>
            <w:tcW w:w="523" w:type="pct"/>
            <w:noWrap w:val="0"/>
            <w:vAlign w:val="center"/>
          </w:tcPr>
          <w:p w14:paraId="51874ED8">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FF0000"/>
                <w:kern w:val="0"/>
                <w:sz w:val="21"/>
                <w:szCs w:val="21"/>
                <w:lang w:val="en-US" w:eastAsia="zh-CN"/>
              </w:rPr>
            </w:pPr>
            <w:r>
              <w:rPr>
                <w:rFonts w:hint="eastAsia" w:ascii="Times New Roman" w:hAnsi="Times New Roman" w:eastAsia="宋体" w:cs="Times New Roman"/>
                <w:color w:val="FF0000"/>
                <w:kern w:val="0"/>
                <w:sz w:val="21"/>
                <w:szCs w:val="21"/>
                <w:lang w:val="en-US" w:eastAsia="zh-CN"/>
              </w:rPr>
              <w:t>740</w:t>
            </w:r>
          </w:p>
        </w:tc>
      </w:tr>
      <w:tr w14:paraId="7A33F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710C405D">
            <w:pPr>
              <w:keepNext w:val="0"/>
              <w:keepLines w:val="0"/>
              <w:suppressLineNumbers w:val="0"/>
              <w:spacing w:before="0" w:beforeAutospacing="0" w:after="0" w:afterAutospacing="0" w:line="320" w:lineRule="exact"/>
              <w:ind w:left="0" w:right="0"/>
              <w:jc w:val="center"/>
              <w:rPr>
                <w:rFonts w:hint="eastAsia" w:ascii="宋体" w:hAnsi="Calibri"/>
                <w:bCs/>
                <w:color w:val="FF0000"/>
                <w:kern w:val="0"/>
                <w:sz w:val="21"/>
                <w:szCs w:val="21"/>
                <w:highlight w:val="none"/>
                <w:lang w:val="en-US" w:eastAsia="zh-CN"/>
              </w:rPr>
            </w:pPr>
          </w:p>
        </w:tc>
        <w:tc>
          <w:tcPr>
            <w:tcW w:w="727" w:type="pct"/>
            <w:vMerge w:val="continue"/>
            <w:noWrap w:val="0"/>
            <w:vAlign w:val="center"/>
          </w:tcPr>
          <w:p w14:paraId="124B281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765" w:type="pct"/>
            <w:vMerge w:val="continue"/>
            <w:noWrap w:val="0"/>
            <w:vAlign w:val="center"/>
          </w:tcPr>
          <w:p w14:paraId="6B7F5E2C">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560" w:type="pct"/>
            <w:vMerge w:val="continue"/>
            <w:noWrap w:val="0"/>
            <w:vAlign w:val="center"/>
          </w:tcPr>
          <w:p w14:paraId="7EDD4FF5">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437" w:type="pct"/>
            <w:vMerge w:val="continue"/>
            <w:noWrap w:val="0"/>
            <w:vAlign w:val="center"/>
          </w:tcPr>
          <w:p w14:paraId="0A219EF7">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1027" w:type="pct"/>
            <w:vMerge w:val="continue"/>
            <w:noWrap w:val="0"/>
            <w:vAlign w:val="center"/>
          </w:tcPr>
          <w:p w14:paraId="2DB4AA80">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369" w:type="pct"/>
            <w:noWrap w:val="0"/>
            <w:vAlign w:val="center"/>
          </w:tcPr>
          <w:p w14:paraId="41C9E121">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eastAsia" w:ascii="Times New Roman" w:hAnsi="Calibri" w:eastAsia="宋体"/>
                <w:color w:val="FF0000"/>
                <w:kern w:val="0"/>
                <w:sz w:val="21"/>
                <w:szCs w:val="21"/>
                <w:highlight w:val="none"/>
                <w:lang w:val="en-US" w:eastAsia="zh-CN"/>
              </w:rPr>
              <w:t>E</w:t>
            </w:r>
          </w:p>
        </w:tc>
        <w:tc>
          <w:tcPr>
            <w:tcW w:w="523" w:type="pct"/>
            <w:noWrap w:val="0"/>
            <w:vAlign w:val="center"/>
          </w:tcPr>
          <w:p w14:paraId="669D471D">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FF0000"/>
                <w:kern w:val="0"/>
                <w:sz w:val="21"/>
                <w:szCs w:val="21"/>
                <w:lang w:val="en-US" w:eastAsia="zh-CN"/>
              </w:rPr>
            </w:pPr>
            <w:r>
              <w:rPr>
                <w:rFonts w:hint="eastAsia" w:ascii="Times New Roman" w:hAnsi="Times New Roman" w:eastAsia="宋体" w:cs="Times New Roman"/>
                <w:color w:val="FF0000"/>
                <w:kern w:val="0"/>
                <w:sz w:val="21"/>
                <w:szCs w:val="21"/>
                <w:lang w:val="en-US" w:eastAsia="zh-CN"/>
              </w:rPr>
              <w:t>260</w:t>
            </w:r>
          </w:p>
        </w:tc>
      </w:tr>
      <w:tr w14:paraId="42263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noWrap w:val="0"/>
            <w:vAlign w:val="center"/>
          </w:tcPr>
          <w:p w14:paraId="14415933">
            <w:pPr>
              <w:keepNext w:val="0"/>
              <w:keepLines w:val="0"/>
              <w:suppressLineNumbers w:val="0"/>
              <w:spacing w:before="0" w:beforeAutospacing="0" w:after="0" w:afterAutospacing="0" w:line="320" w:lineRule="exact"/>
              <w:ind w:left="0" w:right="0"/>
              <w:jc w:val="center"/>
              <w:rPr>
                <w:rFonts w:hint="eastAsia" w:ascii="宋体" w:hAnsi="Calibri"/>
                <w:bCs/>
                <w:color w:val="FF0000"/>
                <w:kern w:val="0"/>
                <w:sz w:val="21"/>
                <w:szCs w:val="21"/>
                <w:highlight w:val="none"/>
                <w:lang w:val="en-US" w:eastAsia="zh-CN"/>
              </w:rPr>
            </w:pPr>
          </w:p>
        </w:tc>
        <w:tc>
          <w:tcPr>
            <w:tcW w:w="727" w:type="pct"/>
            <w:vMerge w:val="continue"/>
            <w:noWrap w:val="0"/>
            <w:vAlign w:val="center"/>
          </w:tcPr>
          <w:p w14:paraId="12FABD4F">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765" w:type="pct"/>
            <w:vMerge w:val="continue"/>
            <w:noWrap w:val="0"/>
            <w:vAlign w:val="center"/>
          </w:tcPr>
          <w:p w14:paraId="432089F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560" w:type="pct"/>
            <w:vMerge w:val="continue"/>
            <w:noWrap w:val="0"/>
            <w:vAlign w:val="center"/>
          </w:tcPr>
          <w:p w14:paraId="6C55BBA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437" w:type="pct"/>
            <w:vMerge w:val="continue"/>
            <w:noWrap w:val="0"/>
            <w:vAlign w:val="center"/>
          </w:tcPr>
          <w:p w14:paraId="72C455D3">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1027" w:type="pct"/>
            <w:vMerge w:val="continue"/>
            <w:noWrap w:val="0"/>
            <w:vAlign w:val="center"/>
          </w:tcPr>
          <w:p w14:paraId="149287DA">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auto"/>
                <w:kern w:val="0"/>
                <w:sz w:val="21"/>
                <w:szCs w:val="21"/>
                <w:lang w:val="en-US" w:eastAsia="zh-CN"/>
              </w:rPr>
            </w:pPr>
          </w:p>
        </w:tc>
        <w:tc>
          <w:tcPr>
            <w:tcW w:w="369" w:type="pct"/>
            <w:noWrap w:val="0"/>
            <w:vAlign w:val="center"/>
          </w:tcPr>
          <w:p w14:paraId="0BD8BCC2">
            <w:pPr>
              <w:keepNext w:val="0"/>
              <w:keepLines w:val="0"/>
              <w:suppressLineNumbers w:val="0"/>
              <w:adjustRightInd w:val="0"/>
              <w:snapToGrid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rPr>
            </w:pPr>
            <w:r>
              <w:rPr>
                <w:rFonts w:hint="eastAsia" w:ascii="宋体" w:hAnsi="Calibri"/>
                <w:color w:val="FF0000"/>
                <w:kern w:val="0"/>
                <w:sz w:val="21"/>
                <w:szCs w:val="21"/>
                <w:highlight w:val="none"/>
                <w:lang w:val="en-US" w:eastAsia="zh-CN"/>
              </w:rPr>
              <w:t>S</w:t>
            </w:r>
          </w:p>
        </w:tc>
        <w:tc>
          <w:tcPr>
            <w:tcW w:w="523" w:type="pct"/>
            <w:noWrap w:val="0"/>
            <w:vAlign w:val="center"/>
          </w:tcPr>
          <w:p w14:paraId="0A2676B5">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color w:val="FF0000"/>
                <w:kern w:val="0"/>
                <w:sz w:val="21"/>
                <w:szCs w:val="21"/>
                <w:lang w:val="en-US" w:eastAsia="zh-CN"/>
              </w:rPr>
            </w:pPr>
            <w:r>
              <w:rPr>
                <w:rFonts w:hint="eastAsia" w:ascii="Times New Roman" w:hAnsi="Times New Roman" w:eastAsia="宋体" w:cs="Times New Roman"/>
                <w:color w:val="FF0000"/>
                <w:kern w:val="0"/>
                <w:sz w:val="21"/>
                <w:szCs w:val="21"/>
                <w:lang w:val="en-US" w:eastAsia="zh-CN"/>
              </w:rPr>
              <w:t>450</w:t>
            </w:r>
          </w:p>
        </w:tc>
      </w:tr>
    </w:tbl>
    <w:p w14:paraId="4A49092C">
      <w:pPr>
        <w:widowControl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p>
    <w:p w14:paraId="672E1A4E">
      <w:pPr>
        <w:widowControl w:val="0"/>
        <w:jc w:val="both"/>
        <w:rPr>
          <w:rFonts w:hint="default" w:ascii="Times New Roman" w:hAnsi="Times New Roman" w:eastAsia="宋体" w:cs="Times New Roman"/>
          <w:color w:val="auto"/>
          <w:sz w:val="24"/>
          <w:lang w:val="en-US" w:eastAsia="zh-CN" w:bidi="ar-SA"/>
        </w:rPr>
      </w:pPr>
      <w:r>
        <w:rPr>
          <w:rFonts w:hint="default" w:ascii="Times New Roman" w:hAnsi="Times New Roman" w:eastAsia="宋体" w:cs="Times New Roman"/>
          <w:color w:val="auto"/>
          <w:sz w:val="24"/>
          <w:lang w:val="en-US" w:eastAsia="zh-CN" w:bidi="ar-SA"/>
        </w:rPr>
        <w:drawing>
          <wp:inline distT="0" distB="0" distL="114300" distR="114300">
            <wp:extent cx="5542915" cy="4828540"/>
            <wp:effectExtent l="0" t="0" r="635" b="1016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pic:cNvPicPr>
                  </pic:nvPicPr>
                  <pic:blipFill>
                    <a:blip r:embed="rId34"/>
                    <a:stretch>
                      <a:fillRect/>
                    </a:stretch>
                  </pic:blipFill>
                  <pic:spPr>
                    <a:xfrm>
                      <a:off x="0" y="0"/>
                      <a:ext cx="5542915" cy="4828540"/>
                    </a:xfrm>
                    <a:prstGeom prst="rect">
                      <a:avLst/>
                    </a:prstGeom>
                    <a:noFill/>
                    <a:ln>
                      <a:noFill/>
                    </a:ln>
                  </pic:spPr>
                </pic:pic>
              </a:graphicData>
            </a:graphic>
          </wp:inline>
        </w:drawing>
      </w:r>
    </w:p>
    <w:p w14:paraId="50418708">
      <w:pPr>
        <w:widowControl w:val="0"/>
        <w:jc w:val="both"/>
        <w:rPr>
          <w:rFonts w:hint="default" w:ascii="Times New Roman" w:hAnsi="Times New Roman" w:eastAsia="宋体" w:cs="Times New Roman"/>
          <w:color w:val="auto"/>
          <w:sz w:val="24"/>
          <w:lang w:val="en-US" w:eastAsia="zh-CN" w:bidi="ar-SA"/>
        </w:rPr>
      </w:pPr>
    </w:p>
    <w:p w14:paraId="6B36EDE6">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图1-2环境空气保护目标图</w:t>
      </w:r>
    </w:p>
    <w:p w14:paraId="1E84AE13">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bookmarkStart w:id="157" w:name="_Toc307229333"/>
      <w:bookmarkStart w:id="158" w:name="_Toc254590510"/>
      <w:bookmarkStart w:id="159" w:name="_Toc307947594"/>
      <w:bookmarkStart w:id="160" w:name="_Toc261009850"/>
    </w:p>
    <w:p w14:paraId="215AD7B9">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p>
    <w:p w14:paraId="45D73D63">
      <w:pPr>
        <w:widowControl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p>
    <w:p w14:paraId="162B2CD8">
      <w:pPr>
        <w:rPr>
          <w:rFonts w:hint="default" w:ascii="Times New Roman" w:hAnsi="Times New Roman" w:cs="Times New Roman"/>
          <w:color w:val="auto"/>
          <w:lang w:val="en-US" w:eastAsia="zh-CN"/>
        </w:rPr>
        <w:sectPr>
          <w:footerReference r:id="rId10" w:type="default"/>
          <w:pgSz w:w="11907" w:h="16840"/>
          <w:pgMar w:top="1418" w:right="1588" w:bottom="1418" w:left="1588" w:header="907" w:footer="1372" w:gutter="0"/>
          <w:pgBorders>
            <w:top w:val="none" w:sz="0" w:space="0"/>
            <w:left w:val="none" w:sz="0" w:space="0"/>
            <w:bottom w:val="none" w:sz="0" w:space="0"/>
            <w:right w:val="none" w:sz="0" w:space="0"/>
          </w:pgBorders>
          <w:pgNumType w:fmt="decimal"/>
          <w:cols w:space="720" w:num="1"/>
          <w:docGrid w:linePitch="321" w:charSpace="0"/>
        </w:sectPr>
      </w:pPr>
    </w:p>
    <w:bookmarkEnd w:id="157"/>
    <w:bookmarkEnd w:id="158"/>
    <w:bookmarkEnd w:id="159"/>
    <w:bookmarkEnd w:id="160"/>
    <w:p w14:paraId="2AE22A17">
      <w:pPr>
        <w:widowControl w:val="0"/>
        <w:numPr>
          <w:ilvl w:val="0"/>
          <w:numId w:val="1"/>
        </w:numPr>
        <w:spacing w:before="332" w:beforeLines="10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161" w:name="_Toc344060671"/>
      <w:bookmarkStart w:id="162" w:name="_Toc307229344"/>
      <w:bookmarkStart w:id="163" w:name="_Toc245605576"/>
      <w:bookmarkStart w:id="164" w:name="_Toc3654"/>
      <w:bookmarkStart w:id="165" w:name="_Toc353554863"/>
      <w:bookmarkStart w:id="166" w:name="_Toc307947597"/>
      <w:r>
        <w:rPr>
          <w:rFonts w:hint="default" w:ascii="Times New Roman" w:hAnsi="Times New Roman" w:eastAsia="黑体" w:cs="Times New Roman"/>
          <w:color w:val="auto"/>
          <w:kern w:val="2"/>
          <w:sz w:val="36"/>
          <w:szCs w:val="24"/>
          <w:lang w:val="en-US" w:eastAsia="zh-CN" w:bidi="ar-SA"/>
        </w:rPr>
        <w:t>工程概况</w:t>
      </w:r>
      <w:bookmarkEnd w:id="161"/>
      <w:bookmarkEnd w:id="162"/>
      <w:bookmarkEnd w:id="163"/>
      <w:bookmarkEnd w:id="164"/>
      <w:bookmarkEnd w:id="165"/>
      <w:bookmarkEnd w:id="166"/>
    </w:p>
    <w:p w14:paraId="34BBC411">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67" w:name="_Toc15601"/>
      <w:bookmarkStart w:id="168" w:name="_Toc269160703"/>
      <w:bookmarkStart w:id="169" w:name="_Toc474930345"/>
      <w:bookmarkStart w:id="170" w:name="_Toc7599"/>
      <w:bookmarkStart w:id="171" w:name="_Toc261886964"/>
      <w:bookmarkStart w:id="172" w:name="_Toc269161083"/>
      <w:bookmarkStart w:id="173" w:name="_Toc269160404"/>
      <w:bookmarkStart w:id="174" w:name="_Toc9475"/>
      <w:bookmarkStart w:id="175" w:name="_Toc474929615"/>
      <w:r>
        <w:rPr>
          <w:rFonts w:hint="default" w:ascii="Times New Roman" w:hAnsi="Times New Roman" w:eastAsia="黑体" w:cs="Times New Roman"/>
          <w:color w:val="auto"/>
          <w:sz w:val="28"/>
          <w:szCs w:val="20"/>
          <w:lang w:val="en-US" w:eastAsia="zh-CN" w:bidi="ar-SA"/>
        </w:rPr>
        <w:t>项目概况</w:t>
      </w:r>
      <w:bookmarkEnd w:id="167"/>
    </w:p>
    <w:bookmarkEnd w:id="168"/>
    <w:bookmarkEnd w:id="169"/>
    <w:bookmarkEnd w:id="170"/>
    <w:bookmarkEnd w:id="171"/>
    <w:bookmarkEnd w:id="172"/>
    <w:bookmarkEnd w:id="173"/>
    <w:bookmarkEnd w:id="174"/>
    <w:bookmarkEnd w:id="175"/>
    <w:p w14:paraId="7698ECE6">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项目名称：</w:t>
      </w:r>
      <w:r>
        <w:rPr>
          <w:rFonts w:hint="eastAsia" w:ascii="宋体" w:hAnsi="Calibri" w:eastAsia="宋体" w:cs="Times New Roman"/>
          <w:color w:val="auto"/>
          <w:sz w:val="24"/>
          <w:szCs w:val="20"/>
          <w:lang w:val="en-US" w:eastAsia="zh-CN" w:bidi="ar-SA"/>
        </w:rPr>
        <w:t>伊春市公用市政建筑安装有限公司改扩建项目</w:t>
      </w:r>
    </w:p>
    <w:p w14:paraId="0F112BAF">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建设性质：</w:t>
      </w:r>
      <w:r>
        <w:rPr>
          <w:rFonts w:hint="eastAsia" w:ascii="宋体" w:hAnsi="Calibri" w:eastAsia="宋体" w:cs="Times New Roman"/>
          <w:color w:val="auto"/>
          <w:sz w:val="24"/>
          <w:szCs w:val="20"/>
          <w:lang w:val="en-US" w:eastAsia="zh-CN" w:bidi="ar-SA"/>
        </w:rPr>
        <w:t>改扩建</w:t>
      </w:r>
    </w:p>
    <w:p w14:paraId="3B83CC3E">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建设单位：伊春市公用市政建筑安装有限公司</w:t>
      </w:r>
    </w:p>
    <w:p w14:paraId="69AA6F87">
      <w:pPr>
        <w:keepNext w:val="0"/>
        <w:keepLines w:val="0"/>
        <w:widowControl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color w:val="auto"/>
          <w:sz w:val="24"/>
          <w:szCs w:val="20"/>
          <w:lang w:val="en-US" w:eastAsia="zh-CN" w:bidi="ar-SA"/>
        </w:rPr>
      </w:pPr>
      <w:r>
        <w:rPr>
          <w:rFonts w:hint="eastAsia" w:ascii="宋体" w:hAnsi="Calibri" w:eastAsia="宋体" w:cs="Times New Roman"/>
          <w:color w:val="auto"/>
          <w:sz w:val="24"/>
          <w:szCs w:val="20"/>
          <w:lang w:val="en-US" w:eastAsia="zh-CN" w:bidi="ar-SA"/>
        </w:rPr>
        <w:t>建设地点：</w:t>
      </w:r>
      <w:r>
        <w:rPr>
          <w:rFonts w:hint="default" w:ascii="Times New Roman" w:hAnsi="Times New Roman" w:eastAsia="宋体" w:cs="Times New Roman"/>
          <w:color w:val="auto"/>
          <w:sz w:val="24"/>
          <w:szCs w:val="20"/>
          <w:lang w:val="en-US" w:eastAsia="zh-CN" w:bidi="ar-SA"/>
        </w:rPr>
        <w:t>本项目位于</w:t>
      </w:r>
      <w:r>
        <w:rPr>
          <w:rFonts w:hint="eastAsia" w:ascii="宋体" w:hAnsi="Calibri" w:eastAsia="宋体" w:cs="宋体"/>
          <w:color w:val="auto"/>
          <w:sz w:val="24"/>
          <w:szCs w:val="20"/>
          <w:lang w:val="en-US" w:eastAsia="zh-CN" w:bidi="ar-SA"/>
        </w:rPr>
        <w:t>伊春市伊美区101号（原乌马河红旗贮木场），在现有厂区内进行扩建</w:t>
      </w:r>
      <w:r>
        <w:rPr>
          <w:rFonts w:hint="default" w:ascii="Times New Roman" w:hAnsi="Times New Roman" w:eastAsia="宋体" w:cs="Times New Roman"/>
          <w:color w:val="auto"/>
          <w:sz w:val="24"/>
          <w:szCs w:val="20"/>
          <w:lang w:val="en-US" w:eastAsia="zh-CN" w:bidi="ar-SA"/>
        </w:rPr>
        <w:t>，</w:t>
      </w:r>
      <w:r>
        <w:rPr>
          <w:rFonts w:hint="eastAsia" w:ascii="宋体" w:hAnsi="Calibri" w:eastAsia="宋体" w:cs="Times New Roman"/>
          <w:color w:val="auto"/>
          <w:sz w:val="24"/>
          <w:szCs w:val="20"/>
          <w:lang w:val="en-US" w:eastAsia="zh-CN" w:bidi="ar-SA"/>
        </w:rPr>
        <w:t>厂址东侧及南侧为空地，西侧为红旗村，北侧为路桥公司。</w:t>
      </w:r>
    </w:p>
    <w:p w14:paraId="0FE59A43">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占地面积：</w:t>
      </w:r>
      <w:r>
        <w:rPr>
          <w:rFonts w:hint="eastAsia" w:ascii="宋体" w:hAnsi="Calibri" w:eastAsia="宋体" w:cs="Times New Roman"/>
          <w:color w:val="auto"/>
          <w:sz w:val="24"/>
          <w:szCs w:val="20"/>
          <w:lang w:val="en-US" w:eastAsia="zh-CN" w:bidi="ar-SA"/>
        </w:rPr>
        <w:t>本项目现有占地面积37000m</w:t>
      </w:r>
      <w:r>
        <w:rPr>
          <w:rFonts w:hint="eastAsia" w:ascii="宋体" w:hAnsi="Calibri" w:eastAsia="宋体" w:cs="Times New Roman"/>
          <w:color w:val="auto"/>
          <w:sz w:val="24"/>
          <w:szCs w:val="20"/>
          <w:vertAlign w:val="superscript"/>
          <w:lang w:val="en-US" w:eastAsia="zh-CN" w:bidi="ar-SA"/>
        </w:rPr>
        <w:t>2</w:t>
      </w:r>
      <w:r>
        <w:rPr>
          <w:rFonts w:hint="eastAsia" w:ascii="宋体" w:hAnsi="Calibri" w:eastAsia="宋体" w:cs="Times New Roman"/>
          <w:color w:val="auto"/>
          <w:sz w:val="24"/>
          <w:szCs w:val="20"/>
          <w:lang w:val="en-US" w:eastAsia="zh-CN" w:bidi="ar-SA"/>
        </w:rPr>
        <w:t>，本次不新增占地面积。</w:t>
      </w:r>
    </w:p>
    <w:p w14:paraId="3CAA3CB7">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工作制度与职工人数：</w:t>
      </w:r>
      <w:r>
        <w:rPr>
          <w:rFonts w:hint="eastAsia" w:ascii="宋体" w:hAnsi="Calibri" w:eastAsia="宋体" w:cs="Times New Roman"/>
          <w:color w:val="auto"/>
          <w:sz w:val="24"/>
          <w:szCs w:val="20"/>
          <w:lang w:val="en-US" w:eastAsia="zh-CN" w:bidi="ar-SA"/>
        </w:rPr>
        <w:t>本项目不新增劳动定员，本项目年运行8个月（3月中旬至11月中旬），240天，每天运行12小时，冬季不生产。</w:t>
      </w:r>
    </w:p>
    <w:p w14:paraId="6E86D5C6">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建设</w:t>
      </w:r>
      <w:r>
        <w:rPr>
          <w:rFonts w:hint="eastAsia" w:ascii="宋体" w:hAnsi="Calibri" w:eastAsia="宋体" w:cs="Times New Roman"/>
          <w:color w:val="auto"/>
          <w:sz w:val="24"/>
          <w:szCs w:val="20"/>
          <w:lang w:val="en-US" w:eastAsia="zh-CN" w:bidi="ar-SA"/>
        </w:rPr>
        <w:t>内容及</w:t>
      </w:r>
      <w:r>
        <w:rPr>
          <w:rFonts w:hint="default" w:ascii="Times New Roman" w:hAnsi="Times New Roman" w:eastAsia="宋体" w:cs="Times New Roman"/>
          <w:color w:val="auto"/>
          <w:sz w:val="24"/>
          <w:szCs w:val="20"/>
          <w:lang w:val="en-US" w:eastAsia="zh-CN" w:bidi="ar-SA"/>
        </w:rPr>
        <w:t>规模：</w:t>
      </w:r>
      <w:r>
        <w:rPr>
          <w:rFonts w:hint="eastAsia" w:ascii="宋体" w:hAnsi="Calibri" w:eastAsia="宋体" w:cs="Times New Roman"/>
          <w:color w:val="auto"/>
          <w:sz w:val="24"/>
          <w:szCs w:val="20"/>
          <w:lang w:val="en-US" w:eastAsia="zh-CN" w:bidi="ar-SA"/>
        </w:rPr>
        <w:t>因销售需要，通过对</w:t>
      </w:r>
      <w:r>
        <w:rPr>
          <w:rFonts w:hint="eastAsia" w:ascii="Times New Roman" w:hAnsi="Times New Roman" w:eastAsia="宋体" w:cs="Times New Roman"/>
          <w:color w:val="auto"/>
          <w:sz w:val="24"/>
          <w:szCs w:val="20"/>
          <w:lang w:val="en-US" w:eastAsia="zh-CN" w:bidi="ar-SA"/>
        </w:rPr>
        <w:t>现有三一SLB2000C8沥青混凝土生产线增加生产时长</w:t>
      </w:r>
      <w:r>
        <w:rPr>
          <w:rFonts w:hint="eastAsia" w:ascii="宋体" w:hAnsi="Calibri" w:eastAsia="宋体" w:cs="Times New Roman"/>
          <w:color w:val="auto"/>
          <w:sz w:val="24"/>
          <w:szCs w:val="20"/>
          <w:vertAlign w:val="baseline"/>
          <w:lang w:val="en-US" w:eastAsia="zh-CN" w:bidi="ar-SA"/>
        </w:rPr>
        <w:t>，年运行时间增加至8个月，</w:t>
      </w:r>
      <w:r>
        <w:rPr>
          <w:rFonts w:hint="eastAsia" w:ascii="宋体" w:hAnsi="Calibri" w:eastAsia="宋体" w:cs="Times New Roman"/>
          <w:color w:val="auto"/>
          <w:sz w:val="24"/>
          <w:szCs w:val="20"/>
          <w:lang w:val="en-US" w:eastAsia="zh-CN" w:bidi="ar-SA"/>
        </w:rPr>
        <w:t>本次沥青混凝土新增产能为10800t</w:t>
      </w:r>
      <w:r>
        <w:rPr>
          <w:rFonts w:hint="eastAsia" w:ascii="宋体" w:hAnsi="Calibri" w:eastAsia="宋体" w:cs="Times New Roman"/>
          <w:color w:val="auto"/>
          <w:sz w:val="24"/>
          <w:szCs w:val="20"/>
          <w:vertAlign w:val="baseline"/>
          <w:lang w:val="en-US" w:eastAsia="zh-CN" w:bidi="ar-SA"/>
        </w:rPr>
        <w:t>/a。</w:t>
      </w:r>
    </w:p>
    <w:p w14:paraId="1615EFF6">
      <w:pPr>
        <w:keepNext w:val="0"/>
        <w:keepLines w:val="0"/>
        <w:widowControl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0"/>
          <w:lang w:val="en-US" w:eastAsia="zh-CN" w:bidi="ar-SA"/>
        </w:rPr>
      </w:pPr>
      <w:r>
        <w:rPr>
          <w:rFonts w:hint="default" w:ascii="Times New Roman" w:hAnsi="Times New Roman" w:eastAsia="宋体" w:cs="Times New Roman"/>
          <w:color w:val="auto"/>
          <w:sz w:val="24"/>
          <w:szCs w:val="20"/>
          <w:lang w:val="en-US" w:eastAsia="zh-CN" w:bidi="ar-SA"/>
        </w:rPr>
        <w:t>本工程建设的主要内容为主体工程、辅助工程、公用工程和环保工程等，工程基本构成见表2-1。</w:t>
      </w:r>
    </w:p>
    <w:p w14:paraId="497F2CD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4"/>
          <w:szCs w:val="20"/>
        </w:rPr>
      </w:pPr>
      <w:r>
        <w:rPr>
          <w:rFonts w:hint="default" w:ascii="Times New Roman" w:hAnsi="Times New Roman" w:eastAsia="黑体" w:cs="Times New Roman"/>
          <w:b w:val="0"/>
          <w:bCs/>
          <w:color w:val="auto"/>
          <w:kern w:val="0"/>
          <w:sz w:val="24"/>
          <w:szCs w:val="20"/>
        </w:rPr>
        <w:t>表</w:t>
      </w:r>
      <w:r>
        <w:rPr>
          <w:rFonts w:hint="default" w:ascii="Times New Roman" w:hAnsi="Times New Roman" w:eastAsia="黑体" w:cs="Times New Roman"/>
          <w:b w:val="0"/>
          <w:bCs/>
          <w:color w:val="auto"/>
          <w:kern w:val="0"/>
          <w:sz w:val="24"/>
          <w:szCs w:val="20"/>
          <w:lang w:val="en-US" w:eastAsia="zh-CN"/>
        </w:rPr>
        <w:t>2-1</w:t>
      </w:r>
      <w:r>
        <w:rPr>
          <w:rFonts w:hint="default" w:ascii="Times New Roman" w:hAnsi="Times New Roman" w:eastAsia="黑体" w:cs="Times New Roman"/>
          <w:b w:val="0"/>
          <w:bCs/>
          <w:color w:val="auto"/>
          <w:kern w:val="0"/>
          <w:sz w:val="24"/>
          <w:szCs w:val="20"/>
        </w:rPr>
        <w:t>本项目建设内容一览表</w:t>
      </w:r>
    </w:p>
    <w:tbl>
      <w:tblPr>
        <w:tblStyle w:val="35"/>
        <w:tblW w:w="4997" w:type="pct"/>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1522"/>
        <w:gridCol w:w="4666"/>
        <w:gridCol w:w="1229"/>
      </w:tblGrid>
      <w:tr w14:paraId="29833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6" w:type="pct"/>
            <w:tcBorders>
              <w:top w:val="single" w:color="000000" w:sz="8" w:space="0"/>
              <w:left w:val="single" w:color="000000" w:sz="8" w:space="0"/>
              <w:bottom w:val="single" w:color="000000" w:sz="8" w:space="0"/>
              <w:right w:val="single" w:color="000000" w:sz="8" w:space="0"/>
            </w:tcBorders>
            <w:noWrap w:val="0"/>
            <w:vAlign w:val="center"/>
          </w:tcPr>
          <w:p w14:paraId="12ADF50F">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项目名称</w:t>
            </w: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4A020CF6">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建设情况</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3CC684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本工程建设内容</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1B746395">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备注</w:t>
            </w:r>
          </w:p>
        </w:tc>
      </w:tr>
      <w:tr w14:paraId="3116B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46" w:type="pct"/>
            <w:tcBorders>
              <w:top w:val="single" w:color="000000" w:sz="8" w:space="0"/>
              <w:left w:val="single" w:color="000000" w:sz="8" w:space="0"/>
              <w:bottom w:val="single" w:color="000000" w:sz="8" w:space="0"/>
              <w:right w:val="single" w:color="000000" w:sz="8" w:space="0"/>
            </w:tcBorders>
            <w:noWrap w:val="0"/>
            <w:vAlign w:val="center"/>
          </w:tcPr>
          <w:p w14:paraId="354C4809">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主体工程</w:t>
            </w: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4625CE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2"/>
                <w:szCs w:val="22"/>
                <w:lang w:eastAsia="zh-CN"/>
              </w:rPr>
            </w:pPr>
            <w:r>
              <w:rPr>
                <w:rFonts w:hint="eastAsia" w:ascii="宋体" w:hAnsi="Calibri" w:cs="Times New Roman"/>
                <w:bCs/>
                <w:color w:val="auto"/>
                <w:kern w:val="0"/>
                <w:sz w:val="22"/>
                <w:szCs w:val="22"/>
                <w:lang w:eastAsia="zh-CN"/>
              </w:rPr>
              <w:t>沥青混凝土生产线</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6BB6B91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kern w:val="0"/>
                <w:sz w:val="22"/>
                <w:szCs w:val="22"/>
                <w:lang w:val="en-US" w:eastAsia="zh-CN"/>
              </w:rPr>
            </w:pPr>
            <w:r>
              <w:rPr>
                <w:rFonts w:hint="eastAsia" w:ascii="宋体" w:hAnsi="Calibri" w:cs="Times New Roman"/>
                <w:color w:val="auto"/>
                <w:kern w:val="0"/>
                <w:sz w:val="22"/>
                <w:szCs w:val="22"/>
                <w:lang w:val="en-US" w:eastAsia="zh-CN"/>
              </w:rPr>
              <w:t>建设1条沥青混凝土生产线，设备型号为三一SLB2000C8。</w:t>
            </w:r>
            <w:r>
              <w:rPr>
                <w:rFonts w:hint="eastAsia" w:ascii="宋体" w:hAnsi="Calibri" w:cs="Times New Roman"/>
                <w:color w:val="auto"/>
                <w:kern w:val="0"/>
                <w:sz w:val="22"/>
                <w:szCs w:val="22"/>
                <w:lang w:eastAsia="zh-CN"/>
              </w:rPr>
              <w:t>本次</w:t>
            </w:r>
            <w:r>
              <w:rPr>
                <w:rFonts w:hint="eastAsia" w:ascii="宋体" w:hAnsi="Calibri" w:cs="Times New Roman"/>
                <w:color w:val="auto"/>
                <w:kern w:val="0"/>
                <w:sz w:val="22"/>
                <w:szCs w:val="22"/>
                <w:lang w:val="en-US" w:eastAsia="zh-CN"/>
              </w:rPr>
              <w:t>沥青混凝土</w:t>
            </w:r>
            <w:r>
              <w:rPr>
                <w:rFonts w:hint="eastAsia" w:ascii="宋体" w:hAnsi="Calibri" w:cs="Times New Roman"/>
                <w:color w:val="auto"/>
                <w:kern w:val="0"/>
                <w:sz w:val="22"/>
                <w:szCs w:val="22"/>
                <w:lang w:eastAsia="zh-CN"/>
              </w:rPr>
              <w:t>新增产能</w:t>
            </w:r>
            <w:r>
              <w:rPr>
                <w:rFonts w:hint="eastAsia" w:ascii="宋体" w:hAnsi="Calibri" w:cs="Times New Roman"/>
                <w:color w:val="auto"/>
                <w:kern w:val="0"/>
                <w:sz w:val="22"/>
                <w:szCs w:val="22"/>
                <w:lang w:val="en-US" w:eastAsia="zh-CN"/>
              </w:rPr>
              <w:t>为10800t</w:t>
            </w:r>
            <w:r>
              <w:rPr>
                <w:rFonts w:hint="eastAsia" w:ascii="宋体" w:hAnsi="Calibri" w:cs="Times New Roman"/>
                <w:color w:val="auto"/>
                <w:kern w:val="0"/>
                <w:sz w:val="22"/>
                <w:szCs w:val="22"/>
                <w:vertAlign w:val="baseline"/>
                <w:lang w:val="en-US" w:eastAsia="zh-CN"/>
              </w:rPr>
              <w:t>/a</w:t>
            </w:r>
            <w:r>
              <w:rPr>
                <w:rFonts w:hint="eastAsia" w:ascii="宋体" w:hAnsi="Calibri" w:cs="Times New Roman"/>
                <w:color w:val="auto"/>
                <w:kern w:val="0"/>
                <w:sz w:val="22"/>
                <w:szCs w:val="22"/>
                <w:lang w:val="en-US" w:eastAsia="zh-CN"/>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70A26D96">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扩建</w:t>
            </w:r>
          </w:p>
        </w:tc>
      </w:tr>
      <w:tr w14:paraId="418A4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restart"/>
            <w:tcBorders>
              <w:top w:val="single" w:color="000000" w:sz="8" w:space="0"/>
              <w:left w:val="single" w:color="000000" w:sz="8" w:space="0"/>
              <w:bottom w:val="single" w:color="000000" w:sz="8" w:space="0"/>
              <w:right w:val="single" w:color="000000" w:sz="8" w:space="0"/>
            </w:tcBorders>
            <w:noWrap w:val="0"/>
            <w:vAlign w:val="center"/>
          </w:tcPr>
          <w:p w14:paraId="023D7269">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储运工程</w:t>
            </w: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18B2CC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2"/>
                <w:szCs w:val="22"/>
                <w:lang w:val="en-US" w:eastAsia="zh-CN"/>
              </w:rPr>
            </w:pPr>
            <w:r>
              <w:rPr>
                <w:rFonts w:hint="eastAsia" w:ascii="宋体" w:hAnsi="Calibri" w:cs="Times New Roman"/>
                <w:bCs/>
                <w:color w:val="auto"/>
                <w:kern w:val="0"/>
                <w:sz w:val="22"/>
                <w:szCs w:val="22"/>
                <w:lang w:val="en-US" w:eastAsia="zh-CN"/>
              </w:rPr>
              <w:t>原料堆场</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496993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hanging="408" w:hangingChars="200"/>
              <w:jc w:val="both"/>
              <w:textAlignment w:val="center"/>
              <w:outlineLvl w:val="9"/>
              <w:rPr>
                <w:rFonts w:hint="default" w:ascii="Times New Roman" w:hAnsi="Times New Roman" w:eastAsia="宋体" w:cs="Times New Roman"/>
                <w:color w:val="auto"/>
                <w:kern w:val="0"/>
                <w:sz w:val="22"/>
                <w:szCs w:val="22"/>
                <w:lang w:val="en-US" w:eastAsia="zh-CN" w:bidi="ar-SA"/>
              </w:rPr>
            </w:pPr>
            <w:r>
              <w:rPr>
                <w:rFonts w:hint="eastAsia" w:ascii="宋体" w:hAnsi="宋体" w:eastAsia="宋体" w:cs="宋体"/>
                <w:color w:val="auto"/>
                <w:spacing w:val="-8"/>
                <w:kern w:val="0"/>
                <w:sz w:val="22"/>
                <w:szCs w:val="22"/>
                <w:lang w:val="en-US" w:eastAsia="zh-CN" w:bidi="ar-SA"/>
              </w:rPr>
              <w:t>现有原料堆场，</w:t>
            </w:r>
            <w:r>
              <w:rPr>
                <w:rFonts w:hint="default" w:ascii="宋体" w:hAnsi="宋体" w:eastAsia="宋体" w:cs="宋体"/>
                <w:color w:val="auto"/>
                <w:spacing w:val="-8"/>
                <w:kern w:val="0"/>
                <w:sz w:val="22"/>
                <w:szCs w:val="22"/>
                <w:lang w:val="en-US" w:eastAsia="zh-CN" w:bidi="ar-SA"/>
              </w:rPr>
              <w:t>建</w:t>
            </w:r>
            <w:r>
              <w:rPr>
                <w:rFonts w:hint="default" w:ascii="宋体" w:hAnsi="宋体" w:eastAsia="宋体" w:cs="宋体"/>
                <w:color w:val="auto"/>
                <w:spacing w:val="-4"/>
                <w:kern w:val="0"/>
                <w:sz w:val="22"/>
                <w:szCs w:val="22"/>
                <w:lang w:val="en-US" w:eastAsia="zh-CN" w:bidi="ar-SA"/>
              </w:rPr>
              <w:t>筑面积</w:t>
            </w:r>
            <w:r>
              <w:rPr>
                <w:rFonts w:hint="eastAsia" w:ascii="Times New Roman" w:hAnsi="Times New Roman" w:eastAsia="宋体" w:cs="Times New Roman"/>
                <w:color w:val="auto"/>
                <w:spacing w:val="-4"/>
                <w:kern w:val="0"/>
                <w:sz w:val="22"/>
                <w:szCs w:val="22"/>
                <w:lang w:val="en-US" w:eastAsia="zh-CN" w:bidi="ar-SA"/>
              </w:rPr>
              <w:t>80</w:t>
            </w:r>
            <w:r>
              <w:rPr>
                <w:rFonts w:hint="default" w:ascii="Times New Roman" w:hAnsi="Times New Roman" w:eastAsia="Times New Roman" w:cs="Times New Roman"/>
                <w:color w:val="auto"/>
                <w:spacing w:val="-4"/>
                <w:kern w:val="0"/>
                <w:sz w:val="22"/>
                <w:szCs w:val="22"/>
                <w:lang w:val="en-US" w:eastAsia="zh-CN" w:bidi="ar-SA"/>
              </w:rPr>
              <w:t>00m</w:t>
            </w:r>
            <w:r>
              <w:rPr>
                <w:rFonts w:hint="eastAsia" w:ascii="Times New Roman" w:hAnsi="Times New Roman" w:eastAsia="宋体" w:cs="Times New Roman"/>
                <w:color w:val="auto"/>
                <w:spacing w:val="-4"/>
                <w:kern w:val="0"/>
                <w:sz w:val="22"/>
                <w:szCs w:val="22"/>
                <w:vertAlign w:val="superscript"/>
                <w:lang w:val="en-US" w:eastAsia="zh-CN" w:bidi="ar-SA"/>
              </w:rPr>
              <w:t>2</w:t>
            </w:r>
            <w:r>
              <w:rPr>
                <w:rFonts w:hint="default" w:ascii="宋体" w:hAnsi="宋体" w:eastAsia="宋体" w:cs="宋体"/>
                <w:color w:val="auto"/>
                <w:spacing w:val="-4"/>
                <w:kern w:val="0"/>
                <w:sz w:val="22"/>
                <w:szCs w:val="22"/>
                <w:lang w:val="en-US" w:eastAsia="zh-CN" w:bidi="ar-SA"/>
              </w:rPr>
              <w:t>，主要用于原料碎石存储，露天堆放，设置</w:t>
            </w:r>
            <w:r>
              <w:rPr>
                <w:rFonts w:hint="eastAsia" w:ascii="Times New Roman" w:hAnsi="Times New Roman" w:eastAsia="宋体" w:cs="宋体"/>
                <w:color w:val="auto"/>
                <w:spacing w:val="-4"/>
                <w:kern w:val="0"/>
                <w:sz w:val="22"/>
                <w:szCs w:val="22"/>
                <w:lang w:val="en-US" w:eastAsia="zh-CN" w:bidi="ar-SA"/>
              </w:rPr>
              <w:t>防风抑尘网</w:t>
            </w:r>
            <w:r>
              <w:rPr>
                <w:rFonts w:hint="default" w:ascii="宋体" w:hAnsi="宋体" w:eastAsia="宋体" w:cs="宋体"/>
                <w:color w:val="auto"/>
                <w:spacing w:val="-4"/>
                <w:kern w:val="0"/>
                <w:sz w:val="22"/>
                <w:szCs w:val="22"/>
                <w:lang w:val="en-US" w:eastAsia="zh-CN" w:bidi="ar-SA"/>
              </w:rPr>
              <w:t>，采</w:t>
            </w:r>
            <w:r>
              <w:rPr>
                <w:rFonts w:hint="default" w:ascii="宋体" w:hAnsi="宋体" w:eastAsia="宋体" w:cs="宋体"/>
                <w:color w:val="auto"/>
                <w:spacing w:val="-1"/>
                <w:kern w:val="0"/>
                <w:sz w:val="22"/>
                <w:szCs w:val="22"/>
                <w:lang w:val="en-US" w:eastAsia="zh-CN" w:bidi="ar-SA"/>
              </w:rPr>
              <w:t>用苫布遮</w:t>
            </w:r>
            <w:r>
              <w:rPr>
                <w:rFonts w:hint="default" w:ascii="宋体" w:hAnsi="宋体" w:eastAsia="宋体" w:cs="宋体"/>
                <w:color w:val="auto"/>
                <w:kern w:val="0"/>
                <w:sz w:val="22"/>
                <w:szCs w:val="22"/>
                <w:lang w:val="en-US" w:eastAsia="zh-CN" w:bidi="ar-SA"/>
              </w:rPr>
              <w:t>挡。</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133606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
                <w:bCs/>
                <w:color w:val="auto"/>
                <w:kern w:val="0"/>
                <w:sz w:val="22"/>
                <w:szCs w:val="22"/>
                <w:lang w:eastAsia="zh-CN"/>
              </w:rPr>
            </w:pPr>
            <w:r>
              <w:rPr>
                <w:rFonts w:hint="eastAsia" w:ascii="宋体" w:hAnsi="Calibri" w:cs="Times New Roman"/>
                <w:color w:val="auto"/>
                <w:kern w:val="0"/>
                <w:sz w:val="22"/>
                <w:szCs w:val="22"/>
                <w:lang w:val="en-US" w:eastAsia="zh-CN"/>
              </w:rPr>
              <w:t>依托现有</w:t>
            </w:r>
          </w:p>
        </w:tc>
      </w:tr>
      <w:tr w14:paraId="02B2CD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7815DCCE">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5E9BC2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Calibri" w:cs="Times New Roman"/>
                <w:bCs/>
                <w:color w:val="auto"/>
                <w:kern w:val="0"/>
                <w:sz w:val="22"/>
                <w:szCs w:val="22"/>
                <w:lang w:val="en-US" w:eastAsia="zh-CN"/>
              </w:rPr>
            </w:pPr>
            <w:r>
              <w:rPr>
                <w:rFonts w:hint="eastAsia" w:ascii="宋体" w:hAnsi="Calibri" w:cs="Times New Roman"/>
                <w:bCs/>
                <w:color w:val="auto"/>
                <w:kern w:val="0"/>
                <w:sz w:val="22"/>
                <w:szCs w:val="22"/>
                <w:lang w:val="en-US" w:eastAsia="zh-CN"/>
              </w:rPr>
              <w:t>矿粉筒仓</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20987C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hanging="440" w:hangingChars="200"/>
              <w:jc w:val="both"/>
              <w:textAlignment w:val="center"/>
              <w:outlineLvl w:val="9"/>
              <w:rPr>
                <w:rFonts w:hint="default" w:ascii="Times New Roman" w:hAnsi="Times New Roman" w:eastAsia="宋体" w:cs="Times New Roman"/>
                <w:bCs/>
                <w:color w:val="auto"/>
                <w:kern w:val="2"/>
                <w:sz w:val="22"/>
                <w:szCs w:val="22"/>
                <w:lang w:val="en-US" w:eastAsia="zh-CN" w:bidi="ar-SA"/>
              </w:rPr>
            </w:pPr>
            <w:r>
              <w:rPr>
                <w:rFonts w:hint="eastAsia" w:ascii="Times New Roman" w:hAnsi="Times New Roman" w:eastAsia="宋体" w:cs="Times New Roman"/>
                <w:bCs/>
                <w:color w:val="auto"/>
                <w:kern w:val="0"/>
                <w:sz w:val="22"/>
                <w:szCs w:val="22"/>
                <w:lang w:val="en-US" w:eastAsia="zh-CN" w:bidi="ar-SA"/>
              </w:rPr>
              <w:t>本项目建设1座矿粉储罐，单座储罐容积为50m</w:t>
            </w:r>
            <w:r>
              <w:rPr>
                <w:rFonts w:hint="eastAsia" w:ascii="Times New Roman" w:hAnsi="Times New Roman" w:eastAsia="宋体" w:cs="Times New Roman"/>
                <w:bCs/>
                <w:color w:val="auto"/>
                <w:kern w:val="0"/>
                <w:sz w:val="22"/>
                <w:szCs w:val="22"/>
                <w:vertAlign w:val="superscript"/>
                <w:lang w:val="en-US" w:eastAsia="zh-CN" w:bidi="ar-SA"/>
              </w:rPr>
              <w:t>3</w:t>
            </w:r>
            <w:r>
              <w:rPr>
                <w:rFonts w:hint="eastAsia" w:ascii="Times New Roman" w:hAnsi="Times New Roman" w:eastAsia="宋体" w:cs="Times New Roman"/>
                <w:bCs/>
                <w:color w:val="auto"/>
                <w:kern w:val="0"/>
                <w:sz w:val="22"/>
                <w:szCs w:val="22"/>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2BF60F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color w:val="auto"/>
                <w:kern w:val="0"/>
                <w:sz w:val="22"/>
                <w:szCs w:val="22"/>
                <w:lang w:eastAsia="zh-CN"/>
              </w:rPr>
            </w:pPr>
            <w:r>
              <w:rPr>
                <w:rFonts w:hint="eastAsia" w:ascii="宋体" w:hAnsi="Calibri" w:cs="Times New Roman"/>
                <w:color w:val="auto"/>
                <w:kern w:val="0"/>
                <w:sz w:val="22"/>
                <w:szCs w:val="22"/>
                <w:lang w:val="en-US" w:eastAsia="zh-CN"/>
              </w:rPr>
              <w:t>依托现有</w:t>
            </w:r>
          </w:p>
        </w:tc>
      </w:tr>
      <w:tr w14:paraId="45E9F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549C8AF2">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132E59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Calibri" w:cs="Times New Roman"/>
                <w:bCs/>
                <w:color w:val="auto"/>
                <w:kern w:val="0"/>
                <w:sz w:val="22"/>
                <w:szCs w:val="22"/>
                <w:lang w:val="en-US" w:eastAsia="zh-CN"/>
              </w:rPr>
            </w:pPr>
            <w:r>
              <w:rPr>
                <w:rFonts w:hint="eastAsia" w:ascii="宋体" w:hAnsi="Calibri" w:cs="Times New Roman"/>
                <w:bCs/>
                <w:color w:val="auto"/>
                <w:kern w:val="0"/>
                <w:sz w:val="22"/>
                <w:szCs w:val="22"/>
                <w:lang w:val="en-US" w:eastAsia="zh-CN"/>
              </w:rPr>
              <w:t>沥青储罐</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35BD1E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hanging="440" w:hangingChars="200"/>
              <w:jc w:val="both"/>
              <w:textAlignment w:val="center"/>
              <w:outlineLvl w:val="9"/>
              <w:rPr>
                <w:rFonts w:hint="default" w:ascii="Times New Roman" w:hAnsi="Times New Roman" w:eastAsia="宋体" w:cs="Times New Roman"/>
                <w:bCs/>
                <w:color w:val="auto"/>
                <w:kern w:val="0"/>
                <w:sz w:val="22"/>
                <w:szCs w:val="22"/>
                <w:lang w:val="en-US" w:eastAsia="zh-CN" w:bidi="ar-SA"/>
              </w:rPr>
            </w:pPr>
            <w:r>
              <w:rPr>
                <w:rFonts w:hint="eastAsia" w:ascii="Times New Roman" w:hAnsi="Times New Roman" w:eastAsia="宋体" w:cs="Times New Roman"/>
                <w:bCs/>
                <w:color w:val="auto"/>
                <w:kern w:val="0"/>
                <w:sz w:val="22"/>
                <w:szCs w:val="22"/>
                <w:lang w:val="en-US" w:eastAsia="zh-CN" w:bidi="ar-SA"/>
              </w:rPr>
              <w:t>本项目建设2座沥青储罐，单座储罐容积为50m</w:t>
            </w:r>
            <w:r>
              <w:rPr>
                <w:rFonts w:hint="eastAsia" w:ascii="Times New Roman" w:hAnsi="Times New Roman" w:eastAsia="宋体" w:cs="Times New Roman"/>
                <w:bCs/>
                <w:color w:val="auto"/>
                <w:kern w:val="0"/>
                <w:sz w:val="22"/>
                <w:szCs w:val="22"/>
                <w:vertAlign w:val="superscript"/>
                <w:lang w:val="en-US" w:eastAsia="zh-CN" w:bidi="ar-SA"/>
              </w:rPr>
              <w:t>3</w:t>
            </w:r>
            <w:r>
              <w:rPr>
                <w:rFonts w:hint="eastAsia" w:ascii="Times New Roman" w:hAnsi="Times New Roman" w:eastAsia="宋体" w:cs="Times New Roman"/>
                <w:bCs/>
                <w:color w:val="auto"/>
                <w:kern w:val="0"/>
                <w:sz w:val="22"/>
                <w:szCs w:val="22"/>
                <w:vertAlign w:val="baseline"/>
                <w:lang w:val="en-US" w:eastAsia="zh-CN" w:bidi="ar-SA"/>
              </w:rPr>
              <w:t>，储罐四周设置围堰</w:t>
            </w:r>
            <w:r>
              <w:rPr>
                <w:rFonts w:hint="eastAsia" w:ascii="Times New Roman" w:hAnsi="Times New Roman" w:eastAsia="宋体" w:cs="Times New Roman"/>
                <w:bCs/>
                <w:color w:val="auto"/>
                <w:kern w:val="0"/>
                <w:sz w:val="22"/>
                <w:szCs w:val="22"/>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24C9F1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Calibri" w:cs="Times New Roman"/>
                <w:color w:val="auto"/>
                <w:kern w:val="0"/>
                <w:sz w:val="22"/>
                <w:szCs w:val="22"/>
                <w:lang w:val="en-US" w:eastAsia="zh-CN"/>
              </w:rPr>
            </w:pPr>
            <w:r>
              <w:rPr>
                <w:rFonts w:hint="eastAsia" w:ascii="宋体" w:hAnsi="Calibri" w:cs="Times New Roman"/>
                <w:color w:val="auto"/>
                <w:kern w:val="0"/>
                <w:sz w:val="22"/>
                <w:szCs w:val="22"/>
                <w:lang w:val="en-US" w:eastAsia="zh-CN"/>
              </w:rPr>
              <w:t>依托现有</w:t>
            </w:r>
          </w:p>
        </w:tc>
      </w:tr>
      <w:tr w14:paraId="5FAA29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7DD8767E">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3092C5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Calibri" w:cs="Times New Roman"/>
                <w:bCs/>
                <w:color w:val="auto"/>
                <w:kern w:val="0"/>
                <w:sz w:val="22"/>
                <w:szCs w:val="22"/>
                <w:lang w:val="en-US" w:eastAsia="zh-CN"/>
              </w:rPr>
            </w:pPr>
            <w:r>
              <w:rPr>
                <w:rFonts w:hint="eastAsia" w:ascii="宋体" w:hAnsi="Calibri" w:cs="Times New Roman"/>
                <w:bCs/>
                <w:color w:val="auto"/>
                <w:kern w:val="0"/>
                <w:sz w:val="22"/>
                <w:szCs w:val="22"/>
                <w:lang w:val="en-US" w:eastAsia="zh-CN"/>
              </w:rPr>
              <w:t>重油储罐</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60CC4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hanging="440" w:hangingChars="200"/>
              <w:jc w:val="both"/>
              <w:textAlignment w:val="center"/>
              <w:outlineLvl w:val="9"/>
              <w:rPr>
                <w:rFonts w:hint="eastAsia" w:ascii="Times New Roman" w:hAnsi="Times New Roman" w:eastAsia="宋体" w:cs="Times New Roman"/>
                <w:bCs/>
                <w:color w:val="auto"/>
                <w:kern w:val="0"/>
                <w:sz w:val="22"/>
                <w:szCs w:val="22"/>
                <w:lang w:val="en-US" w:eastAsia="zh-CN" w:bidi="ar-SA"/>
              </w:rPr>
            </w:pPr>
            <w:r>
              <w:rPr>
                <w:rFonts w:hint="eastAsia" w:ascii="Times New Roman" w:hAnsi="Times New Roman" w:eastAsia="宋体" w:cs="Times New Roman"/>
                <w:bCs/>
                <w:color w:val="auto"/>
                <w:kern w:val="0"/>
                <w:sz w:val="22"/>
                <w:szCs w:val="22"/>
                <w:lang w:val="en-US" w:eastAsia="zh-CN" w:bidi="ar-SA"/>
              </w:rPr>
              <w:t>本项目建设1座重油储罐，单座储罐容积为30m</w:t>
            </w:r>
            <w:r>
              <w:rPr>
                <w:rFonts w:hint="eastAsia" w:ascii="Times New Roman" w:hAnsi="Times New Roman" w:eastAsia="宋体" w:cs="Times New Roman"/>
                <w:bCs/>
                <w:color w:val="auto"/>
                <w:kern w:val="0"/>
                <w:sz w:val="22"/>
                <w:szCs w:val="22"/>
                <w:vertAlign w:val="superscript"/>
                <w:lang w:val="en-US" w:eastAsia="zh-CN" w:bidi="ar-SA"/>
              </w:rPr>
              <w:t>3</w:t>
            </w:r>
            <w:r>
              <w:rPr>
                <w:rFonts w:hint="eastAsia" w:ascii="Times New Roman" w:hAnsi="Times New Roman" w:eastAsia="宋体" w:cs="Times New Roman"/>
                <w:bCs/>
                <w:color w:val="auto"/>
                <w:kern w:val="0"/>
                <w:sz w:val="22"/>
                <w:szCs w:val="22"/>
                <w:vertAlign w:val="baseline"/>
                <w:lang w:val="en-US" w:eastAsia="zh-CN" w:bidi="ar-SA"/>
              </w:rPr>
              <w:t>，储罐四周设置围堰</w:t>
            </w:r>
            <w:r>
              <w:rPr>
                <w:rFonts w:hint="eastAsia" w:ascii="Times New Roman" w:hAnsi="Times New Roman" w:eastAsia="宋体" w:cs="Times New Roman"/>
                <w:bCs/>
                <w:color w:val="auto"/>
                <w:kern w:val="0"/>
                <w:sz w:val="22"/>
                <w:szCs w:val="22"/>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5DA350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Calibri" w:cs="Times New Roman"/>
                <w:color w:val="auto"/>
                <w:kern w:val="0"/>
                <w:sz w:val="22"/>
                <w:szCs w:val="22"/>
                <w:lang w:val="en-US" w:eastAsia="zh-CN"/>
              </w:rPr>
            </w:pPr>
            <w:r>
              <w:rPr>
                <w:rFonts w:hint="eastAsia" w:ascii="宋体" w:hAnsi="Calibri" w:cs="Times New Roman"/>
                <w:color w:val="auto"/>
                <w:kern w:val="0"/>
                <w:sz w:val="22"/>
                <w:szCs w:val="22"/>
                <w:lang w:val="en-US" w:eastAsia="zh-CN"/>
              </w:rPr>
              <w:t>依托现有</w:t>
            </w:r>
          </w:p>
        </w:tc>
      </w:tr>
      <w:tr w14:paraId="74F79E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179CF35A">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65A82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Calibri" w:cs="Times New Roman"/>
                <w:bCs/>
                <w:color w:val="auto"/>
                <w:kern w:val="0"/>
                <w:sz w:val="22"/>
                <w:szCs w:val="22"/>
                <w:lang w:val="en-US" w:eastAsia="zh-CN"/>
              </w:rPr>
            </w:pPr>
            <w:r>
              <w:rPr>
                <w:rFonts w:hint="eastAsia" w:ascii="宋体" w:hAnsi="Calibri" w:cs="Times New Roman"/>
                <w:bCs/>
                <w:color w:val="auto"/>
                <w:kern w:val="0"/>
                <w:sz w:val="22"/>
                <w:szCs w:val="22"/>
                <w:lang w:val="en-US" w:eastAsia="zh-CN"/>
              </w:rPr>
              <w:t>柴油储罐</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79A6B2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hanging="440" w:hangingChars="200"/>
              <w:jc w:val="both"/>
              <w:textAlignment w:val="center"/>
              <w:outlineLvl w:val="9"/>
              <w:rPr>
                <w:rFonts w:hint="default" w:ascii="Times New Roman" w:hAnsi="Times New Roman" w:eastAsia="宋体" w:cs="Times New Roman"/>
                <w:bCs/>
                <w:color w:val="auto"/>
                <w:kern w:val="0"/>
                <w:sz w:val="22"/>
                <w:szCs w:val="22"/>
                <w:vertAlign w:val="baseline"/>
                <w:lang w:val="en-US" w:eastAsia="zh-CN" w:bidi="ar-SA"/>
              </w:rPr>
            </w:pPr>
            <w:r>
              <w:rPr>
                <w:rFonts w:hint="eastAsia" w:ascii="Times New Roman" w:hAnsi="Times New Roman" w:eastAsia="宋体" w:cs="Times New Roman"/>
                <w:bCs/>
                <w:color w:val="auto"/>
                <w:kern w:val="0"/>
                <w:sz w:val="22"/>
                <w:szCs w:val="22"/>
                <w:lang w:val="en-US" w:eastAsia="zh-CN" w:bidi="ar-SA"/>
              </w:rPr>
              <w:t>新建1座柴油储罐，容积为10m</w:t>
            </w:r>
            <w:r>
              <w:rPr>
                <w:rFonts w:hint="eastAsia" w:ascii="Times New Roman" w:hAnsi="Times New Roman" w:eastAsia="宋体" w:cs="Times New Roman"/>
                <w:bCs/>
                <w:color w:val="auto"/>
                <w:kern w:val="0"/>
                <w:sz w:val="22"/>
                <w:szCs w:val="22"/>
                <w:vertAlign w:val="superscript"/>
                <w:lang w:val="en-US" w:eastAsia="zh-CN" w:bidi="ar-SA"/>
              </w:rPr>
              <w:t>3</w:t>
            </w:r>
            <w:r>
              <w:rPr>
                <w:rFonts w:hint="eastAsia" w:ascii="Times New Roman" w:hAnsi="Times New Roman" w:eastAsia="宋体" w:cs="Times New Roman"/>
                <w:bCs/>
                <w:color w:val="auto"/>
                <w:kern w:val="0"/>
                <w:sz w:val="22"/>
                <w:szCs w:val="22"/>
                <w:vertAlign w:val="baseline"/>
                <w:lang w:val="en-US" w:eastAsia="zh-CN" w:bidi="ar-SA"/>
              </w:rPr>
              <w:t>，为地上储罐，储罐四周设置围堰。</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515CAD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Calibri" w:cs="Times New Roman"/>
                <w:color w:val="auto"/>
                <w:kern w:val="0"/>
                <w:sz w:val="22"/>
                <w:szCs w:val="22"/>
                <w:lang w:val="en-US" w:eastAsia="zh-CN"/>
              </w:rPr>
            </w:pPr>
            <w:r>
              <w:rPr>
                <w:rFonts w:hint="eastAsia" w:ascii="宋体" w:hAnsi="Calibri" w:cs="Times New Roman"/>
                <w:color w:val="auto"/>
                <w:kern w:val="0"/>
                <w:sz w:val="22"/>
                <w:szCs w:val="22"/>
                <w:lang w:val="en-US" w:eastAsia="zh-CN"/>
              </w:rPr>
              <w:t>依托现有</w:t>
            </w:r>
          </w:p>
        </w:tc>
      </w:tr>
      <w:tr w14:paraId="409846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46" w:type="pct"/>
            <w:vMerge w:val="restart"/>
            <w:tcBorders>
              <w:top w:val="single" w:color="000000" w:sz="8" w:space="0"/>
              <w:left w:val="single" w:color="000000" w:sz="8" w:space="0"/>
              <w:bottom w:val="single" w:color="000000" w:sz="8" w:space="0"/>
              <w:right w:val="single" w:color="000000" w:sz="8" w:space="0"/>
            </w:tcBorders>
            <w:noWrap w:val="0"/>
            <w:vAlign w:val="center"/>
          </w:tcPr>
          <w:p w14:paraId="165F1667">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公用工程</w:t>
            </w: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68095F2E">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bCs/>
                <w:color w:val="auto"/>
                <w:kern w:val="0"/>
                <w:sz w:val="22"/>
                <w:szCs w:val="22"/>
                <w:lang w:val="en-US" w:eastAsia="zh-CN" w:bidi="ar-SA"/>
              </w:rPr>
            </w:pPr>
            <w:r>
              <w:rPr>
                <w:rFonts w:hint="default" w:ascii="Times New Roman" w:hAnsi="Times New Roman" w:eastAsia="宋体" w:cs="Times New Roman"/>
                <w:color w:val="auto"/>
                <w:sz w:val="22"/>
                <w:szCs w:val="22"/>
                <w:lang w:val="en-US" w:eastAsia="zh-CN" w:bidi="ar-SA"/>
              </w:rPr>
              <w:t>供水</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6E0821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cs="Times New Roman"/>
                <w:color w:val="auto"/>
                <w:kern w:val="0"/>
                <w:sz w:val="22"/>
                <w:szCs w:val="22"/>
                <w:highlight w:val="none"/>
                <w:lang w:val="en-US" w:eastAsia="zh-CN"/>
              </w:rPr>
              <w:t>本项目</w:t>
            </w:r>
            <w:r>
              <w:rPr>
                <w:rFonts w:hint="eastAsia" w:ascii="宋体" w:hAnsi="Calibri" w:cs="Times New Roman"/>
                <w:color w:val="auto"/>
                <w:kern w:val="0"/>
                <w:sz w:val="22"/>
                <w:szCs w:val="22"/>
                <w:highlight w:val="none"/>
                <w:lang w:val="en-US" w:eastAsia="zh-CN"/>
              </w:rPr>
              <w:t>供水采用自打井提供。</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4B62626C">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eastAsia" w:ascii="Times New Roman" w:hAnsi="Times New Roman" w:eastAsia="宋体" w:cs="Times New Roman"/>
                <w:color w:val="auto"/>
                <w:sz w:val="22"/>
                <w:szCs w:val="22"/>
                <w:lang w:val="en-US" w:eastAsia="zh-CN" w:bidi="ar-SA"/>
              </w:rPr>
              <w:t>依托</w:t>
            </w:r>
          </w:p>
        </w:tc>
      </w:tr>
      <w:tr w14:paraId="1F953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68DAEAC8">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0626D472">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排水</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21F9F71A">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本项目不新增生活污水，现有生活污水排入防渗化粪池，定期抽排至市政污水管网。</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171F4CCF">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依托</w:t>
            </w:r>
          </w:p>
        </w:tc>
      </w:tr>
      <w:tr w14:paraId="6C3C2B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1A2AB874">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63431B8C">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供热</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7475A9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rFonts w:hint="default" w:ascii="Times New Roman" w:hAnsi="Times New Roman" w:eastAsia="宋体" w:cs="Times New Roman"/>
                <w:color w:val="auto"/>
                <w:kern w:val="0"/>
                <w:sz w:val="22"/>
                <w:szCs w:val="22"/>
                <w:lang w:val="en-US" w:eastAsia="zh-CN"/>
              </w:rPr>
            </w:pPr>
            <w:r>
              <w:rPr>
                <w:rFonts w:hint="eastAsia" w:ascii="宋体" w:hAnsi="Calibri" w:cs="Times New Roman"/>
                <w:color w:val="auto"/>
                <w:kern w:val="0"/>
                <w:sz w:val="22"/>
                <w:szCs w:val="22"/>
                <w:lang w:val="en-US" w:eastAsia="zh-CN"/>
              </w:rPr>
              <w:t>本项目冬季不生产，不需要供暖。</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3B263B9F">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依托</w:t>
            </w:r>
          </w:p>
        </w:tc>
      </w:tr>
      <w:tr w14:paraId="21D33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3A1ADF5A">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4185B27E">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供电</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440A481D">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本项目采用市政供电</w:t>
            </w:r>
            <w:r>
              <w:rPr>
                <w:rFonts w:hint="default" w:ascii="Times New Roman" w:hAnsi="Times New Roman" w:eastAsia="宋体" w:cs="Times New Roman"/>
                <w:color w:val="auto"/>
                <w:sz w:val="22"/>
                <w:szCs w:val="22"/>
                <w:lang w:val="en-US" w:eastAsia="zh-CN" w:bidi="ar-SA"/>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0694EA49">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依托</w:t>
            </w:r>
          </w:p>
        </w:tc>
      </w:tr>
      <w:tr w14:paraId="0E5E57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Merge w:val="restart"/>
            <w:tcBorders>
              <w:top w:val="single" w:color="000000" w:sz="8" w:space="0"/>
              <w:left w:val="single" w:color="000000" w:sz="8" w:space="0"/>
              <w:bottom w:val="single" w:color="000000" w:sz="8" w:space="0"/>
              <w:right w:val="single" w:color="000000" w:sz="8" w:space="0"/>
            </w:tcBorders>
            <w:noWrap w:val="0"/>
            <w:vAlign w:val="center"/>
          </w:tcPr>
          <w:p w14:paraId="45061C13">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default" w:ascii="Times New Roman" w:hAnsi="Times New Roman" w:eastAsia="宋体" w:cs="Times New Roman"/>
                <w:color w:val="auto"/>
                <w:sz w:val="22"/>
                <w:szCs w:val="22"/>
                <w:lang w:val="en-US" w:eastAsia="zh-CN" w:bidi="ar-SA"/>
              </w:rPr>
              <w:t>环保工程</w:t>
            </w: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5F5CBC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cs="Times New Roman"/>
                <w:color w:val="auto"/>
                <w:kern w:val="0"/>
                <w:sz w:val="22"/>
                <w:szCs w:val="22"/>
              </w:rPr>
              <w:t>废气</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35C5AA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宋体" w:hAnsi="Calibri" w:eastAsia="宋体"/>
                <w:color w:val="auto"/>
                <w:kern w:val="0"/>
                <w:sz w:val="22"/>
                <w:szCs w:val="22"/>
              </w:rPr>
            </w:pPr>
            <w:r>
              <w:rPr>
                <w:rFonts w:hint="eastAsia" w:ascii="宋体" w:hAnsi="Calibri" w:eastAsia="宋体"/>
                <w:color w:val="auto"/>
                <w:kern w:val="0"/>
                <w:sz w:val="22"/>
                <w:szCs w:val="22"/>
              </w:rPr>
              <w:t>烘干滚筒及其配套燃烧器、振动筛、提升机、搅拌机等废气：沥青骨料</w:t>
            </w:r>
            <w:r>
              <w:rPr>
                <w:rFonts w:hint="default" w:ascii="宋体" w:hAnsi="Calibri" w:eastAsia="宋体"/>
                <w:color w:val="auto"/>
                <w:kern w:val="0"/>
                <w:sz w:val="22"/>
                <w:szCs w:val="22"/>
              </w:rPr>
              <w:t>烘干废气</w:t>
            </w:r>
            <w:r>
              <w:rPr>
                <w:rFonts w:hint="eastAsia" w:ascii="宋体" w:hAnsi="Calibri" w:eastAsia="宋体"/>
                <w:color w:val="auto"/>
                <w:kern w:val="0"/>
                <w:sz w:val="22"/>
                <w:szCs w:val="22"/>
              </w:rPr>
              <w:t>设置</w:t>
            </w:r>
            <w:r>
              <w:rPr>
                <w:rFonts w:hint="eastAsia" w:ascii="宋体" w:hAnsi="Calibri" w:eastAsia="宋体"/>
                <w:color w:val="auto"/>
                <w:kern w:val="0"/>
                <w:sz w:val="22"/>
                <w:szCs w:val="22"/>
                <w:lang w:eastAsia="zh-CN"/>
              </w:rPr>
              <w:t>重力沉降</w:t>
            </w:r>
            <w:r>
              <w:rPr>
                <w:rFonts w:hint="eastAsia" w:ascii="宋体" w:hAnsi="Calibri" w:eastAsia="宋体"/>
                <w:color w:val="auto"/>
                <w:kern w:val="0"/>
                <w:sz w:val="22"/>
                <w:szCs w:val="22"/>
                <w:lang w:val="en-US" w:eastAsia="zh-CN"/>
              </w:rPr>
              <w:t>+</w:t>
            </w:r>
            <w:r>
              <w:rPr>
                <w:rFonts w:hint="default" w:ascii="宋体" w:hAnsi="Calibri" w:eastAsia="宋体"/>
                <w:color w:val="auto"/>
                <w:kern w:val="0"/>
                <w:sz w:val="22"/>
                <w:szCs w:val="22"/>
              </w:rPr>
              <w:t>布袋式除尘器</w:t>
            </w:r>
            <w:r>
              <w:rPr>
                <w:rFonts w:hint="eastAsia" w:ascii="宋体" w:hAnsi="Calibri" w:eastAsia="宋体"/>
                <w:color w:val="auto"/>
                <w:kern w:val="0"/>
                <w:sz w:val="22"/>
                <w:szCs w:val="22"/>
              </w:rPr>
              <w:t>（去除效率99%）</w:t>
            </w:r>
            <w:r>
              <w:rPr>
                <w:rFonts w:hint="eastAsia" w:ascii="宋体" w:hAnsi="Calibri" w:eastAsia="宋体"/>
                <w:color w:val="auto"/>
                <w:kern w:val="0"/>
                <w:sz w:val="22"/>
                <w:szCs w:val="22"/>
                <w:lang w:eastAsia="zh-CN"/>
              </w:rPr>
              <w:t>二级除尘</w:t>
            </w:r>
            <w:r>
              <w:rPr>
                <w:rFonts w:hint="eastAsia" w:ascii="宋体" w:hAnsi="Calibri" w:eastAsia="宋体"/>
                <w:color w:val="auto"/>
                <w:kern w:val="0"/>
                <w:sz w:val="22"/>
                <w:szCs w:val="22"/>
              </w:rPr>
              <w:t>，</w:t>
            </w:r>
            <w:r>
              <w:rPr>
                <w:rFonts w:hint="eastAsia" w:ascii="宋体" w:hAnsi="Calibri"/>
                <w:color w:val="auto"/>
                <w:kern w:val="0"/>
                <w:sz w:val="22"/>
                <w:szCs w:val="22"/>
                <w:lang w:eastAsia="zh-CN"/>
              </w:rPr>
              <w:t>燃烧器配套低氮燃烧，上述废气</w:t>
            </w:r>
            <w:r>
              <w:rPr>
                <w:rFonts w:hint="eastAsia" w:ascii="宋体" w:hAnsi="Calibri" w:eastAsia="宋体"/>
                <w:color w:val="auto"/>
                <w:kern w:val="0"/>
                <w:sz w:val="22"/>
                <w:szCs w:val="22"/>
              </w:rPr>
              <w:t>处理后经</w:t>
            </w:r>
            <w:r>
              <w:rPr>
                <w:rFonts w:hint="default" w:ascii="宋体" w:hAnsi="Calibri" w:eastAsia="宋体"/>
                <w:color w:val="auto"/>
                <w:kern w:val="0"/>
                <w:sz w:val="22"/>
                <w:szCs w:val="22"/>
              </w:rPr>
              <w:t>15</w:t>
            </w:r>
            <w:r>
              <w:rPr>
                <w:rFonts w:hint="eastAsia" w:ascii="宋体" w:hAnsi="Calibri" w:eastAsia="宋体"/>
                <w:color w:val="auto"/>
                <w:kern w:val="0"/>
                <w:sz w:val="22"/>
                <w:szCs w:val="22"/>
              </w:rPr>
              <w:t>m排气筒（</w:t>
            </w:r>
            <w:r>
              <w:rPr>
                <w:rFonts w:hint="eastAsia" w:ascii="宋体" w:hAnsi="Calibri" w:eastAsia="宋体"/>
                <w:color w:val="auto"/>
                <w:kern w:val="0"/>
                <w:sz w:val="22"/>
                <w:szCs w:val="22"/>
                <w:lang w:val="en-US" w:eastAsia="zh-CN"/>
              </w:rPr>
              <w:t>P2</w:t>
            </w:r>
            <w:r>
              <w:rPr>
                <w:rFonts w:hint="eastAsia" w:ascii="宋体" w:hAnsi="Calibri" w:eastAsia="宋体"/>
                <w:color w:val="auto"/>
                <w:kern w:val="0"/>
                <w:sz w:val="22"/>
                <w:szCs w:val="22"/>
              </w:rPr>
              <w:t>）外排。</w:t>
            </w:r>
          </w:p>
          <w:p w14:paraId="53E311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宋体" w:hAnsi="Calibri" w:eastAsia="宋体"/>
                <w:color w:val="auto"/>
                <w:kern w:val="0"/>
                <w:sz w:val="22"/>
                <w:szCs w:val="22"/>
              </w:rPr>
            </w:pPr>
            <w:r>
              <w:rPr>
                <w:rFonts w:hint="eastAsia" w:ascii="宋体" w:hAnsi="Calibri" w:eastAsia="宋体"/>
                <w:color w:val="auto"/>
                <w:kern w:val="0"/>
                <w:sz w:val="22"/>
                <w:szCs w:val="22"/>
              </w:rPr>
              <w:t>导热油炉燃烧废气：</w:t>
            </w:r>
            <w:r>
              <w:rPr>
                <w:rFonts w:hint="default" w:ascii="宋体" w:hAnsi="Calibri" w:eastAsia="宋体"/>
                <w:color w:val="auto"/>
                <w:kern w:val="0"/>
                <w:sz w:val="22"/>
                <w:szCs w:val="22"/>
              </w:rPr>
              <w:t>导热油炉烟气</w:t>
            </w:r>
            <w:r>
              <w:rPr>
                <w:rFonts w:hint="eastAsia" w:ascii="宋体" w:hAnsi="Calibri" w:eastAsia="宋体"/>
                <w:color w:val="auto"/>
                <w:kern w:val="0"/>
                <w:sz w:val="22"/>
                <w:szCs w:val="22"/>
              </w:rPr>
              <w:t>通过8m高排气筒(P</w:t>
            </w:r>
            <w:r>
              <w:rPr>
                <w:rFonts w:hint="eastAsia" w:ascii="宋体" w:hAnsi="Calibri" w:eastAsia="宋体"/>
                <w:color w:val="auto"/>
                <w:kern w:val="0"/>
                <w:sz w:val="22"/>
                <w:szCs w:val="22"/>
                <w:lang w:val="en-US" w:eastAsia="zh-CN"/>
              </w:rPr>
              <w:t>1</w:t>
            </w:r>
            <w:r>
              <w:rPr>
                <w:rFonts w:hint="eastAsia" w:ascii="宋体" w:hAnsi="Calibri" w:eastAsia="宋体"/>
                <w:color w:val="auto"/>
                <w:kern w:val="0"/>
                <w:sz w:val="22"/>
                <w:szCs w:val="22"/>
              </w:rPr>
              <w:t>)直排。沥青烟气：经集气收集后将沥青烟气导入烘干系统进行燃烧（去除效率90%），燃烧后与烘干废气一起进入除尘系统，并在除尘系统末端设置一套活性炭吸附（去除效率80%），吸附未燃烧完全的沥青烟气，后通过15m高排气筒（P</w:t>
            </w:r>
            <w:r>
              <w:rPr>
                <w:rFonts w:hint="eastAsia" w:ascii="宋体" w:hAnsi="Calibri" w:eastAsia="宋体"/>
                <w:color w:val="auto"/>
                <w:kern w:val="0"/>
                <w:sz w:val="22"/>
                <w:szCs w:val="22"/>
                <w:lang w:val="en-US" w:eastAsia="zh-CN"/>
              </w:rPr>
              <w:t>2</w:t>
            </w:r>
            <w:r>
              <w:rPr>
                <w:rFonts w:hint="eastAsia" w:ascii="宋体" w:hAnsi="Calibri" w:eastAsia="宋体"/>
                <w:color w:val="auto"/>
                <w:kern w:val="0"/>
                <w:sz w:val="22"/>
                <w:szCs w:val="22"/>
              </w:rPr>
              <w:t>）高空排放</w:t>
            </w:r>
            <w:r>
              <w:rPr>
                <w:rFonts w:hint="eastAsia" w:ascii="宋体" w:hAnsi="Calibri"/>
                <w:color w:val="auto"/>
                <w:kern w:val="0"/>
                <w:sz w:val="22"/>
                <w:szCs w:val="22"/>
                <w:lang w:eastAsia="zh-CN"/>
              </w:rPr>
              <w:t>，</w:t>
            </w:r>
            <w:r>
              <w:rPr>
                <w:rFonts w:hint="eastAsia" w:ascii="宋体" w:hAnsi="Calibri"/>
                <w:color w:val="auto"/>
                <w:kern w:val="0"/>
                <w:sz w:val="22"/>
                <w:szCs w:val="22"/>
                <w:lang w:val="en-US" w:eastAsia="zh-CN"/>
              </w:rPr>
              <w:t>沥青储罐设置集气罩，经集气后进入沥青烟处理系统</w:t>
            </w:r>
            <w:r>
              <w:rPr>
                <w:rFonts w:hint="eastAsia" w:ascii="宋体" w:hAnsi="Calibri" w:eastAsia="宋体"/>
                <w:color w:val="auto"/>
                <w:kern w:val="0"/>
                <w:sz w:val="22"/>
                <w:szCs w:val="22"/>
              </w:rPr>
              <w:t>。</w:t>
            </w:r>
          </w:p>
          <w:p w14:paraId="6AA902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Times New Roman" w:hAnsi="Times New Roman" w:eastAsia="宋体" w:cs="Times New Roman"/>
                <w:color w:val="auto"/>
                <w:kern w:val="0"/>
                <w:sz w:val="22"/>
                <w:szCs w:val="22"/>
                <w:lang w:eastAsia="zh-CN"/>
              </w:rPr>
            </w:pPr>
            <w:r>
              <w:rPr>
                <w:rFonts w:hint="eastAsia" w:ascii="宋体" w:hAnsi="Calibri" w:eastAsia="宋体"/>
                <w:color w:val="auto"/>
                <w:kern w:val="0"/>
                <w:sz w:val="22"/>
                <w:szCs w:val="22"/>
              </w:rPr>
              <w:t>无组织粉尘：骨料堆场在</w:t>
            </w:r>
            <w:r>
              <w:rPr>
                <w:rFonts w:hint="default" w:ascii="宋体" w:hAnsi="Calibri" w:eastAsia="宋体"/>
                <w:color w:val="auto"/>
                <w:kern w:val="0"/>
                <w:sz w:val="22"/>
                <w:szCs w:val="22"/>
              </w:rPr>
              <w:t>装卸过程中注意保持湿度、注意洒水降尘；碎石堆场加盖</w:t>
            </w:r>
            <w:r>
              <w:rPr>
                <w:rFonts w:hint="eastAsia" w:ascii="宋体" w:hAnsi="Calibri" w:eastAsia="宋体"/>
                <w:color w:val="auto"/>
                <w:kern w:val="0"/>
                <w:sz w:val="22"/>
                <w:szCs w:val="22"/>
              </w:rPr>
              <w:t>苫</w:t>
            </w:r>
            <w:r>
              <w:rPr>
                <w:rFonts w:hint="default" w:ascii="宋体" w:hAnsi="Calibri" w:eastAsia="宋体"/>
                <w:color w:val="auto"/>
                <w:kern w:val="0"/>
                <w:sz w:val="22"/>
                <w:szCs w:val="22"/>
              </w:rPr>
              <w:t>布，保持湿度，定期洒水降尘</w:t>
            </w:r>
            <w:r>
              <w:rPr>
                <w:rFonts w:hint="eastAsia" w:ascii="宋体" w:hAnsi="Calibri" w:eastAsia="宋体"/>
                <w:color w:val="auto"/>
                <w:kern w:val="0"/>
                <w:sz w:val="22"/>
                <w:szCs w:val="22"/>
              </w:rPr>
              <w:t>；</w:t>
            </w:r>
            <w:r>
              <w:rPr>
                <w:rFonts w:hint="default" w:ascii="Times New Roman" w:hAnsi="Times New Roman" w:eastAsia="宋体" w:cs="Times New Roman"/>
                <w:color w:val="auto"/>
                <w:kern w:val="0"/>
                <w:sz w:val="22"/>
                <w:szCs w:val="22"/>
              </w:rPr>
              <w:t>厂区道路采用混凝土硬化处理，定期喷淋洒水</w:t>
            </w:r>
            <w:r>
              <w:rPr>
                <w:rFonts w:hint="eastAsia" w:ascii="Times New Roman" w:hAnsi="Times New Roman" w:eastAsia="宋体" w:cs="Times New Roman"/>
                <w:color w:val="auto"/>
                <w:kern w:val="0"/>
                <w:sz w:val="22"/>
                <w:szCs w:val="22"/>
                <w:lang w:eastAsia="zh-CN"/>
              </w:rPr>
              <w:t>。</w:t>
            </w:r>
          </w:p>
          <w:p w14:paraId="125B09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eastAsia" w:ascii="宋体" w:hAnsi="Calibri" w:eastAsia="宋体"/>
                <w:color w:val="auto"/>
                <w:kern w:val="0"/>
                <w:sz w:val="22"/>
                <w:szCs w:val="22"/>
                <w:lang w:val="en-US" w:eastAsia="zh-CN"/>
              </w:rPr>
            </w:pPr>
            <w:r>
              <w:rPr>
                <w:rFonts w:hint="eastAsia" w:ascii="Times New Roman" w:hAnsi="Times New Roman" w:eastAsia="宋体" w:cs="Times New Roman"/>
                <w:color w:val="auto"/>
                <w:kern w:val="0"/>
                <w:sz w:val="22"/>
                <w:szCs w:val="22"/>
              </w:rPr>
              <w:t>矿粉罐</w:t>
            </w:r>
            <w:r>
              <w:rPr>
                <w:rFonts w:hint="eastAsia" w:ascii="Times New Roman" w:hAnsi="Times New Roman" w:eastAsia="宋体" w:cs="Times New Roman"/>
                <w:color w:val="auto"/>
                <w:kern w:val="0"/>
                <w:sz w:val="22"/>
                <w:szCs w:val="22"/>
                <w:lang w:eastAsia="zh-CN"/>
              </w:rPr>
              <w:t>仓顶设置</w:t>
            </w:r>
            <w:r>
              <w:rPr>
                <w:rFonts w:hint="eastAsia" w:ascii="宋体" w:hAnsi="Calibri" w:cs="Times New Roman"/>
                <w:color w:val="auto"/>
                <w:kern w:val="0"/>
                <w:sz w:val="22"/>
                <w:szCs w:val="22"/>
                <w:lang w:val="en-US" w:eastAsia="zh-CN"/>
              </w:rPr>
              <w:t>布袋</w:t>
            </w:r>
            <w:r>
              <w:rPr>
                <w:rFonts w:hint="eastAsia" w:ascii="Times New Roman" w:hAnsi="Times New Roman" w:eastAsia="宋体" w:cs="Times New Roman"/>
                <w:color w:val="auto"/>
                <w:kern w:val="0"/>
                <w:sz w:val="22"/>
                <w:szCs w:val="22"/>
                <w:lang w:eastAsia="zh-CN"/>
              </w:rPr>
              <w:t>除尘器。</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43DD0D2D">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eastAsia" w:ascii="Times New Roman" w:hAnsi="Times New Roman" w:eastAsia="宋体" w:cs="Times New Roman"/>
                <w:color w:val="auto"/>
                <w:sz w:val="22"/>
                <w:szCs w:val="22"/>
                <w:lang w:val="en-US" w:eastAsia="zh-CN" w:bidi="ar-SA"/>
              </w:rPr>
              <w:t>改建</w:t>
            </w:r>
          </w:p>
        </w:tc>
      </w:tr>
      <w:tr w14:paraId="74419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3F253786">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3316FDA8">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szCs w:val="22"/>
                <w:lang w:val="en-US" w:eastAsia="zh-CN" w:bidi="ar-SA"/>
              </w:rPr>
              <w:t>废水</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177860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cs="Times New Roman"/>
                <w:color w:val="auto"/>
                <w:kern w:val="0"/>
                <w:sz w:val="22"/>
                <w:szCs w:val="22"/>
                <w:highlight w:val="none"/>
                <w:lang w:eastAsia="zh-CN"/>
              </w:rPr>
              <w:t>本项目</w:t>
            </w:r>
            <w:r>
              <w:rPr>
                <w:rFonts w:hint="eastAsia" w:ascii="宋体" w:hAnsi="Calibri" w:cs="Times New Roman"/>
                <w:color w:val="auto"/>
                <w:kern w:val="0"/>
                <w:sz w:val="22"/>
                <w:szCs w:val="22"/>
                <w:highlight w:val="none"/>
                <w:lang w:eastAsia="zh-CN"/>
              </w:rPr>
              <w:t>不新增生活污水，无生产废水排放</w:t>
            </w:r>
            <w:r>
              <w:rPr>
                <w:rFonts w:hint="default" w:ascii="Times New Roman" w:hAnsi="Times New Roman" w:cs="Times New Roman"/>
                <w:color w:val="auto"/>
                <w:kern w:val="0"/>
                <w:sz w:val="22"/>
                <w:szCs w:val="22"/>
                <w:highlight w:val="none"/>
                <w:lang w:eastAsia="zh-CN"/>
              </w:rPr>
              <w:t>。</w:t>
            </w:r>
            <w:r>
              <w:rPr>
                <w:rFonts w:hint="eastAsia" w:ascii="宋体" w:hAnsi="Calibri" w:cs="Times New Roman"/>
                <w:color w:val="auto"/>
                <w:kern w:val="0"/>
                <w:sz w:val="22"/>
                <w:szCs w:val="22"/>
                <w:highlight w:val="none"/>
                <w:lang w:val="en-US" w:eastAsia="zh-CN"/>
              </w:rPr>
              <w:t>厂区建设250m</w:t>
            </w:r>
            <w:r>
              <w:rPr>
                <w:rFonts w:hint="eastAsia" w:ascii="宋体" w:hAnsi="Calibri" w:cs="Times New Roman"/>
                <w:color w:val="auto"/>
                <w:kern w:val="0"/>
                <w:sz w:val="22"/>
                <w:szCs w:val="22"/>
                <w:highlight w:val="none"/>
                <w:vertAlign w:val="superscript"/>
                <w:lang w:val="en-US" w:eastAsia="zh-CN"/>
              </w:rPr>
              <w:t>3</w:t>
            </w:r>
            <w:r>
              <w:rPr>
                <w:rFonts w:hint="eastAsia" w:ascii="宋体" w:hAnsi="Calibri" w:cs="Times New Roman"/>
                <w:color w:val="auto"/>
                <w:kern w:val="0"/>
                <w:sz w:val="22"/>
                <w:szCs w:val="22"/>
                <w:highlight w:val="none"/>
                <w:lang w:val="en-US" w:eastAsia="zh-CN"/>
              </w:rPr>
              <w:t>沉淀池1座。</w:t>
            </w:r>
            <w:r>
              <w:rPr>
                <w:rFonts w:hint="eastAsia" w:ascii="宋体" w:hAnsi="Calibri" w:eastAsia="宋体"/>
                <w:b w:val="0"/>
                <w:bCs/>
                <w:color w:val="auto"/>
                <w:kern w:val="0"/>
                <w:sz w:val="22"/>
                <w:szCs w:val="22"/>
                <w:lang w:val="en-US" w:eastAsia="zh-CN"/>
              </w:rPr>
              <w:t>初期雨水、生产废水经沉淀后回用不外排</w:t>
            </w:r>
            <w:r>
              <w:rPr>
                <w:rFonts w:hint="default" w:ascii="宋体" w:hAnsi="Calibri"/>
                <w:b w:val="0"/>
                <w:bCs/>
                <w:color w:val="auto"/>
                <w:kern w:val="0"/>
                <w:sz w:val="22"/>
                <w:szCs w:val="22"/>
              </w:rPr>
              <w:t>。</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0BEEF5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eastAsia" w:ascii="宋体" w:hAnsi="Calibri" w:cs="Times New Roman"/>
                <w:color w:val="auto"/>
                <w:kern w:val="0"/>
                <w:sz w:val="22"/>
                <w:szCs w:val="22"/>
                <w:lang w:val="en-US" w:eastAsia="zh-CN"/>
              </w:rPr>
              <w:t>依托现有</w:t>
            </w:r>
          </w:p>
        </w:tc>
      </w:tr>
      <w:tr w14:paraId="5F1F5F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019A9B55">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2EE0ECDB">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sz w:val="22"/>
                <w:szCs w:val="22"/>
                <w:lang w:val="en-US" w:eastAsia="zh-CN" w:bidi="ar-SA"/>
              </w:rPr>
              <w:t>噪声</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5EAC9B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2"/>
                <w:szCs w:val="22"/>
                <w:highlight w:val="red"/>
                <w:lang w:val="en-US" w:eastAsia="zh-CN" w:bidi="ar-SA"/>
              </w:rPr>
            </w:pPr>
            <w:r>
              <w:rPr>
                <w:rFonts w:hint="default" w:ascii="Times New Roman" w:hAnsi="Times New Roman" w:cs="Times New Roman"/>
                <w:color w:val="auto"/>
                <w:kern w:val="0"/>
                <w:sz w:val="22"/>
                <w:szCs w:val="22"/>
              </w:rPr>
              <w:t>选用低噪声设备，安装基础减振措施，</w:t>
            </w:r>
            <w:r>
              <w:rPr>
                <w:rFonts w:hint="eastAsia" w:ascii="宋体" w:hAnsi="Calibri" w:cs="Times New Roman"/>
                <w:color w:val="auto"/>
                <w:kern w:val="0"/>
                <w:sz w:val="22"/>
                <w:szCs w:val="22"/>
                <w:lang w:val="en-US" w:eastAsia="zh-CN"/>
              </w:rPr>
              <w:t>厂房隔声，</w:t>
            </w:r>
            <w:r>
              <w:rPr>
                <w:rFonts w:hint="eastAsia" w:ascii="宋体" w:hAnsi="Calibri" w:cs="Times New Roman"/>
                <w:color w:val="auto"/>
                <w:kern w:val="0"/>
                <w:sz w:val="22"/>
                <w:szCs w:val="22"/>
                <w:lang w:eastAsia="zh-CN"/>
              </w:rPr>
              <w:t>厂界</w:t>
            </w:r>
            <w:r>
              <w:rPr>
                <w:rFonts w:hint="default" w:ascii="Times New Roman" w:hAnsi="Times New Roman" w:cs="Times New Roman"/>
                <w:color w:val="auto"/>
                <w:kern w:val="0"/>
                <w:sz w:val="22"/>
                <w:szCs w:val="22"/>
              </w:rPr>
              <w:t>达到《工业企业厂界环境噪声排放标准》（GB12348-2008）</w:t>
            </w:r>
            <w:r>
              <w:rPr>
                <w:rFonts w:hint="eastAsia" w:ascii="宋体" w:hAnsi="Calibri" w:cs="Times New Roman"/>
                <w:color w:val="auto"/>
                <w:kern w:val="0"/>
                <w:sz w:val="22"/>
                <w:szCs w:val="22"/>
                <w:lang w:val="en-US" w:eastAsia="zh-CN"/>
              </w:rPr>
              <w:t>2</w:t>
            </w:r>
            <w:r>
              <w:rPr>
                <w:rFonts w:hint="default" w:ascii="Times New Roman" w:hAnsi="Times New Roman" w:cs="Times New Roman"/>
                <w:color w:val="auto"/>
                <w:kern w:val="0"/>
                <w:sz w:val="22"/>
                <w:szCs w:val="22"/>
              </w:rPr>
              <w:t>类标准</w:t>
            </w:r>
            <w:r>
              <w:rPr>
                <w:rFonts w:hint="eastAsia" w:ascii="宋体" w:hAnsi="Calibri" w:cs="Times New Roman"/>
                <w:color w:val="auto"/>
                <w:kern w:val="0"/>
                <w:sz w:val="22"/>
                <w:szCs w:val="22"/>
                <w:lang w:val="en-US" w:eastAsia="zh-CN"/>
              </w:rPr>
              <w:t>要求</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3AC372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eastAsia" w:ascii="宋体" w:hAnsi="Calibri" w:cs="Times New Roman"/>
                <w:color w:val="auto"/>
                <w:kern w:val="0"/>
                <w:sz w:val="22"/>
                <w:szCs w:val="22"/>
                <w:lang w:val="en-US" w:eastAsia="zh-CN"/>
              </w:rPr>
              <w:t>依托现有</w:t>
            </w:r>
          </w:p>
        </w:tc>
      </w:tr>
      <w:tr w14:paraId="75DB9E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133E3A5F">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094EC8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cs="Times New Roman"/>
                <w:color w:val="auto"/>
                <w:kern w:val="0"/>
                <w:sz w:val="22"/>
                <w:szCs w:val="22"/>
              </w:rPr>
              <w:t>固废</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1CFA48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宋体" w:hAnsi="Calibri"/>
                <w:bCs/>
                <w:color w:val="auto"/>
                <w:kern w:val="0"/>
                <w:sz w:val="22"/>
                <w:szCs w:val="22"/>
                <w:highlight w:val="none"/>
              </w:rPr>
            </w:pPr>
            <w:r>
              <w:rPr>
                <w:rFonts w:hint="default" w:ascii="宋体" w:hAnsi="Calibri"/>
                <w:bCs/>
                <w:color w:val="auto"/>
                <w:kern w:val="0"/>
                <w:sz w:val="22"/>
                <w:szCs w:val="22"/>
                <w:highlight w:val="none"/>
              </w:rPr>
              <w:t>除尘器中收集的原料粉尘均回收利用。</w:t>
            </w:r>
          </w:p>
          <w:p w14:paraId="7853FC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宋体" w:hAnsi="Calibri"/>
                <w:bCs/>
                <w:color w:val="auto"/>
                <w:kern w:val="0"/>
                <w:sz w:val="22"/>
                <w:szCs w:val="22"/>
                <w:highlight w:val="none"/>
              </w:rPr>
            </w:pPr>
            <w:r>
              <w:rPr>
                <w:rFonts w:hint="default" w:ascii="宋体" w:hAnsi="Calibri"/>
                <w:bCs/>
                <w:color w:val="auto"/>
                <w:kern w:val="0"/>
                <w:sz w:val="22"/>
                <w:szCs w:val="22"/>
                <w:highlight w:val="none"/>
              </w:rPr>
              <w:t>失效活性炭属于危险废物，暂存在厂内危废暂存间，委托由有资质的单位清运处置。</w:t>
            </w:r>
          </w:p>
          <w:p w14:paraId="629794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宋体" w:hAnsi="Calibri"/>
                <w:bCs/>
                <w:color w:val="auto"/>
                <w:kern w:val="0"/>
                <w:sz w:val="22"/>
                <w:szCs w:val="22"/>
                <w:highlight w:val="none"/>
              </w:rPr>
            </w:pPr>
            <w:r>
              <w:rPr>
                <w:rFonts w:hint="default" w:ascii="宋体" w:hAnsi="Calibri"/>
                <w:bCs/>
                <w:color w:val="auto"/>
                <w:kern w:val="0"/>
                <w:sz w:val="22"/>
                <w:szCs w:val="22"/>
                <w:highlight w:val="none"/>
              </w:rPr>
              <w:t>本项目废导热油委托有资质单位处置。</w:t>
            </w:r>
          </w:p>
          <w:p w14:paraId="13A4CA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Times New Roman" w:hAnsi="Times New Roman" w:eastAsia="宋体" w:cs="Times New Roman"/>
                <w:color w:val="auto"/>
                <w:kern w:val="2"/>
                <w:sz w:val="22"/>
                <w:szCs w:val="22"/>
                <w:lang w:val="en-US" w:eastAsia="zh-CN" w:bidi="ar-SA"/>
              </w:rPr>
            </w:pPr>
            <w:r>
              <w:rPr>
                <w:rFonts w:hint="default" w:ascii="宋体" w:hAnsi="Calibri"/>
                <w:bCs/>
                <w:color w:val="auto"/>
                <w:kern w:val="0"/>
                <w:sz w:val="22"/>
                <w:szCs w:val="22"/>
                <w:highlight w:val="none"/>
              </w:rPr>
              <w:t>不合格石料作为路基材料外卖。</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4440B0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2"/>
                <w:szCs w:val="22"/>
                <w:lang w:val="en-US" w:eastAsia="zh-CN" w:bidi="ar-SA"/>
              </w:rPr>
            </w:pPr>
            <w:r>
              <w:rPr>
                <w:rFonts w:hint="eastAsia" w:ascii="宋体" w:hAnsi="Calibri" w:cs="Times New Roman"/>
                <w:color w:val="auto"/>
                <w:kern w:val="0"/>
                <w:sz w:val="22"/>
                <w:szCs w:val="22"/>
                <w:lang w:val="en-US" w:eastAsia="zh-CN"/>
              </w:rPr>
              <w:t>依托现有</w:t>
            </w:r>
          </w:p>
        </w:tc>
      </w:tr>
      <w:tr w14:paraId="32E143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6" w:type="pct"/>
            <w:vMerge w:val="continue"/>
            <w:tcBorders>
              <w:top w:val="single" w:color="000000" w:sz="8" w:space="0"/>
              <w:left w:val="single" w:color="000000" w:sz="8" w:space="0"/>
              <w:bottom w:val="single" w:color="000000" w:sz="8" w:space="0"/>
              <w:right w:val="single" w:color="000000" w:sz="8" w:space="0"/>
            </w:tcBorders>
            <w:noWrap w:val="0"/>
            <w:vAlign w:val="center"/>
          </w:tcPr>
          <w:p w14:paraId="7397BB84">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p>
        </w:tc>
        <w:tc>
          <w:tcPr>
            <w:tcW w:w="893" w:type="pct"/>
            <w:tcBorders>
              <w:top w:val="single" w:color="000000" w:sz="8" w:space="0"/>
              <w:left w:val="single" w:color="000000" w:sz="8" w:space="0"/>
              <w:bottom w:val="single" w:color="000000" w:sz="8" w:space="0"/>
              <w:right w:val="single" w:color="000000" w:sz="8" w:space="0"/>
            </w:tcBorders>
            <w:noWrap w:val="0"/>
            <w:vAlign w:val="center"/>
          </w:tcPr>
          <w:p w14:paraId="1679E6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0"/>
                <w:sz w:val="22"/>
                <w:szCs w:val="22"/>
                <w:lang w:val="en-US" w:eastAsia="zh-CN"/>
              </w:rPr>
            </w:pPr>
            <w:r>
              <w:rPr>
                <w:rFonts w:hint="eastAsia" w:ascii="宋体" w:hAnsi="Calibri" w:cs="Times New Roman"/>
                <w:color w:val="auto"/>
                <w:kern w:val="0"/>
                <w:sz w:val="22"/>
                <w:szCs w:val="22"/>
                <w:lang w:val="en-US" w:eastAsia="zh-CN"/>
              </w:rPr>
              <w:t>地下防渗措施</w:t>
            </w:r>
          </w:p>
        </w:tc>
        <w:tc>
          <w:tcPr>
            <w:tcW w:w="2738" w:type="pct"/>
            <w:tcBorders>
              <w:top w:val="single" w:color="000000" w:sz="8" w:space="0"/>
              <w:left w:val="single" w:color="000000" w:sz="8" w:space="0"/>
              <w:bottom w:val="single" w:color="000000" w:sz="8" w:space="0"/>
              <w:right w:val="single" w:color="000000" w:sz="8" w:space="0"/>
            </w:tcBorders>
            <w:noWrap w:val="0"/>
            <w:vAlign w:val="center"/>
          </w:tcPr>
          <w:p w14:paraId="5D32F4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center"/>
              <w:rPr>
                <w:rFonts w:hint="default" w:ascii="宋体" w:hAnsi="Calibri"/>
                <w:color w:val="auto"/>
                <w:kern w:val="0"/>
                <w:sz w:val="22"/>
                <w:szCs w:val="22"/>
                <w:highlight w:val="none"/>
              </w:rPr>
            </w:pPr>
            <w:r>
              <w:rPr>
                <w:rFonts w:hint="eastAsia" w:ascii="宋体" w:hAnsi="Calibri"/>
                <w:color w:val="auto"/>
                <w:kern w:val="0"/>
                <w:sz w:val="22"/>
                <w:szCs w:val="22"/>
                <w:highlight w:val="none"/>
                <w:lang w:eastAsia="zh-CN"/>
              </w:rPr>
              <w:t>建设</w:t>
            </w:r>
            <w:r>
              <w:rPr>
                <w:rFonts w:hint="eastAsia" w:ascii="宋体" w:hAnsi="Calibri"/>
                <w:color w:val="auto"/>
                <w:kern w:val="0"/>
                <w:sz w:val="22"/>
                <w:szCs w:val="22"/>
                <w:highlight w:val="none"/>
              </w:rPr>
              <w:t>危废暂存间</w:t>
            </w:r>
            <w:r>
              <w:rPr>
                <w:rFonts w:hint="eastAsia" w:ascii="宋体" w:hAnsi="Calibri"/>
                <w:color w:val="auto"/>
                <w:kern w:val="0"/>
                <w:sz w:val="22"/>
                <w:szCs w:val="22"/>
                <w:highlight w:val="none"/>
                <w:lang w:val="en-US" w:eastAsia="zh-CN"/>
              </w:rPr>
              <w:t>建筑面积为5m</w:t>
            </w:r>
            <w:r>
              <w:rPr>
                <w:rFonts w:hint="eastAsia" w:ascii="宋体" w:hAnsi="Calibri"/>
                <w:color w:val="auto"/>
                <w:kern w:val="0"/>
                <w:sz w:val="22"/>
                <w:szCs w:val="22"/>
                <w:highlight w:val="none"/>
                <w:vertAlign w:val="superscript"/>
                <w:lang w:val="en-US" w:eastAsia="zh-CN"/>
              </w:rPr>
              <w:t>2</w:t>
            </w:r>
            <w:r>
              <w:rPr>
                <w:rFonts w:hint="eastAsia" w:ascii="宋体" w:hAnsi="Calibri"/>
                <w:color w:val="auto"/>
                <w:kern w:val="0"/>
                <w:sz w:val="22"/>
                <w:szCs w:val="22"/>
                <w:highlight w:val="none"/>
                <w:lang w:val="en-US" w:eastAsia="zh-CN"/>
              </w:rPr>
              <w:t>，设置在南侧库房内，需</w:t>
            </w:r>
            <w:r>
              <w:rPr>
                <w:rFonts w:hint="eastAsia" w:ascii="宋体" w:hAnsi="Calibri"/>
                <w:bCs/>
                <w:color w:val="auto"/>
                <w:kern w:val="0"/>
                <w:sz w:val="22"/>
                <w:szCs w:val="22"/>
                <w:highlight w:val="none"/>
              </w:rPr>
              <w:t>设置标识、围堰，基础必须防渗，防渗层为2mm厚高密度</w:t>
            </w:r>
            <w:r>
              <w:rPr>
                <w:rFonts w:hint="eastAsia" w:ascii="宋体" w:hAnsi="Calibri"/>
                <w:bCs/>
                <w:color w:val="auto"/>
                <w:kern w:val="0"/>
                <w:sz w:val="22"/>
                <w:szCs w:val="22"/>
                <w:highlight w:val="none"/>
                <w:lang w:eastAsia="zh-CN"/>
              </w:rPr>
              <w:t>氯乙烯</w:t>
            </w:r>
            <w:r>
              <w:rPr>
                <w:rFonts w:hint="eastAsia" w:ascii="宋体" w:hAnsi="Calibri"/>
                <w:bCs/>
                <w:color w:val="auto"/>
                <w:kern w:val="0"/>
                <w:sz w:val="22"/>
                <w:szCs w:val="22"/>
                <w:highlight w:val="none"/>
              </w:rPr>
              <w:t>防渗，渗透系数≤1×10</w:t>
            </w:r>
            <w:r>
              <w:rPr>
                <w:rFonts w:hint="eastAsia" w:ascii="宋体" w:hAnsi="Calibri"/>
                <w:bCs/>
                <w:color w:val="auto"/>
                <w:kern w:val="0"/>
                <w:sz w:val="22"/>
                <w:szCs w:val="22"/>
                <w:highlight w:val="none"/>
                <w:vertAlign w:val="superscript"/>
              </w:rPr>
              <w:t>-10</w:t>
            </w:r>
            <w:r>
              <w:rPr>
                <w:rFonts w:hint="eastAsia" w:ascii="宋体" w:hAnsi="Calibri"/>
                <w:bCs/>
                <w:color w:val="auto"/>
                <w:kern w:val="0"/>
                <w:sz w:val="22"/>
                <w:szCs w:val="22"/>
                <w:highlight w:val="none"/>
              </w:rPr>
              <w:t>cm/s；</w:t>
            </w:r>
          </w:p>
        </w:tc>
        <w:tc>
          <w:tcPr>
            <w:tcW w:w="721" w:type="pct"/>
            <w:tcBorders>
              <w:top w:val="single" w:color="000000" w:sz="8" w:space="0"/>
              <w:left w:val="single" w:color="000000" w:sz="8" w:space="0"/>
              <w:bottom w:val="single" w:color="000000" w:sz="8" w:space="0"/>
              <w:right w:val="single" w:color="000000" w:sz="8" w:space="0"/>
            </w:tcBorders>
            <w:noWrap w:val="0"/>
            <w:vAlign w:val="center"/>
          </w:tcPr>
          <w:p w14:paraId="1686DEF9">
            <w:pPr>
              <w:keepNext w:val="0"/>
              <w:keepLines w:val="0"/>
              <w:pageBreakBefore w:val="0"/>
              <w:widowControl w:val="0"/>
              <w:suppressLineNumbers w:val="0"/>
              <w:tabs>
                <w:tab w:val="left" w:pos="64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sz w:val="22"/>
                <w:szCs w:val="22"/>
                <w:lang w:val="en-US" w:eastAsia="zh-CN" w:bidi="ar-SA"/>
              </w:rPr>
            </w:pPr>
            <w:r>
              <w:rPr>
                <w:rFonts w:hint="eastAsia" w:ascii="Times New Roman" w:hAnsi="Times New Roman" w:eastAsia="宋体" w:cs="Times New Roman"/>
                <w:color w:val="auto"/>
                <w:sz w:val="22"/>
                <w:szCs w:val="22"/>
                <w:lang w:val="en-US" w:eastAsia="zh-CN" w:bidi="ar-SA"/>
              </w:rPr>
              <w:t>新建</w:t>
            </w:r>
          </w:p>
        </w:tc>
      </w:tr>
    </w:tbl>
    <w:p w14:paraId="0E6D9481">
      <w:pPr>
        <w:jc w:val="left"/>
        <w:rPr>
          <w:rFonts w:hint="default" w:ascii="Times New Roman" w:hAnsi="Times New Roman" w:cs="Times New Roman"/>
          <w:color w:val="auto"/>
          <w:kern w:val="0"/>
          <w:sz w:val="24"/>
          <w:szCs w:val="20"/>
        </w:rPr>
      </w:pPr>
    </w:p>
    <w:p w14:paraId="74E9D18F">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176" w:name="_Toc14519"/>
      <w:r>
        <w:rPr>
          <w:rFonts w:hint="default" w:ascii="Times New Roman" w:hAnsi="Times New Roman" w:eastAsia="黑体" w:cs="Times New Roman"/>
          <w:color w:val="auto"/>
          <w:sz w:val="28"/>
          <w:szCs w:val="20"/>
          <w:lang w:val="en-US" w:eastAsia="zh-CN" w:bidi="ar-SA"/>
        </w:rPr>
        <w:t>运营期环境影响因素与污染源强核算</w:t>
      </w:r>
      <w:bookmarkEnd w:id="176"/>
    </w:p>
    <w:p w14:paraId="1CF53D8C">
      <w:pPr>
        <w:widowControl w:val="0"/>
        <w:numPr>
          <w:ilvl w:val="2"/>
          <w:numId w:val="1"/>
        </w:numPr>
        <w:bidi w:val="0"/>
        <w:spacing w:line="360" w:lineRule="auto"/>
        <w:jc w:val="both"/>
        <w:outlineLvl w:val="2"/>
        <w:rPr>
          <w:rFonts w:hint="default" w:ascii="Times New Roman" w:hAnsi="Times New Roman" w:eastAsia="黑体" w:cs="Times New Roman"/>
          <w:color w:val="auto"/>
          <w:sz w:val="24"/>
          <w:szCs w:val="24"/>
          <w:lang w:val="en-US" w:eastAsia="zh-CN" w:bidi="ar-SA"/>
        </w:rPr>
      </w:pPr>
      <w:bookmarkStart w:id="177" w:name="_Toc358447698"/>
      <w:bookmarkStart w:id="178" w:name="_Toc247188782"/>
      <w:bookmarkStart w:id="179" w:name="_Toc358365280"/>
      <w:bookmarkStart w:id="180" w:name="_Toc355785937"/>
      <w:bookmarkStart w:id="181" w:name="_Toc355941101"/>
      <w:bookmarkStart w:id="182" w:name="_Toc237486981"/>
      <w:bookmarkStart w:id="183" w:name="_Toc355786518"/>
      <w:r>
        <w:rPr>
          <w:rFonts w:hint="default" w:ascii="Times New Roman" w:hAnsi="Times New Roman" w:eastAsia="黑体" w:cs="Times New Roman"/>
          <w:color w:val="auto"/>
          <w:sz w:val="24"/>
          <w:szCs w:val="24"/>
          <w:lang w:val="en-US" w:eastAsia="zh-CN" w:bidi="ar-SA"/>
        </w:rPr>
        <w:t>正常工况</w:t>
      </w:r>
    </w:p>
    <w:p w14:paraId="7531D509">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auto"/>
        <w:ind w:left="113" w:right="113" w:firstLine="482"/>
        <w:jc w:val="left"/>
        <w:textAlignment w:val="baseline"/>
        <w:outlineLvl w:val="9"/>
        <w:rPr>
          <w:rFonts w:hint="eastAsia" w:ascii="宋体" w:hAnsi="Calibri" w:eastAsia="宋体" w:cs="Times New Roman"/>
          <w:color w:val="auto"/>
          <w:kern w:val="0"/>
          <w:sz w:val="24"/>
          <w:szCs w:val="24"/>
          <w:lang w:val="en-US" w:eastAsia="zh-CN" w:bidi="ar-SA"/>
        </w:rPr>
      </w:pPr>
      <w:r>
        <w:rPr>
          <w:rFonts w:hint="eastAsia" w:ascii="宋体" w:hAnsi="Calibri" w:eastAsia="宋体" w:cs="Times New Roman"/>
          <w:color w:val="auto"/>
          <w:kern w:val="0"/>
          <w:sz w:val="24"/>
          <w:szCs w:val="24"/>
          <w:lang w:val="en-US" w:eastAsia="zh-CN" w:bidi="ar-SA"/>
        </w:rPr>
        <w:t>1.导热油炉烟气</w:t>
      </w:r>
    </w:p>
    <w:p w14:paraId="6B1B48BD">
      <w:pPr>
        <w:keepNext w:val="0"/>
        <w:keepLines w:val="0"/>
        <w:pageBreakBefore w:val="0"/>
        <w:widowControl w:val="0"/>
        <w:suppressLineNumbers w:val="0"/>
        <w:kinsoku/>
        <w:wordWrap/>
        <w:overflowPunct/>
        <w:topLinePunct w:val="0"/>
        <w:bidi w:val="0"/>
        <w:adjustRightInd w:val="0"/>
        <w:snapToGrid/>
        <w:spacing w:before="0" w:beforeLines="0" w:beforeAutospacing="0" w:after="0" w:afterLines="0" w:afterAutospacing="0" w:line="360" w:lineRule="auto"/>
        <w:ind w:left="0" w:right="0" w:firstLine="480" w:firstLineChars="200"/>
        <w:jc w:val="left"/>
        <w:outlineLvl w:val="9"/>
        <w:rPr>
          <w:rFonts w:hint="eastAsia" w:ascii="Times New Roman" w:hAnsi="Times New Roman" w:eastAsia="宋体" w:cs="Times New Roman"/>
          <w:color w:val="auto"/>
          <w:kern w:val="0"/>
          <w:sz w:val="24"/>
          <w:szCs w:val="24"/>
          <w:highlight w:val="none"/>
        </w:rPr>
      </w:pPr>
      <w:r>
        <w:rPr>
          <w:rFonts w:hint="eastAsia" w:ascii="宋体" w:hAnsi="Calibri"/>
          <w:color w:val="auto"/>
          <w:kern w:val="0"/>
          <w:sz w:val="24"/>
          <w:szCs w:val="24"/>
          <w:lang w:eastAsia="zh-CN"/>
        </w:rPr>
        <w:t>本项目设置一台导热油炉，采用柴油作为燃料，</w:t>
      </w:r>
      <w:r>
        <w:rPr>
          <w:rFonts w:hint="eastAsia" w:ascii="宋体" w:hAnsi="Calibri"/>
          <w:color w:val="auto"/>
          <w:kern w:val="0"/>
          <w:sz w:val="24"/>
          <w:szCs w:val="24"/>
          <w:highlight w:val="none"/>
        </w:rPr>
        <w:t>根据《污染源源强核算技术指南锅炉》（HJ991-2018）</w:t>
      </w:r>
      <w:r>
        <w:rPr>
          <w:rFonts w:hint="eastAsia" w:ascii="宋体" w:hAnsi="Calibri"/>
          <w:color w:val="auto"/>
          <w:kern w:val="0"/>
          <w:sz w:val="24"/>
          <w:szCs w:val="24"/>
          <w:highlight w:val="none"/>
          <w:lang w:val="en-US" w:eastAsia="zh-CN"/>
        </w:rPr>
        <w:t>中物料衡算法进行计算</w:t>
      </w:r>
      <w:r>
        <w:rPr>
          <w:rFonts w:hint="eastAsia" w:ascii="宋体" w:hAnsi="Calibri"/>
          <w:color w:val="auto"/>
          <w:kern w:val="0"/>
          <w:sz w:val="24"/>
          <w:szCs w:val="24"/>
          <w:highlight w:val="none"/>
        </w:rPr>
        <w:t>，污染物排</w:t>
      </w:r>
      <w:r>
        <w:rPr>
          <w:rFonts w:hint="eastAsia" w:ascii="Times New Roman" w:hAnsi="Times New Roman" w:eastAsia="宋体" w:cs="Times New Roman"/>
          <w:color w:val="auto"/>
          <w:kern w:val="0"/>
          <w:sz w:val="24"/>
          <w:szCs w:val="24"/>
          <w:highlight w:val="none"/>
        </w:rPr>
        <w:t>放量按下式计算：</w:t>
      </w:r>
    </w:p>
    <w:p w14:paraId="00F005BB">
      <w:pPr>
        <w:keepNext w:val="0"/>
        <w:keepLines w:val="0"/>
        <w:pageBreakBefore w:val="0"/>
        <w:widowControl w:val="0"/>
        <w:suppressLineNumbers w:val="0"/>
        <w:kinsoku/>
        <w:wordWrap/>
        <w:topLinePunct w:val="0"/>
        <w:bidi w:val="0"/>
        <w:snapToGrid w:val="0"/>
        <w:spacing w:before="0" w:beforeAutospacing="0" w:after="0" w:afterAutospacing="0" w:line="500" w:lineRule="exact"/>
        <w:ind w:left="0" w:right="0" w:firstLine="482" w:firstLineChars="200"/>
        <w:jc w:val="left"/>
        <w:outlineLvl w:val="9"/>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kern w:val="0"/>
          <w:sz w:val="24"/>
          <w:szCs w:val="24"/>
          <w:highlight w:val="none"/>
        </w:rPr>
        <w:t>①烟气排放量：</w:t>
      </w:r>
    </w:p>
    <w:p w14:paraId="669A8EEA">
      <w:pPr>
        <w:keepNext w:val="0"/>
        <w:keepLines w:val="0"/>
        <w:pageBreakBefore w:val="0"/>
        <w:widowControl w:val="0"/>
        <w:suppressLineNumbers w:val="0"/>
        <w:tabs>
          <w:tab w:val="left" w:pos="6480"/>
        </w:tabs>
        <w:kinsoku/>
        <w:wordWrap/>
        <w:topLinePunct w:val="0"/>
        <w:bidi w:val="0"/>
        <w:spacing w:before="0" w:beforeAutospacing="0" w:after="0" w:afterAutospacing="0" w:line="500" w:lineRule="exact"/>
        <w:ind w:left="0" w:right="0" w:firstLine="480" w:firstLineChars="200"/>
        <w:jc w:val="left"/>
        <w:outlineLvl w:val="9"/>
        <w:rPr>
          <w:rFonts w:hint="eastAsia"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val="en-US" w:eastAsia="zh-CN"/>
        </w:rPr>
        <w:t>本项目柴油燃料成分分析单可知，本项目元素分析不全面，无法采用有元素成分计算式，采用下列公式计算理论空气量及湿烟气量，干烟气量的经验公式计算参照HJ953中，理论空气量及湿烟气量具体</w:t>
      </w:r>
      <w:r>
        <w:rPr>
          <w:rFonts w:hint="eastAsia" w:ascii="Times New Roman" w:hAnsi="Times New Roman" w:eastAsia="宋体" w:cs="Times New Roman"/>
          <w:color w:val="auto"/>
          <w:kern w:val="0"/>
          <w:sz w:val="24"/>
          <w:szCs w:val="24"/>
          <w:highlight w:val="none"/>
        </w:rPr>
        <w:t>公式如下：</w:t>
      </w:r>
    </w:p>
    <w:p w14:paraId="19DB9833">
      <w:pPr>
        <w:keepNext w:val="0"/>
        <w:keepLines w:val="0"/>
        <w:pageBreakBefore w:val="0"/>
        <w:widowControl w:val="0"/>
        <w:suppressLineNumbers w:val="0"/>
        <w:kinsoku/>
        <w:wordWrap/>
        <w:topLinePunct w:val="0"/>
        <w:bidi w:val="0"/>
        <w:spacing w:before="0" w:beforeAutospacing="0" w:after="0" w:afterAutospacing="0" w:line="360" w:lineRule="auto"/>
        <w:ind w:right="0" w:firstLine="480" w:firstLineChars="200"/>
        <w:outlineLvl w:val="9"/>
        <w:rPr>
          <w:rFonts w:hint="eastAsia" w:ascii="宋体" w:hAnsi="Calibri" w:eastAsia="宋体" w:cs="Times New Roman"/>
          <w:color w:val="auto"/>
          <w:sz w:val="24"/>
          <w:szCs w:val="28"/>
          <w:highlight w:val="none"/>
          <w:lang w:val="en-US" w:eastAsia="zh-CN" w:bidi="ar-SA"/>
        </w:rPr>
      </w:pPr>
    </w:p>
    <w:p w14:paraId="58146A31">
      <w:pPr>
        <w:keepNext w:val="0"/>
        <w:keepLines w:val="0"/>
        <w:pageBreakBefore w:val="0"/>
        <w:widowControl w:val="0"/>
        <w:suppressLineNumbers w:val="0"/>
        <w:kinsoku/>
        <w:wordWrap/>
        <w:topLinePunct w:val="0"/>
        <w:bidi w:val="0"/>
        <w:spacing w:before="0" w:beforeAutospacing="0" w:after="0" w:afterAutospacing="0" w:line="360" w:lineRule="auto"/>
        <w:ind w:left="0" w:right="0" w:firstLine="480" w:firstLineChars="200"/>
        <w:jc w:val="left"/>
        <w:outlineLvl w:val="9"/>
        <w:rPr>
          <w:rFonts w:hint="default" w:ascii="宋体" w:hAnsi="Calibri"/>
          <w:color w:val="auto"/>
          <w:kern w:val="0"/>
          <w:sz w:val="24"/>
          <w:szCs w:val="20"/>
          <w:highlight w:val="none"/>
        </w:rPr>
      </w:pPr>
      <w:r>
        <w:rPr>
          <w:rFonts w:hint="default" w:ascii="宋体" w:hAnsi="Calibri"/>
          <w:color w:val="auto"/>
          <w:kern w:val="0"/>
          <w:sz w:val="24"/>
          <w:szCs w:val="20"/>
          <w:highlight w:val="none"/>
        </w:rPr>
        <w:drawing>
          <wp:inline distT="0" distB="0" distL="114300" distR="114300">
            <wp:extent cx="3476625" cy="787400"/>
            <wp:effectExtent l="0" t="0" r="9525" b="1270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80"/>
                    <a:stretch>
                      <a:fillRect/>
                    </a:stretch>
                  </pic:blipFill>
                  <pic:spPr>
                    <a:xfrm>
                      <a:off x="0" y="0"/>
                      <a:ext cx="3476625" cy="787400"/>
                    </a:xfrm>
                    <a:prstGeom prst="rect">
                      <a:avLst/>
                    </a:prstGeom>
                    <a:noFill/>
                    <a:ln>
                      <a:noFill/>
                    </a:ln>
                  </pic:spPr>
                </pic:pic>
              </a:graphicData>
            </a:graphic>
          </wp:inline>
        </w:drawing>
      </w:r>
    </w:p>
    <w:p w14:paraId="165D582B">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b/>
          <w:bCs/>
          <w:color w:val="auto"/>
          <w:kern w:val="0"/>
          <w:sz w:val="24"/>
          <w:szCs w:val="20"/>
          <w:highlight w:val="none"/>
        </w:rPr>
      </w:pPr>
      <w:r>
        <w:rPr>
          <w:rFonts w:hint="default" w:ascii="宋体" w:hAnsi="Calibri"/>
          <w:color w:val="auto"/>
          <w:kern w:val="0"/>
          <w:sz w:val="24"/>
          <w:szCs w:val="20"/>
          <w:highlight w:val="none"/>
        </w:rPr>
        <w:t>式中：</w:t>
      </w:r>
      <w:r>
        <w:rPr>
          <w:rFonts w:hint="default" w:ascii="Times New Roman" w:hAnsi="Times New Roman" w:cs="Times New Roman"/>
          <w:iCs/>
          <w:color w:val="auto"/>
          <w:kern w:val="0"/>
          <w:sz w:val="24"/>
          <w:szCs w:val="24"/>
          <w:highlight w:val="none"/>
        </w:rPr>
        <w:t>V</w:t>
      </w:r>
      <w:r>
        <w:rPr>
          <w:rFonts w:hint="default" w:ascii="Times New Roman" w:hAnsi="Times New Roman" w:cs="Times New Roman"/>
          <w:iCs/>
          <w:color w:val="auto"/>
          <w:kern w:val="0"/>
          <w:sz w:val="24"/>
          <w:szCs w:val="24"/>
          <w:highlight w:val="none"/>
          <w:vertAlign w:val="subscript"/>
        </w:rPr>
        <w:t>0</w:t>
      </w:r>
      <w:r>
        <w:rPr>
          <w:rFonts w:hint="default" w:ascii="Times New Roman" w:hAnsi="Times New Roman" w:cs="Times New Roman"/>
          <w:iCs/>
          <w:color w:val="auto"/>
          <w:kern w:val="0"/>
          <w:sz w:val="24"/>
          <w:szCs w:val="24"/>
          <w:highlight w:val="none"/>
        </w:rPr>
        <w:t>——理论空气量，</w:t>
      </w:r>
      <w:r>
        <w:rPr>
          <w:rFonts w:hint="eastAsia" w:ascii="Times New Roman" w:hAnsi="Times New Roman" w:cs="Times New Roman"/>
          <w:iCs/>
          <w:color w:val="auto"/>
          <w:kern w:val="0"/>
          <w:sz w:val="24"/>
          <w:szCs w:val="24"/>
          <w:highlight w:val="none"/>
          <w:lang w:val="en-US" w:eastAsia="zh-CN"/>
        </w:rPr>
        <w:t>10.724</w:t>
      </w:r>
      <w:r>
        <w:rPr>
          <w:rFonts w:hint="default" w:ascii="Times New Roman" w:hAnsi="Times New Roman" w:cs="Times New Roman"/>
          <w:iCs/>
          <w:color w:val="auto"/>
          <w:kern w:val="0"/>
          <w:sz w:val="24"/>
          <w:szCs w:val="24"/>
          <w:highlight w:val="none"/>
        </w:rPr>
        <w:t>m</w:t>
      </w:r>
      <w:r>
        <w:rPr>
          <w:rFonts w:hint="default" w:ascii="Times New Roman" w:hAnsi="Times New Roman" w:cs="Times New Roman"/>
          <w:iCs/>
          <w:color w:val="auto"/>
          <w:kern w:val="0"/>
          <w:sz w:val="24"/>
          <w:szCs w:val="24"/>
          <w:highlight w:val="none"/>
          <w:vertAlign w:val="superscript"/>
        </w:rPr>
        <w:t>3</w:t>
      </w:r>
      <w:r>
        <w:rPr>
          <w:rFonts w:hint="default" w:ascii="Times New Roman" w:hAnsi="Times New Roman" w:cs="Times New Roman"/>
          <w:iCs/>
          <w:color w:val="auto"/>
          <w:kern w:val="0"/>
          <w:sz w:val="24"/>
          <w:szCs w:val="24"/>
          <w:highlight w:val="none"/>
        </w:rPr>
        <w:t>/kg；</w:t>
      </w:r>
      <w:r>
        <w:rPr>
          <w:rFonts w:hint="default" w:ascii="Times New Roman" w:hAnsi="Times New Roman" w:eastAsia="宋体" w:cs="Times New Roman"/>
          <w:iCs/>
          <w:color w:val="auto"/>
          <w:kern w:val="0"/>
          <w:sz w:val="24"/>
          <w:szCs w:val="24"/>
          <w:highlight w:val="none"/>
        </w:rPr>
        <w:t>经计算，本项目</w:t>
      </w:r>
      <w:r>
        <w:rPr>
          <w:rFonts w:hint="eastAsia" w:ascii="Times New Roman" w:hAnsi="Times New Roman" w:eastAsia="宋体" w:cs="Times New Roman"/>
          <w:iCs/>
          <w:color w:val="auto"/>
          <w:kern w:val="0"/>
          <w:sz w:val="24"/>
          <w:szCs w:val="24"/>
          <w:highlight w:val="none"/>
          <w:lang w:eastAsia="zh-CN"/>
        </w:rPr>
        <w:t>湿</w:t>
      </w:r>
      <w:r>
        <w:rPr>
          <w:rFonts w:hint="default" w:ascii="Times New Roman" w:hAnsi="Times New Roman" w:eastAsia="宋体" w:cs="Times New Roman"/>
          <w:iCs/>
          <w:color w:val="auto"/>
          <w:kern w:val="0"/>
          <w:sz w:val="24"/>
          <w:szCs w:val="24"/>
          <w:highlight w:val="none"/>
        </w:rPr>
        <w:t>烟气排</w:t>
      </w:r>
      <w:r>
        <w:rPr>
          <w:rFonts w:hint="default" w:ascii="Times New Roman" w:hAnsi="Times New Roman" w:cs="Times New Roman"/>
          <w:b w:val="0"/>
          <w:bCs w:val="0"/>
          <w:iCs/>
          <w:color w:val="auto"/>
          <w:kern w:val="0"/>
          <w:sz w:val="24"/>
          <w:szCs w:val="24"/>
          <w:highlight w:val="none"/>
        </w:rPr>
        <w:t>放量</w:t>
      </w:r>
      <w:r>
        <w:rPr>
          <w:rFonts w:hint="eastAsia" w:ascii="Times New Roman" w:hAnsi="Times New Roman" w:eastAsia="宋体" w:cs="Times New Roman"/>
          <w:iCs/>
          <w:color w:val="auto"/>
          <w:kern w:val="0"/>
          <w:sz w:val="24"/>
          <w:szCs w:val="24"/>
          <w:highlight w:val="none"/>
          <w:lang w:val="en-US" w:eastAsia="zh-CN"/>
        </w:rPr>
        <w:t>13.57Nm</w:t>
      </w:r>
      <w:r>
        <w:rPr>
          <w:rFonts w:hint="eastAsia" w:ascii="Times New Roman" w:hAnsi="Times New Roman" w:eastAsia="宋体" w:cs="Times New Roman"/>
          <w:iCs/>
          <w:color w:val="auto"/>
          <w:kern w:val="0"/>
          <w:sz w:val="24"/>
          <w:szCs w:val="24"/>
          <w:highlight w:val="none"/>
          <w:vertAlign w:val="superscript"/>
          <w:lang w:val="en-US" w:eastAsia="zh-CN"/>
        </w:rPr>
        <w:t>3</w:t>
      </w:r>
      <w:r>
        <w:rPr>
          <w:rFonts w:hint="eastAsia" w:ascii="Times New Roman" w:hAnsi="Times New Roman" w:eastAsia="宋体" w:cs="Times New Roman"/>
          <w:iCs/>
          <w:color w:val="auto"/>
          <w:kern w:val="0"/>
          <w:sz w:val="24"/>
          <w:szCs w:val="24"/>
          <w:highlight w:val="none"/>
          <w:lang w:val="en-US" w:eastAsia="zh-CN"/>
        </w:rPr>
        <w:t>/kg。</w:t>
      </w:r>
    </w:p>
    <w:p w14:paraId="387DB323">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textAlignment w:val="auto"/>
        <w:outlineLvl w:val="9"/>
        <w:rPr>
          <w:rFonts w:hint="eastAsia" w:ascii="Times New Roman" w:hAnsi="宋体" w:eastAsia="宋体" w:cs="宋体"/>
          <w:color w:val="auto"/>
          <w:sz w:val="24"/>
          <w:szCs w:val="24"/>
          <w:highlight w:val="none"/>
          <w:lang w:val="en-US" w:eastAsia="zh-CN" w:bidi="ar-SA"/>
        </w:rPr>
      </w:pPr>
      <w:r>
        <w:rPr>
          <w:rFonts w:hint="default" w:ascii="Times New Roman" w:hAnsi="宋体" w:eastAsia="宋体" w:cs="宋体"/>
          <w:color w:val="auto"/>
          <w:sz w:val="24"/>
          <w:szCs w:val="24"/>
          <w:highlight w:val="none"/>
          <w:lang w:val="en-US" w:eastAsia="zh-CN" w:bidi="ar-SA"/>
        </w:rPr>
        <w:t>Qnet，ar—低位发热量，本项目</w:t>
      </w:r>
      <w:r>
        <w:rPr>
          <w:rFonts w:hint="eastAsia" w:ascii="Times New Roman" w:hAnsi="宋体" w:eastAsia="宋体" w:cs="宋体"/>
          <w:color w:val="auto"/>
          <w:sz w:val="24"/>
          <w:szCs w:val="24"/>
          <w:highlight w:val="none"/>
          <w:lang w:val="en-US" w:eastAsia="zh-CN" w:bidi="ar-SA"/>
        </w:rPr>
        <w:t>柴油</w:t>
      </w:r>
      <w:r>
        <w:rPr>
          <w:rFonts w:hint="default" w:ascii="Times New Roman" w:hAnsi="宋体" w:eastAsia="宋体" w:cs="宋体"/>
          <w:color w:val="auto"/>
          <w:sz w:val="24"/>
          <w:szCs w:val="24"/>
          <w:highlight w:val="none"/>
          <w:lang w:val="en-US" w:eastAsia="zh-CN" w:bidi="ar-SA"/>
        </w:rPr>
        <w:t>低位发热量为</w:t>
      </w:r>
      <w:r>
        <w:rPr>
          <w:rFonts w:hint="eastAsia" w:ascii="Times New Roman" w:hAnsi="宋体" w:eastAsia="宋体" w:cs="宋体"/>
          <w:color w:val="auto"/>
          <w:sz w:val="24"/>
          <w:szCs w:val="24"/>
          <w:highlight w:val="none"/>
          <w:lang w:val="en-US" w:eastAsia="zh-CN" w:bidi="ar-SA"/>
        </w:rPr>
        <w:t>42976.14kJ/kg</w:t>
      </w:r>
    </w:p>
    <w:p w14:paraId="7DF6DB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left"/>
        <w:textAlignment w:val="auto"/>
        <w:outlineLvl w:val="9"/>
        <w:rPr>
          <w:rFonts w:hint="default" w:ascii="Times New Roman" w:hAnsi="Times New Roman" w:cs="Times New Roman"/>
          <w:iCs/>
          <w:color w:val="auto"/>
          <w:kern w:val="0"/>
          <w:sz w:val="24"/>
          <w:szCs w:val="24"/>
          <w:highlight w:val="none"/>
        </w:rPr>
      </w:pPr>
      <w:r>
        <w:rPr>
          <w:rFonts w:hint="default" w:ascii="Times New Roman" w:hAnsi="Times New Roman" w:cs="Times New Roman"/>
          <w:iCs/>
          <w:color w:val="auto"/>
          <w:kern w:val="0"/>
          <w:sz w:val="24"/>
          <w:szCs w:val="24"/>
          <w:highlight w:val="none"/>
        </w:rPr>
        <w:t>α——过量空气系数，燃料燃烧时实际空气供给量与理论空气需要量之比值，本项目取1.</w:t>
      </w:r>
      <w:r>
        <w:rPr>
          <w:rFonts w:hint="eastAsia" w:ascii="Times New Roman" w:hAnsi="Times New Roman" w:cs="Times New Roman"/>
          <w:iCs/>
          <w:color w:val="auto"/>
          <w:kern w:val="0"/>
          <w:sz w:val="24"/>
          <w:szCs w:val="24"/>
          <w:highlight w:val="none"/>
          <w:lang w:val="en-US" w:eastAsia="zh-CN"/>
        </w:rPr>
        <w:t>2</w:t>
      </w:r>
      <w:r>
        <w:rPr>
          <w:rFonts w:hint="default" w:ascii="Times New Roman" w:hAnsi="Times New Roman" w:cs="Times New Roman"/>
          <w:iCs/>
          <w:color w:val="auto"/>
          <w:kern w:val="0"/>
          <w:sz w:val="24"/>
          <w:szCs w:val="24"/>
          <w:highlight w:val="none"/>
        </w:rPr>
        <w:t>；</w:t>
      </w:r>
    </w:p>
    <w:p w14:paraId="3B1AF29C">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eastAsia="宋体" w:cs="Times New Roman"/>
          <w:color w:val="auto"/>
          <w:kern w:val="0"/>
          <w:sz w:val="24"/>
          <w:szCs w:val="20"/>
          <w:highlight w:val="none"/>
        </w:rPr>
      </w:pPr>
      <w:r>
        <w:rPr>
          <w:rFonts w:hint="default" w:ascii="Times New Roman" w:hAnsi="Times New Roman" w:cs="Times New Roman"/>
          <w:iCs/>
          <w:color w:val="auto"/>
          <w:kern w:val="0"/>
          <w:sz w:val="24"/>
          <w:szCs w:val="24"/>
          <w:highlight w:val="none"/>
        </w:rPr>
        <w:t>V</w:t>
      </w:r>
      <w:r>
        <w:rPr>
          <w:rFonts w:hint="eastAsia" w:ascii="Times New Roman" w:hAnsi="Times New Roman" w:cs="Times New Roman"/>
          <w:iCs/>
          <w:color w:val="auto"/>
          <w:kern w:val="0"/>
          <w:sz w:val="24"/>
          <w:szCs w:val="24"/>
          <w:highlight w:val="none"/>
          <w:vertAlign w:val="subscript"/>
          <w:lang w:val="en-US" w:eastAsia="zh-CN"/>
        </w:rPr>
        <w:t>s</w:t>
      </w:r>
      <w:r>
        <w:rPr>
          <w:rFonts w:hint="default" w:ascii="Times New Roman" w:hAnsi="Times New Roman" w:cs="Times New Roman"/>
          <w:iCs/>
          <w:color w:val="auto"/>
          <w:kern w:val="0"/>
          <w:sz w:val="24"/>
          <w:szCs w:val="24"/>
          <w:highlight w:val="none"/>
        </w:rPr>
        <w:t>——</w:t>
      </w:r>
      <w:r>
        <w:rPr>
          <w:rFonts w:hint="eastAsia" w:ascii="Times New Roman" w:hAnsi="Times New Roman" w:cs="Times New Roman"/>
          <w:iCs/>
          <w:color w:val="auto"/>
          <w:kern w:val="0"/>
          <w:sz w:val="24"/>
          <w:szCs w:val="24"/>
          <w:highlight w:val="none"/>
          <w:lang w:eastAsia="zh-CN"/>
        </w:rPr>
        <w:t>湿</w:t>
      </w:r>
      <w:r>
        <w:rPr>
          <w:rFonts w:hint="default" w:ascii="Times New Roman" w:hAnsi="Times New Roman" w:cs="Times New Roman"/>
          <w:iCs/>
          <w:color w:val="auto"/>
          <w:kern w:val="0"/>
          <w:sz w:val="24"/>
          <w:szCs w:val="24"/>
          <w:highlight w:val="none"/>
        </w:rPr>
        <w:t>烟气排放量，m</w:t>
      </w:r>
      <w:r>
        <w:rPr>
          <w:rFonts w:hint="default" w:ascii="Times New Roman" w:hAnsi="Times New Roman" w:cs="Times New Roman"/>
          <w:iCs/>
          <w:color w:val="auto"/>
          <w:kern w:val="0"/>
          <w:sz w:val="24"/>
          <w:szCs w:val="24"/>
          <w:highlight w:val="none"/>
          <w:vertAlign w:val="superscript"/>
        </w:rPr>
        <w:t>3</w:t>
      </w:r>
      <w:r>
        <w:rPr>
          <w:rFonts w:hint="default" w:ascii="Times New Roman" w:hAnsi="Times New Roman" w:cs="Times New Roman"/>
          <w:iCs/>
          <w:color w:val="auto"/>
          <w:kern w:val="0"/>
          <w:sz w:val="24"/>
          <w:szCs w:val="24"/>
          <w:highlight w:val="none"/>
        </w:rPr>
        <w:t>/kg；</w:t>
      </w:r>
    </w:p>
    <w:p w14:paraId="5140E660">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textAlignment w:val="auto"/>
        <w:outlineLvl w:val="9"/>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根据《排污许可证申请与核发技术规范锅炉》（HJ953-2018）中表5基准烟气量取值表计算本项目燃油锅炉的基准烟气量，则基准烟气量经验公式可定为Vgy=0.29Qnet，ar+0.379</w:t>
      </w:r>
      <w:r>
        <w:rPr>
          <w:rFonts w:hint="eastAsia" w:ascii="Times New Roman" w:hAnsi="Times New Roman" w:eastAsia="宋体" w:cs="Times New Roman"/>
          <w:color w:val="auto"/>
          <w:sz w:val="24"/>
          <w:szCs w:val="24"/>
          <w:highlight w:val="none"/>
          <w:lang w:val="en-US" w:eastAsia="zh-CN" w:bidi="ar-SA"/>
        </w:rPr>
        <w:t>，经计算本项目干烟气量排放量为</w:t>
      </w:r>
      <w:r>
        <w:rPr>
          <w:rFonts w:hint="eastAsia" w:ascii="Times New Roman" w:hAnsi="Times New Roman" w:eastAsia="宋体" w:cs="Times New Roman"/>
          <w:b w:val="0"/>
          <w:bCs/>
          <w:color w:val="auto"/>
          <w:spacing w:val="0"/>
          <w:sz w:val="24"/>
          <w:szCs w:val="24"/>
          <w:highlight w:val="none"/>
          <w:lang w:val="en-US" w:eastAsia="zh-CN" w:bidi="ar-SA"/>
        </w:rPr>
        <w:t>12.84</w:t>
      </w:r>
      <w:r>
        <w:rPr>
          <w:rFonts w:hint="default" w:ascii="Times New Roman" w:hAnsi="Times New Roman" w:eastAsia="宋体" w:cs="Times New Roman"/>
          <w:b w:val="0"/>
          <w:bCs/>
          <w:color w:val="auto"/>
          <w:spacing w:val="0"/>
          <w:sz w:val="24"/>
          <w:szCs w:val="24"/>
          <w:highlight w:val="none"/>
          <w:lang w:val="en-US" w:eastAsia="zh-CN" w:bidi="ar-SA"/>
        </w:rPr>
        <w:t>Nm</w:t>
      </w:r>
      <w:r>
        <w:rPr>
          <w:rFonts w:hint="default" w:ascii="Times New Roman" w:hAnsi="Times New Roman" w:eastAsia="宋体" w:cs="Times New Roman"/>
          <w:b w:val="0"/>
          <w:bCs/>
          <w:color w:val="auto"/>
          <w:spacing w:val="0"/>
          <w:sz w:val="24"/>
          <w:szCs w:val="24"/>
          <w:highlight w:val="none"/>
          <w:vertAlign w:val="superscript"/>
          <w:lang w:val="en-US" w:eastAsia="zh-CN" w:bidi="ar-SA"/>
        </w:rPr>
        <w:t>3</w:t>
      </w:r>
      <w:r>
        <w:rPr>
          <w:rFonts w:hint="default" w:ascii="Times New Roman" w:hAnsi="Times New Roman" w:eastAsia="宋体" w:cs="Times New Roman"/>
          <w:b w:val="0"/>
          <w:bCs/>
          <w:color w:val="auto"/>
          <w:spacing w:val="0"/>
          <w:sz w:val="24"/>
          <w:szCs w:val="24"/>
          <w:highlight w:val="none"/>
          <w:lang w:val="en-US" w:eastAsia="zh-CN" w:bidi="ar-SA"/>
        </w:rPr>
        <w:t>/</w:t>
      </w:r>
      <w:r>
        <w:rPr>
          <w:rFonts w:hint="eastAsia" w:ascii="Times New Roman" w:hAnsi="Times New Roman" w:eastAsia="宋体" w:cs="Times New Roman"/>
          <w:b w:val="0"/>
          <w:bCs/>
          <w:color w:val="auto"/>
          <w:spacing w:val="0"/>
          <w:sz w:val="24"/>
          <w:szCs w:val="24"/>
          <w:highlight w:val="none"/>
          <w:lang w:val="en-US" w:eastAsia="zh-CN" w:bidi="ar-SA"/>
        </w:rPr>
        <w:t>kg</w:t>
      </w:r>
    </w:p>
    <w:p w14:paraId="598D3D1F">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eastAsia="宋体" w:cs="Times New Roman"/>
          <w:b w:val="0"/>
          <w:bCs w:val="0"/>
          <w:color w:val="auto"/>
          <w:kern w:val="2"/>
          <w:sz w:val="24"/>
          <w:szCs w:val="24"/>
          <w:highlight w:val="none"/>
          <w:lang w:val="en-US" w:eastAsia="zh-CN" w:bidi="ar-SA"/>
        </w:rPr>
      </w:pPr>
      <w:r>
        <w:rPr>
          <w:rFonts w:ascii="宋体" w:hAnsi="Calibri" w:eastAsia="宋体"/>
          <w:bCs/>
          <w:color w:val="auto"/>
          <w:kern w:val="0"/>
          <w:sz w:val="24"/>
          <w:szCs w:val="20"/>
        </w:rPr>
        <w:t>燃</w:t>
      </w:r>
      <w:r>
        <w:rPr>
          <w:rFonts w:hint="eastAsia" w:ascii="宋体" w:hAnsi="Calibri" w:eastAsia="宋体"/>
          <w:bCs/>
          <w:color w:val="auto"/>
          <w:kern w:val="0"/>
          <w:sz w:val="24"/>
          <w:szCs w:val="20"/>
          <w:lang w:val="en-US" w:eastAsia="zh-CN"/>
        </w:rPr>
        <w:t>柴油</w:t>
      </w:r>
      <w:r>
        <w:rPr>
          <w:rFonts w:ascii="宋体" w:hAnsi="Calibri" w:eastAsia="宋体"/>
          <w:bCs/>
          <w:color w:val="auto"/>
          <w:kern w:val="0"/>
          <w:sz w:val="24"/>
          <w:szCs w:val="20"/>
        </w:rPr>
        <w:t>燃烧器出厂设计</w:t>
      </w:r>
      <w:r>
        <w:rPr>
          <w:rFonts w:hint="eastAsia" w:ascii="宋体" w:hAnsi="Calibri" w:eastAsia="宋体"/>
          <w:bCs/>
          <w:color w:val="auto"/>
          <w:kern w:val="0"/>
          <w:sz w:val="24"/>
          <w:szCs w:val="20"/>
          <w:lang w:val="en-US" w:eastAsia="zh-CN"/>
        </w:rPr>
        <w:t>柴油</w:t>
      </w:r>
      <w:r>
        <w:rPr>
          <w:rFonts w:ascii="宋体" w:hAnsi="Calibri" w:eastAsia="宋体"/>
          <w:bCs/>
          <w:color w:val="auto"/>
          <w:kern w:val="0"/>
          <w:sz w:val="24"/>
          <w:szCs w:val="20"/>
        </w:rPr>
        <w:t>使用量为</w:t>
      </w:r>
      <w:r>
        <w:rPr>
          <w:rFonts w:hint="eastAsia" w:ascii="宋体" w:hAnsi="Calibri" w:eastAsia="宋体"/>
          <w:bCs/>
          <w:color w:val="auto"/>
          <w:kern w:val="0"/>
          <w:sz w:val="24"/>
          <w:szCs w:val="20"/>
          <w:lang w:val="en-US" w:eastAsia="zh-CN"/>
        </w:rPr>
        <w:t>92.6kg</w:t>
      </w:r>
      <w:r>
        <w:rPr>
          <w:rFonts w:ascii="宋体" w:hAnsi="Calibri" w:eastAsia="宋体"/>
          <w:bCs/>
          <w:color w:val="auto"/>
          <w:kern w:val="0"/>
          <w:sz w:val="24"/>
          <w:szCs w:val="20"/>
        </w:rPr>
        <w:t>/h，</w:t>
      </w:r>
      <w:r>
        <w:rPr>
          <w:rFonts w:hint="default" w:ascii="Times New Roman" w:hAnsi="Times New Roman" w:cs="Times New Roman"/>
          <w:iCs/>
          <w:color w:val="auto"/>
          <w:kern w:val="0"/>
          <w:sz w:val="24"/>
          <w:szCs w:val="24"/>
          <w:highlight w:val="none"/>
        </w:rPr>
        <w:t>本项目</w:t>
      </w:r>
      <w:r>
        <w:rPr>
          <w:rFonts w:hint="eastAsia" w:ascii="Times New Roman" w:hAnsi="Times New Roman" w:cs="Times New Roman"/>
          <w:color w:val="auto"/>
          <w:kern w:val="0"/>
          <w:sz w:val="24"/>
          <w:szCs w:val="24"/>
          <w:highlight w:val="none"/>
          <w:lang w:val="en-US" w:eastAsia="zh-CN"/>
        </w:rPr>
        <w:t>柴油</w:t>
      </w:r>
      <w:r>
        <w:rPr>
          <w:rFonts w:hint="default" w:ascii="Times New Roman" w:hAnsi="Times New Roman" w:cs="Times New Roman"/>
          <w:iCs/>
          <w:color w:val="auto"/>
          <w:kern w:val="0"/>
          <w:sz w:val="24"/>
          <w:szCs w:val="24"/>
          <w:highlight w:val="none"/>
        </w:rPr>
        <w:t>燃料耗量为</w:t>
      </w:r>
      <w:r>
        <w:rPr>
          <w:rFonts w:hint="eastAsia" w:ascii="宋体" w:hAnsi="Calibri" w:cs="Times New Roman"/>
          <w:iCs/>
          <w:color w:val="auto"/>
          <w:kern w:val="0"/>
          <w:sz w:val="24"/>
          <w:szCs w:val="24"/>
          <w:highlight w:val="none"/>
          <w:lang w:val="en-US" w:eastAsia="zh-CN"/>
        </w:rPr>
        <w:t>266.7</w:t>
      </w:r>
      <w:r>
        <w:rPr>
          <w:rFonts w:hint="eastAsia" w:ascii="Times New Roman" w:hAnsi="Times New Roman" w:cs="Times New Roman"/>
          <w:iCs/>
          <w:color w:val="auto"/>
          <w:kern w:val="0"/>
          <w:sz w:val="24"/>
          <w:szCs w:val="24"/>
          <w:highlight w:val="none"/>
          <w:lang w:val="en-US" w:eastAsia="zh-CN"/>
        </w:rPr>
        <w:t>t</w:t>
      </w:r>
      <w:r>
        <w:rPr>
          <w:rFonts w:hint="default" w:ascii="Times New Roman" w:hAnsi="Times New Roman" w:cs="Times New Roman"/>
          <w:iCs/>
          <w:color w:val="auto"/>
          <w:kern w:val="0"/>
          <w:sz w:val="24"/>
          <w:szCs w:val="24"/>
          <w:highlight w:val="none"/>
        </w:rPr>
        <w:t>/</w:t>
      </w:r>
      <w:r>
        <w:rPr>
          <w:rFonts w:hint="eastAsia" w:ascii="Times New Roman" w:hAnsi="Times New Roman" w:cs="Times New Roman"/>
          <w:iCs/>
          <w:color w:val="auto"/>
          <w:kern w:val="0"/>
          <w:sz w:val="24"/>
          <w:szCs w:val="24"/>
          <w:highlight w:val="none"/>
          <w:lang w:val="en-US" w:eastAsia="zh-CN"/>
        </w:rPr>
        <w:t>a</w:t>
      </w:r>
      <w:r>
        <w:rPr>
          <w:rFonts w:hint="default" w:ascii="Times New Roman" w:hAnsi="Times New Roman" w:cs="Times New Roman"/>
          <w:iCs/>
          <w:color w:val="auto"/>
          <w:kern w:val="0"/>
          <w:sz w:val="24"/>
          <w:szCs w:val="24"/>
          <w:highlight w:val="none"/>
        </w:rPr>
        <w:t>，</w:t>
      </w:r>
      <w:r>
        <w:rPr>
          <w:rFonts w:hint="eastAsia" w:ascii="Times New Roman" w:hAnsi="Times New Roman" w:cs="Times New Roman"/>
          <w:iCs/>
          <w:color w:val="auto"/>
          <w:kern w:val="0"/>
          <w:sz w:val="24"/>
          <w:szCs w:val="24"/>
          <w:highlight w:val="none"/>
          <w:lang w:val="en-US" w:eastAsia="zh-CN"/>
        </w:rPr>
        <w:t>经计算，本项目</w:t>
      </w:r>
      <w:r>
        <w:rPr>
          <w:rFonts w:hint="default" w:ascii="Times New Roman" w:hAnsi="Times New Roman" w:cs="Times New Roman"/>
          <w:iCs/>
          <w:color w:val="auto"/>
          <w:kern w:val="0"/>
          <w:sz w:val="24"/>
          <w:szCs w:val="24"/>
          <w:highlight w:val="none"/>
        </w:rPr>
        <w:t>烟气量为</w:t>
      </w:r>
      <w:r>
        <w:rPr>
          <w:rFonts w:hint="eastAsia" w:ascii="宋体" w:hAnsi="Calibri" w:cs="Times New Roman"/>
          <w:iCs/>
          <w:color w:val="auto"/>
          <w:kern w:val="0"/>
          <w:sz w:val="24"/>
          <w:szCs w:val="24"/>
          <w:highlight w:val="none"/>
          <w:lang w:val="en-US" w:eastAsia="zh-CN"/>
        </w:rPr>
        <w:t>3424428</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3</w:t>
      </w:r>
      <w:r>
        <w:rPr>
          <w:rFonts w:hint="default" w:ascii="Times New Roman" w:hAnsi="Times New Roman" w:cs="Times New Roman"/>
          <w:color w:val="auto"/>
          <w:kern w:val="0"/>
          <w:sz w:val="24"/>
          <w:szCs w:val="24"/>
          <w:highlight w:val="none"/>
        </w:rPr>
        <w:t>/</w:t>
      </w:r>
      <w:r>
        <w:rPr>
          <w:rFonts w:hint="eastAsia" w:ascii="Times New Roman" w:hAnsi="Times New Roman" w:cs="Times New Roman"/>
          <w:color w:val="auto"/>
          <w:kern w:val="0"/>
          <w:sz w:val="24"/>
          <w:szCs w:val="24"/>
          <w:highlight w:val="none"/>
          <w:lang w:val="en-US" w:eastAsia="zh-CN"/>
        </w:rPr>
        <w:t>a</w:t>
      </w:r>
      <w:r>
        <w:rPr>
          <w:rFonts w:hint="default" w:ascii="Times New Roman" w:hAnsi="Times New Roman" w:cs="Times New Roman"/>
          <w:color w:val="auto"/>
          <w:kern w:val="0"/>
          <w:sz w:val="24"/>
          <w:szCs w:val="24"/>
          <w:highlight w:val="none"/>
        </w:rPr>
        <w:t>。</w:t>
      </w:r>
    </w:p>
    <w:p w14:paraId="5DCB6202">
      <w:pPr>
        <w:keepNext/>
        <w:keepLines w:val="0"/>
        <w:pageBreakBefore w:val="0"/>
        <w:widowControl w:val="0"/>
        <w:suppressLineNumbers w:val="0"/>
        <w:tabs>
          <w:tab w:val="left" w:pos="425"/>
        </w:tabs>
        <w:kinsoku/>
        <w:wordWrap/>
        <w:overflowPunct w:val="0"/>
        <w:topLinePunct w:val="0"/>
        <w:autoSpaceDE/>
        <w:autoSpaceDN/>
        <w:bidi w:val="0"/>
        <w:adjustRightInd/>
        <w:snapToGrid w:val="0"/>
        <w:spacing w:before="0" w:beforeAutospacing="0" w:after="0" w:afterAutospacing="0" w:line="500" w:lineRule="exact"/>
        <w:ind w:left="0" w:right="0" w:firstLine="482" w:firstLineChars="200"/>
        <w:jc w:val="left"/>
        <w:textAlignment w:val="auto"/>
        <w:outlineLvl w:val="9"/>
        <w:rPr>
          <w:rFonts w:hint="eastAsia" w:ascii="Times New Roman" w:hAnsi="Times New Roman" w:eastAsia="宋体" w:cs="Times New Roman"/>
          <w:b/>
          <w:bCs/>
          <w:color w:val="auto"/>
          <w:kern w:val="2"/>
          <w:sz w:val="24"/>
          <w:szCs w:val="24"/>
          <w:highlight w:val="none"/>
          <w:lang w:val="en-US" w:eastAsia="zh-CN" w:bidi="ar-SA"/>
        </w:rPr>
      </w:pPr>
      <w:bookmarkStart w:id="184" w:name="_Toc28547"/>
      <w:bookmarkStart w:id="185" w:name="_Toc29244"/>
      <w:r>
        <w:rPr>
          <w:rFonts w:hint="eastAsia" w:ascii="Times New Roman" w:hAnsi="Times New Roman" w:eastAsia="宋体" w:cs="Times New Roman"/>
          <w:b/>
          <w:bCs/>
          <w:color w:val="auto"/>
          <w:kern w:val="2"/>
          <w:sz w:val="24"/>
          <w:szCs w:val="24"/>
          <w:highlight w:val="none"/>
          <w:lang w:val="en-US" w:eastAsia="zh-CN" w:bidi="ar-SA"/>
        </w:rPr>
        <w:t>②颗粒物</w:t>
      </w:r>
      <w:bookmarkEnd w:id="184"/>
      <w:bookmarkEnd w:id="185"/>
    </w:p>
    <w:p w14:paraId="57D0A744">
      <w:pPr>
        <w:keepNext w:val="0"/>
        <w:keepLines w:val="0"/>
        <w:pageBreakBefore w:val="0"/>
        <w:widowControl w:val="0"/>
        <w:suppressLineNumbers w:val="0"/>
        <w:tabs>
          <w:tab w:val="left" w:pos="6480"/>
        </w:tabs>
        <w:kinsoku/>
        <w:wordWrap/>
        <w:topLinePunct w:val="0"/>
        <w:bidi w:val="0"/>
        <w:spacing w:before="0" w:beforeAutospacing="0" w:after="0" w:afterAutospacing="0" w:line="500" w:lineRule="exact"/>
        <w:ind w:left="0" w:right="0" w:firstLine="480" w:firstLineChars="200"/>
        <w:jc w:val="left"/>
        <w:outlineLvl w:val="9"/>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根据物料衡算法中5.1.2燃油、燃气锅炉相关规定可知，燃油、燃气锅炉颗粒物排放量按照5.2（类比法）、5.4（产排污系数法）核算，本项目采用产排污系数法进行颗粒物核算，具体计算如下所示：</w:t>
      </w:r>
    </w:p>
    <w:p w14:paraId="150D3B3F">
      <w:pPr>
        <w:keepNext w:val="0"/>
        <w:keepLines w:val="0"/>
        <w:pageBreakBefore w:val="0"/>
        <w:widowControl w:val="0"/>
        <w:suppressLineNumbers w:val="0"/>
        <w:kinsoku/>
        <w:wordWrap/>
        <w:topLinePunct w:val="0"/>
        <w:bidi w:val="0"/>
        <w:spacing w:before="0" w:beforeAutospacing="0" w:after="0" w:afterAutospacing="0"/>
        <w:ind w:left="0" w:right="0"/>
        <w:jc w:val="center"/>
        <w:outlineLvl w:val="9"/>
        <w:rPr>
          <w:rFonts w:hint="default" w:ascii="宋体" w:hAnsi="宋体" w:eastAsia="宋体" w:cs="宋体"/>
          <w:color w:val="auto"/>
          <w:sz w:val="24"/>
          <w:szCs w:val="24"/>
          <w:highlight w:val="none"/>
          <w:lang w:val="zh-CN" w:eastAsia="zh-CN" w:bidi="zh-CN"/>
        </w:rPr>
      </w:pPr>
      <w:r>
        <w:rPr>
          <w:rFonts w:hint="default" w:ascii="宋体" w:hAnsi="宋体" w:eastAsia="宋体" w:cs="宋体"/>
          <w:color w:val="auto"/>
          <w:sz w:val="24"/>
          <w:szCs w:val="24"/>
          <w:highlight w:val="none"/>
          <w:lang w:val="zh-CN" w:eastAsia="zh-CN" w:bidi="zh-CN"/>
        </w:rPr>
        <w:drawing>
          <wp:inline distT="0" distB="0" distL="114300" distR="114300">
            <wp:extent cx="2076450" cy="485775"/>
            <wp:effectExtent l="0" t="0" r="0" b="9525"/>
            <wp:docPr id="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
                    <pic:cNvPicPr>
                      <a:picLocks noChangeAspect="1"/>
                    </pic:cNvPicPr>
                  </pic:nvPicPr>
                  <pic:blipFill>
                    <a:blip r:embed="rId81"/>
                    <a:stretch>
                      <a:fillRect/>
                    </a:stretch>
                  </pic:blipFill>
                  <pic:spPr>
                    <a:xfrm>
                      <a:off x="0" y="0"/>
                      <a:ext cx="2076450" cy="485775"/>
                    </a:xfrm>
                    <a:prstGeom prst="rect">
                      <a:avLst/>
                    </a:prstGeom>
                    <a:noFill/>
                    <a:ln>
                      <a:noFill/>
                    </a:ln>
                  </pic:spPr>
                </pic:pic>
              </a:graphicData>
            </a:graphic>
          </wp:inline>
        </w:drawing>
      </w:r>
    </w:p>
    <w:p w14:paraId="42FDA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zh-CN" w:eastAsia="zh-CN" w:bidi="zh-CN"/>
        </w:rPr>
      </w:pPr>
      <w:r>
        <w:rPr>
          <w:rFonts w:hint="default" w:ascii="Times New Roman" w:hAnsi="Times New Roman" w:eastAsia="宋体" w:cs="Times New Roman"/>
          <w:color w:val="auto"/>
          <w:sz w:val="24"/>
          <w:szCs w:val="24"/>
          <w:highlight w:val="none"/>
          <w:lang w:val="zh-CN" w:eastAsia="zh-CN" w:bidi="zh-CN"/>
        </w:rPr>
        <w:t>式中：E—核算时段内第j种污染物排放量，t；</w:t>
      </w:r>
    </w:p>
    <w:p w14:paraId="00BEE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bidi="zh-CN"/>
        </w:rPr>
      </w:pPr>
      <w:r>
        <w:rPr>
          <w:rFonts w:hint="default" w:ascii="Times New Roman" w:hAnsi="Times New Roman" w:eastAsia="宋体" w:cs="Times New Roman"/>
          <w:color w:val="auto"/>
          <w:sz w:val="24"/>
          <w:szCs w:val="24"/>
          <w:highlight w:val="none"/>
          <w:lang w:val="zh-CN" w:eastAsia="zh-CN" w:bidi="zh-CN"/>
        </w:rPr>
        <w:t>R—核算时段内燃料耗量，t或万m</w:t>
      </w:r>
      <w:r>
        <w:rPr>
          <w:rFonts w:hint="eastAsia" w:ascii="Times New Roman" w:hAnsi="Times New Roman" w:eastAsia="宋体" w:cs="Times New Roman"/>
          <w:color w:val="auto"/>
          <w:sz w:val="24"/>
          <w:szCs w:val="24"/>
          <w:highlight w:val="none"/>
          <w:vertAlign w:val="superscript"/>
          <w:lang w:val="en-US" w:eastAsia="zh-CN" w:bidi="zh-CN"/>
        </w:rPr>
        <w:t>3</w:t>
      </w:r>
      <w:r>
        <w:rPr>
          <w:rFonts w:hint="eastAsia" w:ascii="Times New Roman" w:hAnsi="Times New Roman" w:eastAsia="宋体" w:cs="Times New Roman"/>
          <w:color w:val="auto"/>
          <w:sz w:val="24"/>
          <w:szCs w:val="24"/>
          <w:highlight w:val="none"/>
          <w:lang w:val="zh-CN" w:eastAsia="zh-CN" w:bidi="zh-CN"/>
        </w:rPr>
        <w:t>，</w:t>
      </w:r>
      <w:r>
        <w:rPr>
          <w:rFonts w:hint="eastAsia" w:ascii="Times New Roman" w:hAnsi="Times New Roman" w:eastAsia="宋体" w:cs="Times New Roman"/>
          <w:color w:val="auto"/>
          <w:sz w:val="24"/>
          <w:szCs w:val="24"/>
          <w:highlight w:val="none"/>
          <w:lang w:val="en-US" w:eastAsia="zh-CN" w:bidi="zh-CN"/>
        </w:rPr>
        <w:t>本项目年用柴油</w:t>
      </w:r>
      <w:r>
        <w:rPr>
          <w:rFonts w:hint="eastAsia" w:ascii="宋体" w:hAnsi="宋体" w:eastAsia="宋体" w:cs="Times New Roman"/>
          <w:iCs/>
          <w:color w:val="auto"/>
          <w:sz w:val="24"/>
          <w:szCs w:val="24"/>
          <w:highlight w:val="none"/>
          <w:lang w:val="en-US" w:eastAsia="zh-CN" w:bidi="zh-CN"/>
        </w:rPr>
        <w:t>266.7</w:t>
      </w:r>
      <w:r>
        <w:rPr>
          <w:rFonts w:hint="eastAsia" w:ascii="Times New Roman" w:hAnsi="Times New Roman" w:eastAsia="宋体" w:cs="Times New Roman"/>
          <w:iCs/>
          <w:color w:val="auto"/>
          <w:sz w:val="24"/>
          <w:szCs w:val="24"/>
          <w:highlight w:val="none"/>
          <w:lang w:val="en-US" w:eastAsia="zh-CN" w:bidi="zh-CN"/>
        </w:rPr>
        <w:t>t</w:t>
      </w:r>
      <w:r>
        <w:rPr>
          <w:rFonts w:hint="default" w:ascii="Times New Roman" w:hAnsi="Times New Roman" w:eastAsia="宋体" w:cs="Times New Roman"/>
          <w:iCs/>
          <w:color w:val="auto"/>
          <w:sz w:val="24"/>
          <w:szCs w:val="24"/>
          <w:highlight w:val="none"/>
          <w:lang w:val="zh-CN" w:eastAsia="zh-CN" w:bidi="zh-CN"/>
        </w:rPr>
        <w:t>/</w:t>
      </w:r>
      <w:r>
        <w:rPr>
          <w:rFonts w:hint="eastAsia" w:ascii="Times New Roman" w:hAnsi="Times New Roman" w:eastAsia="宋体" w:cs="Times New Roman"/>
          <w:iCs/>
          <w:color w:val="auto"/>
          <w:sz w:val="24"/>
          <w:szCs w:val="24"/>
          <w:highlight w:val="none"/>
          <w:lang w:val="en-US" w:eastAsia="zh-CN" w:bidi="zh-CN"/>
        </w:rPr>
        <w:t>a</w:t>
      </w:r>
    </w:p>
    <w:p w14:paraId="37662B37">
      <w:pPr>
        <w:keepNext w:val="0"/>
        <w:keepLines w:val="0"/>
        <w:pageBreakBefore w:val="0"/>
        <w:widowControl w:val="0"/>
        <w:suppressLineNumbers w:val="0"/>
        <w:tabs>
          <w:tab w:val="left" w:pos="831"/>
        </w:tabs>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spacing w:val="-8"/>
          <w:sz w:val="24"/>
          <w:szCs w:val="24"/>
          <w:highlight w:val="none"/>
          <w:lang w:val="zh-CN" w:eastAsia="zh-CN" w:bidi="zh-CN"/>
        </w:rPr>
      </w:pPr>
      <w:r>
        <w:rPr>
          <w:rFonts w:hint="default" w:ascii="Times New Roman" w:hAnsi="Times New Roman" w:eastAsia="宋体" w:cs="Times New Roman"/>
          <w:color w:val="auto"/>
          <w:sz w:val="24"/>
          <w:szCs w:val="24"/>
          <w:highlight w:val="none"/>
          <w:lang w:val="zh-CN" w:eastAsia="zh-CN" w:bidi="zh-CN"/>
        </w:rPr>
        <w:t>βj—</w:t>
      </w:r>
      <w:r>
        <w:rPr>
          <w:rFonts w:hint="default" w:ascii="Times New Roman" w:hAnsi="Times New Roman" w:eastAsia="宋体" w:cs="Times New Roman"/>
          <w:color w:val="auto"/>
          <w:spacing w:val="4"/>
          <w:sz w:val="24"/>
          <w:szCs w:val="24"/>
          <w:highlight w:val="none"/>
          <w:lang w:val="zh-CN" w:eastAsia="zh-CN" w:bidi="zh-CN"/>
        </w:rPr>
        <w:t>产污系数</w:t>
      </w:r>
      <w:r>
        <w:rPr>
          <w:rFonts w:hint="default" w:ascii="Times New Roman" w:hAnsi="Times New Roman" w:eastAsia="宋体" w:cs="Times New Roman"/>
          <w:color w:val="auto"/>
          <w:sz w:val="24"/>
          <w:szCs w:val="24"/>
          <w:highlight w:val="none"/>
          <w:lang w:val="zh-CN" w:eastAsia="zh-CN" w:bidi="zh-CN"/>
        </w:rPr>
        <w:t>，kg/t或kg/万m</w:t>
      </w:r>
      <w:r>
        <w:rPr>
          <w:rFonts w:hint="eastAsia" w:ascii="Times New Roman" w:hAnsi="Times New Roman" w:eastAsia="宋体" w:cs="Times New Roman"/>
          <w:color w:val="auto"/>
          <w:sz w:val="24"/>
          <w:szCs w:val="24"/>
          <w:highlight w:val="none"/>
          <w:vertAlign w:val="superscript"/>
          <w:lang w:val="en-US" w:eastAsia="zh-CN" w:bidi="zh-CN"/>
        </w:rPr>
        <w:t>3</w:t>
      </w:r>
      <w:r>
        <w:rPr>
          <w:rFonts w:hint="default" w:ascii="Times New Roman" w:hAnsi="Times New Roman" w:eastAsia="宋体" w:cs="Times New Roman"/>
          <w:color w:val="auto"/>
          <w:spacing w:val="2"/>
          <w:sz w:val="24"/>
          <w:szCs w:val="24"/>
          <w:highlight w:val="none"/>
          <w:lang w:val="zh-CN" w:eastAsia="zh-CN" w:bidi="zh-CN"/>
        </w:rPr>
        <w:t>，</w:t>
      </w:r>
      <w:r>
        <w:rPr>
          <w:rFonts w:hint="default" w:ascii="Times New Roman" w:hAnsi="Times New Roman" w:eastAsia="宋体" w:cs="Times New Roman"/>
          <w:color w:val="auto"/>
          <w:position w:val="2"/>
          <w:sz w:val="24"/>
          <w:szCs w:val="24"/>
          <w:highlight w:val="none"/>
          <w:lang w:val="zh-CN" w:eastAsia="zh-CN" w:bidi="zh-CN"/>
        </w:rPr>
        <w:t>锅炉燃烧烟气中颗粒物产污系数参照《排污许可证申请与核发技术规</w:t>
      </w:r>
      <w:r>
        <w:rPr>
          <w:rFonts w:hint="default" w:ascii="Times New Roman" w:hAnsi="Times New Roman" w:eastAsia="宋体" w:cs="Times New Roman"/>
          <w:color w:val="auto"/>
          <w:spacing w:val="-14"/>
          <w:sz w:val="24"/>
          <w:szCs w:val="24"/>
          <w:highlight w:val="none"/>
          <w:lang w:val="zh-CN" w:eastAsia="zh-CN" w:bidi="zh-CN"/>
        </w:rPr>
        <w:t>范锅炉》</w:t>
      </w:r>
      <w:r>
        <w:rPr>
          <w:rFonts w:hint="default" w:ascii="Times New Roman" w:hAnsi="Times New Roman" w:eastAsia="宋体" w:cs="Times New Roman"/>
          <w:color w:val="auto"/>
          <w:sz w:val="24"/>
          <w:szCs w:val="24"/>
          <w:highlight w:val="none"/>
          <w:lang w:val="zh-CN" w:eastAsia="zh-CN" w:bidi="zh-CN"/>
        </w:rPr>
        <w:t>（HJ953-2018）</w:t>
      </w:r>
      <w:r>
        <w:rPr>
          <w:rFonts w:hint="default" w:ascii="Times New Roman" w:hAnsi="Times New Roman" w:eastAsia="宋体" w:cs="Times New Roman"/>
          <w:color w:val="auto"/>
          <w:spacing w:val="-8"/>
          <w:sz w:val="24"/>
          <w:szCs w:val="24"/>
          <w:highlight w:val="none"/>
          <w:lang w:val="zh-CN" w:eastAsia="zh-CN" w:bidi="zh-CN"/>
        </w:rPr>
        <w:t>中燃油、燃气工业锅炉产排污系数</w:t>
      </w:r>
      <w:r>
        <w:rPr>
          <w:rFonts w:hint="eastAsia" w:ascii="Times New Roman" w:hAnsi="Times New Roman" w:eastAsia="宋体" w:cs="Times New Roman"/>
          <w:color w:val="auto"/>
          <w:spacing w:val="-8"/>
          <w:sz w:val="24"/>
          <w:szCs w:val="24"/>
          <w:highlight w:val="none"/>
          <w:lang w:val="zh-CN" w:eastAsia="zh-CN" w:bidi="zh-CN"/>
        </w:rPr>
        <w:t>，</w:t>
      </w:r>
      <w:r>
        <w:rPr>
          <w:rFonts w:hint="eastAsia" w:ascii="Times New Roman" w:hAnsi="Times New Roman" w:eastAsia="宋体" w:cs="Times New Roman"/>
          <w:color w:val="auto"/>
          <w:spacing w:val="-8"/>
          <w:sz w:val="24"/>
          <w:szCs w:val="24"/>
          <w:highlight w:val="none"/>
          <w:lang w:val="en-US" w:eastAsia="zh-CN" w:bidi="zh-CN"/>
        </w:rPr>
        <w:t>本项目取0.26千克/吨-原料</w:t>
      </w:r>
      <w:r>
        <w:rPr>
          <w:rFonts w:hint="eastAsia" w:ascii="Times New Roman" w:hAnsi="Times New Roman" w:eastAsia="宋体" w:cs="Times New Roman"/>
          <w:color w:val="auto"/>
          <w:spacing w:val="-8"/>
          <w:sz w:val="24"/>
          <w:szCs w:val="24"/>
          <w:highlight w:val="none"/>
          <w:lang w:val="zh-CN" w:eastAsia="zh-CN" w:bidi="zh-CN"/>
        </w:rPr>
        <w:t>。</w:t>
      </w:r>
    </w:p>
    <w:p w14:paraId="5B476ECE">
      <w:pPr>
        <w:keepNext w:val="0"/>
        <w:keepLines w:val="0"/>
        <w:pageBreakBefore w:val="0"/>
        <w:widowControl w:val="0"/>
        <w:suppressLineNumbers w:val="0"/>
        <w:tabs>
          <w:tab w:val="left" w:pos="831"/>
        </w:tabs>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zh-CN" w:eastAsia="zh-CN" w:bidi="zh-CN"/>
        </w:rPr>
      </w:pPr>
      <w:r>
        <w:rPr>
          <w:rFonts w:hint="default" w:ascii="Times New Roman" w:hAnsi="Times New Roman" w:eastAsia="宋体" w:cs="Times New Roman"/>
          <w:color w:val="auto"/>
          <w:sz w:val="24"/>
          <w:szCs w:val="24"/>
          <w:highlight w:val="none"/>
          <w:lang w:val="zh-CN" w:eastAsia="zh-CN" w:bidi="zh-CN"/>
        </w:rPr>
        <w:t>η—污染物的脱除效率，</w:t>
      </w:r>
      <w:r>
        <w:rPr>
          <w:rFonts w:hint="eastAsia" w:ascii="Times New Roman" w:hAnsi="Times New Roman" w:eastAsia="宋体" w:cs="Times New Roman"/>
          <w:color w:val="auto"/>
          <w:sz w:val="24"/>
          <w:szCs w:val="24"/>
          <w:highlight w:val="none"/>
          <w:lang w:val="en-US" w:eastAsia="zh-CN" w:bidi="zh-CN"/>
        </w:rPr>
        <w:t>0</w:t>
      </w:r>
      <w:r>
        <w:rPr>
          <w:rFonts w:hint="default" w:ascii="Times New Roman" w:hAnsi="Times New Roman" w:eastAsia="宋体" w:cs="Times New Roman"/>
          <w:color w:val="auto"/>
          <w:sz w:val="24"/>
          <w:szCs w:val="24"/>
          <w:highlight w:val="none"/>
          <w:lang w:val="zh-CN" w:eastAsia="zh-CN" w:bidi="zh-CN"/>
        </w:rPr>
        <w:t>%</w:t>
      </w:r>
    </w:p>
    <w:p w14:paraId="5A02CA7F">
      <w:pPr>
        <w:keepNext w:val="0"/>
        <w:keepLines w:val="0"/>
        <w:pageBreakBefore w:val="0"/>
        <w:widowControl w:val="0"/>
        <w:suppressLineNumbers w:val="0"/>
        <w:tabs>
          <w:tab w:val="left" w:pos="831"/>
        </w:tabs>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bidi="zh-CN"/>
        </w:rPr>
      </w:pPr>
      <w:r>
        <w:rPr>
          <w:rFonts w:hint="eastAsia" w:ascii="Times New Roman" w:hAnsi="Times New Roman" w:eastAsia="宋体" w:cs="Times New Roman"/>
          <w:color w:val="auto"/>
          <w:sz w:val="24"/>
          <w:szCs w:val="24"/>
          <w:highlight w:val="none"/>
          <w:lang w:val="en-US" w:eastAsia="zh-CN" w:bidi="zh-CN"/>
        </w:rPr>
        <w:t>颗粒物产生量为</w:t>
      </w:r>
      <w:r>
        <w:rPr>
          <w:rFonts w:hint="eastAsia" w:ascii="Times New Roman" w:hAnsi="Times New Roman" w:eastAsia="宋体" w:cs="Times New Roman"/>
          <w:color w:val="auto"/>
          <w:sz w:val="24"/>
          <w:highlight w:val="none"/>
          <w:lang w:val="en-US" w:eastAsia="zh-CN" w:bidi="zh-CN"/>
        </w:rPr>
        <w:t>0.024</w:t>
      </w:r>
      <w:r>
        <w:rPr>
          <w:rFonts w:hint="default" w:ascii="Times New Roman" w:hAnsi="Times New Roman" w:eastAsia="宋体" w:cs="Times New Roman"/>
          <w:color w:val="auto"/>
          <w:sz w:val="24"/>
          <w:highlight w:val="none"/>
          <w:lang w:val="zh-CN" w:eastAsia="zh-CN" w:bidi="zh-CN"/>
        </w:rPr>
        <w:t>kg/h，</w:t>
      </w:r>
      <w:r>
        <w:rPr>
          <w:rFonts w:hint="eastAsia" w:ascii="Times New Roman" w:hAnsi="Times New Roman" w:eastAsia="宋体" w:cs="Times New Roman"/>
          <w:color w:val="auto"/>
          <w:sz w:val="24"/>
          <w:highlight w:val="none"/>
          <w:lang w:val="en-US" w:eastAsia="zh-CN" w:bidi="zh-CN"/>
        </w:rPr>
        <w:t>0.069</w:t>
      </w:r>
      <w:r>
        <w:rPr>
          <w:rFonts w:hint="default" w:ascii="Times New Roman" w:hAnsi="Times New Roman" w:eastAsia="宋体" w:cs="Times New Roman"/>
          <w:color w:val="auto"/>
          <w:sz w:val="24"/>
          <w:highlight w:val="none"/>
          <w:lang w:val="zh-CN" w:eastAsia="zh-CN" w:bidi="zh-CN"/>
        </w:rPr>
        <w:t>t/a，</w:t>
      </w:r>
      <w:r>
        <w:rPr>
          <w:rFonts w:hint="eastAsia" w:ascii="Times New Roman" w:hAnsi="Times New Roman" w:eastAsia="宋体" w:cs="Times New Roman"/>
          <w:color w:val="auto"/>
          <w:sz w:val="24"/>
          <w:highlight w:val="none"/>
          <w:lang w:val="en-US" w:eastAsia="zh-CN" w:bidi="zh-CN"/>
        </w:rPr>
        <w:t>产生</w:t>
      </w:r>
      <w:r>
        <w:rPr>
          <w:rFonts w:hint="default" w:ascii="Times New Roman" w:hAnsi="Times New Roman" w:eastAsia="宋体" w:cs="Times New Roman"/>
          <w:color w:val="auto"/>
          <w:sz w:val="24"/>
          <w:highlight w:val="none"/>
          <w:lang w:val="zh-CN" w:eastAsia="zh-CN" w:bidi="zh-CN"/>
        </w:rPr>
        <w:t>浓度</w:t>
      </w:r>
      <w:r>
        <w:rPr>
          <w:rFonts w:hint="eastAsia" w:ascii="Times New Roman" w:hAnsi="Times New Roman" w:eastAsia="宋体" w:cs="Times New Roman"/>
          <w:color w:val="auto"/>
          <w:sz w:val="24"/>
          <w:highlight w:val="none"/>
          <w:lang w:val="en-US" w:eastAsia="zh-CN" w:bidi="zh-CN"/>
        </w:rPr>
        <w:t>20.1</w:t>
      </w:r>
      <w:r>
        <w:rPr>
          <w:rFonts w:hint="default" w:ascii="Times New Roman" w:hAnsi="Times New Roman" w:eastAsia="宋体" w:cs="Times New Roman"/>
          <w:color w:val="auto"/>
          <w:sz w:val="24"/>
          <w:highlight w:val="none"/>
          <w:lang w:val="zh-CN" w:eastAsia="zh-CN" w:bidi="zh-CN"/>
        </w:rPr>
        <w:t>mg/m</w:t>
      </w:r>
      <w:r>
        <w:rPr>
          <w:rFonts w:hint="default" w:ascii="Times New Roman" w:hAnsi="Times New Roman" w:eastAsia="宋体" w:cs="Times New Roman"/>
          <w:color w:val="auto"/>
          <w:sz w:val="24"/>
          <w:highlight w:val="none"/>
          <w:vertAlign w:val="superscript"/>
          <w:lang w:val="zh-CN" w:eastAsia="zh-CN" w:bidi="zh-CN"/>
        </w:rPr>
        <w:t>3</w:t>
      </w:r>
      <w:r>
        <w:rPr>
          <w:rFonts w:hint="default" w:ascii="Times New Roman" w:hAnsi="Times New Roman" w:eastAsia="宋体" w:cs="Times New Roman"/>
          <w:color w:val="auto"/>
          <w:sz w:val="24"/>
          <w:highlight w:val="none"/>
          <w:lang w:val="zh-CN" w:eastAsia="zh-CN" w:bidi="zh-CN"/>
        </w:rPr>
        <w:t>。</w:t>
      </w:r>
    </w:p>
    <w:p w14:paraId="4A801C9E">
      <w:pPr>
        <w:keepNext w:val="0"/>
        <w:keepLines w:val="0"/>
        <w:pageBreakBefore w:val="0"/>
        <w:widowControl w:val="0"/>
        <w:suppressLineNumbers w:val="0"/>
        <w:tabs>
          <w:tab w:val="left" w:pos="6480"/>
        </w:tabs>
        <w:kinsoku/>
        <w:wordWrap/>
        <w:topLinePunct w:val="0"/>
        <w:bidi w:val="0"/>
        <w:spacing w:before="0" w:beforeAutospacing="0" w:after="0" w:afterAutospacing="0" w:line="500" w:lineRule="exact"/>
        <w:ind w:left="0" w:right="0" w:firstLine="482" w:firstLineChars="200"/>
        <w:jc w:val="left"/>
        <w:outlineLvl w:val="9"/>
        <w:rPr>
          <w:rFonts w:hint="eastAsia" w:ascii="Times New Roman" w:hAnsi="Times New Roman" w:eastAsia="宋体" w:cs="Times New Roman"/>
          <w:b/>
          <w:bCs/>
          <w:color w:val="auto"/>
          <w:kern w:val="0"/>
          <w:position w:val="2"/>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③</w:t>
      </w:r>
      <w:r>
        <w:rPr>
          <w:rFonts w:hint="eastAsia" w:ascii="Times New Roman" w:hAnsi="Times New Roman" w:eastAsia="宋体" w:cs="Times New Roman"/>
          <w:b/>
          <w:bCs/>
          <w:color w:val="auto"/>
          <w:kern w:val="0"/>
          <w:position w:val="2"/>
          <w:sz w:val="24"/>
          <w:szCs w:val="24"/>
          <w:highlight w:val="none"/>
          <w:lang w:val="en-US" w:eastAsia="zh-CN"/>
        </w:rPr>
        <w:t>氮氧化物</w:t>
      </w:r>
    </w:p>
    <w:p w14:paraId="0BD3F9DD">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textAlignment w:val="center"/>
        <w:outlineLvl w:val="9"/>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0"/>
          <w:highlight w:val="none"/>
        </w:rPr>
        <w:t>产污系数为</w:t>
      </w:r>
      <w:r>
        <w:rPr>
          <w:rFonts w:hint="eastAsia" w:ascii="Times New Roman" w:hAnsi="Times New Roman" w:eastAsia="宋体" w:cs="Times New Roman"/>
          <w:color w:val="auto"/>
          <w:kern w:val="0"/>
          <w:sz w:val="24"/>
          <w:szCs w:val="20"/>
          <w:highlight w:val="none"/>
          <w:lang w:val="en-US" w:eastAsia="zh-CN"/>
        </w:rPr>
        <w:t>3.03</w:t>
      </w:r>
      <w:r>
        <w:rPr>
          <w:rFonts w:hint="default" w:ascii="Times New Roman" w:hAnsi="Times New Roman" w:eastAsia="宋体" w:cs="Times New Roman"/>
          <w:color w:val="auto"/>
          <w:kern w:val="0"/>
          <w:sz w:val="24"/>
          <w:szCs w:val="20"/>
          <w:highlight w:val="none"/>
        </w:rPr>
        <w:t>kg/t-原料，通过计算，本项目NOx</w:t>
      </w:r>
      <w:r>
        <w:rPr>
          <w:rFonts w:hint="eastAsia" w:ascii="Times New Roman" w:hAnsi="Times New Roman" w:eastAsia="宋体" w:cs="Times New Roman"/>
          <w:color w:val="auto"/>
          <w:kern w:val="0"/>
          <w:sz w:val="24"/>
          <w:szCs w:val="20"/>
          <w:highlight w:val="none"/>
          <w:lang w:val="en-US" w:eastAsia="zh-CN"/>
        </w:rPr>
        <w:t>产生</w:t>
      </w:r>
      <w:r>
        <w:rPr>
          <w:rFonts w:hint="default" w:ascii="Times New Roman" w:hAnsi="Times New Roman" w:eastAsia="宋体" w:cs="Times New Roman"/>
          <w:color w:val="auto"/>
          <w:kern w:val="0"/>
          <w:sz w:val="24"/>
          <w:szCs w:val="20"/>
          <w:highlight w:val="none"/>
        </w:rPr>
        <w:t>量为</w:t>
      </w:r>
      <w:r>
        <w:rPr>
          <w:rFonts w:hint="eastAsia" w:ascii="Times New Roman" w:hAnsi="Times New Roman" w:eastAsia="宋体" w:cs="Times New Roman"/>
          <w:color w:val="auto"/>
          <w:kern w:val="0"/>
          <w:sz w:val="24"/>
          <w:szCs w:val="20"/>
          <w:highlight w:val="none"/>
          <w:lang w:val="en-US" w:eastAsia="zh-CN"/>
        </w:rPr>
        <w:t>0.28</w:t>
      </w:r>
      <w:r>
        <w:rPr>
          <w:rFonts w:hint="default" w:ascii="Times New Roman" w:hAnsi="Times New Roman" w:eastAsia="宋体" w:cs="Times New Roman"/>
          <w:color w:val="auto"/>
          <w:kern w:val="0"/>
          <w:sz w:val="24"/>
          <w:szCs w:val="20"/>
          <w:highlight w:val="none"/>
        </w:rPr>
        <w:t>kg/h，</w:t>
      </w:r>
      <w:r>
        <w:rPr>
          <w:rFonts w:hint="eastAsia" w:ascii="宋体" w:hAnsi="Calibri" w:cs="Times New Roman"/>
          <w:color w:val="auto"/>
          <w:kern w:val="0"/>
          <w:sz w:val="24"/>
          <w:szCs w:val="20"/>
          <w:highlight w:val="none"/>
          <w:lang w:val="en-US" w:eastAsia="zh-CN"/>
        </w:rPr>
        <w:t>0.808</w:t>
      </w:r>
      <w:r>
        <w:rPr>
          <w:rFonts w:hint="default" w:ascii="Times New Roman" w:hAnsi="Times New Roman" w:eastAsia="宋体" w:cs="Times New Roman"/>
          <w:color w:val="auto"/>
          <w:kern w:val="0"/>
          <w:sz w:val="24"/>
          <w:szCs w:val="20"/>
          <w:highlight w:val="none"/>
        </w:rPr>
        <w:t>t/a，</w:t>
      </w:r>
      <w:r>
        <w:rPr>
          <w:rFonts w:hint="eastAsia" w:ascii="Times New Roman" w:hAnsi="Times New Roman" w:eastAsia="宋体" w:cs="Times New Roman"/>
          <w:color w:val="auto"/>
          <w:kern w:val="0"/>
          <w:sz w:val="24"/>
          <w:szCs w:val="20"/>
          <w:highlight w:val="none"/>
          <w:lang w:val="en-US" w:eastAsia="zh-CN"/>
        </w:rPr>
        <w:t>产生</w:t>
      </w:r>
      <w:r>
        <w:rPr>
          <w:rFonts w:hint="default" w:ascii="Times New Roman" w:hAnsi="Times New Roman" w:eastAsia="宋体" w:cs="Times New Roman"/>
          <w:color w:val="auto"/>
          <w:kern w:val="0"/>
          <w:sz w:val="24"/>
          <w:szCs w:val="20"/>
          <w:highlight w:val="none"/>
        </w:rPr>
        <w:t>浓度</w:t>
      </w:r>
      <w:r>
        <w:rPr>
          <w:rFonts w:hint="eastAsia" w:ascii="Times New Roman" w:hAnsi="Times New Roman" w:eastAsia="宋体" w:cs="Times New Roman"/>
          <w:color w:val="auto"/>
          <w:kern w:val="0"/>
          <w:sz w:val="24"/>
          <w:szCs w:val="20"/>
          <w:highlight w:val="none"/>
          <w:lang w:val="en-US" w:eastAsia="zh-CN"/>
        </w:rPr>
        <w:t>235.98</w:t>
      </w:r>
      <w:r>
        <w:rPr>
          <w:rFonts w:hint="default" w:ascii="Times New Roman" w:hAnsi="Times New Roman" w:eastAsia="宋体" w:cs="Times New Roman"/>
          <w:color w:val="auto"/>
          <w:kern w:val="0"/>
          <w:sz w:val="24"/>
          <w:szCs w:val="20"/>
          <w:highlight w:val="none"/>
        </w:rPr>
        <w:t>mg/m</w:t>
      </w:r>
      <w:r>
        <w:rPr>
          <w:rFonts w:hint="default" w:ascii="Times New Roman" w:hAnsi="Times New Roman" w:eastAsia="宋体" w:cs="Times New Roman"/>
          <w:color w:val="auto"/>
          <w:kern w:val="0"/>
          <w:sz w:val="24"/>
          <w:szCs w:val="20"/>
          <w:highlight w:val="none"/>
          <w:vertAlign w:val="superscript"/>
        </w:rPr>
        <w:t>3</w:t>
      </w:r>
      <w:r>
        <w:rPr>
          <w:rFonts w:hint="default" w:ascii="Times New Roman" w:hAnsi="Times New Roman" w:eastAsia="宋体" w:cs="Times New Roman"/>
          <w:color w:val="auto"/>
          <w:kern w:val="0"/>
          <w:sz w:val="24"/>
          <w:szCs w:val="20"/>
          <w:highlight w:val="none"/>
        </w:rPr>
        <w:t>。</w:t>
      </w:r>
      <w:r>
        <w:rPr>
          <w:rFonts w:hint="eastAsia" w:ascii="Times New Roman" w:hAnsi="Times New Roman" w:eastAsia="宋体" w:cs="Times New Roman"/>
          <w:color w:val="auto"/>
          <w:kern w:val="0"/>
          <w:sz w:val="24"/>
          <w:szCs w:val="20"/>
          <w:highlight w:val="none"/>
          <w:lang w:val="en-US" w:eastAsia="zh-CN"/>
        </w:rPr>
        <w:t>本项目锅炉采用低氮燃烧设备，去除效率为30%，因此本项目</w:t>
      </w:r>
      <w:r>
        <w:rPr>
          <w:rFonts w:hint="default" w:ascii="Times New Roman" w:hAnsi="Times New Roman" w:eastAsia="宋体" w:cs="Times New Roman"/>
          <w:color w:val="auto"/>
          <w:kern w:val="0"/>
          <w:sz w:val="24"/>
          <w:szCs w:val="20"/>
          <w:highlight w:val="none"/>
        </w:rPr>
        <w:t>NOx</w:t>
      </w:r>
      <w:r>
        <w:rPr>
          <w:rFonts w:hint="eastAsia" w:ascii="Times New Roman" w:hAnsi="Times New Roman" w:eastAsia="宋体" w:cs="Times New Roman"/>
          <w:color w:val="auto"/>
          <w:kern w:val="0"/>
          <w:sz w:val="24"/>
          <w:szCs w:val="20"/>
          <w:highlight w:val="none"/>
          <w:lang w:val="en-US" w:eastAsia="zh-CN"/>
        </w:rPr>
        <w:t>排放</w:t>
      </w:r>
      <w:r>
        <w:rPr>
          <w:rFonts w:hint="default" w:ascii="Times New Roman" w:hAnsi="Times New Roman" w:eastAsia="宋体" w:cs="Times New Roman"/>
          <w:color w:val="auto"/>
          <w:kern w:val="0"/>
          <w:sz w:val="24"/>
          <w:szCs w:val="20"/>
          <w:highlight w:val="none"/>
        </w:rPr>
        <w:t>量为</w:t>
      </w:r>
      <w:r>
        <w:rPr>
          <w:rFonts w:hint="eastAsia" w:ascii="Times New Roman" w:hAnsi="Times New Roman" w:eastAsia="宋体" w:cs="Times New Roman"/>
          <w:color w:val="auto"/>
          <w:kern w:val="0"/>
          <w:sz w:val="24"/>
          <w:szCs w:val="20"/>
          <w:highlight w:val="none"/>
          <w:lang w:val="en-US" w:eastAsia="zh-CN"/>
        </w:rPr>
        <w:t>0.196</w:t>
      </w:r>
      <w:r>
        <w:rPr>
          <w:rFonts w:hint="default" w:ascii="Times New Roman" w:hAnsi="Times New Roman" w:eastAsia="宋体" w:cs="Times New Roman"/>
          <w:color w:val="auto"/>
          <w:kern w:val="0"/>
          <w:sz w:val="24"/>
          <w:szCs w:val="20"/>
          <w:highlight w:val="none"/>
        </w:rPr>
        <w:t>kg/h，</w:t>
      </w:r>
      <w:r>
        <w:rPr>
          <w:rFonts w:hint="eastAsia" w:ascii="宋体" w:hAnsi="Calibri" w:cs="Times New Roman"/>
          <w:color w:val="auto"/>
          <w:kern w:val="0"/>
          <w:sz w:val="24"/>
          <w:szCs w:val="20"/>
          <w:highlight w:val="none"/>
          <w:lang w:val="en-US" w:eastAsia="zh-CN"/>
        </w:rPr>
        <w:t>0.566</w:t>
      </w:r>
      <w:r>
        <w:rPr>
          <w:rFonts w:hint="default" w:ascii="Times New Roman" w:hAnsi="Times New Roman" w:eastAsia="宋体" w:cs="Times New Roman"/>
          <w:color w:val="auto"/>
          <w:kern w:val="0"/>
          <w:sz w:val="24"/>
          <w:szCs w:val="20"/>
          <w:highlight w:val="none"/>
        </w:rPr>
        <w:t>t/a，</w:t>
      </w:r>
      <w:r>
        <w:rPr>
          <w:rFonts w:hint="eastAsia" w:ascii="Times New Roman" w:hAnsi="Times New Roman" w:eastAsia="宋体" w:cs="Times New Roman"/>
          <w:color w:val="auto"/>
          <w:kern w:val="0"/>
          <w:sz w:val="24"/>
          <w:szCs w:val="20"/>
          <w:highlight w:val="none"/>
          <w:lang w:val="en-US" w:eastAsia="zh-CN"/>
        </w:rPr>
        <w:t>产生</w:t>
      </w:r>
      <w:r>
        <w:rPr>
          <w:rFonts w:hint="default" w:ascii="Times New Roman" w:hAnsi="Times New Roman" w:eastAsia="宋体" w:cs="Times New Roman"/>
          <w:color w:val="auto"/>
          <w:kern w:val="0"/>
          <w:sz w:val="24"/>
          <w:szCs w:val="20"/>
          <w:highlight w:val="none"/>
        </w:rPr>
        <w:t>浓度</w:t>
      </w:r>
      <w:r>
        <w:rPr>
          <w:rFonts w:hint="eastAsia" w:ascii="Times New Roman" w:hAnsi="Times New Roman" w:eastAsia="宋体" w:cs="Times New Roman"/>
          <w:color w:val="auto"/>
          <w:kern w:val="0"/>
          <w:sz w:val="24"/>
          <w:szCs w:val="20"/>
          <w:highlight w:val="none"/>
          <w:lang w:val="en-US" w:eastAsia="zh-CN"/>
        </w:rPr>
        <w:t>165.19</w:t>
      </w:r>
      <w:r>
        <w:rPr>
          <w:rFonts w:hint="default" w:ascii="Times New Roman" w:hAnsi="Times New Roman" w:eastAsia="宋体" w:cs="Times New Roman"/>
          <w:color w:val="auto"/>
          <w:kern w:val="0"/>
          <w:sz w:val="24"/>
          <w:szCs w:val="20"/>
          <w:highlight w:val="none"/>
        </w:rPr>
        <w:t>mg/m</w:t>
      </w:r>
      <w:r>
        <w:rPr>
          <w:rFonts w:hint="default" w:ascii="Times New Roman" w:hAnsi="Times New Roman" w:eastAsia="宋体" w:cs="Times New Roman"/>
          <w:color w:val="auto"/>
          <w:kern w:val="0"/>
          <w:sz w:val="24"/>
          <w:szCs w:val="20"/>
          <w:highlight w:val="none"/>
          <w:vertAlign w:val="superscript"/>
        </w:rPr>
        <w:t>3</w:t>
      </w:r>
      <w:r>
        <w:rPr>
          <w:rFonts w:hint="default" w:ascii="Times New Roman" w:hAnsi="Times New Roman" w:eastAsia="宋体" w:cs="Times New Roman"/>
          <w:color w:val="auto"/>
          <w:kern w:val="0"/>
          <w:sz w:val="24"/>
          <w:szCs w:val="20"/>
          <w:highlight w:val="none"/>
        </w:rPr>
        <w:t>。</w:t>
      </w:r>
    </w:p>
    <w:p w14:paraId="79C04366">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jc w:val="both"/>
        <w:outlineLvl w:val="9"/>
        <w:rPr>
          <w:rFonts w:hint="eastAsia" w:ascii="Times New Roman" w:hAnsi="Times New Roman" w:eastAsia="宋体" w:cs="Times New Roman"/>
          <w:b/>
          <w:bCs/>
          <w:color w:val="auto"/>
          <w:position w:val="2"/>
          <w:sz w:val="24"/>
          <w:szCs w:val="24"/>
          <w:highlight w:val="none"/>
          <w:lang w:val="en-US" w:eastAsia="zh-CN" w:bidi="zh-CN"/>
        </w:rPr>
      </w:pPr>
      <w:r>
        <w:rPr>
          <w:rFonts w:hint="eastAsia" w:ascii="Times New Roman" w:hAnsi="Times New Roman" w:eastAsia="宋体" w:cs="Times New Roman"/>
          <w:b/>
          <w:bCs/>
          <w:color w:val="auto"/>
          <w:position w:val="2"/>
          <w:sz w:val="24"/>
          <w:szCs w:val="24"/>
          <w:highlight w:val="none"/>
          <w:lang w:val="en-US" w:eastAsia="zh-CN" w:bidi="zh-CN"/>
        </w:rPr>
        <w:t>④二氧化硫</w:t>
      </w:r>
    </w:p>
    <w:p w14:paraId="4C0FC83B">
      <w:pPr>
        <w:keepNext w:val="0"/>
        <w:keepLines w:val="0"/>
        <w:pageBreakBefore w:val="0"/>
        <w:widowControl w:val="0"/>
        <w:suppressLineNumbers w:val="0"/>
        <w:tabs>
          <w:tab w:val="left" w:pos="6480"/>
        </w:tabs>
        <w:kinsoku/>
        <w:wordWrap/>
        <w:topLinePunct w:val="0"/>
        <w:bidi w:val="0"/>
        <w:spacing w:before="0" w:beforeAutospacing="0" w:after="0" w:afterAutospacing="0" w:line="500" w:lineRule="exact"/>
        <w:ind w:left="0" w:right="0" w:firstLine="480" w:firstLineChars="200"/>
        <w:jc w:val="left"/>
        <w:outlineLvl w:val="9"/>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根据物料衡算法中5.1.2燃油、燃气锅炉相关规定可知，燃油锅炉二氧化硫排放量按照（4）核算，具体计算如下所示：</w:t>
      </w:r>
    </w:p>
    <w:p w14:paraId="26487DA6">
      <w:pPr>
        <w:keepNext w:val="0"/>
        <w:keepLines w:val="0"/>
        <w:pageBreakBefore w:val="0"/>
        <w:widowControl w:val="0"/>
        <w:suppressLineNumbers w:val="0"/>
        <w:kinsoku/>
        <w:wordWrap/>
        <w:topLinePunct w:val="0"/>
        <w:bidi w:val="0"/>
        <w:snapToGrid w:val="0"/>
        <w:spacing w:before="0" w:beforeAutospacing="0" w:after="0" w:afterAutospacing="0"/>
        <w:ind w:left="0" w:right="0" w:firstLine="200"/>
        <w:jc w:val="center"/>
        <w:outlineLvl w:val="9"/>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drawing>
          <wp:inline distT="0" distB="0" distL="114300" distR="114300">
            <wp:extent cx="3248025" cy="600075"/>
            <wp:effectExtent l="0" t="0" r="9525" b="9525"/>
            <wp:docPr id="66" name="图片 7" descr="15639696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 descr="1563969676(1)"/>
                    <pic:cNvPicPr>
                      <a:picLocks noChangeAspect="1"/>
                    </pic:cNvPicPr>
                  </pic:nvPicPr>
                  <pic:blipFill>
                    <a:blip r:embed="rId82"/>
                    <a:stretch>
                      <a:fillRect/>
                    </a:stretch>
                  </pic:blipFill>
                  <pic:spPr>
                    <a:xfrm>
                      <a:off x="0" y="0"/>
                      <a:ext cx="3248025" cy="600075"/>
                    </a:xfrm>
                    <a:prstGeom prst="rect">
                      <a:avLst/>
                    </a:prstGeom>
                    <a:noFill/>
                    <a:ln>
                      <a:noFill/>
                    </a:ln>
                  </pic:spPr>
                </pic:pic>
              </a:graphicData>
            </a:graphic>
          </wp:inline>
        </w:drawing>
      </w:r>
    </w:p>
    <w:p w14:paraId="3AA8A018">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cs="Times New Roman"/>
          <w:iCs/>
          <w:color w:val="auto"/>
          <w:kern w:val="0"/>
          <w:sz w:val="24"/>
          <w:szCs w:val="24"/>
          <w:highlight w:val="none"/>
        </w:rPr>
      </w:pPr>
      <w:r>
        <w:rPr>
          <w:rFonts w:hint="default" w:ascii="Times New Roman" w:hAnsi="Times New Roman" w:cs="Times New Roman"/>
          <w:iCs/>
          <w:color w:val="auto"/>
          <w:kern w:val="0"/>
          <w:sz w:val="24"/>
          <w:szCs w:val="24"/>
          <w:highlight w:val="none"/>
        </w:rPr>
        <w:t>式中：</w:t>
      </w:r>
    </w:p>
    <w:p w14:paraId="3F40BA34">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eastAsia="宋体" w:cs="Times New Roman"/>
          <w:iCs/>
          <w:color w:val="auto"/>
          <w:kern w:val="0"/>
          <w:sz w:val="24"/>
          <w:szCs w:val="24"/>
          <w:highlight w:val="none"/>
          <w:lang w:eastAsia="zh-CN"/>
        </w:rPr>
      </w:pPr>
      <w:r>
        <w:rPr>
          <w:rFonts w:hint="default" w:ascii="Times New Roman" w:hAnsi="Times New Roman" w:cs="Times New Roman"/>
          <w:i/>
          <w:color w:val="auto"/>
          <w:kern w:val="0"/>
          <w:sz w:val="24"/>
          <w:szCs w:val="24"/>
          <w:highlight w:val="none"/>
        </w:rPr>
        <w:t>E</w:t>
      </w:r>
      <w:r>
        <w:rPr>
          <w:rFonts w:hint="default" w:ascii="Times New Roman" w:hAnsi="Times New Roman" w:cs="Times New Roman"/>
          <w:i/>
          <w:color w:val="auto"/>
          <w:kern w:val="0"/>
          <w:sz w:val="24"/>
          <w:szCs w:val="24"/>
          <w:highlight w:val="none"/>
          <w:vertAlign w:val="subscript"/>
        </w:rPr>
        <w:t>SO2</w:t>
      </w:r>
      <w:r>
        <w:rPr>
          <w:rFonts w:hint="default" w:ascii="Times New Roman" w:hAnsi="Times New Roman" w:cs="Times New Roman"/>
          <w:iCs/>
          <w:color w:val="auto"/>
          <w:kern w:val="0"/>
          <w:sz w:val="24"/>
          <w:szCs w:val="24"/>
          <w:highlight w:val="none"/>
        </w:rPr>
        <w:t>——核算时段内二氧化硫排放量，t</w:t>
      </w:r>
      <w:r>
        <w:rPr>
          <w:rFonts w:hint="default" w:ascii="Times New Roman" w:hAnsi="Times New Roman" w:cs="Times New Roman"/>
          <w:iCs/>
          <w:color w:val="auto"/>
          <w:kern w:val="0"/>
          <w:sz w:val="24"/>
          <w:szCs w:val="24"/>
          <w:highlight w:val="none"/>
          <w:lang w:eastAsia="zh-CN"/>
        </w:rPr>
        <w:t>；</w:t>
      </w:r>
    </w:p>
    <w:p w14:paraId="52DF8F69">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cs="Times New Roman"/>
          <w:iCs/>
          <w:color w:val="auto"/>
          <w:kern w:val="0"/>
          <w:sz w:val="24"/>
          <w:szCs w:val="24"/>
          <w:highlight w:val="none"/>
        </w:rPr>
      </w:pPr>
      <w:r>
        <w:rPr>
          <w:rFonts w:hint="default" w:ascii="Times New Roman" w:hAnsi="Times New Roman" w:cs="Times New Roman"/>
          <w:i/>
          <w:color w:val="auto"/>
          <w:kern w:val="0"/>
          <w:sz w:val="24"/>
          <w:szCs w:val="24"/>
          <w:highlight w:val="none"/>
        </w:rPr>
        <w:t>R</w:t>
      </w:r>
      <w:r>
        <w:rPr>
          <w:rFonts w:hint="default" w:ascii="Times New Roman" w:hAnsi="Times New Roman" w:cs="Times New Roman"/>
          <w:i/>
          <w:color w:val="auto"/>
          <w:kern w:val="0"/>
          <w:sz w:val="24"/>
          <w:szCs w:val="24"/>
          <w:highlight w:val="none"/>
          <w:vertAlign w:val="subscript"/>
        </w:rPr>
        <w:t>g</w:t>
      </w:r>
      <w:r>
        <w:rPr>
          <w:rFonts w:hint="default" w:ascii="Times New Roman" w:hAnsi="Times New Roman" w:cs="Times New Roman"/>
          <w:iCs/>
          <w:color w:val="auto"/>
          <w:kern w:val="0"/>
          <w:sz w:val="24"/>
          <w:szCs w:val="24"/>
          <w:highlight w:val="none"/>
        </w:rPr>
        <w:t>——核算时段内锅炉燃料耗量，t，本项目燃料耗量</w:t>
      </w:r>
      <w:r>
        <w:rPr>
          <w:rFonts w:hint="eastAsia" w:ascii="宋体" w:hAnsi="Calibri" w:cs="Times New Roman"/>
          <w:iCs/>
          <w:color w:val="auto"/>
          <w:kern w:val="0"/>
          <w:sz w:val="24"/>
          <w:szCs w:val="24"/>
          <w:highlight w:val="none"/>
          <w:lang w:val="en-US" w:eastAsia="zh-CN"/>
        </w:rPr>
        <w:t>266.7</w:t>
      </w:r>
      <w:r>
        <w:rPr>
          <w:rFonts w:hint="eastAsia" w:ascii="Times New Roman" w:hAnsi="Times New Roman" w:cs="Times New Roman"/>
          <w:iCs/>
          <w:color w:val="auto"/>
          <w:kern w:val="0"/>
          <w:sz w:val="24"/>
          <w:szCs w:val="24"/>
          <w:highlight w:val="none"/>
          <w:lang w:val="en-US" w:eastAsia="zh-CN"/>
        </w:rPr>
        <w:t>t</w:t>
      </w:r>
      <w:r>
        <w:rPr>
          <w:rFonts w:hint="default" w:ascii="Times New Roman" w:hAnsi="Times New Roman" w:cs="Times New Roman"/>
          <w:iCs/>
          <w:color w:val="auto"/>
          <w:kern w:val="0"/>
          <w:sz w:val="24"/>
          <w:szCs w:val="24"/>
          <w:highlight w:val="none"/>
        </w:rPr>
        <w:t>/</w:t>
      </w:r>
      <w:r>
        <w:rPr>
          <w:rFonts w:hint="eastAsia" w:ascii="Times New Roman" w:hAnsi="Times New Roman" w:cs="Times New Roman"/>
          <w:iCs/>
          <w:color w:val="auto"/>
          <w:kern w:val="0"/>
          <w:sz w:val="24"/>
          <w:szCs w:val="24"/>
          <w:highlight w:val="none"/>
          <w:lang w:val="en-US" w:eastAsia="zh-CN"/>
        </w:rPr>
        <w:t>a</w:t>
      </w:r>
      <w:r>
        <w:rPr>
          <w:rFonts w:hint="default" w:ascii="Times New Roman" w:hAnsi="Times New Roman" w:cs="Times New Roman"/>
          <w:iCs/>
          <w:color w:val="auto"/>
          <w:kern w:val="0"/>
          <w:sz w:val="24"/>
          <w:szCs w:val="24"/>
          <w:highlight w:val="none"/>
        </w:rPr>
        <w:t>；</w:t>
      </w:r>
    </w:p>
    <w:p w14:paraId="2FA0CD38">
      <w:pPr>
        <w:keepNext w:val="0"/>
        <w:keepLines w:val="0"/>
        <w:pageBreakBefore w:val="0"/>
        <w:widowControl w:val="0"/>
        <w:suppressLineNumbers w:val="0"/>
        <w:tabs>
          <w:tab w:val="center" w:pos="4252"/>
          <w:tab w:val="left" w:pos="7065"/>
        </w:tabs>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baseline"/>
        <w:outlineLvl w:val="9"/>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i/>
          <w:color w:val="auto"/>
          <w:kern w:val="2"/>
          <w:sz w:val="24"/>
          <w:szCs w:val="24"/>
          <w:highlight w:val="none"/>
          <w:lang w:val="en-US" w:eastAsia="zh-CN" w:bidi="ar-SA"/>
        </w:rPr>
        <w:t>S</w:t>
      </w:r>
      <w:r>
        <w:rPr>
          <w:rFonts w:hint="default" w:ascii="Times New Roman" w:hAnsi="Times New Roman" w:eastAsia="宋体" w:cs="Times New Roman"/>
          <w:i/>
          <w:color w:val="auto"/>
          <w:kern w:val="2"/>
          <w:sz w:val="24"/>
          <w:szCs w:val="24"/>
          <w:highlight w:val="none"/>
          <w:vertAlign w:val="subscript"/>
          <w:lang w:val="en-US" w:eastAsia="zh-CN" w:bidi="ar-SA"/>
        </w:rPr>
        <w:t>ar</w:t>
      </w:r>
      <w:r>
        <w:rPr>
          <w:rFonts w:hint="default" w:ascii="Times New Roman" w:hAnsi="Times New Roman" w:eastAsia="宋体" w:cs="Times New Roman"/>
          <w:iCs/>
          <w:color w:val="auto"/>
          <w:kern w:val="2"/>
          <w:sz w:val="24"/>
          <w:szCs w:val="24"/>
          <w:highlight w:val="none"/>
          <w:lang w:val="en-US" w:eastAsia="zh-CN" w:bidi="ar-SA"/>
        </w:rPr>
        <w:t>——收到基硫的质量分数，%，根据燃料成分分析为0.0</w:t>
      </w:r>
      <w:r>
        <w:rPr>
          <w:rFonts w:hint="eastAsia" w:ascii="Times New Roman" w:hAnsi="Times New Roman" w:eastAsia="宋体" w:cs="Times New Roman"/>
          <w:iCs/>
          <w:color w:val="auto"/>
          <w:kern w:val="2"/>
          <w:sz w:val="24"/>
          <w:szCs w:val="24"/>
          <w:highlight w:val="none"/>
          <w:lang w:val="en-US" w:eastAsia="zh-CN" w:bidi="ar-SA"/>
        </w:rPr>
        <w:t>0046</w:t>
      </w:r>
      <w:r>
        <w:rPr>
          <w:rFonts w:hint="default" w:ascii="Times New Roman" w:hAnsi="Times New Roman" w:eastAsia="宋体" w:cs="Times New Roman"/>
          <w:iCs/>
          <w:color w:val="auto"/>
          <w:kern w:val="2"/>
          <w:sz w:val="24"/>
          <w:szCs w:val="24"/>
          <w:highlight w:val="none"/>
          <w:lang w:val="en-US" w:eastAsia="zh-CN" w:bidi="ar-SA"/>
        </w:rPr>
        <w:t>；</w:t>
      </w:r>
    </w:p>
    <w:p w14:paraId="0AC7E3E8">
      <w:pPr>
        <w:keepNext w:val="0"/>
        <w:keepLines w:val="0"/>
        <w:pageBreakBefore w:val="0"/>
        <w:widowControl w:val="0"/>
        <w:suppressLineNumbers w:val="0"/>
        <w:tabs>
          <w:tab w:val="center" w:pos="4252"/>
          <w:tab w:val="left" w:pos="7065"/>
        </w:tabs>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baseline"/>
        <w:outlineLvl w:val="9"/>
        <w:rPr>
          <w:rFonts w:hint="eastAsia" w:ascii="Times New Roman" w:hAnsi="Times New Roman" w:eastAsia="宋体" w:cs="Times New Roman"/>
          <w:iCs/>
          <w:color w:val="auto"/>
          <w:kern w:val="2"/>
          <w:sz w:val="24"/>
          <w:szCs w:val="24"/>
          <w:highlight w:val="none"/>
          <w:lang w:val="en-US" w:eastAsia="zh-CN" w:bidi="ar-SA"/>
        </w:rPr>
      </w:pPr>
      <w:r>
        <w:rPr>
          <w:rFonts w:hint="default" w:ascii="Times New Roman" w:hAnsi="Times New Roman" w:eastAsia="宋体" w:cs="Times New Roman"/>
          <w:i/>
          <w:color w:val="auto"/>
          <w:kern w:val="2"/>
          <w:sz w:val="24"/>
          <w:szCs w:val="24"/>
          <w:highlight w:val="none"/>
          <w:lang w:val="en-US" w:eastAsia="zh-CN" w:bidi="ar-SA"/>
        </w:rPr>
        <w:t>q</w:t>
      </w:r>
      <w:r>
        <w:rPr>
          <w:rFonts w:hint="default" w:ascii="Times New Roman" w:hAnsi="Times New Roman" w:eastAsia="宋体" w:cs="Times New Roman"/>
          <w:i/>
          <w:color w:val="auto"/>
          <w:kern w:val="2"/>
          <w:sz w:val="24"/>
          <w:szCs w:val="24"/>
          <w:highlight w:val="none"/>
          <w:vertAlign w:val="subscript"/>
          <w:lang w:val="en-US" w:eastAsia="zh-CN" w:bidi="ar-SA"/>
        </w:rPr>
        <w:t>4</w:t>
      </w:r>
      <w:r>
        <w:rPr>
          <w:rFonts w:hint="default" w:ascii="Times New Roman" w:hAnsi="Times New Roman" w:eastAsia="宋体" w:cs="Times New Roman"/>
          <w:iCs/>
          <w:color w:val="auto"/>
          <w:kern w:val="2"/>
          <w:sz w:val="24"/>
          <w:szCs w:val="24"/>
          <w:highlight w:val="none"/>
          <w:lang w:val="en-US" w:eastAsia="zh-CN" w:bidi="ar-SA"/>
        </w:rPr>
        <w:t>——锅炉机械不完全燃烧热损失，%，根据《污染源源强核算技术指南锅炉》（HJ</w:t>
      </w:r>
      <w:r>
        <w:rPr>
          <w:rFonts w:hint="eastAsia" w:ascii="Times New Roman" w:hAnsi="Times New Roman" w:eastAsia="宋体" w:cs="Times New Roman"/>
          <w:iCs/>
          <w:color w:val="auto"/>
          <w:kern w:val="2"/>
          <w:sz w:val="24"/>
          <w:szCs w:val="24"/>
          <w:highlight w:val="none"/>
          <w:lang w:val="en-US" w:eastAsia="zh-CN" w:bidi="ar-SA"/>
        </w:rPr>
        <w:t>99</w:t>
      </w:r>
      <w:r>
        <w:rPr>
          <w:rFonts w:hint="default" w:ascii="Times New Roman" w:hAnsi="Times New Roman" w:eastAsia="宋体" w:cs="Times New Roman"/>
          <w:iCs/>
          <w:color w:val="auto"/>
          <w:kern w:val="2"/>
          <w:sz w:val="24"/>
          <w:szCs w:val="24"/>
          <w:highlight w:val="none"/>
          <w:lang w:val="en-US" w:eastAsia="zh-CN" w:bidi="ar-SA"/>
        </w:rPr>
        <w:t>1-2018）表B.1</w:t>
      </w:r>
      <w:r>
        <w:rPr>
          <w:rFonts w:hint="eastAsia" w:ascii="Times New Roman" w:hAnsi="Times New Roman" w:eastAsia="宋体" w:cs="Times New Roman"/>
          <w:iCs/>
          <w:color w:val="auto"/>
          <w:kern w:val="2"/>
          <w:sz w:val="24"/>
          <w:szCs w:val="24"/>
          <w:highlight w:val="none"/>
          <w:lang w:val="en-US" w:eastAsia="zh-CN" w:bidi="ar-SA"/>
        </w:rPr>
        <w:t>，</w:t>
      </w:r>
      <w:r>
        <w:rPr>
          <w:rFonts w:hint="default" w:ascii="Times New Roman" w:hAnsi="Times New Roman" w:eastAsia="宋体" w:cs="Times New Roman"/>
          <w:iCs/>
          <w:color w:val="auto"/>
          <w:kern w:val="2"/>
          <w:sz w:val="24"/>
          <w:szCs w:val="24"/>
          <w:highlight w:val="none"/>
          <w:lang w:val="en-US" w:eastAsia="zh-CN" w:bidi="ar-SA"/>
        </w:rPr>
        <w:t>本项目取</w:t>
      </w:r>
      <w:r>
        <w:rPr>
          <w:rFonts w:hint="eastAsia" w:ascii="Times New Roman" w:hAnsi="Times New Roman" w:eastAsia="宋体" w:cs="Times New Roman"/>
          <w:iCs/>
          <w:color w:val="auto"/>
          <w:kern w:val="2"/>
          <w:sz w:val="24"/>
          <w:szCs w:val="24"/>
          <w:highlight w:val="none"/>
          <w:lang w:val="en-US" w:eastAsia="zh-CN" w:bidi="ar-SA"/>
        </w:rPr>
        <w:t>10</w:t>
      </w:r>
      <w:r>
        <w:rPr>
          <w:rFonts w:hint="default" w:ascii="Times New Roman" w:hAnsi="Times New Roman" w:eastAsia="宋体" w:cs="Times New Roman"/>
          <w:iCs/>
          <w:color w:val="auto"/>
          <w:kern w:val="2"/>
          <w:sz w:val="24"/>
          <w:szCs w:val="24"/>
          <w:highlight w:val="none"/>
          <w:lang w:val="en-US" w:eastAsia="zh-CN" w:bidi="ar-SA"/>
        </w:rPr>
        <w:t>；</w:t>
      </w:r>
    </w:p>
    <w:p w14:paraId="63899698">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cs="Times New Roman"/>
          <w:iCs/>
          <w:color w:val="auto"/>
          <w:kern w:val="0"/>
          <w:sz w:val="24"/>
          <w:szCs w:val="24"/>
          <w:highlight w:val="none"/>
        </w:rPr>
      </w:pPr>
      <w:r>
        <w:rPr>
          <w:rFonts w:hint="default" w:ascii="Times New Roman" w:hAnsi="Times New Roman" w:cs="Times New Roman"/>
          <w:i/>
          <w:color w:val="auto"/>
          <w:kern w:val="0"/>
          <w:sz w:val="24"/>
          <w:szCs w:val="24"/>
          <w:highlight w:val="none"/>
        </w:rPr>
        <w:t>η</w:t>
      </w:r>
      <w:r>
        <w:rPr>
          <w:rFonts w:hint="default" w:ascii="Times New Roman" w:hAnsi="Times New Roman" w:cs="Times New Roman"/>
          <w:i/>
          <w:color w:val="auto"/>
          <w:kern w:val="0"/>
          <w:sz w:val="24"/>
          <w:szCs w:val="24"/>
          <w:highlight w:val="none"/>
          <w:vertAlign w:val="subscript"/>
        </w:rPr>
        <w:t>S</w:t>
      </w:r>
      <w:r>
        <w:rPr>
          <w:rFonts w:hint="default" w:ascii="Times New Roman" w:hAnsi="Times New Roman" w:cs="Times New Roman"/>
          <w:iCs/>
          <w:color w:val="auto"/>
          <w:kern w:val="0"/>
          <w:sz w:val="24"/>
          <w:szCs w:val="24"/>
          <w:highlight w:val="none"/>
        </w:rPr>
        <w:t>——脱硫效率，%，本项目为0；</w:t>
      </w:r>
    </w:p>
    <w:p w14:paraId="1EC81513">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Times New Roman" w:hAnsi="Times New Roman" w:cs="Times New Roman"/>
          <w:iCs/>
          <w:color w:val="auto"/>
          <w:kern w:val="0"/>
          <w:sz w:val="24"/>
          <w:szCs w:val="24"/>
          <w:highlight w:val="none"/>
        </w:rPr>
      </w:pPr>
      <w:r>
        <w:rPr>
          <w:rFonts w:hint="default" w:ascii="Times New Roman" w:hAnsi="Times New Roman" w:cs="Times New Roman"/>
          <w:i/>
          <w:color w:val="auto"/>
          <w:kern w:val="0"/>
          <w:sz w:val="24"/>
          <w:szCs w:val="24"/>
          <w:highlight w:val="none"/>
        </w:rPr>
        <w:t>K</w:t>
      </w:r>
      <w:r>
        <w:rPr>
          <w:rFonts w:hint="default" w:ascii="Times New Roman" w:hAnsi="Times New Roman" w:cs="Times New Roman"/>
          <w:iCs/>
          <w:color w:val="auto"/>
          <w:kern w:val="0"/>
          <w:sz w:val="24"/>
          <w:szCs w:val="24"/>
          <w:highlight w:val="none"/>
        </w:rPr>
        <w:t>——燃料中的硫燃烧后氧化成二氧化硫的份额，</w:t>
      </w:r>
      <w:r>
        <w:rPr>
          <w:rFonts w:hint="default" w:ascii="Times New Roman" w:hAnsi="Times New Roman" w:cs="Times New Roman"/>
          <w:color w:val="auto"/>
          <w:kern w:val="0"/>
          <w:sz w:val="24"/>
          <w:szCs w:val="24"/>
          <w:highlight w:val="none"/>
        </w:rPr>
        <w:t>《污染源源强核算技术指南锅炉》（HJ</w:t>
      </w:r>
      <w:r>
        <w:rPr>
          <w:rFonts w:hint="eastAsia" w:ascii="Times New Roman" w:hAnsi="Times New Roman" w:cs="Times New Roman"/>
          <w:color w:val="auto"/>
          <w:kern w:val="0"/>
          <w:sz w:val="24"/>
          <w:szCs w:val="24"/>
          <w:highlight w:val="none"/>
          <w:lang w:eastAsia="zh-CN"/>
        </w:rPr>
        <w:t>99</w:t>
      </w:r>
      <w:r>
        <w:rPr>
          <w:rFonts w:hint="default" w:ascii="Times New Roman" w:hAnsi="Times New Roman" w:cs="Times New Roman"/>
          <w:color w:val="auto"/>
          <w:kern w:val="0"/>
          <w:sz w:val="24"/>
          <w:szCs w:val="24"/>
          <w:highlight w:val="none"/>
        </w:rPr>
        <w:t>1-2018）</w:t>
      </w:r>
      <w:r>
        <w:rPr>
          <w:rFonts w:hint="eastAsia" w:ascii="Times New Roman" w:hAnsi="Times New Roman" w:cs="Times New Roman"/>
          <w:color w:val="auto"/>
          <w:kern w:val="0"/>
          <w:sz w:val="24"/>
          <w:szCs w:val="24"/>
          <w:highlight w:val="none"/>
          <w:lang w:eastAsia="zh-CN"/>
        </w:rPr>
        <w:t>表</w:t>
      </w:r>
      <w:r>
        <w:rPr>
          <w:rFonts w:hint="eastAsia" w:ascii="Times New Roman" w:hAnsi="Times New Roman" w:cs="Times New Roman"/>
          <w:color w:val="auto"/>
          <w:kern w:val="0"/>
          <w:sz w:val="24"/>
          <w:szCs w:val="24"/>
          <w:highlight w:val="none"/>
          <w:lang w:val="en-US" w:eastAsia="zh-CN"/>
        </w:rPr>
        <w:t>B.3</w:t>
      </w:r>
      <w:r>
        <w:rPr>
          <w:rFonts w:hint="eastAsia" w:ascii="Times New Roman" w:hAnsi="Times New Roman" w:cs="Times New Roman"/>
          <w:iCs/>
          <w:color w:val="auto"/>
          <w:kern w:val="0"/>
          <w:sz w:val="24"/>
          <w:szCs w:val="24"/>
          <w:highlight w:val="none"/>
          <w:lang w:eastAsia="zh-CN"/>
        </w:rPr>
        <w:t>，</w:t>
      </w:r>
      <w:r>
        <w:rPr>
          <w:rFonts w:hint="default" w:ascii="Times New Roman" w:hAnsi="Times New Roman" w:cs="Times New Roman"/>
          <w:iCs/>
          <w:color w:val="auto"/>
          <w:kern w:val="0"/>
          <w:sz w:val="24"/>
          <w:szCs w:val="24"/>
          <w:highlight w:val="none"/>
        </w:rPr>
        <w:t>本项目取</w:t>
      </w:r>
      <w:r>
        <w:rPr>
          <w:rFonts w:hint="eastAsia" w:ascii="Times New Roman" w:hAnsi="Times New Roman" w:cs="Times New Roman"/>
          <w:iCs/>
          <w:color w:val="auto"/>
          <w:kern w:val="0"/>
          <w:sz w:val="24"/>
          <w:szCs w:val="24"/>
          <w:highlight w:val="none"/>
          <w:lang w:val="en-US" w:eastAsia="zh-CN"/>
        </w:rPr>
        <w:t>1</w:t>
      </w:r>
      <w:r>
        <w:rPr>
          <w:rFonts w:hint="default" w:ascii="Times New Roman" w:hAnsi="Times New Roman" w:cs="Times New Roman"/>
          <w:iCs/>
          <w:color w:val="auto"/>
          <w:kern w:val="0"/>
          <w:sz w:val="24"/>
          <w:szCs w:val="24"/>
          <w:highlight w:val="none"/>
        </w:rPr>
        <w:t>。</w:t>
      </w:r>
    </w:p>
    <w:p w14:paraId="7359F9FA">
      <w:pPr>
        <w:keepNext w:val="0"/>
        <w:keepLines w:val="0"/>
        <w:pageBreakBefore w:val="0"/>
        <w:widowControl w:val="0"/>
        <w:suppressLineNumbers w:val="0"/>
        <w:kinsoku/>
        <w:wordWrap/>
        <w:overflowPunct/>
        <w:topLinePunct w:val="0"/>
        <w:bidi w:val="0"/>
        <w:adjustRightInd w:val="0"/>
        <w:snapToGrid/>
        <w:spacing w:before="0" w:beforeLines="0" w:beforeAutospacing="0" w:after="0" w:afterLines="0" w:afterAutospacing="0" w:line="360" w:lineRule="auto"/>
        <w:ind w:left="0" w:right="0" w:firstLine="480" w:firstLineChars="200"/>
        <w:jc w:val="left"/>
        <w:outlineLvl w:val="9"/>
        <w:rPr>
          <w:rFonts w:hint="default" w:ascii="Times New Roman" w:hAnsi="Times New Roman" w:eastAsia="宋体" w:cs="Times New Roman"/>
          <w:iCs/>
          <w:color w:val="auto"/>
          <w:kern w:val="0"/>
          <w:sz w:val="24"/>
          <w:szCs w:val="24"/>
          <w:highlight w:val="none"/>
        </w:rPr>
      </w:pPr>
      <w:r>
        <w:rPr>
          <w:rFonts w:hint="eastAsia" w:ascii="宋体" w:hAnsi="Calibri" w:cs="Times New Roman"/>
          <w:color w:val="auto"/>
          <w:kern w:val="0"/>
          <w:sz w:val="24"/>
          <w:szCs w:val="24"/>
          <w:highlight w:val="none"/>
          <w:lang w:val="en-US" w:eastAsia="zh-CN"/>
        </w:rPr>
        <w:t>二氧化硫</w:t>
      </w:r>
      <w:r>
        <w:rPr>
          <w:rFonts w:hint="eastAsia" w:ascii="Times New Roman" w:hAnsi="Times New Roman" w:eastAsia="宋体" w:cs="Times New Roman"/>
          <w:color w:val="auto"/>
          <w:kern w:val="0"/>
          <w:sz w:val="24"/>
          <w:szCs w:val="24"/>
          <w:highlight w:val="none"/>
          <w:lang w:val="en-US" w:eastAsia="zh-CN"/>
        </w:rPr>
        <w:t>产生量为</w:t>
      </w:r>
      <w:r>
        <w:rPr>
          <w:rFonts w:hint="eastAsia" w:ascii="Times New Roman" w:hAnsi="Times New Roman" w:eastAsia="宋体" w:cs="Times New Roman"/>
          <w:color w:val="auto"/>
          <w:kern w:val="0"/>
          <w:sz w:val="24"/>
          <w:szCs w:val="20"/>
          <w:highlight w:val="none"/>
          <w:lang w:val="en-US" w:eastAsia="zh-CN"/>
        </w:rPr>
        <w:t>0.0</w:t>
      </w:r>
      <w:r>
        <w:rPr>
          <w:rFonts w:hint="eastAsia" w:ascii="宋体" w:hAnsi="Calibri" w:cs="Times New Roman"/>
          <w:color w:val="auto"/>
          <w:kern w:val="0"/>
          <w:sz w:val="24"/>
          <w:szCs w:val="20"/>
          <w:highlight w:val="none"/>
          <w:lang w:val="en-US" w:eastAsia="zh-CN"/>
        </w:rPr>
        <w:t>01</w:t>
      </w:r>
      <w:r>
        <w:rPr>
          <w:rFonts w:hint="default" w:ascii="Times New Roman" w:hAnsi="Times New Roman" w:eastAsia="宋体" w:cs="Times New Roman"/>
          <w:color w:val="auto"/>
          <w:kern w:val="0"/>
          <w:sz w:val="24"/>
          <w:szCs w:val="20"/>
          <w:highlight w:val="none"/>
        </w:rPr>
        <w:t>kg/h，</w:t>
      </w:r>
      <w:r>
        <w:rPr>
          <w:rFonts w:hint="eastAsia" w:ascii="Times New Roman" w:hAnsi="Times New Roman" w:cs="Times New Roman"/>
          <w:color w:val="auto"/>
          <w:kern w:val="0"/>
          <w:sz w:val="24"/>
          <w:szCs w:val="20"/>
          <w:highlight w:val="none"/>
          <w:lang w:val="en-US" w:eastAsia="zh-CN"/>
        </w:rPr>
        <w:t>0.0</w:t>
      </w:r>
      <w:r>
        <w:rPr>
          <w:rFonts w:hint="eastAsia" w:ascii="宋体" w:hAnsi="Calibri" w:cs="Times New Roman"/>
          <w:color w:val="auto"/>
          <w:kern w:val="0"/>
          <w:sz w:val="24"/>
          <w:szCs w:val="20"/>
          <w:highlight w:val="none"/>
          <w:lang w:val="en-US" w:eastAsia="zh-CN"/>
        </w:rPr>
        <w:t>022</w:t>
      </w:r>
      <w:r>
        <w:rPr>
          <w:rFonts w:hint="default" w:ascii="Times New Roman" w:hAnsi="Times New Roman" w:eastAsia="宋体" w:cs="Times New Roman"/>
          <w:color w:val="auto"/>
          <w:kern w:val="0"/>
          <w:sz w:val="24"/>
          <w:szCs w:val="20"/>
          <w:highlight w:val="none"/>
        </w:rPr>
        <w:t>t/a，</w:t>
      </w:r>
      <w:r>
        <w:rPr>
          <w:rFonts w:hint="eastAsia" w:ascii="Times New Roman" w:hAnsi="Times New Roman" w:eastAsia="宋体" w:cs="Times New Roman"/>
          <w:color w:val="auto"/>
          <w:kern w:val="0"/>
          <w:sz w:val="24"/>
          <w:szCs w:val="20"/>
          <w:highlight w:val="none"/>
          <w:lang w:val="en-US" w:eastAsia="zh-CN"/>
        </w:rPr>
        <w:t>产生</w:t>
      </w:r>
      <w:r>
        <w:rPr>
          <w:rFonts w:hint="default" w:ascii="Times New Roman" w:hAnsi="Times New Roman" w:eastAsia="宋体" w:cs="Times New Roman"/>
          <w:color w:val="auto"/>
          <w:kern w:val="0"/>
          <w:sz w:val="24"/>
          <w:szCs w:val="20"/>
          <w:highlight w:val="none"/>
        </w:rPr>
        <w:t>浓度</w:t>
      </w:r>
      <w:r>
        <w:rPr>
          <w:rFonts w:hint="eastAsia" w:ascii="宋体" w:hAnsi="Calibri" w:cs="Times New Roman"/>
          <w:color w:val="auto"/>
          <w:kern w:val="0"/>
          <w:sz w:val="24"/>
          <w:szCs w:val="20"/>
          <w:highlight w:val="none"/>
          <w:lang w:val="en-US" w:eastAsia="zh-CN"/>
        </w:rPr>
        <w:t>0.64</w:t>
      </w:r>
      <w:r>
        <w:rPr>
          <w:rFonts w:hint="default" w:ascii="Times New Roman" w:hAnsi="Times New Roman" w:eastAsia="宋体" w:cs="Times New Roman"/>
          <w:color w:val="auto"/>
          <w:kern w:val="0"/>
          <w:sz w:val="24"/>
          <w:szCs w:val="20"/>
          <w:highlight w:val="none"/>
        </w:rPr>
        <w:t>mg/m</w:t>
      </w:r>
      <w:r>
        <w:rPr>
          <w:rFonts w:hint="default" w:ascii="Times New Roman" w:hAnsi="Times New Roman" w:eastAsia="宋体" w:cs="Times New Roman"/>
          <w:color w:val="auto"/>
          <w:kern w:val="0"/>
          <w:sz w:val="24"/>
          <w:szCs w:val="20"/>
          <w:highlight w:val="none"/>
          <w:vertAlign w:val="superscript"/>
        </w:rPr>
        <w:t>3</w:t>
      </w:r>
      <w:r>
        <w:rPr>
          <w:rFonts w:hint="default" w:ascii="Times New Roman" w:hAnsi="Times New Roman" w:eastAsia="宋体" w:cs="Times New Roman"/>
          <w:color w:val="auto"/>
          <w:kern w:val="0"/>
          <w:sz w:val="24"/>
          <w:szCs w:val="20"/>
          <w:highlight w:val="none"/>
        </w:rPr>
        <w:t>。</w:t>
      </w:r>
    </w:p>
    <w:p w14:paraId="6450B981">
      <w:pPr>
        <w:keepNext w:val="0"/>
        <w:keepLines w:val="0"/>
        <w:pageBreakBefore w:val="0"/>
        <w:widowControl w:val="0"/>
        <w:suppressLineNumbers w:val="0"/>
        <w:kinsoku/>
        <w:wordWrap/>
        <w:overflowPunct/>
        <w:topLinePunct w:val="0"/>
        <w:bidi w:val="0"/>
        <w:adjustRightInd w:val="0"/>
        <w:snapToGrid/>
        <w:spacing w:before="0" w:beforeLines="0" w:beforeAutospacing="0" w:after="0" w:afterLines="0" w:afterAutospacing="0" w:line="360" w:lineRule="auto"/>
        <w:ind w:left="0" w:right="0" w:firstLine="480" w:firstLineChars="200"/>
        <w:jc w:val="left"/>
        <w:outlineLvl w:val="9"/>
        <w:rPr>
          <w:rFonts w:hint="eastAsia" w:ascii="宋体" w:hAnsi="Calibri"/>
          <w:color w:val="auto"/>
          <w:kern w:val="0"/>
          <w:sz w:val="24"/>
          <w:szCs w:val="24"/>
          <w:lang w:eastAsia="zh-CN"/>
        </w:rPr>
      </w:pPr>
      <w:r>
        <w:rPr>
          <w:rFonts w:hint="default" w:ascii="Times New Roman" w:hAnsi="Times New Roman" w:eastAsia="宋体" w:cs="Times New Roman"/>
          <w:iCs/>
          <w:color w:val="auto"/>
          <w:kern w:val="0"/>
          <w:sz w:val="24"/>
          <w:szCs w:val="24"/>
          <w:highlight w:val="none"/>
        </w:rPr>
        <w:t>锅炉排放源强见表</w:t>
      </w:r>
      <w:r>
        <w:rPr>
          <w:rFonts w:hint="eastAsia" w:ascii="Times New Roman" w:hAnsi="Times New Roman" w:eastAsia="宋体" w:cs="Times New Roman"/>
          <w:iCs/>
          <w:color w:val="auto"/>
          <w:kern w:val="0"/>
          <w:sz w:val="24"/>
          <w:szCs w:val="24"/>
          <w:highlight w:val="none"/>
          <w:lang w:val="en-US" w:eastAsia="zh-CN"/>
        </w:rPr>
        <w:t>4-1</w:t>
      </w:r>
      <w:r>
        <w:rPr>
          <w:rFonts w:hint="default" w:ascii="Times New Roman" w:hAnsi="Times New Roman" w:eastAsia="宋体" w:cs="Times New Roman"/>
          <w:iCs/>
          <w:color w:val="auto"/>
          <w:kern w:val="0"/>
          <w:sz w:val="24"/>
          <w:szCs w:val="24"/>
          <w:highlight w:val="none"/>
        </w:rPr>
        <w:t>。</w:t>
      </w:r>
    </w:p>
    <w:p w14:paraId="07F00274">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b/>
          <w:bCs/>
          <w:color w:val="auto"/>
          <w:kern w:val="0"/>
          <w:sz w:val="24"/>
          <w:szCs w:val="20"/>
        </w:rPr>
      </w:pPr>
      <w:r>
        <w:rPr>
          <w:rFonts w:hint="default" w:ascii="Times New Roman" w:hAnsi="Times New Roman" w:eastAsia="宋体" w:cs="Times New Roman"/>
          <w:b/>
          <w:color w:val="auto"/>
          <w:kern w:val="0"/>
          <w:sz w:val="24"/>
          <w:szCs w:val="20"/>
        </w:rPr>
        <w:t>表</w:t>
      </w:r>
      <w:r>
        <w:rPr>
          <w:rFonts w:hint="eastAsia" w:ascii="Times New Roman" w:hAnsi="Times New Roman" w:cs="Times New Roman"/>
          <w:b/>
          <w:color w:val="auto"/>
          <w:kern w:val="0"/>
          <w:sz w:val="24"/>
          <w:szCs w:val="20"/>
          <w:lang w:val="en-US" w:eastAsia="zh-CN"/>
        </w:rPr>
        <w:t>4</w:t>
      </w:r>
      <w:r>
        <w:rPr>
          <w:rFonts w:hint="default" w:ascii="Times New Roman" w:hAnsi="Times New Roman" w:eastAsia="宋体" w:cs="Times New Roman"/>
          <w:b/>
          <w:color w:val="auto"/>
          <w:kern w:val="0"/>
          <w:sz w:val="24"/>
          <w:szCs w:val="20"/>
        </w:rPr>
        <w:t>-1导热油炉烟气污染物产生情况一览表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802"/>
        <w:gridCol w:w="1227"/>
        <w:gridCol w:w="1166"/>
        <w:gridCol w:w="1802"/>
        <w:gridCol w:w="1227"/>
      </w:tblGrid>
      <w:tr w14:paraId="41722A2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762" w:type="pct"/>
            <w:noWrap w:val="0"/>
            <w:vAlign w:val="center"/>
          </w:tcPr>
          <w:p w14:paraId="1AD77E45">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186" w:name="_Toc501098515"/>
            <w:bookmarkStart w:id="187" w:name="_Toc6284"/>
            <w:bookmarkStart w:id="188" w:name="_Toc11105"/>
            <w:bookmarkStart w:id="189" w:name="_Toc26742"/>
            <w:r>
              <w:rPr>
                <w:rFonts w:hint="default" w:ascii="Times New Roman" w:hAnsi="Times New Roman" w:cs="Times New Roman"/>
                <w:color w:val="auto"/>
                <w:kern w:val="0"/>
                <w:sz w:val="24"/>
                <w:szCs w:val="21"/>
              </w:rPr>
              <w:t>污染物名称</w:t>
            </w:r>
            <w:bookmarkEnd w:id="186"/>
            <w:bookmarkEnd w:id="187"/>
            <w:bookmarkEnd w:id="188"/>
            <w:bookmarkEnd w:id="189"/>
          </w:p>
        </w:tc>
        <w:tc>
          <w:tcPr>
            <w:tcW w:w="1057" w:type="pct"/>
            <w:noWrap w:val="0"/>
            <w:vAlign w:val="center"/>
          </w:tcPr>
          <w:p w14:paraId="23E2BC25">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190" w:name="_Toc30777"/>
            <w:bookmarkStart w:id="191" w:name="_Toc22881"/>
            <w:bookmarkStart w:id="192" w:name="_Toc501098518"/>
            <w:bookmarkStart w:id="193" w:name="_Toc29288"/>
            <w:r>
              <w:rPr>
                <w:rFonts w:hint="default" w:ascii="Times New Roman" w:hAnsi="Times New Roman" w:cs="Times New Roman"/>
                <w:color w:val="auto"/>
                <w:kern w:val="0"/>
                <w:sz w:val="24"/>
                <w:szCs w:val="21"/>
              </w:rPr>
              <w:t>产生浓度(mg/m</w:t>
            </w:r>
            <w:r>
              <w:rPr>
                <w:rFonts w:hint="default" w:ascii="Times New Roman" w:hAnsi="Times New Roman" w:cs="Times New Roman"/>
                <w:color w:val="auto"/>
                <w:kern w:val="0"/>
                <w:sz w:val="24"/>
                <w:szCs w:val="21"/>
                <w:vertAlign w:val="superscript"/>
              </w:rPr>
              <w:t>3</w:t>
            </w:r>
            <w:r>
              <w:rPr>
                <w:rFonts w:hint="default" w:ascii="Times New Roman" w:hAnsi="Times New Roman" w:cs="Times New Roman"/>
                <w:color w:val="auto"/>
                <w:kern w:val="0"/>
                <w:sz w:val="24"/>
                <w:szCs w:val="21"/>
              </w:rPr>
              <w:t>)</w:t>
            </w:r>
            <w:bookmarkEnd w:id="190"/>
            <w:bookmarkEnd w:id="191"/>
            <w:bookmarkEnd w:id="192"/>
            <w:bookmarkEnd w:id="193"/>
          </w:p>
        </w:tc>
        <w:tc>
          <w:tcPr>
            <w:tcW w:w="720" w:type="pct"/>
            <w:noWrap w:val="0"/>
            <w:vAlign w:val="center"/>
          </w:tcPr>
          <w:p w14:paraId="69A6581F">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194" w:name="_Toc8774"/>
            <w:bookmarkStart w:id="195" w:name="_Toc1824"/>
            <w:bookmarkStart w:id="196" w:name="_Toc2377"/>
            <w:bookmarkStart w:id="197" w:name="_Toc501098519"/>
            <w:r>
              <w:rPr>
                <w:rFonts w:hint="default" w:ascii="Times New Roman" w:hAnsi="Times New Roman" w:cs="Times New Roman"/>
                <w:color w:val="auto"/>
                <w:kern w:val="0"/>
                <w:sz w:val="24"/>
                <w:szCs w:val="21"/>
              </w:rPr>
              <w:t>产生量(t/a)</w:t>
            </w:r>
            <w:bookmarkEnd w:id="194"/>
            <w:bookmarkEnd w:id="195"/>
            <w:bookmarkEnd w:id="196"/>
          </w:p>
        </w:tc>
        <w:tc>
          <w:tcPr>
            <w:tcW w:w="684" w:type="pct"/>
            <w:noWrap w:val="0"/>
            <w:vAlign w:val="center"/>
          </w:tcPr>
          <w:p w14:paraId="25CDDC1F">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198" w:name="_Toc16002"/>
            <w:bookmarkStart w:id="199" w:name="_Toc29015"/>
            <w:bookmarkStart w:id="200" w:name="_Toc24640"/>
            <w:r>
              <w:rPr>
                <w:rFonts w:hint="default" w:ascii="Times New Roman" w:hAnsi="Times New Roman" w:cs="Times New Roman"/>
                <w:color w:val="auto"/>
                <w:kern w:val="0"/>
                <w:sz w:val="24"/>
                <w:szCs w:val="21"/>
              </w:rPr>
              <w:t>防</w:t>
            </w:r>
            <w:r>
              <w:rPr>
                <w:rFonts w:hint="default" w:ascii="Times New Roman" w:hAnsi="Times New Roman" w:cs="Times New Roman"/>
                <w:color w:val="auto"/>
                <w:kern w:val="0"/>
                <w:sz w:val="24"/>
                <w:szCs w:val="21"/>
              </w:rPr>
              <w:cr/>
            </w:r>
            <w:r>
              <w:rPr>
                <w:rFonts w:hint="default" w:ascii="Times New Roman" w:hAnsi="Times New Roman" w:cs="Times New Roman"/>
                <w:color w:val="auto"/>
                <w:kern w:val="0"/>
                <w:sz w:val="24"/>
                <w:szCs w:val="21"/>
              </w:rPr>
              <w:t>措施</w:t>
            </w:r>
            <w:bookmarkEnd w:id="198"/>
            <w:bookmarkEnd w:id="199"/>
            <w:bookmarkEnd w:id="200"/>
          </w:p>
          <w:bookmarkEnd w:id="197"/>
        </w:tc>
        <w:tc>
          <w:tcPr>
            <w:tcW w:w="1057" w:type="pct"/>
            <w:noWrap w:val="0"/>
            <w:vAlign w:val="center"/>
          </w:tcPr>
          <w:p w14:paraId="60552216">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201" w:name="_Toc24474"/>
            <w:bookmarkStart w:id="202" w:name="_Toc501098520"/>
            <w:bookmarkStart w:id="203" w:name="_Toc25194"/>
            <w:bookmarkStart w:id="204" w:name="_Toc7003"/>
            <w:r>
              <w:rPr>
                <w:rFonts w:hint="default" w:ascii="Times New Roman" w:hAnsi="Times New Roman" w:cs="Times New Roman"/>
                <w:color w:val="auto"/>
                <w:kern w:val="0"/>
                <w:sz w:val="24"/>
                <w:szCs w:val="21"/>
              </w:rPr>
              <w:t>排放浓度(mg/m</w:t>
            </w:r>
            <w:r>
              <w:rPr>
                <w:rFonts w:hint="default" w:ascii="Times New Roman" w:hAnsi="Times New Roman" w:cs="Times New Roman"/>
                <w:color w:val="auto"/>
                <w:kern w:val="0"/>
                <w:sz w:val="24"/>
                <w:szCs w:val="21"/>
                <w:vertAlign w:val="superscript"/>
              </w:rPr>
              <w:t>3</w:t>
            </w:r>
            <w:r>
              <w:rPr>
                <w:rFonts w:hint="default" w:ascii="Times New Roman" w:hAnsi="Times New Roman" w:cs="Times New Roman"/>
                <w:color w:val="auto"/>
                <w:kern w:val="0"/>
                <w:sz w:val="24"/>
                <w:szCs w:val="21"/>
              </w:rPr>
              <w:t>)</w:t>
            </w:r>
            <w:bookmarkEnd w:id="201"/>
            <w:bookmarkEnd w:id="202"/>
            <w:bookmarkEnd w:id="203"/>
            <w:bookmarkEnd w:id="204"/>
          </w:p>
        </w:tc>
        <w:tc>
          <w:tcPr>
            <w:tcW w:w="720" w:type="pct"/>
            <w:noWrap w:val="0"/>
            <w:vAlign w:val="center"/>
          </w:tcPr>
          <w:p w14:paraId="4C4A9445">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bookmarkStart w:id="205" w:name="_Toc20149"/>
            <w:bookmarkStart w:id="206" w:name="_Toc22644"/>
            <w:bookmarkStart w:id="207" w:name="_Toc14434"/>
            <w:r>
              <w:rPr>
                <w:rFonts w:hint="default" w:ascii="Times New Roman" w:hAnsi="Times New Roman" w:cs="Times New Roman"/>
                <w:color w:val="auto"/>
                <w:kern w:val="0"/>
                <w:sz w:val="24"/>
                <w:szCs w:val="21"/>
              </w:rPr>
              <w:t>排放量(t/a)</w:t>
            </w:r>
            <w:bookmarkEnd w:id="205"/>
            <w:bookmarkEnd w:id="206"/>
            <w:bookmarkEnd w:id="207"/>
          </w:p>
        </w:tc>
      </w:tr>
      <w:tr w14:paraId="7EA4585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62" w:type="pct"/>
            <w:noWrap w:val="0"/>
            <w:vAlign w:val="center"/>
          </w:tcPr>
          <w:p w14:paraId="4532A09B">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颗粒物</w:t>
            </w:r>
          </w:p>
        </w:tc>
        <w:tc>
          <w:tcPr>
            <w:tcW w:w="1057" w:type="pct"/>
            <w:noWrap w:val="0"/>
            <w:vAlign w:val="center"/>
          </w:tcPr>
          <w:p w14:paraId="58EE56F0">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20.1</w:t>
            </w:r>
          </w:p>
        </w:tc>
        <w:tc>
          <w:tcPr>
            <w:tcW w:w="720" w:type="pct"/>
            <w:noWrap w:val="0"/>
            <w:vAlign w:val="center"/>
          </w:tcPr>
          <w:p w14:paraId="2123BBCC">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eastAsia"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eastAsia="zh-CN"/>
              </w:rPr>
              <w:t>0.069</w:t>
            </w:r>
          </w:p>
        </w:tc>
        <w:tc>
          <w:tcPr>
            <w:tcW w:w="684" w:type="pct"/>
            <w:vMerge w:val="restart"/>
            <w:noWrap w:val="0"/>
            <w:vAlign w:val="center"/>
          </w:tcPr>
          <w:p w14:paraId="35B822C9">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eastAsia="宋体" w:cs="Times New Roman"/>
                <w:color w:val="auto"/>
                <w:kern w:val="0"/>
                <w:sz w:val="24"/>
                <w:szCs w:val="21"/>
              </w:rPr>
            </w:pPr>
            <w:bookmarkStart w:id="208" w:name="_Toc15914"/>
            <w:bookmarkStart w:id="209" w:name="_Toc28931"/>
            <w:bookmarkStart w:id="210" w:name="_Toc7477"/>
            <w:r>
              <w:rPr>
                <w:rFonts w:hint="default" w:ascii="Times New Roman" w:hAnsi="Times New Roman" w:eastAsia="宋体" w:cs="Times New Roman"/>
                <w:color w:val="auto"/>
                <w:kern w:val="0"/>
                <w:sz w:val="24"/>
                <w:szCs w:val="21"/>
              </w:rPr>
              <w:t>8m烟囱</w:t>
            </w:r>
            <w:bookmarkEnd w:id="208"/>
            <w:bookmarkEnd w:id="209"/>
            <w:bookmarkEnd w:id="210"/>
          </w:p>
        </w:tc>
        <w:tc>
          <w:tcPr>
            <w:tcW w:w="1866" w:type="dxa"/>
            <w:noWrap w:val="0"/>
            <w:vAlign w:val="center"/>
          </w:tcPr>
          <w:p w14:paraId="08F0245C">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default" w:ascii="Times New Roman" w:hAnsi="Times New Roman" w:eastAsia="宋体" w:cs="Times New Roman"/>
                <w:color w:val="auto"/>
                <w:kern w:val="0"/>
                <w:sz w:val="24"/>
                <w:szCs w:val="21"/>
                <w:lang w:val="en-US"/>
              </w:rPr>
            </w:pPr>
            <w:r>
              <w:rPr>
                <w:rFonts w:hint="eastAsia" w:ascii="宋体" w:hAnsi="Calibri" w:cs="Times New Roman"/>
                <w:color w:val="auto"/>
                <w:kern w:val="0"/>
                <w:sz w:val="24"/>
                <w:szCs w:val="21"/>
                <w:lang w:val="en-US" w:eastAsia="zh-CN"/>
              </w:rPr>
              <w:t>20.1</w:t>
            </w:r>
          </w:p>
        </w:tc>
        <w:tc>
          <w:tcPr>
            <w:tcW w:w="1271" w:type="dxa"/>
            <w:noWrap w:val="0"/>
            <w:vAlign w:val="center"/>
          </w:tcPr>
          <w:p w14:paraId="6AF98A79">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eastAsia" w:ascii="Times New Roman" w:hAnsi="Times New Roman" w:eastAsia="宋体" w:cs="Times New Roman"/>
                <w:color w:val="auto"/>
                <w:kern w:val="0"/>
                <w:sz w:val="24"/>
                <w:szCs w:val="21"/>
                <w:lang w:eastAsia="zh-CN"/>
              </w:rPr>
            </w:pPr>
            <w:r>
              <w:rPr>
                <w:rFonts w:hint="eastAsia" w:ascii="宋体" w:hAnsi="Calibri" w:cs="Times New Roman"/>
                <w:color w:val="auto"/>
                <w:kern w:val="0"/>
                <w:sz w:val="24"/>
                <w:szCs w:val="21"/>
                <w:lang w:eastAsia="zh-CN"/>
              </w:rPr>
              <w:t>0.069</w:t>
            </w:r>
          </w:p>
        </w:tc>
      </w:tr>
      <w:tr w14:paraId="2E1E6C9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62" w:type="pct"/>
            <w:noWrap w:val="0"/>
            <w:vAlign w:val="center"/>
          </w:tcPr>
          <w:p w14:paraId="7DC0EAA6">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SO</w:t>
            </w:r>
            <w:r>
              <w:rPr>
                <w:rFonts w:hint="default" w:ascii="Times New Roman" w:hAnsi="Times New Roman" w:cs="Times New Roman"/>
                <w:color w:val="auto"/>
                <w:kern w:val="0"/>
                <w:sz w:val="24"/>
                <w:szCs w:val="21"/>
                <w:vertAlign w:val="subscript"/>
              </w:rPr>
              <w:t>2</w:t>
            </w:r>
          </w:p>
        </w:tc>
        <w:tc>
          <w:tcPr>
            <w:tcW w:w="1866" w:type="dxa"/>
            <w:noWrap w:val="0"/>
            <w:vAlign w:val="center"/>
          </w:tcPr>
          <w:p w14:paraId="37203018">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0.64</w:t>
            </w:r>
          </w:p>
        </w:tc>
        <w:tc>
          <w:tcPr>
            <w:tcW w:w="1271" w:type="dxa"/>
            <w:noWrap w:val="0"/>
            <w:vAlign w:val="center"/>
          </w:tcPr>
          <w:p w14:paraId="70DE0CE6">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eastAsia"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eastAsia="zh-CN"/>
              </w:rPr>
              <w:t>0.0022</w:t>
            </w:r>
          </w:p>
        </w:tc>
        <w:tc>
          <w:tcPr>
            <w:tcW w:w="684" w:type="pct"/>
            <w:vMerge w:val="continue"/>
            <w:noWrap w:val="0"/>
            <w:vAlign w:val="center"/>
          </w:tcPr>
          <w:p w14:paraId="3916D601">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p>
        </w:tc>
        <w:tc>
          <w:tcPr>
            <w:tcW w:w="1866" w:type="dxa"/>
            <w:noWrap w:val="0"/>
            <w:vAlign w:val="center"/>
          </w:tcPr>
          <w:p w14:paraId="0CC33EA7">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default" w:ascii="Times New Roman" w:hAnsi="Times New Roman" w:eastAsia="宋体" w:cs="Times New Roman"/>
                <w:color w:val="auto"/>
                <w:kern w:val="0"/>
                <w:sz w:val="24"/>
                <w:szCs w:val="21"/>
                <w:lang w:val="en-US"/>
              </w:rPr>
            </w:pPr>
            <w:r>
              <w:rPr>
                <w:rFonts w:hint="eastAsia" w:ascii="宋体" w:hAnsi="Calibri" w:cs="Times New Roman"/>
                <w:color w:val="auto"/>
                <w:kern w:val="0"/>
                <w:sz w:val="24"/>
                <w:szCs w:val="21"/>
                <w:lang w:val="en-US" w:eastAsia="zh-CN"/>
              </w:rPr>
              <w:t>0.64</w:t>
            </w:r>
          </w:p>
        </w:tc>
        <w:tc>
          <w:tcPr>
            <w:tcW w:w="1271" w:type="dxa"/>
            <w:noWrap w:val="0"/>
            <w:vAlign w:val="center"/>
          </w:tcPr>
          <w:p w14:paraId="25031A53">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eastAsia"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eastAsia="zh-CN"/>
              </w:rPr>
              <w:t>0.0022</w:t>
            </w:r>
          </w:p>
        </w:tc>
      </w:tr>
      <w:tr w14:paraId="4F6BAF9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62" w:type="pct"/>
            <w:noWrap w:val="0"/>
            <w:vAlign w:val="center"/>
          </w:tcPr>
          <w:p w14:paraId="2B8839EB">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N</w:t>
            </w:r>
            <w:r>
              <w:rPr>
                <w:rFonts w:hint="default" w:ascii="Times New Roman" w:hAnsi="Times New Roman" w:eastAsia="宋体" w:cs="Times New Roman"/>
                <w:color w:val="auto"/>
                <w:kern w:val="0"/>
                <w:sz w:val="24"/>
                <w:szCs w:val="21"/>
              </w:rPr>
              <w:t>O</w:t>
            </w:r>
            <w:r>
              <w:rPr>
                <w:rFonts w:hint="default" w:ascii="Times New Roman" w:hAnsi="Times New Roman" w:cs="Times New Roman"/>
                <w:color w:val="auto"/>
                <w:kern w:val="0"/>
                <w:sz w:val="24"/>
                <w:szCs w:val="21"/>
              </w:rPr>
              <w:t>x</w:t>
            </w:r>
          </w:p>
        </w:tc>
        <w:tc>
          <w:tcPr>
            <w:tcW w:w="1057" w:type="pct"/>
            <w:noWrap w:val="0"/>
            <w:vAlign w:val="center"/>
          </w:tcPr>
          <w:p w14:paraId="5066E88E">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eastAsia="宋体" w:cs="Times New Roman"/>
                <w:color w:val="auto"/>
                <w:kern w:val="0"/>
                <w:sz w:val="24"/>
                <w:szCs w:val="21"/>
                <w:lang w:val="en-US" w:eastAsia="zh-CN"/>
              </w:rPr>
            </w:pPr>
            <w:bookmarkStart w:id="211" w:name="_Toc14970"/>
            <w:bookmarkStart w:id="212" w:name="_Toc6721"/>
            <w:r>
              <w:rPr>
                <w:rFonts w:hint="eastAsia" w:ascii="宋体" w:hAnsi="Calibri" w:cs="Times New Roman"/>
                <w:color w:val="auto"/>
                <w:kern w:val="0"/>
                <w:sz w:val="24"/>
                <w:szCs w:val="21"/>
                <w:lang w:val="en-US" w:eastAsia="zh-CN"/>
              </w:rPr>
              <w:t>235.98</w:t>
            </w:r>
            <w:bookmarkEnd w:id="211"/>
            <w:bookmarkEnd w:id="212"/>
          </w:p>
        </w:tc>
        <w:tc>
          <w:tcPr>
            <w:tcW w:w="720" w:type="pct"/>
            <w:noWrap w:val="0"/>
            <w:vAlign w:val="center"/>
          </w:tcPr>
          <w:p w14:paraId="6B0F3C6A">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eastAsia"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eastAsia="zh-CN"/>
              </w:rPr>
              <w:t>0.808</w:t>
            </w:r>
          </w:p>
        </w:tc>
        <w:tc>
          <w:tcPr>
            <w:tcW w:w="684" w:type="pct"/>
            <w:vMerge w:val="continue"/>
            <w:noWrap w:val="0"/>
            <w:vAlign w:val="center"/>
          </w:tcPr>
          <w:p w14:paraId="576F2F6E">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p>
        </w:tc>
        <w:tc>
          <w:tcPr>
            <w:tcW w:w="1866" w:type="dxa"/>
            <w:noWrap w:val="0"/>
            <w:vAlign w:val="center"/>
          </w:tcPr>
          <w:p w14:paraId="1DF0E7AB">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default" w:ascii="Times New Roman" w:hAnsi="Times New Roman" w:eastAsia="宋体" w:cs="Times New Roman"/>
                <w:color w:val="auto"/>
                <w:kern w:val="0"/>
                <w:sz w:val="24"/>
                <w:szCs w:val="21"/>
                <w:lang w:val="en-US"/>
              </w:rPr>
            </w:pPr>
            <w:bookmarkStart w:id="213" w:name="_Toc13039"/>
            <w:bookmarkStart w:id="214" w:name="_Toc22256"/>
            <w:r>
              <w:rPr>
                <w:rFonts w:hint="eastAsia" w:ascii="宋体" w:hAnsi="Calibri" w:cs="Times New Roman"/>
                <w:color w:val="auto"/>
                <w:kern w:val="0"/>
                <w:sz w:val="24"/>
                <w:szCs w:val="21"/>
                <w:lang w:val="en-US" w:eastAsia="zh-CN"/>
              </w:rPr>
              <w:t>165.19</w:t>
            </w:r>
            <w:bookmarkEnd w:id="213"/>
            <w:bookmarkEnd w:id="214"/>
          </w:p>
        </w:tc>
        <w:tc>
          <w:tcPr>
            <w:tcW w:w="1271" w:type="dxa"/>
            <w:noWrap w:val="0"/>
            <w:vAlign w:val="center"/>
          </w:tcPr>
          <w:p w14:paraId="0E00571E">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leftChars="0" w:right="0" w:rightChars="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0.566</w:t>
            </w:r>
          </w:p>
        </w:tc>
      </w:tr>
      <w:tr w14:paraId="6962720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62" w:type="pct"/>
            <w:noWrap w:val="0"/>
            <w:vAlign w:val="center"/>
          </w:tcPr>
          <w:p w14:paraId="7A963564">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烟</w:t>
            </w:r>
            <w:r>
              <w:rPr>
                <w:rFonts w:hint="default" w:ascii="Times New Roman" w:hAnsi="Times New Roman" w:eastAsia="宋体" w:cs="Times New Roman"/>
                <w:color w:val="auto"/>
                <w:kern w:val="0"/>
                <w:sz w:val="24"/>
                <w:szCs w:val="21"/>
              </w:rPr>
              <w:t>气</w:t>
            </w:r>
            <w:r>
              <w:rPr>
                <w:rFonts w:hint="default" w:ascii="Times New Roman" w:hAnsi="Times New Roman" w:cs="Times New Roman"/>
                <w:color w:val="auto"/>
                <w:kern w:val="0"/>
                <w:sz w:val="24"/>
                <w:szCs w:val="21"/>
              </w:rPr>
              <w:t>量</w:t>
            </w:r>
          </w:p>
        </w:tc>
        <w:tc>
          <w:tcPr>
            <w:tcW w:w="1777" w:type="pct"/>
            <w:gridSpan w:val="2"/>
            <w:noWrap w:val="0"/>
            <w:vAlign w:val="center"/>
          </w:tcPr>
          <w:p w14:paraId="12BBB973">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jc w:val="center"/>
              <w:outlineLvl w:val="9"/>
              <w:rPr>
                <w:rFonts w:hint="default" w:ascii="Times New Roman" w:hAnsi="Times New Roman" w:eastAsia="宋体" w:cs="Times New Roman"/>
                <w:color w:val="auto"/>
                <w:kern w:val="0"/>
                <w:sz w:val="24"/>
                <w:szCs w:val="21"/>
              </w:rPr>
            </w:pPr>
            <w:bookmarkStart w:id="215" w:name="_Toc5035"/>
            <w:bookmarkStart w:id="216" w:name="_Toc18037"/>
            <w:bookmarkStart w:id="217" w:name="_Toc8143"/>
            <w:r>
              <w:rPr>
                <w:rFonts w:hint="eastAsia" w:ascii="宋体" w:hAnsi="Calibri" w:cs="Times New Roman"/>
                <w:color w:val="auto"/>
                <w:kern w:val="0"/>
                <w:sz w:val="24"/>
                <w:szCs w:val="21"/>
                <w:lang w:val="en-US" w:eastAsia="zh-CN"/>
              </w:rPr>
              <w:t>3424428</w:t>
            </w:r>
            <w:r>
              <w:rPr>
                <w:rFonts w:hint="default" w:ascii="Times New Roman" w:hAnsi="Times New Roman" w:cs="Times New Roman"/>
                <w:color w:val="auto"/>
                <w:kern w:val="0"/>
                <w:sz w:val="24"/>
                <w:szCs w:val="21"/>
              </w:rPr>
              <w:t>Nm</w:t>
            </w:r>
            <w:r>
              <w:rPr>
                <w:rFonts w:hint="default" w:ascii="Times New Roman" w:hAnsi="Times New Roman" w:cs="Times New Roman"/>
                <w:color w:val="auto"/>
                <w:kern w:val="0"/>
                <w:sz w:val="24"/>
                <w:szCs w:val="21"/>
                <w:vertAlign w:val="superscript"/>
              </w:rPr>
              <w:t>3</w:t>
            </w:r>
            <w:r>
              <w:rPr>
                <w:rFonts w:hint="default" w:ascii="Times New Roman" w:hAnsi="Times New Roman" w:cs="Times New Roman"/>
                <w:color w:val="auto"/>
                <w:kern w:val="0"/>
                <w:sz w:val="24"/>
                <w:szCs w:val="21"/>
              </w:rPr>
              <w:t>/a</w:t>
            </w:r>
            <w:bookmarkEnd w:id="215"/>
            <w:bookmarkEnd w:id="216"/>
            <w:bookmarkEnd w:id="217"/>
          </w:p>
        </w:tc>
        <w:tc>
          <w:tcPr>
            <w:tcW w:w="684" w:type="pct"/>
            <w:vMerge w:val="continue"/>
            <w:noWrap w:val="0"/>
            <w:vAlign w:val="center"/>
          </w:tcPr>
          <w:p w14:paraId="397C10CF">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p>
        </w:tc>
        <w:tc>
          <w:tcPr>
            <w:tcW w:w="1057" w:type="pct"/>
            <w:noWrap w:val="0"/>
            <w:vAlign w:val="center"/>
          </w:tcPr>
          <w:p w14:paraId="7B6C6EAD">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w:t>
            </w:r>
          </w:p>
        </w:tc>
        <w:tc>
          <w:tcPr>
            <w:tcW w:w="720" w:type="pct"/>
            <w:noWrap w:val="0"/>
            <w:vAlign w:val="center"/>
          </w:tcPr>
          <w:p w14:paraId="0CB0E0D8">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w:t>
            </w:r>
          </w:p>
        </w:tc>
      </w:tr>
    </w:tbl>
    <w:p w14:paraId="3026B497">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eastAsia" w:ascii="宋体" w:hAnsi="Calibri" w:eastAsia="宋体"/>
          <w:color w:val="auto"/>
          <w:kern w:val="0"/>
          <w:sz w:val="24"/>
          <w:szCs w:val="24"/>
        </w:rPr>
        <w:t>经核算，导热油炉烟气经8m高烟囱（</w:t>
      </w:r>
      <w:r>
        <w:rPr>
          <w:rFonts w:hint="eastAsia" w:ascii="宋体" w:hAnsi="Calibri"/>
          <w:color w:val="auto"/>
          <w:kern w:val="0"/>
          <w:sz w:val="24"/>
          <w:szCs w:val="24"/>
          <w:lang w:val="en-US" w:eastAsia="zh-CN"/>
        </w:rPr>
        <w:t>DA003</w:t>
      </w:r>
      <w:r>
        <w:rPr>
          <w:rFonts w:hint="eastAsia" w:ascii="宋体" w:hAnsi="Calibri" w:eastAsia="宋体"/>
          <w:color w:val="auto"/>
          <w:kern w:val="0"/>
          <w:sz w:val="24"/>
          <w:szCs w:val="24"/>
        </w:rPr>
        <w:t>）排放，颗粒物</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和NO</w:t>
      </w:r>
      <w:r>
        <w:rPr>
          <w:rFonts w:hint="default" w:ascii="宋体" w:hAnsi="Calibri" w:eastAsia="宋体"/>
          <w:color w:val="auto"/>
          <w:kern w:val="0"/>
          <w:sz w:val="24"/>
          <w:szCs w:val="24"/>
          <w:vertAlign w:val="subscript"/>
        </w:rPr>
        <w:t>x</w:t>
      </w:r>
      <w:r>
        <w:rPr>
          <w:rFonts w:hint="default" w:ascii="宋体" w:hAnsi="Calibri" w:eastAsia="宋体"/>
          <w:color w:val="auto"/>
          <w:kern w:val="0"/>
          <w:sz w:val="24"/>
          <w:szCs w:val="24"/>
        </w:rPr>
        <w:t>排放浓度分别为</w:t>
      </w:r>
      <w:r>
        <w:rPr>
          <w:rFonts w:hint="eastAsia" w:ascii="宋体" w:hAnsi="Calibri"/>
          <w:color w:val="auto"/>
          <w:kern w:val="0"/>
          <w:sz w:val="24"/>
          <w:szCs w:val="24"/>
          <w:lang w:val="en-US" w:eastAsia="zh-CN"/>
        </w:rPr>
        <w:t>20.1</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w:t>
      </w:r>
      <w:r>
        <w:rPr>
          <w:rFonts w:hint="eastAsia" w:ascii="宋体" w:hAnsi="Calibri"/>
          <w:color w:val="auto"/>
          <w:kern w:val="0"/>
          <w:sz w:val="24"/>
          <w:szCs w:val="24"/>
          <w:lang w:val="en-US" w:eastAsia="zh-CN"/>
        </w:rPr>
        <w:t>0.64</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和</w:t>
      </w:r>
      <w:r>
        <w:rPr>
          <w:rFonts w:hint="eastAsia" w:ascii="宋体" w:hAnsi="Calibri"/>
          <w:color w:val="auto"/>
          <w:kern w:val="0"/>
          <w:sz w:val="24"/>
          <w:szCs w:val="24"/>
          <w:lang w:val="en-US" w:eastAsia="zh-CN"/>
        </w:rPr>
        <w:t>165.19</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。各污染物排放浓度满足《锅炉大气污染物排放标准》（GB13271-2014）表2</w:t>
      </w:r>
      <w:r>
        <w:rPr>
          <w:rFonts w:hint="eastAsia" w:ascii="宋体" w:hAnsi="Calibri" w:eastAsia="宋体"/>
          <w:color w:val="auto"/>
          <w:kern w:val="0"/>
          <w:sz w:val="24"/>
          <w:szCs w:val="24"/>
        </w:rPr>
        <w:t>燃油锅炉</w:t>
      </w:r>
      <w:r>
        <w:rPr>
          <w:rFonts w:hint="default" w:ascii="宋体" w:hAnsi="Calibri" w:eastAsia="宋体"/>
          <w:color w:val="auto"/>
          <w:kern w:val="0"/>
          <w:sz w:val="24"/>
          <w:szCs w:val="24"/>
        </w:rPr>
        <w:t>限值要求（颗粒物</w:t>
      </w:r>
      <w:r>
        <w:rPr>
          <w:rFonts w:hint="eastAsia" w:ascii="宋体" w:hAnsi="Calibri" w:eastAsia="宋体"/>
          <w:color w:val="auto"/>
          <w:kern w:val="0"/>
          <w:sz w:val="24"/>
          <w:szCs w:val="24"/>
        </w:rPr>
        <w:t>30</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eastAsia" w:ascii="宋体" w:hAnsi="Calibri" w:eastAsia="宋体"/>
          <w:color w:val="auto"/>
          <w:kern w:val="0"/>
          <w:sz w:val="24"/>
          <w:szCs w:val="24"/>
        </w:rPr>
        <w:t>20</w:t>
      </w:r>
      <w:r>
        <w:rPr>
          <w:rFonts w:hint="default" w:ascii="宋体" w:hAnsi="Calibri" w:eastAsia="宋体"/>
          <w:color w:val="auto"/>
          <w:kern w:val="0"/>
          <w:sz w:val="24"/>
          <w:szCs w:val="24"/>
        </w:rPr>
        <w:t>0mg/m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、NOx</w:t>
      </w:r>
      <w:r>
        <w:rPr>
          <w:rFonts w:hint="eastAsia" w:ascii="宋体" w:hAnsi="Calibri" w:eastAsia="宋体"/>
          <w:color w:val="auto"/>
          <w:kern w:val="0"/>
          <w:sz w:val="24"/>
          <w:szCs w:val="24"/>
        </w:rPr>
        <w:t>25</w:t>
      </w:r>
      <w:r>
        <w:rPr>
          <w:rFonts w:hint="default" w:ascii="宋体" w:hAnsi="Calibri" w:eastAsia="宋体"/>
          <w:color w:val="auto"/>
          <w:kern w:val="0"/>
          <w:sz w:val="24"/>
          <w:szCs w:val="24"/>
        </w:rPr>
        <w:t>0mg/m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w:t>
      </w:r>
    </w:p>
    <w:p w14:paraId="3D104293">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lang w:val="en-US" w:eastAsia="zh-CN"/>
        </w:rPr>
      </w:pPr>
      <w:r>
        <w:rPr>
          <w:rFonts w:hint="eastAsia" w:ascii="宋体" w:hAnsi="Calibri"/>
          <w:color w:val="auto"/>
          <w:kern w:val="0"/>
          <w:sz w:val="24"/>
          <w:szCs w:val="24"/>
          <w:lang w:val="en-US" w:eastAsia="zh-CN"/>
        </w:rPr>
        <w:t>根据《排污许可证申请与核发技术规范锅炉》（HJ933-2018），燃用低硫油、低氮燃烧属于可行性技术，根据燃料分析报告，本项目燃油为低硫油，且本项目建设低氮燃烧器，本项目属于可行性技术。</w:t>
      </w:r>
    </w:p>
    <w:p w14:paraId="6D69609D">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eastAsia" w:ascii="宋体" w:hAnsi="Calibri" w:eastAsia="宋体"/>
          <w:color w:val="auto"/>
          <w:kern w:val="0"/>
          <w:sz w:val="24"/>
          <w:szCs w:val="24"/>
          <w:lang w:val="en-US" w:eastAsia="zh-CN"/>
        </w:rPr>
        <w:t>2、</w:t>
      </w:r>
      <w:r>
        <w:rPr>
          <w:rFonts w:hint="eastAsia" w:ascii="宋体" w:hAnsi="Calibri" w:eastAsia="宋体"/>
          <w:color w:val="auto"/>
          <w:kern w:val="0"/>
          <w:sz w:val="24"/>
          <w:szCs w:val="24"/>
        </w:rPr>
        <w:t>骨料加热烘干</w:t>
      </w:r>
      <w:r>
        <w:rPr>
          <w:rFonts w:hint="default" w:ascii="宋体" w:hAnsi="Calibri" w:eastAsia="宋体"/>
          <w:color w:val="auto"/>
          <w:kern w:val="0"/>
          <w:sz w:val="24"/>
          <w:szCs w:val="24"/>
        </w:rPr>
        <w:t>废气</w:t>
      </w:r>
    </w:p>
    <w:p w14:paraId="5123D5A6">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eastAsia="宋体"/>
          <w:color w:val="auto"/>
          <w:kern w:val="0"/>
          <w:sz w:val="24"/>
          <w:szCs w:val="24"/>
        </w:rPr>
        <w:t>骨料加热烘干废气包括两部分，一是重油在烘干滚筒内燃烧产生的废气，二是砂石等物料在滚筒内翻滚烘干及筛分时产生废气。</w:t>
      </w:r>
    </w:p>
    <w:p w14:paraId="7D360F6B">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color w:val="auto"/>
          <w:kern w:val="0"/>
          <w:sz w:val="24"/>
          <w:szCs w:val="24"/>
          <w:lang w:eastAsia="zh-CN"/>
        </w:rPr>
        <w:t>（</w:t>
      </w:r>
      <w:r>
        <w:rPr>
          <w:rFonts w:hint="eastAsia" w:ascii="宋体" w:hAnsi="Calibri"/>
          <w:color w:val="auto"/>
          <w:kern w:val="0"/>
          <w:sz w:val="24"/>
          <w:szCs w:val="24"/>
          <w:lang w:val="en-US" w:eastAsia="zh-CN"/>
        </w:rPr>
        <w:t>1</w:t>
      </w:r>
      <w:r>
        <w:rPr>
          <w:rFonts w:hint="eastAsia" w:ascii="宋体" w:hAnsi="Calibri"/>
          <w:color w:val="auto"/>
          <w:kern w:val="0"/>
          <w:sz w:val="24"/>
          <w:szCs w:val="24"/>
          <w:lang w:eastAsia="zh-CN"/>
        </w:rPr>
        <w:t>）</w:t>
      </w:r>
      <w:r>
        <w:rPr>
          <w:rFonts w:hint="eastAsia" w:ascii="宋体" w:hAnsi="Calibri" w:eastAsia="宋体"/>
          <w:color w:val="auto"/>
          <w:kern w:val="0"/>
          <w:sz w:val="24"/>
          <w:szCs w:val="24"/>
        </w:rPr>
        <w:t>粉尘</w:t>
      </w:r>
    </w:p>
    <w:p w14:paraId="39AFD69D">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lang w:val="en-US" w:eastAsia="zh-CN"/>
        </w:rPr>
      </w:pPr>
      <w:r>
        <w:rPr>
          <w:rFonts w:hint="eastAsia" w:ascii="宋体" w:hAnsi="Calibri" w:eastAsia="宋体"/>
          <w:color w:val="auto"/>
          <w:kern w:val="0"/>
          <w:sz w:val="24"/>
          <w:szCs w:val="24"/>
        </w:rPr>
        <w:t>为使沥青混凝土产品不至于因过快冷却而带来运输上的不便，骨料在上沥青前要经过加热处理，骨料在烘干筒内翻滚加热，烘干后再通过骨料提升机送到筛分系统经过振动筛分，骨料在烘干滚筒内翻滚以及筛分过程中会产生粉尘。烘干及筛分的骨料主要为（碎石），比重比较大，粉尘产生量较小，</w:t>
      </w:r>
      <w:r>
        <w:rPr>
          <w:rFonts w:hint="default" w:ascii="宋体" w:hAnsi="Calibri" w:eastAsia="宋体"/>
          <w:color w:val="auto"/>
          <w:kern w:val="0"/>
          <w:sz w:val="24"/>
          <w:szCs w:val="24"/>
        </w:rPr>
        <w:t>参照《空气污染物排放和控制手册》中“滚筒干燥器热拌沥青混合料工厂颗粒物排放因子”给出的数据，烘干筛分工序粉尘产生量为2.45kg/t沥青混凝土，则烘干筛分工序粉尘产生量为</w:t>
      </w:r>
      <w:r>
        <w:rPr>
          <w:rFonts w:hint="eastAsia" w:ascii="宋体" w:hAnsi="Calibri"/>
          <w:color w:val="auto"/>
          <w:kern w:val="0"/>
          <w:sz w:val="24"/>
          <w:szCs w:val="24"/>
          <w:lang w:val="en-US" w:eastAsia="zh-CN"/>
        </w:rPr>
        <w:t>105.84</w:t>
      </w:r>
      <w:r>
        <w:rPr>
          <w:rFonts w:hint="default" w:ascii="宋体" w:hAnsi="Calibri" w:eastAsia="宋体"/>
          <w:color w:val="auto"/>
          <w:kern w:val="0"/>
          <w:sz w:val="24"/>
          <w:szCs w:val="24"/>
        </w:rPr>
        <w:t>t/a</w:t>
      </w:r>
      <w:r>
        <w:rPr>
          <w:rFonts w:hint="eastAsia" w:ascii="宋体" w:hAnsi="Calibri" w:eastAsia="宋体"/>
          <w:color w:val="auto"/>
          <w:kern w:val="0"/>
          <w:sz w:val="24"/>
          <w:szCs w:val="24"/>
        </w:rPr>
        <w:t>。粉尘产生的速率约为</w:t>
      </w:r>
      <w:r>
        <w:rPr>
          <w:rFonts w:hint="eastAsia" w:ascii="宋体" w:hAnsi="Calibri"/>
          <w:color w:val="auto"/>
          <w:kern w:val="0"/>
          <w:sz w:val="24"/>
          <w:szCs w:val="24"/>
          <w:lang w:val="en-US" w:eastAsia="zh-CN"/>
        </w:rPr>
        <w:t>36.75</w:t>
      </w:r>
      <w:r>
        <w:rPr>
          <w:rFonts w:hint="eastAsia" w:ascii="宋体" w:hAnsi="Calibri" w:eastAsia="宋体"/>
          <w:color w:val="auto"/>
          <w:kern w:val="0"/>
          <w:sz w:val="24"/>
          <w:szCs w:val="24"/>
        </w:rPr>
        <w:t>kg/h。</w:t>
      </w:r>
      <w:r>
        <w:rPr>
          <w:rFonts w:hint="eastAsia" w:ascii="宋体" w:hAnsi="Calibri"/>
          <w:color w:val="auto"/>
          <w:kern w:val="0"/>
          <w:sz w:val="24"/>
          <w:szCs w:val="24"/>
          <w:lang w:eastAsia="zh-CN"/>
        </w:rPr>
        <w:t>烘干筒粉尘和燃烧器废气一同进入二级除尘系统，产排污情况见表</w:t>
      </w:r>
      <w:r>
        <w:rPr>
          <w:rFonts w:hint="eastAsia" w:ascii="宋体" w:hAnsi="Calibri"/>
          <w:color w:val="auto"/>
          <w:kern w:val="0"/>
          <w:sz w:val="24"/>
          <w:szCs w:val="24"/>
          <w:lang w:val="en-US" w:eastAsia="zh-CN"/>
        </w:rPr>
        <w:t>4-2。</w:t>
      </w:r>
    </w:p>
    <w:p w14:paraId="68C80E16">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eastAsia="宋体"/>
          <w:color w:val="auto"/>
          <w:kern w:val="0"/>
          <w:sz w:val="24"/>
          <w:szCs w:val="24"/>
          <w:lang w:eastAsia="zh-CN"/>
        </w:rPr>
        <w:t>（</w:t>
      </w:r>
      <w:r>
        <w:rPr>
          <w:rFonts w:hint="eastAsia" w:ascii="宋体" w:hAnsi="Calibri" w:eastAsia="宋体"/>
          <w:color w:val="auto"/>
          <w:kern w:val="0"/>
          <w:sz w:val="24"/>
          <w:szCs w:val="24"/>
          <w:lang w:val="en-US" w:eastAsia="zh-CN"/>
        </w:rPr>
        <w:t>2</w:t>
      </w:r>
      <w:r>
        <w:rPr>
          <w:rFonts w:hint="eastAsia" w:ascii="宋体" w:hAnsi="Calibri" w:eastAsia="宋体"/>
          <w:color w:val="auto"/>
          <w:kern w:val="0"/>
          <w:sz w:val="24"/>
          <w:szCs w:val="24"/>
          <w:lang w:eastAsia="zh-CN"/>
        </w:rPr>
        <w:t>）</w:t>
      </w:r>
      <w:r>
        <w:rPr>
          <w:rFonts w:hint="eastAsia" w:ascii="宋体" w:hAnsi="Calibri" w:eastAsia="宋体"/>
          <w:color w:val="auto"/>
          <w:kern w:val="0"/>
          <w:sz w:val="24"/>
          <w:szCs w:val="24"/>
        </w:rPr>
        <w:t>燃烧器废气</w:t>
      </w:r>
    </w:p>
    <w:p w14:paraId="66C0D00B">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color w:val="auto"/>
          <w:kern w:val="0"/>
          <w:sz w:val="24"/>
          <w:szCs w:val="24"/>
        </w:rPr>
      </w:pPr>
      <w:r>
        <w:rPr>
          <w:rFonts w:hint="eastAsia" w:ascii="宋体" w:hAnsi="Calibri" w:eastAsia="宋体"/>
          <w:color w:val="auto"/>
          <w:kern w:val="0"/>
          <w:sz w:val="24"/>
          <w:szCs w:val="24"/>
        </w:rPr>
        <w:t>本项目采用燃烧器向烘干滚筒喷入火焰的方式对骨料进行加热，</w:t>
      </w:r>
      <w:r>
        <w:rPr>
          <w:rFonts w:hint="default" w:ascii="宋体" w:hAnsi="Calibri" w:eastAsia="宋体"/>
          <w:color w:val="auto"/>
          <w:kern w:val="0"/>
          <w:sz w:val="24"/>
          <w:szCs w:val="24"/>
        </w:rPr>
        <w:t>本项目使用</w:t>
      </w:r>
      <w:r>
        <w:rPr>
          <w:rFonts w:hint="eastAsia" w:ascii="宋体" w:hAnsi="Calibri"/>
          <w:color w:val="auto"/>
          <w:kern w:val="0"/>
          <w:sz w:val="24"/>
          <w:szCs w:val="24"/>
          <w:lang w:eastAsia="zh-CN"/>
        </w:rPr>
        <w:t>重油</w:t>
      </w:r>
      <w:r>
        <w:rPr>
          <w:rFonts w:hint="default" w:ascii="宋体" w:hAnsi="Calibri" w:eastAsia="宋体"/>
          <w:color w:val="auto"/>
          <w:kern w:val="0"/>
          <w:sz w:val="24"/>
          <w:szCs w:val="24"/>
        </w:rPr>
        <w:t>燃烧器为干燥滚筒提供热源，燃料为</w:t>
      </w:r>
      <w:r>
        <w:rPr>
          <w:rFonts w:hint="eastAsia" w:ascii="宋体" w:hAnsi="Calibri"/>
          <w:color w:val="auto"/>
          <w:kern w:val="0"/>
          <w:sz w:val="24"/>
          <w:szCs w:val="24"/>
          <w:lang w:eastAsia="zh-CN"/>
        </w:rPr>
        <w:t>重油</w:t>
      </w:r>
      <w:r>
        <w:rPr>
          <w:rFonts w:hint="default" w:ascii="宋体" w:hAnsi="Calibri" w:eastAsia="宋体"/>
          <w:color w:val="auto"/>
          <w:kern w:val="0"/>
          <w:sz w:val="24"/>
          <w:szCs w:val="24"/>
        </w:rPr>
        <w:t>，</w:t>
      </w:r>
      <w:r>
        <w:rPr>
          <w:rFonts w:ascii="宋体" w:hAnsi="Calibri" w:eastAsia="宋体"/>
          <w:bCs/>
          <w:color w:val="auto"/>
          <w:kern w:val="0"/>
          <w:sz w:val="24"/>
          <w:szCs w:val="20"/>
        </w:rPr>
        <w:t>燃</w:t>
      </w:r>
      <w:r>
        <w:rPr>
          <w:rFonts w:hint="eastAsia" w:ascii="宋体" w:hAnsi="Calibri" w:eastAsia="宋体"/>
          <w:bCs/>
          <w:color w:val="auto"/>
          <w:kern w:val="0"/>
          <w:sz w:val="24"/>
          <w:szCs w:val="20"/>
          <w:lang w:val="en-US" w:eastAsia="zh-CN"/>
        </w:rPr>
        <w:t>油</w:t>
      </w:r>
      <w:r>
        <w:rPr>
          <w:rFonts w:ascii="宋体" w:hAnsi="Calibri" w:eastAsia="宋体"/>
          <w:bCs/>
          <w:color w:val="auto"/>
          <w:kern w:val="0"/>
          <w:sz w:val="24"/>
          <w:szCs w:val="20"/>
        </w:rPr>
        <w:t>燃烧器出厂设计</w:t>
      </w:r>
      <w:r>
        <w:rPr>
          <w:rFonts w:hint="eastAsia" w:ascii="宋体" w:hAnsi="Calibri" w:eastAsia="宋体"/>
          <w:bCs/>
          <w:color w:val="auto"/>
          <w:kern w:val="0"/>
          <w:sz w:val="24"/>
          <w:szCs w:val="20"/>
          <w:lang w:val="en-US" w:eastAsia="zh-CN"/>
        </w:rPr>
        <w:t>重油</w:t>
      </w:r>
      <w:r>
        <w:rPr>
          <w:rFonts w:ascii="宋体" w:hAnsi="Calibri" w:eastAsia="宋体"/>
          <w:bCs/>
          <w:color w:val="auto"/>
          <w:kern w:val="0"/>
          <w:sz w:val="24"/>
          <w:szCs w:val="20"/>
        </w:rPr>
        <w:t>使用量为</w:t>
      </w:r>
      <w:r>
        <w:rPr>
          <w:rFonts w:hint="eastAsia" w:ascii="宋体" w:hAnsi="Calibri" w:eastAsia="宋体"/>
          <w:bCs/>
          <w:color w:val="auto"/>
          <w:kern w:val="0"/>
          <w:sz w:val="24"/>
          <w:szCs w:val="20"/>
          <w:lang w:val="en-US" w:eastAsia="zh-CN"/>
        </w:rPr>
        <w:t>185kg</w:t>
      </w:r>
      <w:r>
        <w:rPr>
          <w:rFonts w:ascii="宋体" w:hAnsi="Calibri" w:eastAsia="宋体"/>
          <w:bCs/>
          <w:color w:val="auto"/>
          <w:kern w:val="0"/>
          <w:sz w:val="24"/>
          <w:szCs w:val="20"/>
        </w:rPr>
        <w:t>/h</w:t>
      </w:r>
      <w:r>
        <w:rPr>
          <w:rFonts w:hint="eastAsia" w:ascii="宋体" w:hAnsi="Calibri" w:cs="Times New Roman"/>
          <w:snapToGrid w:val="0"/>
          <w:color w:val="auto"/>
          <w:kern w:val="0"/>
          <w:sz w:val="24"/>
          <w:szCs w:val="24"/>
          <w:highlight w:val="none"/>
          <w:lang w:eastAsia="zh-CN"/>
        </w:rPr>
        <w:t>，</w:t>
      </w:r>
      <w:r>
        <w:rPr>
          <w:rFonts w:hint="default" w:ascii="宋体" w:hAnsi="Calibri" w:eastAsia="宋体"/>
          <w:color w:val="auto"/>
          <w:kern w:val="0"/>
          <w:sz w:val="24"/>
          <w:szCs w:val="24"/>
        </w:rPr>
        <w:t>用量约</w:t>
      </w:r>
      <w:r>
        <w:rPr>
          <w:rFonts w:hint="eastAsia" w:ascii="宋体" w:hAnsi="Calibri" w:eastAsia="宋体"/>
          <w:color w:val="auto"/>
          <w:kern w:val="0"/>
          <w:sz w:val="24"/>
          <w:szCs w:val="24"/>
          <w:lang w:val="en-US" w:eastAsia="zh-CN"/>
        </w:rPr>
        <w:t>533.3</w:t>
      </w:r>
      <w:r>
        <w:rPr>
          <w:rFonts w:hint="default" w:ascii="宋体" w:hAnsi="Calibri" w:eastAsia="宋体"/>
          <w:color w:val="auto"/>
          <w:kern w:val="0"/>
          <w:sz w:val="24"/>
          <w:szCs w:val="24"/>
        </w:rPr>
        <w:t>t/a，</w:t>
      </w:r>
      <w:r>
        <w:rPr>
          <w:rFonts w:hint="eastAsia" w:ascii="宋体" w:hAnsi="Calibri" w:eastAsia="宋体"/>
          <w:color w:val="auto"/>
          <w:kern w:val="0"/>
          <w:sz w:val="24"/>
          <w:szCs w:val="24"/>
        </w:rPr>
        <w:t>燃烧器</w:t>
      </w:r>
      <w:r>
        <w:rPr>
          <w:rFonts w:hint="default" w:ascii="宋体" w:hAnsi="Calibri" w:eastAsia="宋体"/>
          <w:color w:val="auto"/>
          <w:kern w:val="0"/>
          <w:sz w:val="24"/>
          <w:szCs w:val="24"/>
        </w:rPr>
        <w:t>烟气中主要污染物为</w:t>
      </w:r>
      <w:r>
        <w:rPr>
          <w:rFonts w:hint="eastAsia" w:ascii="宋体" w:hAnsi="Calibri" w:eastAsia="宋体"/>
          <w:color w:val="auto"/>
          <w:kern w:val="0"/>
          <w:sz w:val="24"/>
          <w:szCs w:val="24"/>
        </w:rPr>
        <w:t>颗粒物</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及NO</w:t>
      </w:r>
      <w:r>
        <w:rPr>
          <w:rFonts w:hint="default" w:ascii="宋体" w:hAnsi="Calibri" w:eastAsia="宋体"/>
          <w:color w:val="auto"/>
          <w:kern w:val="0"/>
          <w:sz w:val="24"/>
          <w:szCs w:val="24"/>
          <w:vertAlign w:val="subscript"/>
        </w:rPr>
        <w:t>X</w:t>
      </w:r>
      <w:r>
        <w:rPr>
          <w:rFonts w:hint="default" w:ascii="宋体" w:hAnsi="Calibri" w:eastAsia="宋体"/>
          <w:color w:val="auto"/>
          <w:kern w:val="0"/>
          <w:sz w:val="24"/>
          <w:szCs w:val="24"/>
        </w:rPr>
        <w:t>。根据</w:t>
      </w:r>
      <w:r>
        <w:rPr>
          <w:rFonts w:hint="eastAsia" w:ascii="宋体" w:hAnsi="Calibri"/>
          <w:color w:val="auto"/>
          <w:kern w:val="0"/>
          <w:sz w:val="24"/>
          <w:szCs w:val="24"/>
          <w:lang w:eastAsia="zh-CN"/>
        </w:rPr>
        <w:t>《</w:t>
      </w:r>
      <w:r>
        <w:rPr>
          <w:rFonts w:hint="default" w:ascii="宋体" w:hAnsi="Calibri"/>
          <w:color w:val="auto"/>
          <w:kern w:val="0"/>
          <w:sz w:val="24"/>
          <w:szCs w:val="24"/>
        </w:rPr>
        <w:t>排放源统计调查产排污核算方法和系数手册》中“锅炉产排污量核算系数手册”产污系数可知，烟尘产污系数为</w:t>
      </w:r>
      <w:r>
        <w:rPr>
          <w:rFonts w:hint="eastAsia" w:ascii="宋体" w:hAnsi="Calibri"/>
          <w:color w:val="auto"/>
          <w:kern w:val="0"/>
          <w:sz w:val="24"/>
          <w:szCs w:val="24"/>
          <w:lang w:val="en-US" w:eastAsia="zh-CN"/>
        </w:rPr>
        <w:t>3.28</w:t>
      </w:r>
      <w:r>
        <w:rPr>
          <w:rFonts w:hint="default" w:ascii="宋体" w:hAnsi="Calibri"/>
          <w:color w:val="auto"/>
          <w:kern w:val="0"/>
          <w:sz w:val="24"/>
          <w:szCs w:val="24"/>
        </w:rPr>
        <w:t>kg/t-原料</w:t>
      </w:r>
      <w:r>
        <w:rPr>
          <w:rFonts w:hint="eastAsia" w:ascii="宋体" w:hAnsi="Calibri"/>
          <w:color w:val="auto"/>
          <w:kern w:val="0"/>
          <w:sz w:val="24"/>
          <w:szCs w:val="24"/>
          <w:lang w:eastAsia="zh-CN"/>
        </w:rPr>
        <w:t>，二氧化硫产污系数为</w:t>
      </w:r>
      <w:r>
        <w:rPr>
          <w:rFonts w:hint="eastAsia" w:ascii="宋体" w:hAnsi="Calibri"/>
          <w:color w:val="auto"/>
          <w:kern w:val="0"/>
          <w:sz w:val="24"/>
          <w:szCs w:val="24"/>
          <w:lang w:val="en-US" w:eastAsia="zh-CN"/>
        </w:rPr>
        <w:t>19S</w:t>
      </w:r>
      <w:r>
        <w:rPr>
          <w:rFonts w:hint="default" w:ascii="宋体" w:hAnsi="Calibri"/>
          <w:color w:val="auto"/>
          <w:kern w:val="0"/>
          <w:sz w:val="24"/>
          <w:szCs w:val="24"/>
        </w:rPr>
        <w:t>kg/t-原料</w:t>
      </w:r>
      <w:r>
        <w:rPr>
          <w:rFonts w:hint="eastAsia" w:ascii="宋体" w:hAnsi="Calibri"/>
          <w:color w:val="auto"/>
          <w:kern w:val="0"/>
          <w:sz w:val="24"/>
          <w:szCs w:val="24"/>
          <w:lang w:val="en-US" w:eastAsia="zh-CN"/>
        </w:rPr>
        <w:t>（</w:t>
      </w:r>
      <w:r>
        <w:rPr>
          <w:rFonts w:hint="default" w:ascii="宋体" w:hAnsi="Calibri" w:eastAsia="宋体"/>
          <w:color w:val="auto"/>
          <w:kern w:val="0"/>
          <w:sz w:val="24"/>
          <w:szCs w:val="24"/>
        </w:rPr>
        <w:t>本评价</w:t>
      </w:r>
      <w:r>
        <w:rPr>
          <w:rFonts w:hint="eastAsia" w:ascii="宋体" w:hAnsi="Calibri"/>
          <w:color w:val="auto"/>
          <w:kern w:val="0"/>
          <w:sz w:val="24"/>
          <w:szCs w:val="24"/>
          <w:lang w:val="en-US" w:eastAsia="zh-CN"/>
        </w:rPr>
        <w:t>S</w:t>
      </w:r>
      <w:r>
        <w:rPr>
          <w:rFonts w:hint="default" w:ascii="宋体" w:hAnsi="Calibri" w:eastAsia="宋体"/>
          <w:color w:val="auto"/>
          <w:kern w:val="0"/>
          <w:sz w:val="24"/>
          <w:szCs w:val="24"/>
        </w:rPr>
        <w:t>取0.035</w:t>
      </w:r>
      <w:r>
        <w:rPr>
          <w:rFonts w:hint="eastAsia" w:ascii="宋体" w:hAnsi="Calibri"/>
          <w:color w:val="auto"/>
          <w:kern w:val="0"/>
          <w:sz w:val="24"/>
          <w:szCs w:val="24"/>
          <w:lang w:val="en-US" w:eastAsia="zh-CN"/>
        </w:rPr>
        <w:t>），氮氧化物产污系数为3.6</w:t>
      </w:r>
      <w:r>
        <w:rPr>
          <w:rFonts w:hint="default" w:ascii="宋体" w:hAnsi="Calibri"/>
          <w:color w:val="auto"/>
          <w:kern w:val="0"/>
          <w:sz w:val="24"/>
          <w:szCs w:val="24"/>
        </w:rPr>
        <w:t>kg/t-原料</w:t>
      </w:r>
      <w:r>
        <w:rPr>
          <w:rFonts w:hint="eastAsia" w:ascii="宋体" w:hAnsi="Calibri"/>
          <w:color w:val="auto"/>
          <w:kern w:val="0"/>
          <w:sz w:val="24"/>
          <w:szCs w:val="24"/>
          <w:lang w:eastAsia="zh-CN"/>
        </w:rPr>
        <w:t>，烟气量为</w:t>
      </w:r>
      <w:r>
        <w:rPr>
          <w:rFonts w:hint="eastAsia" w:ascii="宋体" w:hAnsi="Calibri"/>
          <w:color w:val="auto"/>
          <w:kern w:val="0"/>
          <w:sz w:val="24"/>
          <w:szCs w:val="24"/>
          <w:lang w:val="en-US" w:eastAsia="zh-CN"/>
        </w:rPr>
        <w:t>15367m</w:t>
      </w:r>
      <w:r>
        <w:rPr>
          <w:rFonts w:hint="eastAsia" w:ascii="宋体" w:hAnsi="Calibri"/>
          <w:color w:val="auto"/>
          <w:kern w:val="0"/>
          <w:sz w:val="24"/>
          <w:szCs w:val="24"/>
          <w:vertAlign w:val="superscript"/>
          <w:lang w:val="en-US" w:eastAsia="zh-CN"/>
        </w:rPr>
        <w:t>3</w:t>
      </w:r>
      <w:r>
        <w:rPr>
          <w:rFonts w:hint="default" w:ascii="宋体" w:hAnsi="Calibri"/>
          <w:color w:val="auto"/>
          <w:kern w:val="0"/>
          <w:sz w:val="24"/>
          <w:szCs w:val="24"/>
        </w:rPr>
        <w:t>/t-原料</w:t>
      </w:r>
      <w:r>
        <w:rPr>
          <w:rFonts w:hint="eastAsia" w:ascii="宋体" w:hAnsi="Calibri"/>
          <w:color w:val="auto"/>
          <w:kern w:val="0"/>
          <w:sz w:val="24"/>
          <w:szCs w:val="24"/>
        </w:rPr>
        <w:t>。</w:t>
      </w:r>
    </w:p>
    <w:p w14:paraId="737502E1">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经计算，燃烧器烟气中</w:t>
      </w:r>
      <w:r>
        <w:rPr>
          <w:rFonts w:hint="eastAsia" w:ascii="宋体" w:hAnsi="Calibri" w:eastAsia="宋体"/>
          <w:color w:val="auto"/>
          <w:kern w:val="0"/>
          <w:sz w:val="24"/>
          <w:szCs w:val="24"/>
        </w:rPr>
        <w:t>颗粒物</w:t>
      </w:r>
      <w:r>
        <w:rPr>
          <w:rFonts w:hint="default" w:ascii="宋体" w:hAnsi="Calibri" w:eastAsia="宋体"/>
          <w:color w:val="auto"/>
          <w:kern w:val="0"/>
          <w:sz w:val="24"/>
          <w:szCs w:val="24"/>
        </w:rPr>
        <w:t>产生量为</w:t>
      </w:r>
      <w:r>
        <w:rPr>
          <w:rFonts w:hint="eastAsia" w:ascii="宋体" w:hAnsi="Calibri"/>
          <w:color w:val="auto"/>
          <w:kern w:val="0"/>
          <w:sz w:val="24"/>
          <w:szCs w:val="24"/>
          <w:lang w:val="en-US" w:eastAsia="zh-CN"/>
        </w:rPr>
        <w:t>1.749</w:t>
      </w:r>
      <w:r>
        <w:rPr>
          <w:rFonts w:hint="default" w:ascii="宋体" w:hAnsi="Calibri" w:eastAsia="宋体"/>
          <w:color w:val="auto"/>
          <w:kern w:val="0"/>
          <w:sz w:val="24"/>
          <w:szCs w:val="24"/>
        </w:rPr>
        <w:t>t/a，SO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产生量为</w:t>
      </w:r>
      <w:r>
        <w:rPr>
          <w:rFonts w:hint="eastAsia" w:ascii="宋体" w:hAnsi="Calibri"/>
          <w:color w:val="auto"/>
          <w:kern w:val="0"/>
          <w:sz w:val="24"/>
          <w:szCs w:val="24"/>
          <w:lang w:eastAsia="zh-CN"/>
        </w:rPr>
        <w:t>0.355</w:t>
      </w:r>
      <w:r>
        <w:rPr>
          <w:rFonts w:hint="default" w:ascii="宋体" w:hAnsi="Calibri" w:eastAsia="宋体"/>
          <w:color w:val="auto"/>
          <w:kern w:val="0"/>
          <w:sz w:val="24"/>
          <w:szCs w:val="24"/>
        </w:rPr>
        <w:t>t/a，NO</w:t>
      </w:r>
      <w:r>
        <w:rPr>
          <w:rFonts w:hint="default" w:ascii="宋体" w:hAnsi="Calibri" w:eastAsia="宋体"/>
          <w:color w:val="auto"/>
          <w:kern w:val="0"/>
          <w:sz w:val="24"/>
          <w:szCs w:val="24"/>
          <w:vertAlign w:val="subscript"/>
        </w:rPr>
        <w:t>X</w:t>
      </w:r>
      <w:r>
        <w:rPr>
          <w:rFonts w:hint="default" w:ascii="宋体" w:hAnsi="Calibri" w:eastAsia="宋体"/>
          <w:color w:val="auto"/>
          <w:kern w:val="0"/>
          <w:sz w:val="24"/>
          <w:szCs w:val="24"/>
        </w:rPr>
        <w:t>产生量为</w:t>
      </w:r>
      <w:r>
        <w:rPr>
          <w:rFonts w:hint="eastAsia" w:ascii="宋体" w:hAnsi="Calibri"/>
          <w:color w:val="auto"/>
          <w:kern w:val="0"/>
          <w:sz w:val="24"/>
          <w:szCs w:val="24"/>
          <w:lang w:val="en-US" w:eastAsia="zh-CN"/>
        </w:rPr>
        <w:t>1.92</w:t>
      </w:r>
      <w:r>
        <w:rPr>
          <w:rFonts w:hint="default" w:ascii="宋体" w:hAnsi="Calibri" w:eastAsia="宋体"/>
          <w:color w:val="auto"/>
          <w:kern w:val="0"/>
          <w:sz w:val="24"/>
          <w:szCs w:val="24"/>
        </w:rPr>
        <w:t>t/a</w:t>
      </w:r>
      <w:r>
        <w:rPr>
          <w:rFonts w:hint="eastAsia" w:ascii="宋体" w:hAnsi="Calibri" w:eastAsia="宋体"/>
          <w:color w:val="auto"/>
          <w:kern w:val="0"/>
          <w:sz w:val="24"/>
          <w:szCs w:val="24"/>
        </w:rPr>
        <w:t>，烟气量为</w:t>
      </w:r>
      <w:r>
        <w:rPr>
          <w:rFonts w:hint="eastAsia" w:ascii="宋体" w:hAnsi="Calibri"/>
          <w:color w:val="auto"/>
          <w:kern w:val="0"/>
          <w:sz w:val="24"/>
          <w:szCs w:val="24"/>
          <w:lang w:val="en-US" w:eastAsia="zh-CN"/>
        </w:rPr>
        <w:t>8195221.1</w:t>
      </w:r>
      <w:r>
        <w:rPr>
          <w:rFonts w:hint="default" w:ascii="宋体" w:hAnsi="Calibri" w:eastAsia="宋体"/>
          <w:color w:val="auto"/>
          <w:kern w:val="0"/>
          <w:sz w:val="24"/>
          <w:szCs w:val="24"/>
        </w:rPr>
        <w:t>Nm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w:t>
      </w:r>
      <w:r>
        <w:rPr>
          <w:rFonts w:hint="eastAsia" w:ascii="宋体" w:hAnsi="Calibri" w:eastAsia="宋体"/>
          <w:color w:val="auto"/>
          <w:kern w:val="0"/>
          <w:sz w:val="24"/>
          <w:szCs w:val="24"/>
        </w:rPr>
        <w:t>a</w:t>
      </w:r>
      <w:r>
        <w:rPr>
          <w:rFonts w:hint="default" w:ascii="宋体" w:hAnsi="Calibri" w:eastAsia="宋体"/>
          <w:color w:val="auto"/>
          <w:kern w:val="0"/>
          <w:sz w:val="24"/>
          <w:szCs w:val="24"/>
        </w:rPr>
        <w:t>。</w:t>
      </w:r>
    </w:p>
    <w:p w14:paraId="6E54CEDA">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color w:val="auto"/>
          <w:kern w:val="0"/>
          <w:sz w:val="24"/>
          <w:szCs w:val="24"/>
        </w:rPr>
      </w:pPr>
      <w:r>
        <w:rPr>
          <w:rFonts w:hint="eastAsia" w:ascii="宋体" w:hAnsi="Calibri"/>
          <w:color w:val="auto"/>
          <w:kern w:val="0"/>
          <w:sz w:val="24"/>
          <w:szCs w:val="24"/>
        </w:rPr>
        <w:t>项目烘干滚筒为密闭形式，</w:t>
      </w:r>
      <w:r>
        <w:rPr>
          <w:rFonts w:hint="eastAsia" w:ascii="宋体" w:hAnsi="Calibri"/>
          <w:color w:val="auto"/>
          <w:kern w:val="0"/>
          <w:sz w:val="24"/>
          <w:szCs w:val="24"/>
          <w:lang w:val="en-US" w:eastAsia="zh-CN"/>
        </w:rPr>
        <w:t>本项目</w:t>
      </w:r>
      <w:r>
        <w:rPr>
          <w:rFonts w:hint="eastAsia" w:ascii="宋体" w:hAnsi="Calibri"/>
          <w:color w:val="auto"/>
          <w:kern w:val="0"/>
          <w:sz w:val="24"/>
          <w:szCs w:val="24"/>
        </w:rPr>
        <w:t>产生的混合气体通过引风机引入二级除尘系统（重力除尘+布袋除尘器，本项目二级除尘器除尘效率按99%计，</w:t>
      </w:r>
      <w:r>
        <w:rPr>
          <w:rFonts w:hint="eastAsia" w:ascii="宋体" w:hAnsi="Calibri"/>
          <w:color w:val="auto"/>
          <w:kern w:val="0"/>
          <w:sz w:val="24"/>
          <w:szCs w:val="24"/>
          <w:lang w:eastAsia="zh-CN"/>
        </w:rPr>
        <w:t>本项目燃烧器设置低氮燃烧器，对氮氧化物去除效率为</w:t>
      </w:r>
      <w:r>
        <w:rPr>
          <w:rFonts w:hint="eastAsia" w:ascii="宋体" w:hAnsi="Calibri"/>
          <w:color w:val="auto"/>
          <w:kern w:val="0"/>
          <w:sz w:val="24"/>
          <w:szCs w:val="24"/>
          <w:lang w:val="en-US" w:eastAsia="zh-CN"/>
        </w:rPr>
        <w:t>30%</w:t>
      </w:r>
      <w:r>
        <w:rPr>
          <w:rFonts w:hint="eastAsia" w:ascii="宋体" w:hAnsi="Calibri"/>
          <w:color w:val="auto"/>
          <w:kern w:val="0"/>
          <w:sz w:val="24"/>
          <w:szCs w:val="24"/>
        </w:rPr>
        <w:t>）后通过排气筒（</w:t>
      </w:r>
      <w:r>
        <w:rPr>
          <w:rFonts w:hint="eastAsia" w:ascii="宋体" w:hAnsi="Calibri"/>
          <w:color w:val="auto"/>
          <w:kern w:val="0"/>
          <w:sz w:val="24"/>
          <w:szCs w:val="24"/>
          <w:lang w:val="en-US" w:eastAsia="zh-CN"/>
        </w:rPr>
        <w:t>DA004</w:t>
      </w:r>
      <w:r>
        <w:rPr>
          <w:rFonts w:hint="eastAsia" w:ascii="宋体" w:hAnsi="Calibri"/>
          <w:color w:val="auto"/>
          <w:kern w:val="0"/>
          <w:sz w:val="24"/>
          <w:szCs w:val="24"/>
        </w:rPr>
        <w:t>）高空排放。</w:t>
      </w:r>
    </w:p>
    <w:p w14:paraId="3E2EAEE3">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eastAsia" w:ascii="宋体" w:hAnsi="Calibri"/>
          <w:color w:val="auto"/>
          <w:kern w:val="0"/>
          <w:sz w:val="24"/>
          <w:szCs w:val="24"/>
        </w:rPr>
      </w:pPr>
      <w:r>
        <w:rPr>
          <w:rFonts w:hint="eastAsia" w:ascii="宋体" w:hAnsi="Calibri"/>
          <w:color w:val="auto"/>
          <w:kern w:val="0"/>
          <w:sz w:val="24"/>
          <w:szCs w:val="24"/>
        </w:rPr>
        <w:t>骨料加热烘干废气污染物产排情况见下表。</w:t>
      </w:r>
    </w:p>
    <w:p w14:paraId="46FBA88C">
      <w:pPr>
        <w:keepNext w:val="0"/>
        <w:keepLines w:val="0"/>
        <w:pageBreakBefore w:val="0"/>
        <w:widowControl w:val="0"/>
        <w:suppressLineNumbers w:val="0"/>
        <w:kinsoku/>
        <w:wordWrap/>
        <w:topLinePunct w:val="0"/>
        <w:bidi w:val="0"/>
        <w:spacing w:before="0" w:beforeAutospacing="0" w:after="0" w:afterAutospacing="0" w:line="500" w:lineRule="exact"/>
        <w:ind w:left="0" w:right="0"/>
        <w:jc w:val="center"/>
        <w:outlineLvl w:val="9"/>
        <w:rPr>
          <w:rFonts w:hint="default" w:ascii="宋体" w:hAnsi="Calibri"/>
          <w:b/>
          <w:bCs/>
          <w:color w:val="auto"/>
          <w:kern w:val="0"/>
          <w:sz w:val="24"/>
          <w:szCs w:val="20"/>
        </w:rPr>
      </w:pPr>
      <w:r>
        <w:rPr>
          <w:rFonts w:hint="default" w:ascii="宋体" w:hAnsi="Calibri" w:eastAsia="宋体"/>
          <w:b/>
          <w:color w:val="auto"/>
          <w:kern w:val="0"/>
          <w:sz w:val="24"/>
          <w:szCs w:val="20"/>
        </w:rPr>
        <w:t>表</w:t>
      </w:r>
      <w:r>
        <w:rPr>
          <w:rFonts w:hint="eastAsia" w:ascii="宋体" w:hAnsi="Calibri"/>
          <w:b/>
          <w:color w:val="auto"/>
          <w:kern w:val="0"/>
          <w:sz w:val="24"/>
          <w:szCs w:val="20"/>
          <w:lang w:val="en-US" w:eastAsia="zh-CN"/>
        </w:rPr>
        <w:t>4</w:t>
      </w:r>
      <w:r>
        <w:rPr>
          <w:rFonts w:hint="eastAsia" w:ascii="宋体" w:hAnsi="Calibri" w:eastAsia="宋体"/>
          <w:b/>
          <w:color w:val="auto"/>
          <w:kern w:val="0"/>
          <w:sz w:val="24"/>
          <w:szCs w:val="20"/>
        </w:rPr>
        <w:t>-2骨料加热烘干</w:t>
      </w:r>
      <w:r>
        <w:rPr>
          <w:rFonts w:hint="default" w:ascii="宋体" w:hAnsi="Calibri" w:eastAsia="宋体"/>
          <w:b/>
          <w:color w:val="auto"/>
          <w:kern w:val="0"/>
          <w:sz w:val="24"/>
          <w:szCs w:val="20"/>
        </w:rPr>
        <w:t>烟气污染物产生情况一览表</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1732"/>
        <w:gridCol w:w="1582"/>
        <w:gridCol w:w="1094"/>
        <w:gridCol w:w="1732"/>
        <w:gridCol w:w="1154"/>
      </w:tblGrid>
      <w:tr w14:paraId="0DAE985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721" w:type="pct"/>
            <w:noWrap w:val="0"/>
            <w:vAlign w:val="center"/>
          </w:tcPr>
          <w:p w14:paraId="3B0E3F29">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18" w:name="_Toc19400"/>
            <w:bookmarkStart w:id="219" w:name="_Toc26879"/>
            <w:bookmarkStart w:id="220" w:name="_Toc21974"/>
            <w:r>
              <w:rPr>
                <w:rFonts w:hint="default" w:ascii="Times New Roman" w:hAnsi="Times New Roman" w:eastAsia="宋体" w:cs="Times New Roman"/>
                <w:color w:val="auto"/>
                <w:kern w:val="0"/>
                <w:sz w:val="24"/>
                <w:szCs w:val="21"/>
              </w:rPr>
              <w:t>污染物名称</w:t>
            </w:r>
            <w:bookmarkEnd w:id="218"/>
            <w:bookmarkEnd w:id="219"/>
            <w:bookmarkEnd w:id="220"/>
          </w:p>
        </w:tc>
        <w:tc>
          <w:tcPr>
            <w:tcW w:w="1016" w:type="pct"/>
            <w:noWrap w:val="0"/>
            <w:vAlign w:val="center"/>
          </w:tcPr>
          <w:p w14:paraId="3233F261">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21" w:name="_Toc3712"/>
            <w:bookmarkStart w:id="222" w:name="_Toc26312"/>
            <w:bookmarkStart w:id="223" w:name="_Toc20812"/>
            <w:r>
              <w:rPr>
                <w:rFonts w:hint="default" w:ascii="Times New Roman" w:hAnsi="Times New Roman" w:eastAsia="宋体" w:cs="Times New Roman"/>
                <w:color w:val="auto"/>
                <w:kern w:val="0"/>
                <w:sz w:val="24"/>
                <w:szCs w:val="21"/>
              </w:rPr>
              <w:t>产生浓度</w:t>
            </w:r>
            <w:r>
              <w:rPr>
                <w:rFonts w:hint="default" w:ascii="Times New Roman" w:hAnsi="Times New Roman" w:cs="Times New Roman"/>
                <w:color w:val="auto"/>
                <w:kern w:val="0"/>
                <w:sz w:val="24"/>
                <w:szCs w:val="21"/>
              </w:rPr>
              <w:t>(mg/m</w:t>
            </w:r>
            <w:r>
              <w:rPr>
                <w:rFonts w:hint="default" w:ascii="Times New Roman" w:hAnsi="Times New Roman" w:cs="Times New Roman"/>
                <w:color w:val="auto"/>
                <w:kern w:val="0"/>
                <w:sz w:val="24"/>
                <w:szCs w:val="21"/>
                <w:vertAlign w:val="superscript"/>
              </w:rPr>
              <w:t>3</w:t>
            </w:r>
            <w:r>
              <w:rPr>
                <w:rFonts w:hint="default" w:ascii="Times New Roman" w:hAnsi="Times New Roman" w:cs="Times New Roman"/>
                <w:color w:val="auto"/>
                <w:kern w:val="0"/>
                <w:sz w:val="24"/>
                <w:szCs w:val="21"/>
              </w:rPr>
              <w:t>)</w:t>
            </w:r>
            <w:bookmarkEnd w:id="221"/>
            <w:bookmarkEnd w:id="222"/>
            <w:bookmarkEnd w:id="223"/>
          </w:p>
        </w:tc>
        <w:tc>
          <w:tcPr>
            <w:tcW w:w="928" w:type="pct"/>
            <w:noWrap w:val="0"/>
            <w:vAlign w:val="center"/>
          </w:tcPr>
          <w:p w14:paraId="721242CD">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24" w:name="_Toc17205"/>
            <w:bookmarkStart w:id="225" w:name="_Toc24115"/>
            <w:bookmarkStart w:id="226" w:name="_Toc23443"/>
            <w:r>
              <w:rPr>
                <w:rFonts w:hint="default" w:ascii="Times New Roman" w:hAnsi="Times New Roman" w:eastAsia="宋体" w:cs="Times New Roman"/>
                <w:color w:val="auto"/>
                <w:kern w:val="0"/>
                <w:sz w:val="24"/>
                <w:szCs w:val="21"/>
              </w:rPr>
              <w:t>产生量</w:t>
            </w:r>
            <w:r>
              <w:rPr>
                <w:rFonts w:hint="default" w:ascii="Times New Roman" w:hAnsi="Times New Roman" w:cs="Times New Roman"/>
                <w:color w:val="auto"/>
                <w:kern w:val="0"/>
                <w:sz w:val="24"/>
                <w:szCs w:val="21"/>
              </w:rPr>
              <w:t>(t/a)</w:t>
            </w:r>
            <w:bookmarkEnd w:id="224"/>
            <w:bookmarkEnd w:id="225"/>
            <w:bookmarkEnd w:id="226"/>
          </w:p>
        </w:tc>
        <w:tc>
          <w:tcPr>
            <w:tcW w:w="642" w:type="pct"/>
            <w:noWrap w:val="0"/>
            <w:vAlign w:val="center"/>
          </w:tcPr>
          <w:p w14:paraId="3B1FDDEA">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27" w:name="_Toc13419"/>
            <w:bookmarkStart w:id="228" w:name="_Toc1363"/>
            <w:bookmarkStart w:id="229" w:name="_Toc1072"/>
            <w:r>
              <w:rPr>
                <w:rFonts w:hint="default" w:ascii="Times New Roman" w:hAnsi="Times New Roman" w:eastAsia="宋体" w:cs="Times New Roman"/>
                <w:color w:val="auto"/>
                <w:kern w:val="0"/>
                <w:sz w:val="24"/>
                <w:szCs w:val="21"/>
              </w:rPr>
              <w:t>防治措施</w:t>
            </w:r>
            <w:bookmarkEnd w:id="227"/>
            <w:bookmarkEnd w:id="228"/>
            <w:bookmarkEnd w:id="229"/>
          </w:p>
        </w:tc>
        <w:tc>
          <w:tcPr>
            <w:tcW w:w="1016" w:type="pct"/>
            <w:noWrap w:val="0"/>
            <w:vAlign w:val="center"/>
          </w:tcPr>
          <w:p w14:paraId="75A17998">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30" w:name="_Toc28797"/>
            <w:bookmarkStart w:id="231" w:name="_Toc16652"/>
            <w:bookmarkStart w:id="232" w:name="_Toc29669"/>
            <w:r>
              <w:rPr>
                <w:rFonts w:hint="default" w:ascii="Times New Roman" w:hAnsi="Times New Roman" w:eastAsia="宋体" w:cs="Times New Roman"/>
                <w:color w:val="auto"/>
                <w:kern w:val="0"/>
                <w:sz w:val="24"/>
                <w:szCs w:val="21"/>
              </w:rPr>
              <w:t>排放浓度</w:t>
            </w:r>
            <w:r>
              <w:rPr>
                <w:rFonts w:hint="default" w:ascii="Times New Roman" w:hAnsi="Times New Roman" w:cs="Times New Roman"/>
                <w:color w:val="auto"/>
                <w:kern w:val="0"/>
                <w:sz w:val="24"/>
                <w:szCs w:val="21"/>
              </w:rPr>
              <w:t>(mg/m</w:t>
            </w:r>
            <w:r>
              <w:rPr>
                <w:rFonts w:hint="default" w:ascii="Times New Roman" w:hAnsi="Times New Roman" w:cs="Times New Roman"/>
                <w:color w:val="auto"/>
                <w:kern w:val="0"/>
                <w:sz w:val="24"/>
                <w:szCs w:val="21"/>
                <w:vertAlign w:val="superscript"/>
              </w:rPr>
              <w:t>3</w:t>
            </w:r>
            <w:r>
              <w:rPr>
                <w:rFonts w:hint="default" w:ascii="Times New Roman" w:hAnsi="Times New Roman" w:cs="Times New Roman"/>
                <w:color w:val="auto"/>
                <w:kern w:val="0"/>
                <w:sz w:val="24"/>
                <w:szCs w:val="21"/>
              </w:rPr>
              <w:t>)</w:t>
            </w:r>
            <w:bookmarkEnd w:id="230"/>
            <w:bookmarkEnd w:id="231"/>
            <w:bookmarkEnd w:id="232"/>
          </w:p>
        </w:tc>
        <w:tc>
          <w:tcPr>
            <w:tcW w:w="678" w:type="pct"/>
            <w:noWrap w:val="0"/>
            <w:vAlign w:val="center"/>
          </w:tcPr>
          <w:p w14:paraId="54B0E105">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bookmarkStart w:id="233" w:name="_Toc17232"/>
            <w:bookmarkStart w:id="234" w:name="_Toc5142"/>
            <w:bookmarkStart w:id="235" w:name="_Toc21513"/>
            <w:r>
              <w:rPr>
                <w:rFonts w:hint="default" w:ascii="Times New Roman" w:hAnsi="Times New Roman" w:eastAsia="宋体" w:cs="Times New Roman"/>
                <w:color w:val="auto"/>
                <w:kern w:val="0"/>
                <w:sz w:val="24"/>
                <w:szCs w:val="21"/>
              </w:rPr>
              <w:t>排放量</w:t>
            </w:r>
            <w:r>
              <w:rPr>
                <w:rFonts w:hint="default" w:ascii="Times New Roman" w:hAnsi="Times New Roman" w:cs="Times New Roman"/>
                <w:color w:val="auto"/>
                <w:kern w:val="0"/>
                <w:sz w:val="24"/>
                <w:szCs w:val="21"/>
              </w:rPr>
              <w:t>(t/a)</w:t>
            </w:r>
            <w:bookmarkEnd w:id="233"/>
            <w:bookmarkEnd w:id="234"/>
            <w:bookmarkEnd w:id="235"/>
          </w:p>
        </w:tc>
      </w:tr>
      <w:tr w14:paraId="1B75FCC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1" w:type="pct"/>
            <w:noWrap w:val="0"/>
            <w:vAlign w:val="center"/>
          </w:tcPr>
          <w:p w14:paraId="0952CE67">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eastAsia="宋体" w:cs="Times New Roman"/>
                <w:color w:val="auto"/>
                <w:kern w:val="0"/>
                <w:sz w:val="24"/>
                <w:szCs w:val="21"/>
              </w:rPr>
              <w:t>颗粒物</w:t>
            </w:r>
          </w:p>
        </w:tc>
        <w:tc>
          <w:tcPr>
            <w:tcW w:w="1016" w:type="pct"/>
            <w:noWrap w:val="0"/>
            <w:vAlign w:val="center"/>
          </w:tcPr>
          <w:p w14:paraId="01CD2844">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213.4</w:t>
            </w:r>
          </w:p>
        </w:tc>
        <w:tc>
          <w:tcPr>
            <w:tcW w:w="928" w:type="pct"/>
            <w:noWrap w:val="0"/>
            <w:vAlign w:val="center"/>
          </w:tcPr>
          <w:p w14:paraId="1D055980">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1.749</w:t>
            </w:r>
          </w:p>
        </w:tc>
        <w:tc>
          <w:tcPr>
            <w:tcW w:w="642" w:type="pct"/>
            <w:vMerge w:val="restart"/>
            <w:noWrap w:val="0"/>
            <w:vAlign w:val="center"/>
          </w:tcPr>
          <w:p w14:paraId="6C548984">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bookmarkStart w:id="236" w:name="_Toc7714"/>
            <w:bookmarkStart w:id="237" w:name="_Toc1867"/>
            <w:bookmarkStart w:id="238" w:name="_Toc4757"/>
            <w:r>
              <w:rPr>
                <w:rFonts w:hint="default" w:ascii="Times New Roman" w:hAnsi="Times New Roman" w:eastAsia="宋体" w:cs="Times New Roman"/>
                <w:color w:val="auto"/>
                <w:kern w:val="0"/>
                <w:sz w:val="24"/>
                <w:szCs w:val="21"/>
              </w:rPr>
              <w:t>二级除尘系统</w:t>
            </w:r>
            <w:r>
              <w:rPr>
                <w:rFonts w:hint="default" w:ascii="Times New Roman" w:hAnsi="Times New Roman" w:eastAsia="宋体" w:cs="Times New Roman"/>
                <w:color w:val="auto"/>
                <w:kern w:val="0"/>
                <w:sz w:val="28"/>
                <w:szCs w:val="28"/>
              </w:rPr>
              <w:t>+</w:t>
            </w:r>
            <w:r>
              <w:rPr>
                <w:rFonts w:hint="default" w:ascii="Times New Roman" w:hAnsi="Times New Roman" w:eastAsia="宋体" w:cs="Times New Roman"/>
                <w:color w:val="auto"/>
                <w:kern w:val="0"/>
                <w:sz w:val="24"/>
                <w:szCs w:val="21"/>
              </w:rPr>
              <w:t>15m排气筒</w:t>
            </w:r>
            <w:r>
              <w:rPr>
                <w:rFonts w:hint="default" w:ascii="Times New Roman" w:hAnsi="Times New Roman" w:cs="Times New Roman"/>
                <w:color w:val="auto"/>
                <w:kern w:val="0"/>
                <w:sz w:val="24"/>
                <w:szCs w:val="21"/>
                <w:lang w:eastAsia="zh-CN"/>
              </w:rPr>
              <w:t>；低氮燃烧器，</w:t>
            </w:r>
            <w:r>
              <w:rPr>
                <w:rFonts w:hint="default" w:ascii="Times New Roman" w:hAnsi="Times New Roman" w:cs="Times New Roman"/>
                <w:color w:val="auto"/>
                <w:kern w:val="0"/>
                <w:sz w:val="24"/>
                <w:szCs w:val="21"/>
                <w:lang w:val="en-US" w:eastAsia="zh-CN"/>
              </w:rPr>
              <w:t>30%</w:t>
            </w:r>
            <w:bookmarkEnd w:id="236"/>
            <w:bookmarkEnd w:id="237"/>
            <w:bookmarkEnd w:id="238"/>
          </w:p>
        </w:tc>
        <w:tc>
          <w:tcPr>
            <w:tcW w:w="1016" w:type="pct"/>
            <w:noWrap w:val="0"/>
            <w:vAlign w:val="center"/>
          </w:tcPr>
          <w:p w14:paraId="3502A7D5">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2.13</w:t>
            </w:r>
          </w:p>
        </w:tc>
        <w:tc>
          <w:tcPr>
            <w:tcW w:w="678" w:type="pct"/>
            <w:noWrap w:val="0"/>
            <w:vAlign w:val="center"/>
          </w:tcPr>
          <w:p w14:paraId="6A0929B4">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bookmarkStart w:id="239" w:name="_Toc22353"/>
            <w:bookmarkStart w:id="240" w:name="_Toc21620"/>
            <w:bookmarkStart w:id="241" w:name="_Toc18501"/>
            <w:r>
              <w:rPr>
                <w:rFonts w:hint="default" w:ascii="Times New Roman" w:hAnsi="Times New Roman" w:cs="Times New Roman"/>
                <w:color w:val="auto"/>
                <w:kern w:val="0"/>
                <w:sz w:val="24"/>
                <w:szCs w:val="21"/>
                <w:lang w:val="en-US" w:eastAsia="zh-CN"/>
              </w:rPr>
              <w:t>0.0</w:t>
            </w:r>
            <w:bookmarkEnd w:id="239"/>
            <w:bookmarkEnd w:id="240"/>
            <w:bookmarkEnd w:id="241"/>
            <w:r>
              <w:rPr>
                <w:rFonts w:hint="eastAsia" w:ascii="宋体" w:hAnsi="Calibri" w:cs="Times New Roman"/>
                <w:color w:val="auto"/>
                <w:kern w:val="0"/>
                <w:sz w:val="24"/>
                <w:szCs w:val="21"/>
                <w:lang w:val="en-US" w:eastAsia="zh-CN"/>
              </w:rPr>
              <w:t>17</w:t>
            </w:r>
          </w:p>
        </w:tc>
      </w:tr>
      <w:tr w14:paraId="4864F68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1" w:type="pct"/>
            <w:noWrap w:val="0"/>
            <w:vAlign w:val="center"/>
          </w:tcPr>
          <w:p w14:paraId="64A6DD32">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SO</w:t>
            </w:r>
            <w:r>
              <w:rPr>
                <w:rFonts w:hint="default" w:ascii="Times New Roman" w:hAnsi="Times New Roman" w:cs="Times New Roman"/>
                <w:color w:val="auto"/>
                <w:kern w:val="0"/>
                <w:sz w:val="24"/>
                <w:szCs w:val="21"/>
                <w:vertAlign w:val="subscript"/>
              </w:rPr>
              <w:t>2</w:t>
            </w:r>
          </w:p>
        </w:tc>
        <w:tc>
          <w:tcPr>
            <w:tcW w:w="1016" w:type="pct"/>
            <w:noWrap w:val="0"/>
            <w:vAlign w:val="center"/>
          </w:tcPr>
          <w:p w14:paraId="482B893A">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43.3</w:t>
            </w:r>
          </w:p>
        </w:tc>
        <w:tc>
          <w:tcPr>
            <w:tcW w:w="928" w:type="pct"/>
            <w:noWrap w:val="0"/>
            <w:vAlign w:val="center"/>
          </w:tcPr>
          <w:p w14:paraId="2EA38815">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eastAsia"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eastAsia="zh-CN"/>
              </w:rPr>
              <w:t>0.355</w:t>
            </w:r>
          </w:p>
        </w:tc>
        <w:tc>
          <w:tcPr>
            <w:tcW w:w="642" w:type="pct"/>
            <w:vMerge w:val="continue"/>
            <w:noWrap w:val="0"/>
            <w:vAlign w:val="center"/>
          </w:tcPr>
          <w:p w14:paraId="20E92846">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p>
        </w:tc>
        <w:tc>
          <w:tcPr>
            <w:tcW w:w="1794" w:type="dxa"/>
            <w:noWrap w:val="0"/>
            <w:vAlign w:val="center"/>
          </w:tcPr>
          <w:p w14:paraId="62FBE7BD">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leftChars="0" w:right="0" w:rightChars="0"/>
              <w:jc w:val="center"/>
              <w:outlineLvl w:val="9"/>
              <w:rPr>
                <w:rFonts w:hint="default" w:ascii="Times New Roman" w:hAnsi="Times New Roman" w:eastAsia="宋体" w:cs="Times New Roman"/>
                <w:color w:val="auto"/>
                <w:kern w:val="0"/>
                <w:sz w:val="24"/>
                <w:szCs w:val="21"/>
                <w:lang w:val="en-US"/>
              </w:rPr>
            </w:pPr>
            <w:r>
              <w:rPr>
                <w:rFonts w:hint="eastAsia" w:ascii="宋体" w:hAnsi="Calibri" w:cs="Times New Roman"/>
                <w:color w:val="auto"/>
                <w:kern w:val="0"/>
                <w:sz w:val="24"/>
                <w:szCs w:val="21"/>
                <w:lang w:val="en-US" w:eastAsia="zh-CN"/>
              </w:rPr>
              <w:t>43.3</w:t>
            </w:r>
          </w:p>
        </w:tc>
        <w:tc>
          <w:tcPr>
            <w:tcW w:w="1196" w:type="dxa"/>
            <w:noWrap w:val="0"/>
            <w:vAlign w:val="center"/>
          </w:tcPr>
          <w:p w14:paraId="34922C53">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leftChars="0" w:right="0" w:rightChars="0"/>
              <w:jc w:val="center"/>
              <w:outlineLvl w:val="9"/>
              <w:rPr>
                <w:rFonts w:hint="eastAsia" w:ascii="Times New Roman" w:hAnsi="Times New Roman" w:eastAsia="宋体" w:cs="Times New Roman"/>
                <w:color w:val="auto"/>
                <w:kern w:val="0"/>
                <w:sz w:val="24"/>
                <w:szCs w:val="21"/>
                <w:lang w:eastAsia="zh-CN"/>
              </w:rPr>
            </w:pPr>
            <w:r>
              <w:rPr>
                <w:rFonts w:hint="eastAsia" w:ascii="宋体" w:hAnsi="Calibri" w:cs="Times New Roman"/>
                <w:color w:val="auto"/>
                <w:kern w:val="0"/>
                <w:sz w:val="24"/>
                <w:szCs w:val="21"/>
                <w:lang w:eastAsia="zh-CN"/>
              </w:rPr>
              <w:t>0.355</w:t>
            </w:r>
          </w:p>
        </w:tc>
      </w:tr>
      <w:tr w14:paraId="0AE9AF1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1" w:type="pct"/>
            <w:noWrap w:val="0"/>
            <w:vAlign w:val="center"/>
          </w:tcPr>
          <w:p w14:paraId="2E100C1C">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NOx</w:t>
            </w:r>
          </w:p>
        </w:tc>
        <w:tc>
          <w:tcPr>
            <w:tcW w:w="1016" w:type="pct"/>
            <w:noWrap w:val="0"/>
            <w:vAlign w:val="center"/>
          </w:tcPr>
          <w:p w14:paraId="2EC1B819">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bookmarkStart w:id="242" w:name="_Toc25374"/>
            <w:bookmarkStart w:id="243" w:name="_Toc8574"/>
            <w:bookmarkStart w:id="244" w:name="_Toc2334"/>
            <w:r>
              <w:rPr>
                <w:rFonts w:hint="default" w:ascii="Times New Roman" w:hAnsi="Times New Roman" w:cs="Times New Roman"/>
                <w:color w:val="auto"/>
                <w:kern w:val="0"/>
                <w:sz w:val="24"/>
                <w:szCs w:val="21"/>
                <w:lang w:val="en-US" w:eastAsia="zh-CN"/>
              </w:rPr>
              <w:t>234.27</w:t>
            </w:r>
            <w:bookmarkEnd w:id="242"/>
            <w:bookmarkEnd w:id="243"/>
            <w:bookmarkEnd w:id="244"/>
          </w:p>
        </w:tc>
        <w:tc>
          <w:tcPr>
            <w:tcW w:w="928" w:type="pct"/>
            <w:noWrap w:val="0"/>
            <w:vAlign w:val="center"/>
          </w:tcPr>
          <w:p w14:paraId="4110CD48">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lang w:val="en-US" w:eastAsia="zh-CN"/>
              </w:rPr>
            </w:pPr>
            <w:r>
              <w:rPr>
                <w:rFonts w:hint="eastAsia" w:ascii="宋体" w:hAnsi="Calibri" w:cs="Times New Roman"/>
                <w:color w:val="auto"/>
                <w:kern w:val="0"/>
                <w:sz w:val="24"/>
                <w:szCs w:val="21"/>
                <w:lang w:val="en-US" w:eastAsia="zh-CN"/>
              </w:rPr>
              <w:t>1.92</w:t>
            </w:r>
          </w:p>
        </w:tc>
        <w:tc>
          <w:tcPr>
            <w:tcW w:w="642" w:type="pct"/>
            <w:vMerge w:val="continue"/>
            <w:noWrap w:val="0"/>
            <w:vAlign w:val="center"/>
          </w:tcPr>
          <w:p w14:paraId="30387B9B">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p>
        </w:tc>
        <w:tc>
          <w:tcPr>
            <w:tcW w:w="1794" w:type="dxa"/>
            <w:noWrap w:val="0"/>
            <w:vAlign w:val="center"/>
          </w:tcPr>
          <w:p w14:paraId="593A0FDF">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leftChars="0" w:right="0" w:rightChars="0"/>
              <w:jc w:val="center"/>
              <w:outlineLvl w:val="9"/>
              <w:rPr>
                <w:rFonts w:hint="default" w:ascii="Times New Roman" w:hAnsi="Times New Roman" w:eastAsia="宋体" w:cs="Times New Roman"/>
                <w:color w:val="auto"/>
                <w:kern w:val="0"/>
                <w:sz w:val="24"/>
                <w:szCs w:val="21"/>
                <w:lang w:val="en-US"/>
              </w:rPr>
            </w:pPr>
            <w:r>
              <w:rPr>
                <w:rFonts w:hint="eastAsia" w:ascii="宋体" w:hAnsi="Calibri" w:cs="Times New Roman"/>
                <w:color w:val="auto"/>
                <w:kern w:val="0"/>
                <w:sz w:val="24"/>
                <w:szCs w:val="21"/>
                <w:lang w:val="en-US" w:eastAsia="zh-CN"/>
              </w:rPr>
              <w:t>163.99</w:t>
            </w:r>
          </w:p>
        </w:tc>
        <w:tc>
          <w:tcPr>
            <w:tcW w:w="1196" w:type="dxa"/>
            <w:noWrap w:val="0"/>
            <w:vAlign w:val="center"/>
          </w:tcPr>
          <w:p w14:paraId="10BD639A">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leftChars="0" w:right="0" w:rightChars="0"/>
              <w:jc w:val="center"/>
              <w:outlineLvl w:val="9"/>
              <w:rPr>
                <w:rFonts w:hint="default" w:ascii="Times New Roman" w:hAnsi="Times New Roman" w:eastAsia="宋体" w:cs="Times New Roman"/>
                <w:color w:val="auto"/>
                <w:kern w:val="0"/>
                <w:sz w:val="24"/>
                <w:szCs w:val="21"/>
                <w:lang w:val="en-US"/>
              </w:rPr>
            </w:pPr>
            <w:r>
              <w:rPr>
                <w:rFonts w:hint="eastAsia" w:ascii="宋体" w:hAnsi="Calibri" w:cs="Times New Roman"/>
                <w:color w:val="auto"/>
                <w:kern w:val="0"/>
                <w:sz w:val="24"/>
                <w:szCs w:val="21"/>
                <w:lang w:val="en-US" w:eastAsia="zh-CN"/>
              </w:rPr>
              <w:t>1.34</w:t>
            </w:r>
          </w:p>
        </w:tc>
      </w:tr>
      <w:tr w14:paraId="25346B1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21" w:type="pct"/>
            <w:noWrap w:val="0"/>
            <w:vAlign w:val="center"/>
          </w:tcPr>
          <w:p w14:paraId="304C2830">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eastAsia="宋体" w:cs="Times New Roman"/>
                <w:color w:val="auto"/>
                <w:kern w:val="0"/>
                <w:sz w:val="24"/>
                <w:szCs w:val="21"/>
              </w:rPr>
              <w:t>烟气量</w:t>
            </w:r>
          </w:p>
        </w:tc>
        <w:tc>
          <w:tcPr>
            <w:tcW w:w="1943" w:type="pct"/>
            <w:gridSpan w:val="2"/>
            <w:noWrap w:val="0"/>
            <w:vAlign w:val="center"/>
          </w:tcPr>
          <w:p w14:paraId="1A40B985">
            <w:pPr>
              <w:keepNext w:val="0"/>
              <w:keepLines w:val="0"/>
              <w:pageBreakBefore w:val="0"/>
              <w:widowControl w:val="0"/>
              <w:suppressLineNumbers w:val="0"/>
              <w:kinsoku/>
              <w:wordWrap/>
              <w:topLinePunct w:val="0"/>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kern w:val="0"/>
                <w:sz w:val="24"/>
                <w:szCs w:val="21"/>
              </w:rPr>
            </w:pPr>
            <w:bookmarkStart w:id="245" w:name="_Toc5874"/>
            <w:bookmarkStart w:id="246" w:name="_Toc9672"/>
            <w:bookmarkStart w:id="247" w:name="_Toc22856"/>
            <w:r>
              <w:rPr>
                <w:rFonts w:hint="eastAsia" w:ascii="宋体" w:hAnsi="Calibri" w:cs="Times New Roman"/>
                <w:color w:val="auto"/>
                <w:kern w:val="0"/>
                <w:sz w:val="24"/>
                <w:szCs w:val="21"/>
                <w:lang w:val="en-US" w:eastAsia="zh-CN"/>
              </w:rPr>
              <w:t>8195221.1</w:t>
            </w:r>
            <w:r>
              <w:rPr>
                <w:rFonts w:hint="default" w:ascii="Times New Roman" w:hAnsi="Times New Roman" w:eastAsia="宋体" w:cs="Times New Roman"/>
                <w:color w:val="auto"/>
                <w:kern w:val="0"/>
                <w:sz w:val="24"/>
                <w:szCs w:val="21"/>
              </w:rPr>
              <w:t>Nm</w:t>
            </w:r>
            <w:r>
              <w:rPr>
                <w:rFonts w:hint="default" w:ascii="Times New Roman" w:hAnsi="Times New Roman" w:eastAsia="宋体" w:cs="Times New Roman"/>
                <w:color w:val="auto"/>
                <w:kern w:val="0"/>
                <w:sz w:val="24"/>
                <w:szCs w:val="21"/>
                <w:vertAlign w:val="superscript"/>
              </w:rPr>
              <w:t>3</w:t>
            </w:r>
            <w:r>
              <w:rPr>
                <w:rFonts w:hint="default" w:ascii="Times New Roman" w:hAnsi="Times New Roman" w:eastAsia="宋体" w:cs="Times New Roman"/>
                <w:color w:val="auto"/>
                <w:kern w:val="0"/>
                <w:sz w:val="24"/>
                <w:szCs w:val="21"/>
              </w:rPr>
              <w:t>/a</w:t>
            </w:r>
            <w:bookmarkEnd w:id="245"/>
            <w:bookmarkEnd w:id="246"/>
            <w:bookmarkEnd w:id="247"/>
          </w:p>
        </w:tc>
        <w:tc>
          <w:tcPr>
            <w:tcW w:w="642" w:type="pct"/>
            <w:vMerge w:val="continue"/>
            <w:noWrap w:val="0"/>
            <w:vAlign w:val="center"/>
          </w:tcPr>
          <w:p w14:paraId="3B4CBB58">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p>
        </w:tc>
        <w:tc>
          <w:tcPr>
            <w:tcW w:w="1016" w:type="pct"/>
            <w:noWrap w:val="0"/>
            <w:vAlign w:val="center"/>
          </w:tcPr>
          <w:p w14:paraId="785EEC92">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cr/>
            </w:r>
            <w:r>
              <w:rPr>
                <w:rFonts w:hint="default" w:ascii="Times New Roman" w:hAnsi="Times New Roman" w:cs="Times New Roman"/>
                <w:color w:val="auto"/>
                <w:kern w:val="0"/>
                <w:sz w:val="24"/>
                <w:szCs w:val="21"/>
              </w:rPr>
              <w:t>—</w:t>
            </w:r>
          </w:p>
        </w:tc>
        <w:tc>
          <w:tcPr>
            <w:tcW w:w="678" w:type="pct"/>
            <w:noWrap w:val="0"/>
            <w:vAlign w:val="center"/>
          </w:tcPr>
          <w:p w14:paraId="5C83D008">
            <w:pPr>
              <w:keepNext w:val="0"/>
              <w:keepLines w:val="0"/>
              <w:pageBreakBefore w:val="0"/>
              <w:widowControl w:val="0"/>
              <w:suppressLineNumbers w:val="0"/>
              <w:kinsoku/>
              <w:wordWrap/>
              <w:topLinePunct w:val="0"/>
              <w:bidi w:val="0"/>
              <w:spacing w:before="0" w:beforeAutospacing="0" w:after="0" w:afterAutospacing="0" w:line="240" w:lineRule="auto"/>
              <w:ind w:left="0" w:right="0"/>
              <w:jc w:val="center"/>
              <w:outlineLvl w:val="9"/>
              <w:rPr>
                <w:rFonts w:hint="default" w:ascii="Times New Roman" w:hAnsi="Times New Roman" w:cs="Times New Roman"/>
                <w:color w:val="auto"/>
                <w:kern w:val="0"/>
                <w:sz w:val="24"/>
                <w:szCs w:val="21"/>
              </w:rPr>
            </w:pPr>
            <w:r>
              <w:rPr>
                <w:rFonts w:hint="default" w:ascii="Times New Roman" w:hAnsi="Times New Roman" w:cs="Times New Roman"/>
                <w:color w:val="auto"/>
                <w:kern w:val="0"/>
                <w:sz w:val="24"/>
                <w:szCs w:val="21"/>
              </w:rPr>
              <w:t>——</w:t>
            </w:r>
          </w:p>
        </w:tc>
      </w:tr>
    </w:tbl>
    <w:p w14:paraId="6EA12C0D">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eastAsia" w:ascii="宋体" w:hAnsi="Calibri" w:eastAsia="宋体"/>
          <w:color w:val="auto"/>
          <w:kern w:val="0"/>
          <w:sz w:val="24"/>
          <w:szCs w:val="24"/>
        </w:rPr>
        <w:t>由此可知骨料加热烘干废气中</w:t>
      </w:r>
      <w:r>
        <w:rPr>
          <w:rFonts w:hint="default" w:ascii="宋体" w:hAnsi="Calibri" w:eastAsia="宋体"/>
          <w:color w:val="auto"/>
          <w:kern w:val="0"/>
          <w:sz w:val="24"/>
          <w:szCs w:val="24"/>
        </w:rPr>
        <w:t>烟尘排放浓度为</w:t>
      </w:r>
      <w:r>
        <w:rPr>
          <w:rFonts w:hint="eastAsia" w:ascii="宋体" w:hAnsi="Calibri"/>
          <w:color w:val="auto"/>
          <w:kern w:val="0"/>
          <w:sz w:val="24"/>
          <w:szCs w:val="24"/>
          <w:lang w:val="en-US" w:eastAsia="zh-CN"/>
        </w:rPr>
        <w:t>2.13</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排放浓度为</w:t>
      </w:r>
      <w:r>
        <w:rPr>
          <w:rFonts w:hint="eastAsia" w:ascii="宋体" w:hAnsi="Calibri"/>
          <w:color w:val="auto"/>
          <w:kern w:val="0"/>
          <w:sz w:val="24"/>
          <w:szCs w:val="24"/>
          <w:lang w:val="en-US" w:eastAsia="zh-CN"/>
        </w:rPr>
        <w:t>43.3</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，NO</w:t>
      </w:r>
      <w:r>
        <w:rPr>
          <w:rFonts w:hint="default" w:ascii="宋体" w:hAnsi="Calibri" w:eastAsia="宋体"/>
          <w:color w:val="auto"/>
          <w:kern w:val="0"/>
          <w:sz w:val="24"/>
          <w:szCs w:val="24"/>
          <w:vertAlign w:val="subscript"/>
        </w:rPr>
        <w:t>X</w:t>
      </w:r>
      <w:r>
        <w:rPr>
          <w:rFonts w:hint="default" w:ascii="宋体" w:hAnsi="Calibri" w:eastAsia="宋体"/>
          <w:color w:val="auto"/>
          <w:kern w:val="0"/>
          <w:sz w:val="24"/>
          <w:szCs w:val="24"/>
        </w:rPr>
        <w:t>排放浓度为</w:t>
      </w:r>
      <w:r>
        <w:rPr>
          <w:rFonts w:hint="eastAsia" w:ascii="宋体" w:hAnsi="Calibri"/>
          <w:color w:val="auto"/>
          <w:kern w:val="0"/>
          <w:sz w:val="24"/>
          <w:szCs w:val="24"/>
          <w:lang w:val="en-US" w:eastAsia="zh-CN"/>
        </w:rPr>
        <w:t>163.99</w:t>
      </w:r>
      <w:r>
        <w:rPr>
          <w:rFonts w:hint="default" w:ascii="宋体" w:hAnsi="Calibri" w:eastAsia="宋体"/>
          <w:color w:val="auto"/>
          <w:kern w:val="0"/>
          <w:sz w:val="24"/>
          <w:szCs w:val="24"/>
        </w:rPr>
        <w:t>mg/m</w:t>
      </w:r>
      <w:r>
        <w:rPr>
          <w:rFonts w:hint="default" w:ascii="宋体" w:hAnsi="Calibri" w:eastAsia="宋体"/>
          <w:color w:val="auto"/>
          <w:kern w:val="0"/>
          <w:sz w:val="24"/>
          <w:szCs w:val="24"/>
          <w:vertAlign w:val="superscript"/>
        </w:rPr>
        <w:t>3</w:t>
      </w:r>
      <w:r>
        <w:rPr>
          <w:rFonts w:hint="eastAsia" w:ascii="宋体" w:hAnsi="Calibri" w:eastAsia="宋体"/>
          <w:color w:val="auto"/>
          <w:kern w:val="0"/>
          <w:sz w:val="24"/>
          <w:szCs w:val="24"/>
        </w:rPr>
        <w:t>；颗粒物</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、NOx排放浓度均可以满足《大气污染物综合排放标准》（GB16297-1996）中表2中的标准（</w:t>
      </w:r>
      <w:r>
        <w:rPr>
          <w:rFonts w:hint="eastAsia" w:ascii="宋体" w:hAnsi="Calibri" w:eastAsia="宋体"/>
          <w:color w:val="auto"/>
          <w:kern w:val="0"/>
          <w:sz w:val="24"/>
          <w:szCs w:val="24"/>
        </w:rPr>
        <w:t>颗粒物</w:t>
      </w:r>
      <w:r>
        <w:rPr>
          <w:rFonts w:hint="default" w:ascii="宋体" w:hAnsi="Calibri" w:eastAsia="宋体"/>
          <w:color w:val="auto"/>
          <w:kern w:val="0"/>
          <w:sz w:val="24"/>
          <w:szCs w:val="24"/>
        </w:rPr>
        <w:t>120mg/m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、SO</w:t>
      </w:r>
      <w:r>
        <w:rPr>
          <w:rFonts w:hint="default" w:ascii="宋体" w:hAnsi="Calibri" w:eastAsia="宋体"/>
          <w:color w:val="auto"/>
          <w:kern w:val="0"/>
          <w:sz w:val="24"/>
          <w:szCs w:val="24"/>
          <w:vertAlign w:val="subscript"/>
        </w:rPr>
        <w:t>2</w:t>
      </w:r>
      <w:r>
        <w:rPr>
          <w:rFonts w:hint="default" w:ascii="宋体" w:hAnsi="Calibri" w:eastAsia="宋体"/>
          <w:color w:val="auto"/>
          <w:kern w:val="0"/>
          <w:sz w:val="24"/>
          <w:szCs w:val="24"/>
        </w:rPr>
        <w:t>550mg/m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、NOx240mg/m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w:t>
      </w:r>
    </w:p>
    <w:p w14:paraId="7A0CAC16">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（3）沥青烟</w:t>
      </w:r>
    </w:p>
    <w:p w14:paraId="3A4D46C2">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default" w:ascii="宋体" w:hAnsi="Calibri" w:eastAsia="宋体"/>
          <w:color w:val="auto"/>
          <w:kern w:val="0"/>
          <w:sz w:val="24"/>
          <w:szCs w:val="24"/>
        </w:rPr>
        <w:t>①</w:t>
      </w:r>
      <w:r>
        <w:rPr>
          <w:rFonts w:hint="eastAsia" w:ascii="宋体" w:hAnsi="Calibri" w:eastAsia="宋体"/>
          <w:color w:val="auto"/>
          <w:kern w:val="0"/>
          <w:sz w:val="24"/>
          <w:szCs w:val="24"/>
        </w:rPr>
        <w:t>源强</w:t>
      </w:r>
    </w:p>
    <w:p w14:paraId="64073FD7">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沥青油烟是指石油沥青及沥青制品生产中排放的液态烃类有机颗粒物质和少量在常温下的气态烃类物质，它是含多种化学物质的混合烟气，以烃类混合物为主要成分，其中含多环芳烃类物质尤多，以苯并[a]芘为代表的多环芳烃类物质是强致癌物。大气中多环芳烃类物质的存在，是引起呼吸道癌症上升的一个重要原因。纯苯并[a]芘为黄色针状晶体，熔点179℃，沸点310℃左右能溶于苯，稍溶于醇，不溶于水，是石油沥青中的强致癌物，可引起皮肤癌症，在沥青油烟中，其通常附在沥青烟中直径小于8.0μm的颗粒上。</w:t>
      </w:r>
    </w:p>
    <w:p w14:paraId="6EC12924">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8"/>
          <w:szCs w:val="28"/>
        </w:rPr>
      </w:pPr>
      <w:r>
        <w:rPr>
          <w:rFonts w:hint="default" w:ascii="宋体" w:hAnsi="Calibri" w:eastAsia="宋体"/>
          <w:color w:val="auto"/>
          <w:kern w:val="0"/>
          <w:sz w:val="24"/>
          <w:szCs w:val="24"/>
        </w:rPr>
        <w:t>本项目生产所需沥青先通过导热油炉加热，再由沥青泵送入搅拌缸中</w:t>
      </w:r>
      <w:r>
        <w:rPr>
          <w:rFonts w:hint="eastAsia" w:ascii="宋体" w:hAnsi="Calibri" w:eastAsia="宋体"/>
          <w:color w:val="auto"/>
          <w:kern w:val="0"/>
          <w:sz w:val="24"/>
          <w:szCs w:val="24"/>
        </w:rPr>
        <w:t>，成品沥青在出料时也会产生沥青烟气</w:t>
      </w:r>
      <w:r>
        <w:rPr>
          <w:rFonts w:hint="default" w:ascii="宋体" w:hAnsi="Calibri" w:eastAsia="宋体"/>
          <w:color w:val="auto"/>
          <w:kern w:val="0"/>
          <w:sz w:val="24"/>
          <w:szCs w:val="24"/>
        </w:rPr>
        <w:t>，因此在沥青加热和混合搅拌工序</w:t>
      </w:r>
      <w:r>
        <w:rPr>
          <w:rFonts w:hint="eastAsia" w:ascii="宋体" w:hAnsi="Calibri" w:eastAsia="宋体"/>
          <w:color w:val="auto"/>
          <w:kern w:val="0"/>
          <w:sz w:val="24"/>
          <w:szCs w:val="24"/>
        </w:rPr>
        <w:t>及</w:t>
      </w:r>
      <w:r>
        <w:rPr>
          <w:rFonts w:hint="eastAsia" w:ascii="宋体" w:hAnsi="Calibri"/>
          <w:color w:val="auto"/>
          <w:kern w:val="0"/>
          <w:sz w:val="24"/>
          <w:szCs w:val="24"/>
          <w:lang w:eastAsia="zh-CN"/>
        </w:rPr>
        <w:t>成品</w:t>
      </w:r>
      <w:r>
        <w:rPr>
          <w:rFonts w:hint="eastAsia" w:ascii="宋体" w:hAnsi="Calibri" w:eastAsia="宋体"/>
          <w:color w:val="auto"/>
          <w:kern w:val="0"/>
          <w:sz w:val="24"/>
          <w:szCs w:val="24"/>
        </w:rPr>
        <w:t>料出口均</w:t>
      </w:r>
      <w:r>
        <w:rPr>
          <w:rFonts w:hint="default" w:ascii="宋体" w:hAnsi="Calibri" w:eastAsia="宋体"/>
          <w:color w:val="auto"/>
          <w:kern w:val="0"/>
          <w:sz w:val="24"/>
          <w:szCs w:val="24"/>
        </w:rPr>
        <w:t>会产生沥青烟气。</w:t>
      </w:r>
    </w:p>
    <w:p w14:paraId="54AB892F">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eastAsia" w:ascii="宋体" w:hAnsi="Calibri" w:eastAsia="宋体"/>
          <w:color w:val="auto"/>
          <w:kern w:val="0"/>
          <w:sz w:val="24"/>
          <w:szCs w:val="24"/>
        </w:rPr>
        <w:t>成品沥青出料时，仓底部设有密封的装料车道，两侧增加电动卷帘门装置，可自动开合，装料时，卷帘门自动关闭，车道完全密封，出料过程中产生的沥青烟气经集气罩收集后经密封风管进入燃烧器。搅拌机产生的沥青烟气通过管道收集后利用负压风机引至燃烧器与成品料出口的沥青烟气一同在搅拌机中进行二次燃烧，燃烧后的废气引入二级除尘系统，末端设置1套活性炭吸附处理后，由15m排气筒排放。</w:t>
      </w:r>
    </w:p>
    <w:p w14:paraId="1DD4F07C">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default" w:ascii="宋体" w:hAnsi="Calibri" w:eastAsia="宋体"/>
          <w:color w:val="auto"/>
          <w:kern w:val="0"/>
          <w:sz w:val="24"/>
          <w:szCs w:val="24"/>
        </w:rPr>
        <w:t>参考《工业生产中的有害物质手册》第一卷（化学工业出版社，1987年12月出版）及《有机化合物污染化学》（清华大学出版社，1990年8月出版），每吨石油沥青在加热过程中产生沥青烟56.25g</w:t>
      </w:r>
      <w:r>
        <w:rPr>
          <w:rFonts w:hint="eastAsia" w:ascii="宋体" w:hAnsi="Calibri" w:eastAsia="宋体"/>
          <w:color w:val="auto"/>
          <w:kern w:val="0"/>
          <w:sz w:val="24"/>
          <w:szCs w:val="24"/>
        </w:rPr>
        <w:t>，苯并[a]芘</w:t>
      </w:r>
      <w:r>
        <w:rPr>
          <w:rFonts w:hint="eastAsia" w:ascii="宋体" w:hAnsi="Calibri"/>
          <w:color w:val="auto"/>
          <w:kern w:val="0"/>
          <w:sz w:val="24"/>
          <w:szCs w:val="24"/>
          <w:lang w:val="en-US" w:eastAsia="zh-CN"/>
        </w:rPr>
        <w:t>0.010g。</w:t>
      </w:r>
    </w:p>
    <w:p w14:paraId="43CF060F">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default" w:ascii="宋体" w:hAnsi="Calibri" w:eastAsia="宋体"/>
          <w:color w:val="auto"/>
          <w:kern w:val="0"/>
          <w:sz w:val="24"/>
          <w:szCs w:val="24"/>
        </w:rPr>
        <w:t>本项目沥青用量</w:t>
      </w:r>
      <w:r>
        <w:rPr>
          <w:rFonts w:hint="eastAsia" w:ascii="Times New Roman" w:hAnsi="Times New Roman" w:eastAsia="宋体" w:cs="Times New Roman"/>
          <w:color w:val="auto"/>
          <w:kern w:val="0"/>
          <w:sz w:val="24"/>
          <w:szCs w:val="24"/>
          <w:lang w:val="en-US" w:eastAsia="zh-CN"/>
        </w:rPr>
        <w:t>1053.3</w:t>
      </w:r>
      <w:r>
        <w:rPr>
          <w:rFonts w:hint="default" w:ascii="宋体" w:hAnsi="Calibri" w:eastAsia="宋体"/>
          <w:color w:val="auto"/>
          <w:kern w:val="0"/>
          <w:sz w:val="24"/>
          <w:szCs w:val="24"/>
        </w:rPr>
        <w:t>t/a，则苯并[a]芘产生量为</w:t>
      </w:r>
      <w:r>
        <w:rPr>
          <w:rFonts w:hint="eastAsia" w:ascii="宋体" w:hAnsi="Calibri"/>
          <w:color w:val="auto"/>
          <w:kern w:val="0"/>
          <w:sz w:val="24"/>
          <w:szCs w:val="24"/>
          <w:lang w:val="en-US" w:eastAsia="zh-CN"/>
        </w:rPr>
        <w:t>10.533</w:t>
      </w:r>
      <w:r>
        <w:rPr>
          <w:rFonts w:hint="default" w:ascii="宋体" w:hAnsi="Calibri" w:eastAsia="宋体"/>
          <w:color w:val="auto"/>
          <w:kern w:val="0"/>
          <w:sz w:val="24"/>
          <w:szCs w:val="24"/>
        </w:rPr>
        <w:t>g/a（0.00</w:t>
      </w:r>
      <w:r>
        <w:rPr>
          <w:rFonts w:hint="eastAsia" w:ascii="宋体" w:hAnsi="Calibri"/>
          <w:color w:val="auto"/>
          <w:kern w:val="0"/>
          <w:sz w:val="24"/>
          <w:szCs w:val="24"/>
          <w:lang w:val="en-US" w:eastAsia="zh-CN"/>
        </w:rPr>
        <w:t>37</w:t>
      </w:r>
      <w:r>
        <w:rPr>
          <w:rFonts w:hint="default" w:ascii="宋体" w:hAnsi="Calibri" w:eastAsia="宋体"/>
          <w:color w:val="auto"/>
          <w:kern w:val="0"/>
          <w:sz w:val="24"/>
          <w:szCs w:val="24"/>
        </w:rPr>
        <w:t>g/h），沥青烟产生量为0.</w:t>
      </w:r>
      <w:r>
        <w:rPr>
          <w:rFonts w:hint="eastAsia" w:ascii="宋体" w:hAnsi="Calibri"/>
          <w:color w:val="auto"/>
          <w:kern w:val="0"/>
          <w:sz w:val="24"/>
          <w:szCs w:val="24"/>
          <w:lang w:val="en-US" w:eastAsia="zh-CN"/>
        </w:rPr>
        <w:t>059</w:t>
      </w:r>
      <w:r>
        <w:rPr>
          <w:rFonts w:hint="default" w:ascii="宋体" w:hAnsi="Calibri" w:eastAsia="宋体"/>
          <w:color w:val="auto"/>
          <w:kern w:val="0"/>
          <w:sz w:val="24"/>
          <w:szCs w:val="24"/>
        </w:rPr>
        <w:t>t/a（0.</w:t>
      </w:r>
      <w:r>
        <w:rPr>
          <w:rFonts w:hint="eastAsia" w:ascii="宋体" w:hAnsi="Calibri" w:eastAsia="宋体"/>
          <w:color w:val="auto"/>
          <w:kern w:val="0"/>
          <w:sz w:val="24"/>
          <w:szCs w:val="24"/>
        </w:rPr>
        <w:t>0</w:t>
      </w:r>
      <w:r>
        <w:rPr>
          <w:rFonts w:hint="eastAsia" w:ascii="宋体" w:hAnsi="Calibri"/>
          <w:color w:val="auto"/>
          <w:kern w:val="0"/>
          <w:sz w:val="24"/>
          <w:szCs w:val="24"/>
          <w:lang w:val="en-US" w:eastAsia="zh-CN"/>
        </w:rPr>
        <w:t>21</w:t>
      </w:r>
      <w:r>
        <w:rPr>
          <w:rFonts w:hint="default" w:ascii="宋体" w:hAnsi="Calibri" w:eastAsia="宋体"/>
          <w:color w:val="auto"/>
          <w:kern w:val="0"/>
          <w:sz w:val="24"/>
          <w:szCs w:val="24"/>
        </w:rPr>
        <w:t>kg/h）。</w:t>
      </w:r>
    </w:p>
    <w:p w14:paraId="4C4A3C86">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color w:val="auto"/>
          <w:kern w:val="0"/>
          <w:sz w:val="24"/>
          <w:szCs w:val="24"/>
          <w:lang w:eastAsia="zh-CN"/>
        </w:rPr>
        <w:t>本项目沥青存储于沥青储罐中，因大小呼吸作用，会产生沥青烟，由于沥青沸点较高，蒸汽压很小，储罐呼吸废气量很小。本次按照</w:t>
      </w:r>
      <w:r>
        <w:rPr>
          <w:rFonts w:hint="eastAsia" w:ascii="宋体" w:hAnsi="Calibri"/>
          <w:color w:val="auto"/>
          <w:kern w:val="0"/>
          <w:sz w:val="24"/>
          <w:szCs w:val="24"/>
          <w:lang w:val="en-US" w:eastAsia="zh-CN"/>
        </w:rPr>
        <w:t>0.03‰计算，项目沥青年用量为</w:t>
      </w:r>
      <w:r>
        <w:rPr>
          <w:rFonts w:hint="eastAsia" w:ascii="Times New Roman" w:hAnsi="Times New Roman" w:eastAsia="宋体" w:cs="Times New Roman"/>
          <w:color w:val="auto"/>
          <w:kern w:val="0"/>
          <w:sz w:val="24"/>
          <w:szCs w:val="24"/>
          <w:lang w:val="en-US" w:eastAsia="zh-CN"/>
        </w:rPr>
        <w:t>1053.3</w:t>
      </w:r>
      <w:r>
        <w:rPr>
          <w:rFonts w:hint="eastAsia" w:ascii="宋体" w:hAnsi="Calibri"/>
          <w:color w:val="auto"/>
          <w:kern w:val="0"/>
          <w:sz w:val="24"/>
          <w:szCs w:val="24"/>
          <w:lang w:val="en-US" w:eastAsia="zh-CN"/>
        </w:rPr>
        <w:t>t/a，则沥青储罐大小呼吸废气产生量为0.0326t/a。根据</w:t>
      </w:r>
      <w:r>
        <w:rPr>
          <w:rFonts w:hint="default" w:ascii="宋体" w:hAnsi="Calibri" w:eastAsia="宋体"/>
          <w:color w:val="auto"/>
          <w:kern w:val="0"/>
          <w:sz w:val="24"/>
          <w:szCs w:val="24"/>
        </w:rPr>
        <w:t>《工业生产中的有害物质手册》第一卷（化学工业出版社，1987年12月出版）及《有机化合物污染化学》（清华大学出版社，1990年8月出版）</w:t>
      </w:r>
      <w:r>
        <w:rPr>
          <w:rFonts w:hint="eastAsia" w:ascii="宋体" w:hAnsi="Calibri" w:eastAsia="宋体"/>
          <w:color w:val="auto"/>
          <w:kern w:val="0"/>
          <w:sz w:val="24"/>
          <w:szCs w:val="24"/>
          <w:lang w:eastAsia="zh-CN"/>
        </w:rPr>
        <w:t>折算</w:t>
      </w:r>
      <w:r>
        <w:rPr>
          <w:rFonts w:hint="default" w:ascii="宋体" w:hAnsi="Calibri" w:eastAsia="宋体"/>
          <w:color w:val="auto"/>
          <w:kern w:val="0"/>
          <w:sz w:val="24"/>
          <w:szCs w:val="24"/>
        </w:rPr>
        <w:t>，</w:t>
      </w:r>
      <w:r>
        <w:rPr>
          <w:rFonts w:hint="eastAsia" w:ascii="宋体" w:hAnsi="Calibri" w:eastAsia="宋体"/>
          <w:color w:val="auto"/>
          <w:kern w:val="0"/>
          <w:sz w:val="24"/>
          <w:szCs w:val="24"/>
          <w:lang w:eastAsia="zh-CN"/>
        </w:rPr>
        <w:t>废气中</w:t>
      </w:r>
      <w:r>
        <w:rPr>
          <w:rFonts w:hint="eastAsia" w:ascii="宋体" w:hAnsi="Calibri" w:eastAsia="宋体"/>
          <w:color w:val="auto"/>
          <w:kern w:val="0"/>
          <w:sz w:val="24"/>
          <w:szCs w:val="24"/>
        </w:rPr>
        <w:t>苯并[a]芘</w:t>
      </w:r>
      <w:r>
        <w:rPr>
          <w:rFonts w:hint="eastAsia" w:ascii="宋体" w:hAnsi="Calibri" w:eastAsia="宋体"/>
          <w:color w:val="auto"/>
          <w:kern w:val="0"/>
          <w:sz w:val="24"/>
          <w:szCs w:val="24"/>
          <w:lang w:eastAsia="zh-CN"/>
        </w:rPr>
        <w:t>占比为</w:t>
      </w:r>
      <w:r>
        <w:rPr>
          <w:rFonts w:hint="eastAsia" w:ascii="宋体" w:hAnsi="Calibri" w:eastAsia="宋体"/>
          <w:color w:val="auto"/>
          <w:kern w:val="0"/>
          <w:sz w:val="24"/>
          <w:szCs w:val="24"/>
          <w:lang w:val="en-US" w:eastAsia="zh-CN"/>
        </w:rPr>
        <w:t>2‰，则</w:t>
      </w:r>
      <w:r>
        <w:rPr>
          <w:rFonts w:hint="eastAsia" w:ascii="宋体" w:hAnsi="Calibri" w:eastAsia="宋体"/>
          <w:color w:val="auto"/>
          <w:kern w:val="0"/>
          <w:sz w:val="24"/>
          <w:szCs w:val="24"/>
        </w:rPr>
        <w:t>苯并[a]芘</w:t>
      </w:r>
      <w:r>
        <w:rPr>
          <w:rFonts w:hint="eastAsia" w:ascii="宋体" w:hAnsi="Calibri" w:eastAsia="宋体"/>
          <w:color w:val="auto"/>
          <w:kern w:val="0"/>
          <w:sz w:val="24"/>
          <w:szCs w:val="24"/>
          <w:lang w:eastAsia="zh-CN"/>
        </w:rPr>
        <w:t>为</w:t>
      </w:r>
      <w:r>
        <w:rPr>
          <w:rFonts w:hint="eastAsia" w:ascii="宋体" w:hAnsi="Calibri"/>
          <w:color w:val="auto"/>
          <w:kern w:val="0"/>
          <w:sz w:val="24"/>
          <w:szCs w:val="24"/>
          <w:lang w:val="en-US" w:eastAsia="zh-CN"/>
        </w:rPr>
        <w:t>0.0652kg/a。沥青储罐设置集气罩，经集气后进入沥青烟处理系统。</w:t>
      </w:r>
    </w:p>
    <w:p w14:paraId="49DDCB8A">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color w:val="auto"/>
          <w:kern w:val="0"/>
          <w:sz w:val="24"/>
          <w:szCs w:val="24"/>
          <w:lang w:eastAsia="zh-CN"/>
        </w:rPr>
        <w:t>综上沥青烟产生量为</w:t>
      </w:r>
      <w:r>
        <w:rPr>
          <w:rFonts w:hint="eastAsia" w:ascii="宋体" w:hAnsi="Calibri"/>
          <w:color w:val="auto"/>
          <w:kern w:val="0"/>
          <w:sz w:val="24"/>
          <w:szCs w:val="24"/>
          <w:lang w:val="en-US" w:eastAsia="zh-CN"/>
        </w:rPr>
        <w:t>0.0916t/a，</w:t>
      </w:r>
      <w:r>
        <w:rPr>
          <w:rFonts w:hint="eastAsia" w:ascii="宋体" w:hAnsi="Calibri" w:eastAsia="宋体"/>
          <w:color w:val="auto"/>
          <w:kern w:val="0"/>
          <w:sz w:val="24"/>
          <w:szCs w:val="24"/>
        </w:rPr>
        <w:t>苯并[a]芘</w:t>
      </w:r>
      <w:r>
        <w:rPr>
          <w:rFonts w:hint="eastAsia" w:ascii="宋体" w:hAnsi="Calibri" w:eastAsia="宋体"/>
          <w:color w:val="auto"/>
          <w:kern w:val="0"/>
          <w:sz w:val="24"/>
          <w:szCs w:val="24"/>
          <w:lang w:eastAsia="zh-CN"/>
        </w:rPr>
        <w:t>产生量为</w:t>
      </w:r>
      <w:r>
        <w:rPr>
          <w:rFonts w:hint="eastAsia" w:ascii="宋体" w:hAnsi="Calibri"/>
          <w:color w:val="auto"/>
          <w:kern w:val="0"/>
          <w:sz w:val="24"/>
          <w:szCs w:val="24"/>
          <w:lang w:val="en-US" w:eastAsia="zh-CN"/>
        </w:rPr>
        <w:t>0.0757kg/a。</w:t>
      </w:r>
      <w:r>
        <w:rPr>
          <w:rFonts w:hint="eastAsia" w:ascii="宋体" w:hAnsi="Calibri" w:eastAsia="宋体"/>
          <w:color w:val="auto"/>
          <w:kern w:val="0"/>
          <w:sz w:val="24"/>
          <w:szCs w:val="24"/>
        </w:rPr>
        <w:t>集气罩的集气效率取90%，参考</w:t>
      </w:r>
      <w:r>
        <w:rPr>
          <w:rFonts w:hint="default" w:ascii="宋体" w:hAnsi="Calibri" w:eastAsia="宋体"/>
          <w:color w:val="auto"/>
          <w:kern w:val="0"/>
          <w:sz w:val="24"/>
          <w:szCs w:val="24"/>
        </w:rPr>
        <w:t>《沥青烟气燃烧处理技术》刘江雁，石油与天然气化工，第29卷，第4期</w:t>
      </w:r>
      <w:r>
        <w:rPr>
          <w:rFonts w:hint="eastAsia" w:ascii="宋体" w:hAnsi="Calibri" w:eastAsia="宋体"/>
          <w:color w:val="auto"/>
          <w:kern w:val="0"/>
          <w:sz w:val="24"/>
          <w:szCs w:val="24"/>
        </w:rPr>
        <w:t>可知，本项目</w:t>
      </w:r>
      <w:r>
        <w:rPr>
          <w:rFonts w:hint="default" w:ascii="宋体" w:hAnsi="Calibri" w:eastAsia="宋体"/>
          <w:color w:val="auto"/>
          <w:kern w:val="0"/>
          <w:sz w:val="24"/>
          <w:szCs w:val="24"/>
        </w:rPr>
        <w:t>沥青烟、苯并[a]芘二次燃烧</w:t>
      </w:r>
      <w:r>
        <w:rPr>
          <w:rFonts w:hint="eastAsia" w:ascii="宋体" w:hAnsi="Calibri" w:eastAsia="宋体"/>
          <w:color w:val="auto"/>
          <w:kern w:val="0"/>
          <w:sz w:val="24"/>
          <w:szCs w:val="24"/>
        </w:rPr>
        <w:t>，</w:t>
      </w:r>
      <w:r>
        <w:rPr>
          <w:rFonts w:hint="default" w:ascii="宋体" w:hAnsi="Calibri" w:eastAsia="宋体"/>
          <w:color w:val="auto"/>
          <w:kern w:val="0"/>
          <w:sz w:val="24"/>
          <w:szCs w:val="24"/>
        </w:rPr>
        <w:t>去除效率9</w:t>
      </w:r>
      <w:r>
        <w:rPr>
          <w:rFonts w:hint="eastAsia" w:ascii="宋体" w:hAnsi="Calibri" w:eastAsia="宋体"/>
          <w:color w:val="auto"/>
          <w:kern w:val="0"/>
          <w:sz w:val="24"/>
          <w:szCs w:val="24"/>
        </w:rPr>
        <w:t>0</w:t>
      </w:r>
      <w:r>
        <w:rPr>
          <w:rFonts w:hint="default" w:ascii="宋体" w:hAnsi="Calibri" w:eastAsia="宋体"/>
          <w:color w:val="auto"/>
          <w:kern w:val="0"/>
          <w:sz w:val="24"/>
          <w:szCs w:val="24"/>
        </w:rPr>
        <w:t>%，</w:t>
      </w:r>
      <w:r>
        <w:rPr>
          <w:rFonts w:hint="eastAsia" w:ascii="宋体" w:hAnsi="Calibri" w:eastAsia="宋体"/>
          <w:color w:val="auto"/>
          <w:kern w:val="0"/>
          <w:sz w:val="24"/>
          <w:szCs w:val="24"/>
        </w:rPr>
        <w:t>活性炭吸附</w:t>
      </w:r>
      <w:r>
        <w:rPr>
          <w:rFonts w:hint="default" w:ascii="宋体" w:hAnsi="Calibri" w:eastAsia="宋体"/>
          <w:color w:val="auto"/>
          <w:kern w:val="0"/>
          <w:sz w:val="24"/>
          <w:szCs w:val="24"/>
        </w:rPr>
        <w:t>效率</w:t>
      </w:r>
      <w:r>
        <w:rPr>
          <w:rFonts w:hint="eastAsia" w:ascii="宋体" w:hAnsi="Calibri" w:eastAsia="宋体"/>
          <w:color w:val="auto"/>
          <w:kern w:val="0"/>
          <w:sz w:val="24"/>
          <w:szCs w:val="24"/>
        </w:rPr>
        <w:t>80</w:t>
      </w:r>
      <w:r>
        <w:rPr>
          <w:rFonts w:hint="default" w:ascii="宋体" w:hAnsi="Calibri" w:eastAsia="宋体"/>
          <w:color w:val="auto"/>
          <w:kern w:val="0"/>
          <w:sz w:val="24"/>
          <w:szCs w:val="24"/>
        </w:rPr>
        <w:t>%。</w:t>
      </w:r>
    </w:p>
    <w:p w14:paraId="1E5DA989">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eastAsia="宋体"/>
          <w:color w:val="auto"/>
          <w:kern w:val="0"/>
          <w:sz w:val="24"/>
          <w:szCs w:val="24"/>
        </w:rPr>
        <w:t>活性炭吸附为《排污许可申请与核发技术规范石墨及其他非金属矿物制品制造》（HJ1119-2020）沥青混合料生产中沥青罐呼吸废气、成品出料废气的可行治理技术，</w:t>
      </w:r>
      <w:r>
        <w:rPr>
          <w:rFonts w:hint="default" w:ascii="宋体" w:hAnsi="Calibri" w:eastAsia="宋体"/>
          <w:color w:val="auto"/>
          <w:kern w:val="0"/>
          <w:sz w:val="24"/>
          <w:szCs w:val="24"/>
        </w:rPr>
        <w:t>活性炭是一种</w:t>
      </w:r>
      <w:r>
        <w:rPr>
          <w:rFonts w:hint="eastAsia" w:ascii="宋体" w:hAnsi="Calibri" w:eastAsia="宋体"/>
          <w:color w:val="auto"/>
          <w:kern w:val="0"/>
          <w:sz w:val="24"/>
          <w:szCs w:val="24"/>
        </w:rPr>
        <w:t>多孔性的含炭物质</w:t>
      </w:r>
      <w:r>
        <w:rPr>
          <w:rFonts w:hint="default" w:ascii="宋体" w:hAnsi="Calibri" w:eastAsia="宋体"/>
          <w:color w:val="auto"/>
          <w:kern w:val="0"/>
          <w:sz w:val="24"/>
          <w:szCs w:val="24"/>
        </w:rPr>
        <w:t>,</w:t>
      </w:r>
      <w:r>
        <w:rPr>
          <w:rFonts w:hint="eastAsia" w:ascii="宋体" w:hAnsi="Calibri" w:eastAsia="宋体"/>
          <w:color w:val="auto"/>
          <w:kern w:val="0"/>
          <w:sz w:val="24"/>
          <w:szCs w:val="24"/>
        </w:rPr>
        <w:t>它具有高度发达的孔隙构造</w:t>
      </w:r>
      <w:r>
        <w:rPr>
          <w:rFonts w:hint="default" w:ascii="宋体" w:hAnsi="Calibri" w:eastAsia="宋体"/>
          <w:color w:val="auto"/>
          <w:kern w:val="0"/>
          <w:sz w:val="24"/>
          <w:szCs w:val="24"/>
        </w:rPr>
        <w:t>,</w:t>
      </w:r>
      <w:r>
        <w:rPr>
          <w:rFonts w:hint="eastAsia" w:ascii="宋体" w:hAnsi="Calibri" w:eastAsia="宋体"/>
          <w:color w:val="auto"/>
          <w:kern w:val="0"/>
          <w:sz w:val="24"/>
          <w:szCs w:val="24"/>
        </w:rPr>
        <w:t>活性炭的多孔结构为其提供了大量的表面积，能与气体（杂质）充分接触，从而赋予了活性炭所特有的吸附性能，使其非常容易达到吸收收集杂质的目的，活性炭对于低浓度有机物具有较高的吸附效率。</w:t>
      </w:r>
      <w:r>
        <w:rPr>
          <w:rFonts w:hint="default" w:ascii="宋体" w:hAnsi="Calibri" w:eastAsia="宋体"/>
          <w:color w:val="auto"/>
          <w:kern w:val="0"/>
          <w:sz w:val="24"/>
          <w:szCs w:val="24"/>
        </w:rPr>
        <w:t>经采取上述废气净化措施后，沥青烟及</w:t>
      </w:r>
      <w:r>
        <w:rPr>
          <w:rFonts w:hint="eastAsia" w:ascii="宋体" w:hAnsi="Calibri" w:eastAsia="宋体"/>
          <w:color w:val="auto"/>
          <w:kern w:val="0"/>
          <w:sz w:val="24"/>
          <w:szCs w:val="24"/>
        </w:rPr>
        <w:t>苯并</w:t>
      </w:r>
      <w:r>
        <w:rPr>
          <w:rFonts w:hint="default" w:ascii="宋体" w:hAnsi="Calibri" w:eastAsia="宋体"/>
          <w:color w:val="auto"/>
          <w:kern w:val="0"/>
          <w:sz w:val="24"/>
          <w:szCs w:val="24"/>
        </w:rPr>
        <w:t>[a]</w:t>
      </w:r>
      <w:r>
        <w:rPr>
          <w:rFonts w:hint="eastAsia" w:ascii="宋体" w:hAnsi="Calibri" w:eastAsia="宋体"/>
          <w:color w:val="auto"/>
          <w:kern w:val="0"/>
          <w:sz w:val="24"/>
          <w:szCs w:val="24"/>
        </w:rPr>
        <w:t>芘的排放可满足《大气污染物综合排放标准》（</w:t>
      </w:r>
      <w:r>
        <w:rPr>
          <w:rFonts w:hint="default" w:ascii="宋体" w:hAnsi="Calibri" w:eastAsia="宋体"/>
          <w:color w:val="auto"/>
          <w:kern w:val="0"/>
          <w:sz w:val="24"/>
          <w:szCs w:val="24"/>
        </w:rPr>
        <w:t>GB16297-1996</w:t>
      </w:r>
      <w:r>
        <w:rPr>
          <w:rFonts w:hint="eastAsia" w:ascii="宋体" w:hAnsi="Calibri" w:eastAsia="宋体"/>
          <w:color w:val="auto"/>
          <w:kern w:val="0"/>
          <w:sz w:val="24"/>
          <w:szCs w:val="24"/>
        </w:rPr>
        <w:t>）排放标准，措施可行</w:t>
      </w:r>
      <w:r>
        <w:rPr>
          <w:rFonts w:hint="default" w:ascii="宋体" w:hAnsi="Calibri" w:eastAsia="宋体"/>
          <w:color w:val="auto"/>
          <w:kern w:val="0"/>
          <w:sz w:val="24"/>
          <w:szCs w:val="24"/>
        </w:rPr>
        <w:t>。</w:t>
      </w:r>
    </w:p>
    <w:p w14:paraId="62CE09C0">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highlight w:val="none"/>
        </w:rPr>
      </w:pPr>
      <w:r>
        <w:rPr>
          <w:rFonts w:hint="eastAsia" w:ascii="宋体" w:hAnsi="Calibri" w:eastAsia="宋体"/>
          <w:color w:val="auto"/>
          <w:kern w:val="0"/>
          <w:sz w:val="24"/>
          <w:szCs w:val="24"/>
          <w:highlight w:val="none"/>
        </w:rPr>
        <w:t>则有组织</w:t>
      </w:r>
      <w:r>
        <w:rPr>
          <w:rFonts w:hint="default" w:ascii="宋体" w:hAnsi="Calibri" w:eastAsia="宋体"/>
          <w:color w:val="auto"/>
          <w:kern w:val="0"/>
          <w:sz w:val="24"/>
          <w:szCs w:val="24"/>
          <w:highlight w:val="none"/>
        </w:rPr>
        <w:t>沥青烟</w:t>
      </w:r>
      <w:r>
        <w:rPr>
          <w:rFonts w:hint="eastAsia" w:ascii="宋体" w:hAnsi="Calibri"/>
          <w:color w:val="auto"/>
          <w:kern w:val="0"/>
          <w:sz w:val="24"/>
          <w:szCs w:val="24"/>
          <w:highlight w:val="none"/>
          <w:lang w:eastAsia="zh-CN"/>
        </w:rPr>
        <w:t>产生量为</w:t>
      </w:r>
      <w:r>
        <w:rPr>
          <w:rFonts w:hint="default" w:ascii="宋体" w:hAnsi="Calibri" w:eastAsia="宋体"/>
          <w:color w:val="auto"/>
          <w:kern w:val="0"/>
          <w:sz w:val="24"/>
          <w:szCs w:val="24"/>
          <w:highlight w:val="none"/>
        </w:rPr>
        <w:t>0.</w:t>
      </w:r>
      <w:r>
        <w:rPr>
          <w:rFonts w:hint="eastAsia" w:ascii="宋体" w:hAnsi="Calibri"/>
          <w:color w:val="auto"/>
          <w:kern w:val="0"/>
          <w:sz w:val="24"/>
          <w:szCs w:val="24"/>
          <w:highlight w:val="none"/>
          <w:lang w:val="en-US" w:eastAsia="zh-CN"/>
        </w:rPr>
        <w:t>0824</w:t>
      </w:r>
      <w:r>
        <w:rPr>
          <w:rFonts w:hint="default" w:ascii="宋体" w:hAnsi="Calibri" w:eastAsia="宋体"/>
          <w:color w:val="auto"/>
          <w:kern w:val="0"/>
          <w:sz w:val="24"/>
          <w:szCs w:val="24"/>
          <w:highlight w:val="none"/>
        </w:rPr>
        <w:t>t/a（0.</w:t>
      </w:r>
      <w:r>
        <w:rPr>
          <w:rFonts w:hint="eastAsia" w:ascii="宋体" w:hAnsi="Calibri" w:eastAsia="宋体"/>
          <w:color w:val="auto"/>
          <w:kern w:val="0"/>
          <w:sz w:val="24"/>
          <w:szCs w:val="24"/>
          <w:highlight w:val="none"/>
        </w:rPr>
        <w:t>0</w:t>
      </w:r>
      <w:r>
        <w:rPr>
          <w:rFonts w:hint="eastAsia" w:ascii="宋体" w:hAnsi="Calibri"/>
          <w:color w:val="auto"/>
          <w:kern w:val="0"/>
          <w:sz w:val="24"/>
          <w:szCs w:val="24"/>
          <w:highlight w:val="none"/>
          <w:lang w:val="en-US" w:eastAsia="zh-CN"/>
        </w:rPr>
        <w:t>28</w:t>
      </w:r>
      <w:r>
        <w:rPr>
          <w:rFonts w:hint="default" w:ascii="宋体" w:hAnsi="Calibri" w:eastAsia="宋体"/>
          <w:color w:val="auto"/>
          <w:kern w:val="0"/>
          <w:sz w:val="24"/>
          <w:szCs w:val="24"/>
          <w:highlight w:val="none"/>
        </w:rPr>
        <w:t>kg/h）</w:t>
      </w:r>
      <w:r>
        <w:rPr>
          <w:rFonts w:hint="eastAsia" w:ascii="宋体" w:hAnsi="Calibri"/>
          <w:color w:val="auto"/>
          <w:kern w:val="0"/>
          <w:sz w:val="24"/>
          <w:szCs w:val="24"/>
          <w:highlight w:val="none"/>
          <w:lang w:eastAsia="zh-CN"/>
        </w:rPr>
        <w:t>，产生浓度为</w:t>
      </w:r>
      <w:r>
        <w:rPr>
          <w:rFonts w:hint="eastAsia" w:ascii="宋体" w:hAnsi="Calibri"/>
          <w:color w:val="auto"/>
          <w:kern w:val="0"/>
          <w:sz w:val="24"/>
          <w:szCs w:val="24"/>
          <w:highlight w:val="none"/>
          <w:lang w:val="en-US" w:eastAsia="zh-CN"/>
        </w:rPr>
        <w:t>9.91</w:t>
      </w:r>
      <w:r>
        <w:rPr>
          <w:rFonts w:hint="default" w:ascii="宋体" w:hAnsi="Calibri" w:eastAsia="宋体"/>
          <w:color w:val="auto"/>
          <w:kern w:val="0"/>
          <w:sz w:val="24"/>
          <w:szCs w:val="24"/>
          <w:highlight w:val="none"/>
        </w:rPr>
        <w:t>mg/m</w:t>
      </w:r>
      <w:r>
        <w:rPr>
          <w:rFonts w:hint="default" w:ascii="宋体" w:hAnsi="Calibri" w:eastAsia="宋体"/>
          <w:color w:val="auto"/>
          <w:kern w:val="0"/>
          <w:sz w:val="24"/>
          <w:szCs w:val="24"/>
          <w:highlight w:val="none"/>
          <w:vertAlign w:val="superscript"/>
        </w:rPr>
        <w:t>3</w:t>
      </w:r>
      <w:r>
        <w:rPr>
          <w:rFonts w:hint="default" w:ascii="宋体" w:hAnsi="Calibri" w:eastAsia="宋体"/>
          <w:color w:val="auto"/>
          <w:kern w:val="0"/>
          <w:sz w:val="24"/>
          <w:szCs w:val="24"/>
          <w:highlight w:val="none"/>
        </w:rPr>
        <w:t>，</w:t>
      </w:r>
      <w:r>
        <w:rPr>
          <w:rFonts w:hint="eastAsia" w:ascii="宋体" w:hAnsi="Calibri"/>
          <w:color w:val="auto"/>
          <w:kern w:val="0"/>
          <w:sz w:val="24"/>
          <w:szCs w:val="24"/>
          <w:highlight w:val="none"/>
          <w:lang w:eastAsia="zh-CN"/>
        </w:rPr>
        <w:t>排放量为</w:t>
      </w:r>
      <w:r>
        <w:rPr>
          <w:rFonts w:hint="eastAsia" w:ascii="宋体" w:hAnsi="Calibri"/>
          <w:color w:val="auto"/>
          <w:kern w:val="0"/>
          <w:sz w:val="24"/>
          <w:szCs w:val="24"/>
          <w:highlight w:val="none"/>
          <w:lang w:val="en-US" w:eastAsia="zh-CN"/>
        </w:rPr>
        <w:t>0.0016</w:t>
      </w:r>
      <w:r>
        <w:rPr>
          <w:rFonts w:hint="default" w:ascii="宋体" w:hAnsi="Calibri" w:eastAsia="宋体"/>
          <w:color w:val="auto"/>
          <w:kern w:val="0"/>
          <w:sz w:val="24"/>
          <w:szCs w:val="24"/>
          <w:highlight w:val="none"/>
        </w:rPr>
        <w:t>t/a（0.</w:t>
      </w:r>
      <w:r>
        <w:rPr>
          <w:rFonts w:hint="eastAsia" w:ascii="宋体" w:hAnsi="Calibri" w:eastAsia="宋体"/>
          <w:color w:val="auto"/>
          <w:kern w:val="0"/>
          <w:sz w:val="24"/>
          <w:szCs w:val="24"/>
          <w:highlight w:val="none"/>
        </w:rPr>
        <w:t>0</w:t>
      </w:r>
      <w:r>
        <w:rPr>
          <w:rFonts w:hint="eastAsia" w:ascii="宋体" w:hAnsi="Calibri"/>
          <w:color w:val="auto"/>
          <w:kern w:val="0"/>
          <w:sz w:val="24"/>
          <w:szCs w:val="24"/>
          <w:highlight w:val="none"/>
          <w:lang w:val="en-US" w:eastAsia="zh-CN"/>
        </w:rPr>
        <w:t>006</w:t>
      </w:r>
      <w:r>
        <w:rPr>
          <w:rFonts w:hint="default" w:ascii="宋体" w:hAnsi="Calibri" w:eastAsia="宋体"/>
          <w:color w:val="auto"/>
          <w:kern w:val="0"/>
          <w:sz w:val="24"/>
          <w:szCs w:val="24"/>
          <w:highlight w:val="none"/>
        </w:rPr>
        <w:t>kg/h）</w:t>
      </w:r>
      <w:r>
        <w:rPr>
          <w:rFonts w:hint="eastAsia" w:ascii="宋体" w:hAnsi="Calibri"/>
          <w:color w:val="auto"/>
          <w:kern w:val="0"/>
          <w:sz w:val="24"/>
          <w:szCs w:val="24"/>
          <w:highlight w:val="none"/>
          <w:lang w:eastAsia="zh-CN"/>
        </w:rPr>
        <w:t>，</w:t>
      </w:r>
      <w:r>
        <w:rPr>
          <w:rFonts w:hint="default" w:ascii="宋体" w:hAnsi="Calibri" w:eastAsia="宋体"/>
          <w:color w:val="auto"/>
          <w:kern w:val="0"/>
          <w:sz w:val="24"/>
          <w:szCs w:val="24"/>
          <w:highlight w:val="none"/>
        </w:rPr>
        <w:t>排放浓度为0.</w:t>
      </w:r>
      <w:r>
        <w:rPr>
          <w:rFonts w:hint="eastAsia" w:ascii="宋体" w:hAnsi="Calibri"/>
          <w:color w:val="auto"/>
          <w:kern w:val="0"/>
          <w:sz w:val="24"/>
          <w:szCs w:val="24"/>
          <w:highlight w:val="none"/>
          <w:lang w:val="en-US" w:eastAsia="zh-CN"/>
        </w:rPr>
        <w:t>1982</w:t>
      </w:r>
      <w:r>
        <w:rPr>
          <w:rFonts w:hint="default" w:ascii="宋体" w:hAnsi="Calibri" w:eastAsia="宋体"/>
          <w:color w:val="auto"/>
          <w:kern w:val="0"/>
          <w:sz w:val="24"/>
          <w:szCs w:val="24"/>
          <w:highlight w:val="none"/>
        </w:rPr>
        <w:t>mg/m</w:t>
      </w:r>
      <w:r>
        <w:rPr>
          <w:rFonts w:hint="default" w:ascii="宋体" w:hAnsi="Calibri" w:eastAsia="宋体"/>
          <w:color w:val="auto"/>
          <w:kern w:val="0"/>
          <w:sz w:val="24"/>
          <w:szCs w:val="24"/>
          <w:highlight w:val="none"/>
          <w:vertAlign w:val="superscript"/>
        </w:rPr>
        <w:t>3</w:t>
      </w:r>
      <w:r>
        <w:rPr>
          <w:rFonts w:hint="default" w:ascii="宋体" w:hAnsi="Calibri" w:eastAsia="宋体"/>
          <w:color w:val="auto"/>
          <w:kern w:val="0"/>
          <w:sz w:val="24"/>
          <w:szCs w:val="24"/>
          <w:highlight w:val="none"/>
        </w:rPr>
        <w:t>；</w:t>
      </w:r>
      <w:r>
        <w:rPr>
          <w:rFonts w:hint="eastAsia" w:ascii="宋体" w:hAnsi="Calibri" w:eastAsia="宋体"/>
          <w:color w:val="auto"/>
          <w:kern w:val="0"/>
          <w:sz w:val="24"/>
          <w:szCs w:val="24"/>
          <w:highlight w:val="none"/>
        </w:rPr>
        <w:t>无组织沥青烟排放量为</w:t>
      </w:r>
      <w:r>
        <w:rPr>
          <w:rFonts w:hint="default" w:ascii="宋体" w:hAnsi="Calibri" w:eastAsia="宋体"/>
          <w:color w:val="auto"/>
          <w:kern w:val="0"/>
          <w:sz w:val="24"/>
          <w:szCs w:val="24"/>
          <w:highlight w:val="none"/>
        </w:rPr>
        <w:t>0.00</w:t>
      </w:r>
      <w:r>
        <w:rPr>
          <w:rFonts w:hint="eastAsia" w:ascii="宋体" w:hAnsi="Calibri"/>
          <w:color w:val="auto"/>
          <w:kern w:val="0"/>
          <w:sz w:val="24"/>
          <w:szCs w:val="24"/>
          <w:highlight w:val="none"/>
          <w:lang w:val="en-US" w:eastAsia="zh-CN"/>
        </w:rPr>
        <w:t>92</w:t>
      </w:r>
      <w:r>
        <w:rPr>
          <w:rFonts w:hint="default" w:ascii="宋体" w:hAnsi="Calibri" w:eastAsia="宋体"/>
          <w:color w:val="auto"/>
          <w:kern w:val="0"/>
          <w:sz w:val="24"/>
          <w:szCs w:val="24"/>
          <w:highlight w:val="none"/>
        </w:rPr>
        <w:t>t/a（0.00</w:t>
      </w:r>
      <w:r>
        <w:rPr>
          <w:rFonts w:hint="eastAsia" w:ascii="宋体" w:hAnsi="Calibri"/>
          <w:color w:val="auto"/>
          <w:kern w:val="0"/>
          <w:sz w:val="24"/>
          <w:szCs w:val="24"/>
          <w:highlight w:val="none"/>
          <w:lang w:val="en-US" w:eastAsia="zh-CN"/>
        </w:rPr>
        <w:t>3</w:t>
      </w:r>
      <w:r>
        <w:rPr>
          <w:rFonts w:hint="default" w:ascii="宋体" w:hAnsi="Calibri" w:eastAsia="宋体"/>
          <w:color w:val="auto"/>
          <w:kern w:val="0"/>
          <w:sz w:val="24"/>
          <w:szCs w:val="24"/>
          <w:highlight w:val="none"/>
        </w:rPr>
        <w:t>kg/h）；</w:t>
      </w:r>
    </w:p>
    <w:p w14:paraId="298AF498">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highlight w:val="none"/>
          <w:lang w:eastAsia="zh-CN"/>
        </w:rPr>
      </w:pPr>
      <w:r>
        <w:rPr>
          <w:rFonts w:hint="eastAsia" w:ascii="宋体" w:hAnsi="Calibri" w:eastAsia="宋体"/>
          <w:color w:val="auto"/>
          <w:kern w:val="0"/>
          <w:sz w:val="24"/>
          <w:szCs w:val="24"/>
          <w:highlight w:val="none"/>
        </w:rPr>
        <w:t>则有组织</w:t>
      </w:r>
      <w:r>
        <w:rPr>
          <w:rFonts w:hint="default" w:ascii="宋体" w:hAnsi="Calibri" w:eastAsia="宋体"/>
          <w:color w:val="auto"/>
          <w:kern w:val="0"/>
          <w:sz w:val="24"/>
          <w:szCs w:val="24"/>
          <w:highlight w:val="none"/>
        </w:rPr>
        <w:t>苯并[a]芘</w:t>
      </w:r>
      <w:r>
        <w:rPr>
          <w:rFonts w:hint="eastAsia" w:ascii="宋体" w:hAnsi="Calibri"/>
          <w:color w:val="auto"/>
          <w:kern w:val="0"/>
          <w:sz w:val="24"/>
          <w:szCs w:val="24"/>
          <w:highlight w:val="none"/>
          <w:lang w:eastAsia="zh-CN"/>
        </w:rPr>
        <w:t>产生量为</w:t>
      </w:r>
      <w:r>
        <w:rPr>
          <w:rFonts w:hint="eastAsia" w:ascii="宋体" w:hAnsi="Calibri"/>
          <w:color w:val="auto"/>
          <w:kern w:val="0"/>
          <w:sz w:val="24"/>
          <w:szCs w:val="24"/>
          <w:highlight w:val="none"/>
          <w:lang w:val="en-US" w:eastAsia="zh-CN"/>
        </w:rPr>
        <w:t>0.0681k</w:t>
      </w:r>
      <w:r>
        <w:rPr>
          <w:rFonts w:hint="default" w:ascii="宋体" w:hAnsi="Calibri" w:eastAsia="宋体"/>
          <w:color w:val="auto"/>
          <w:kern w:val="0"/>
          <w:sz w:val="24"/>
          <w:szCs w:val="24"/>
          <w:highlight w:val="none"/>
        </w:rPr>
        <w:t>g/a（0.0</w:t>
      </w:r>
      <w:r>
        <w:rPr>
          <w:rFonts w:hint="eastAsia" w:ascii="宋体" w:hAnsi="Calibri"/>
          <w:color w:val="auto"/>
          <w:kern w:val="0"/>
          <w:sz w:val="24"/>
          <w:szCs w:val="24"/>
          <w:highlight w:val="none"/>
          <w:lang w:val="en-US" w:eastAsia="zh-CN"/>
        </w:rPr>
        <w:t>00024k</w:t>
      </w:r>
      <w:r>
        <w:rPr>
          <w:rFonts w:hint="default" w:ascii="宋体" w:hAnsi="Calibri" w:eastAsia="宋体"/>
          <w:color w:val="auto"/>
          <w:kern w:val="0"/>
          <w:sz w:val="24"/>
          <w:szCs w:val="24"/>
          <w:highlight w:val="none"/>
        </w:rPr>
        <w:t>g/h）</w:t>
      </w:r>
      <w:r>
        <w:rPr>
          <w:rFonts w:hint="eastAsia" w:ascii="宋体" w:hAnsi="Calibri"/>
          <w:color w:val="auto"/>
          <w:kern w:val="0"/>
          <w:sz w:val="24"/>
          <w:szCs w:val="24"/>
          <w:highlight w:val="none"/>
          <w:lang w:eastAsia="zh-CN"/>
        </w:rPr>
        <w:t>，产生浓度为</w:t>
      </w:r>
      <w:r>
        <w:rPr>
          <w:rFonts w:hint="eastAsia" w:ascii="宋体" w:hAnsi="Calibri"/>
          <w:color w:val="auto"/>
          <w:kern w:val="0"/>
          <w:sz w:val="24"/>
          <w:szCs w:val="24"/>
          <w:highlight w:val="none"/>
          <w:lang w:val="en-US" w:eastAsia="zh-CN"/>
        </w:rPr>
        <w:t>0.008</w:t>
      </w:r>
      <w:r>
        <w:rPr>
          <w:rFonts w:hint="default" w:ascii="宋体" w:hAnsi="Calibri" w:eastAsia="宋体"/>
          <w:color w:val="auto"/>
          <w:kern w:val="0"/>
          <w:sz w:val="24"/>
          <w:szCs w:val="24"/>
          <w:highlight w:val="none"/>
        </w:rPr>
        <w:t>mg/m</w:t>
      </w:r>
      <w:r>
        <w:rPr>
          <w:rFonts w:hint="default" w:ascii="宋体" w:hAnsi="Calibri" w:eastAsia="宋体"/>
          <w:color w:val="auto"/>
          <w:kern w:val="0"/>
          <w:sz w:val="24"/>
          <w:szCs w:val="24"/>
          <w:highlight w:val="none"/>
          <w:vertAlign w:val="superscript"/>
        </w:rPr>
        <w:t>3</w:t>
      </w:r>
      <w:r>
        <w:rPr>
          <w:rFonts w:hint="default" w:ascii="宋体" w:hAnsi="Calibri" w:eastAsia="宋体"/>
          <w:color w:val="auto"/>
          <w:kern w:val="0"/>
          <w:sz w:val="24"/>
          <w:szCs w:val="24"/>
          <w:highlight w:val="none"/>
        </w:rPr>
        <w:t>，</w:t>
      </w:r>
      <w:r>
        <w:rPr>
          <w:rFonts w:hint="eastAsia" w:ascii="宋体" w:hAnsi="Calibri"/>
          <w:color w:val="auto"/>
          <w:kern w:val="0"/>
          <w:sz w:val="24"/>
          <w:szCs w:val="24"/>
          <w:highlight w:val="none"/>
          <w:lang w:eastAsia="zh-CN"/>
        </w:rPr>
        <w:t>排放量为</w:t>
      </w:r>
      <w:r>
        <w:rPr>
          <w:rFonts w:hint="eastAsia" w:ascii="宋体" w:hAnsi="Calibri"/>
          <w:color w:val="auto"/>
          <w:kern w:val="0"/>
          <w:sz w:val="24"/>
          <w:szCs w:val="24"/>
          <w:highlight w:val="none"/>
          <w:lang w:val="en-US" w:eastAsia="zh-CN"/>
        </w:rPr>
        <w:t>0.0012kg</w:t>
      </w:r>
      <w:r>
        <w:rPr>
          <w:rFonts w:hint="default" w:ascii="宋体" w:hAnsi="Calibri" w:eastAsia="宋体"/>
          <w:color w:val="auto"/>
          <w:kern w:val="0"/>
          <w:sz w:val="24"/>
          <w:szCs w:val="24"/>
          <w:highlight w:val="none"/>
        </w:rPr>
        <w:t>/a（0.</w:t>
      </w:r>
      <w:r>
        <w:rPr>
          <w:rFonts w:hint="eastAsia" w:ascii="宋体" w:hAnsi="Calibri" w:eastAsia="宋体"/>
          <w:color w:val="auto"/>
          <w:kern w:val="0"/>
          <w:sz w:val="24"/>
          <w:szCs w:val="24"/>
          <w:highlight w:val="none"/>
        </w:rPr>
        <w:t>0</w:t>
      </w:r>
      <w:r>
        <w:rPr>
          <w:rFonts w:hint="eastAsia" w:ascii="宋体" w:hAnsi="Calibri"/>
          <w:color w:val="auto"/>
          <w:kern w:val="0"/>
          <w:sz w:val="24"/>
          <w:szCs w:val="24"/>
          <w:highlight w:val="none"/>
          <w:lang w:val="en-US" w:eastAsia="zh-CN"/>
        </w:rPr>
        <w:t>0046</w:t>
      </w:r>
      <w:r>
        <w:rPr>
          <w:rFonts w:hint="default" w:ascii="宋体" w:hAnsi="Calibri" w:eastAsia="宋体"/>
          <w:color w:val="auto"/>
          <w:kern w:val="0"/>
          <w:sz w:val="24"/>
          <w:szCs w:val="24"/>
          <w:highlight w:val="none"/>
        </w:rPr>
        <w:t>g/h）</w:t>
      </w:r>
      <w:r>
        <w:rPr>
          <w:rFonts w:hint="eastAsia" w:ascii="宋体" w:hAnsi="Calibri"/>
          <w:color w:val="auto"/>
          <w:kern w:val="0"/>
          <w:sz w:val="24"/>
          <w:szCs w:val="24"/>
          <w:highlight w:val="none"/>
          <w:lang w:eastAsia="zh-CN"/>
        </w:rPr>
        <w:t>，</w:t>
      </w:r>
      <w:r>
        <w:rPr>
          <w:rFonts w:hint="default" w:ascii="宋体" w:hAnsi="Calibri" w:eastAsia="宋体"/>
          <w:color w:val="auto"/>
          <w:kern w:val="0"/>
          <w:sz w:val="24"/>
          <w:szCs w:val="24"/>
          <w:highlight w:val="none"/>
        </w:rPr>
        <w:t>排放浓度为0.</w:t>
      </w:r>
      <w:r>
        <w:rPr>
          <w:rFonts w:hint="eastAsia" w:ascii="宋体" w:hAnsi="Calibri"/>
          <w:color w:val="auto"/>
          <w:kern w:val="0"/>
          <w:sz w:val="24"/>
          <w:szCs w:val="24"/>
          <w:highlight w:val="none"/>
          <w:lang w:val="en-US" w:eastAsia="zh-CN"/>
        </w:rPr>
        <w:t>00016</w:t>
      </w:r>
      <w:r>
        <w:rPr>
          <w:rFonts w:hint="default" w:ascii="宋体" w:hAnsi="Calibri" w:eastAsia="宋体"/>
          <w:color w:val="auto"/>
          <w:kern w:val="0"/>
          <w:sz w:val="24"/>
          <w:szCs w:val="24"/>
          <w:highlight w:val="none"/>
        </w:rPr>
        <w:t>mg/m</w:t>
      </w:r>
      <w:r>
        <w:rPr>
          <w:rFonts w:hint="default" w:ascii="宋体" w:hAnsi="Calibri" w:eastAsia="宋体"/>
          <w:color w:val="auto"/>
          <w:kern w:val="0"/>
          <w:sz w:val="24"/>
          <w:szCs w:val="24"/>
          <w:highlight w:val="none"/>
          <w:vertAlign w:val="superscript"/>
        </w:rPr>
        <w:t>3</w:t>
      </w:r>
      <w:r>
        <w:rPr>
          <w:rFonts w:hint="default" w:ascii="宋体" w:hAnsi="Calibri" w:eastAsia="宋体"/>
          <w:color w:val="auto"/>
          <w:kern w:val="0"/>
          <w:sz w:val="24"/>
          <w:szCs w:val="24"/>
          <w:highlight w:val="none"/>
        </w:rPr>
        <w:t>；</w:t>
      </w:r>
      <w:r>
        <w:rPr>
          <w:rFonts w:hint="eastAsia" w:ascii="宋体" w:hAnsi="Calibri" w:eastAsia="宋体"/>
          <w:color w:val="auto"/>
          <w:kern w:val="0"/>
          <w:sz w:val="24"/>
          <w:szCs w:val="24"/>
          <w:highlight w:val="none"/>
        </w:rPr>
        <w:t>无组织</w:t>
      </w:r>
      <w:r>
        <w:rPr>
          <w:rFonts w:hint="eastAsia" w:ascii="宋体" w:hAnsi="Calibri"/>
          <w:color w:val="auto"/>
          <w:kern w:val="0"/>
          <w:sz w:val="24"/>
          <w:szCs w:val="24"/>
          <w:highlight w:val="none"/>
          <w:lang w:eastAsia="zh-CN"/>
        </w:rPr>
        <w:t>苯并芘</w:t>
      </w:r>
      <w:r>
        <w:rPr>
          <w:rFonts w:hint="eastAsia" w:ascii="宋体" w:hAnsi="Calibri" w:eastAsia="宋体"/>
          <w:color w:val="auto"/>
          <w:kern w:val="0"/>
          <w:sz w:val="24"/>
          <w:szCs w:val="24"/>
          <w:highlight w:val="none"/>
        </w:rPr>
        <w:t>排放量为</w:t>
      </w:r>
      <w:r>
        <w:rPr>
          <w:rFonts w:hint="default" w:ascii="宋体" w:hAnsi="Calibri" w:eastAsia="宋体"/>
          <w:color w:val="auto"/>
          <w:kern w:val="0"/>
          <w:sz w:val="24"/>
          <w:szCs w:val="24"/>
          <w:highlight w:val="none"/>
        </w:rPr>
        <w:t>0.</w:t>
      </w:r>
      <w:r>
        <w:rPr>
          <w:rFonts w:hint="eastAsia" w:ascii="宋体" w:hAnsi="Calibri"/>
          <w:color w:val="auto"/>
          <w:kern w:val="0"/>
          <w:sz w:val="24"/>
          <w:szCs w:val="24"/>
          <w:highlight w:val="none"/>
          <w:lang w:val="en-US" w:eastAsia="zh-CN"/>
        </w:rPr>
        <w:t>0076kg</w:t>
      </w:r>
      <w:r>
        <w:rPr>
          <w:rFonts w:hint="default" w:ascii="宋体" w:hAnsi="Calibri" w:eastAsia="宋体"/>
          <w:color w:val="auto"/>
          <w:kern w:val="0"/>
          <w:sz w:val="24"/>
          <w:szCs w:val="24"/>
          <w:highlight w:val="none"/>
        </w:rPr>
        <w:t>/a（0.00</w:t>
      </w:r>
      <w:r>
        <w:rPr>
          <w:rFonts w:hint="eastAsia" w:ascii="宋体" w:hAnsi="Calibri"/>
          <w:color w:val="auto"/>
          <w:kern w:val="0"/>
          <w:sz w:val="24"/>
          <w:szCs w:val="24"/>
          <w:highlight w:val="none"/>
          <w:lang w:val="en-US" w:eastAsia="zh-CN"/>
        </w:rPr>
        <w:t>25</w:t>
      </w:r>
      <w:r>
        <w:rPr>
          <w:rFonts w:hint="default" w:ascii="宋体" w:hAnsi="Calibri" w:eastAsia="宋体"/>
          <w:color w:val="auto"/>
          <w:kern w:val="0"/>
          <w:sz w:val="24"/>
          <w:szCs w:val="24"/>
          <w:highlight w:val="none"/>
        </w:rPr>
        <w:t>g/h）</w:t>
      </w:r>
      <w:r>
        <w:rPr>
          <w:rFonts w:hint="eastAsia" w:ascii="宋体" w:hAnsi="Calibri"/>
          <w:color w:val="auto"/>
          <w:kern w:val="0"/>
          <w:sz w:val="24"/>
          <w:szCs w:val="24"/>
          <w:highlight w:val="none"/>
          <w:lang w:eastAsia="zh-CN"/>
        </w:rPr>
        <w:t>。</w:t>
      </w:r>
    </w:p>
    <w:p w14:paraId="3A3E5606">
      <w:pPr>
        <w:keepNext w:val="0"/>
        <w:keepLines w:val="0"/>
        <w:pageBreakBefore w:val="0"/>
        <w:widowControl w:val="0"/>
        <w:suppressLineNumbers w:val="0"/>
        <w:kinsoku/>
        <w:wordWrap/>
        <w:topLinePunct w:val="0"/>
        <w:bidi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沥青烟、苯并[a]芘的排放浓度、排放速率均可以满足《大气污染物综合排放标准》(GB16297-1996)表2中二级标准要求。（沥青烟≤75mg/m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，0.18kg/h；苯并[a]芘≤0.0003mg/m</w:t>
      </w:r>
      <w:r>
        <w:rPr>
          <w:rFonts w:hint="default" w:ascii="宋体" w:hAnsi="Calibri" w:eastAsia="宋体"/>
          <w:color w:val="auto"/>
          <w:kern w:val="0"/>
          <w:sz w:val="24"/>
          <w:szCs w:val="24"/>
          <w:vertAlign w:val="superscript"/>
        </w:rPr>
        <w:t>3</w:t>
      </w:r>
      <w:r>
        <w:rPr>
          <w:rFonts w:hint="default" w:ascii="宋体" w:hAnsi="Calibri" w:eastAsia="宋体"/>
          <w:color w:val="auto"/>
          <w:kern w:val="0"/>
          <w:sz w:val="24"/>
          <w:szCs w:val="24"/>
        </w:rPr>
        <w:t>，0.00005kg/h。</w:t>
      </w:r>
    </w:p>
    <w:p w14:paraId="18EA73A4">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Calibri" w:hAnsi="Calibri" w:eastAsia="宋体" w:cs="Calibri"/>
          <w:color w:val="auto"/>
          <w:kern w:val="0"/>
          <w:sz w:val="24"/>
          <w:szCs w:val="24"/>
        </w:rPr>
      </w:pPr>
      <w:r>
        <w:rPr>
          <w:rFonts w:hint="default" w:ascii="Calibri" w:hAnsi="Calibri" w:eastAsia="宋体" w:cs="Calibri"/>
          <w:color w:val="auto"/>
          <w:kern w:val="0"/>
          <w:sz w:val="24"/>
          <w:szCs w:val="24"/>
        </w:rPr>
        <w:t>②</w:t>
      </w:r>
      <w:r>
        <w:rPr>
          <w:rFonts w:hint="eastAsia" w:ascii="Calibri" w:hAnsi="Calibri" w:eastAsia="宋体" w:cs="Calibri"/>
          <w:color w:val="auto"/>
          <w:kern w:val="0"/>
          <w:sz w:val="24"/>
          <w:szCs w:val="24"/>
        </w:rPr>
        <w:t>废气处理措施的可行性分析</w:t>
      </w:r>
    </w:p>
    <w:p w14:paraId="1EF07E7E">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根据《沥青烟气燃烧处理技术》刘江雁，石油与天然气化工，第29卷，第4期，关于在实验室模拟现场沥青熬制工艺流程，增设沥青烟气回收处理系统。用引风机将融化罐中的沥青烟气抽出并与天然气混合进入燃烧炉中燃烧。根据相关实验测定沥青烟气中各组分含量可知，沥青烟气中除了含有水蒸气外，还含有大量的烷烃和苯系物，这些有机物均可燃烧。引用其实验结果知：当燃烧炉内的温度达到510℃时，燃烧后烟气中的有机物含量已不能检出，而且随着燃烧反应的进行，燃烧炉中温度会不断升高，其燃烧效果更为明显。本项目柴油燃烧器燃烧室内燃烧温度在</w:t>
      </w:r>
      <w:r>
        <w:rPr>
          <w:rFonts w:hint="eastAsia" w:ascii="宋体" w:hAnsi="Calibri" w:eastAsia="宋体"/>
          <w:color w:val="auto"/>
          <w:kern w:val="0"/>
          <w:sz w:val="24"/>
          <w:szCs w:val="24"/>
        </w:rPr>
        <w:t>80</w:t>
      </w:r>
      <w:r>
        <w:rPr>
          <w:rFonts w:hint="default" w:ascii="宋体" w:hAnsi="Calibri" w:eastAsia="宋体"/>
          <w:color w:val="auto"/>
          <w:kern w:val="0"/>
          <w:sz w:val="24"/>
          <w:szCs w:val="24"/>
        </w:rPr>
        <w:t>0-</w:t>
      </w:r>
      <w:r>
        <w:rPr>
          <w:rFonts w:hint="eastAsia" w:ascii="宋体" w:hAnsi="Calibri" w:eastAsia="宋体"/>
          <w:color w:val="auto"/>
          <w:kern w:val="0"/>
          <w:sz w:val="24"/>
          <w:szCs w:val="24"/>
        </w:rPr>
        <w:t>10</w:t>
      </w:r>
      <w:r>
        <w:rPr>
          <w:rFonts w:hint="default" w:ascii="宋体" w:hAnsi="Calibri" w:eastAsia="宋体"/>
          <w:color w:val="auto"/>
          <w:kern w:val="0"/>
          <w:sz w:val="24"/>
          <w:szCs w:val="24"/>
        </w:rPr>
        <w:t>00℃，可以有效处理沥青储罐产生的沥青烟气中的各类有机污染物。</w:t>
      </w:r>
    </w:p>
    <w:p w14:paraId="61311395">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eastAsia" w:ascii="宋体" w:hAnsi="Calibri" w:eastAsia="宋体"/>
          <w:color w:val="auto"/>
          <w:kern w:val="0"/>
          <w:sz w:val="24"/>
          <w:szCs w:val="24"/>
        </w:rPr>
      </w:pPr>
      <w:r>
        <w:rPr>
          <w:rFonts w:hint="eastAsia" w:ascii="宋体" w:hAnsi="Calibri" w:eastAsia="宋体"/>
          <w:color w:val="auto"/>
          <w:kern w:val="0"/>
          <w:sz w:val="24"/>
          <w:szCs w:val="24"/>
        </w:rPr>
        <w:t>（4）矿粉罐呼吸粉尘</w:t>
      </w:r>
    </w:p>
    <w:p w14:paraId="74407A1B">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本项目共设置</w:t>
      </w:r>
      <w:r>
        <w:rPr>
          <w:rFonts w:hint="eastAsia" w:ascii="宋体" w:hAnsi="Calibri" w:eastAsia="宋体"/>
          <w:color w:val="auto"/>
          <w:kern w:val="0"/>
          <w:sz w:val="24"/>
          <w:szCs w:val="24"/>
        </w:rPr>
        <w:t>1</w:t>
      </w:r>
      <w:r>
        <w:rPr>
          <w:rFonts w:hint="default" w:ascii="宋体" w:hAnsi="Calibri" w:eastAsia="宋体"/>
          <w:color w:val="auto"/>
          <w:kern w:val="0"/>
          <w:sz w:val="24"/>
          <w:szCs w:val="24"/>
        </w:rPr>
        <w:t>座</w:t>
      </w:r>
      <w:r>
        <w:rPr>
          <w:rFonts w:hint="eastAsia" w:ascii="宋体" w:hAnsi="Calibri" w:eastAsia="宋体"/>
          <w:color w:val="auto"/>
          <w:kern w:val="0"/>
          <w:sz w:val="24"/>
          <w:szCs w:val="24"/>
        </w:rPr>
        <w:t>矿粉罐，</w:t>
      </w:r>
      <w:r>
        <w:rPr>
          <w:rFonts w:hint="default" w:ascii="宋体" w:hAnsi="Calibri" w:eastAsia="宋体"/>
          <w:color w:val="auto"/>
          <w:kern w:val="0"/>
          <w:sz w:val="24"/>
          <w:szCs w:val="24"/>
        </w:rPr>
        <w:t>仓顶呼吸孔</w:t>
      </w:r>
      <w:r>
        <w:rPr>
          <w:rFonts w:hint="eastAsia" w:ascii="宋体" w:hAnsi="Calibri" w:eastAsia="宋体"/>
          <w:color w:val="auto"/>
          <w:kern w:val="0"/>
          <w:sz w:val="24"/>
          <w:szCs w:val="24"/>
        </w:rPr>
        <w:t>采用</w:t>
      </w:r>
      <w:r>
        <w:rPr>
          <w:rFonts w:hint="default" w:ascii="宋体" w:hAnsi="Calibri" w:eastAsia="宋体"/>
          <w:color w:val="auto"/>
          <w:kern w:val="0"/>
          <w:sz w:val="24"/>
          <w:szCs w:val="24"/>
        </w:rPr>
        <w:t>1台布袋除尘器</w:t>
      </w:r>
      <w:r>
        <w:rPr>
          <w:rFonts w:hint="eastAsia" w:ascii="宋体" w:hAnsi="Calibri" w:eastAsia="宋体"/>
          <w:color w:val="auto"/>
          <w:kern w:val="0"/>
          <w:sz w:val="24"/>
          <w:szCs w:val="24"/>
        </w:rPr>
        <w:t>，</w:t>
      </w:r>
      <w:r>
        <w:rPr>
          <w:rFonts w:hint="eastAsia" w:ascii="宋体" w:hAnsi="Calibri"/>
          <w:color w:val="auto"/>
          <w:kern w:val="0"/>
          <w:sz w:val="24"/>
          <w:szCs w:val="24"/>
          <w:lang w:eastAsia="zh-CN"/>
        </w:rPr>
        <w:t>无组织排放</w:t>
      </w:r>
      <w:r>
        <w:rPr>
          <w:rFonts w:hint="default" w:ascii="宋体" w:hAnsi="Calibri" w:eastAsia="宋体"/>
          <w:color w:val="auto"/>
          <w:kern w:val="0"/>
          <w:sz w:val="24"/>
          <w:szCs w:val="24"/>
        </w:rPr>
        <w:t>。</w:t>
      </w:r>
    </w:p>
    <w:p w14:paraId="17FDAD0E">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lang w:val="en-US" w:eastAsia="zh-CN"/>
        </w:rPr>
      </w:pPr>
      <w:r>
        <w:rPr>
          <w:rFonts w:hint="default" w:ascii="宋体" w:hAnsi="Calibri" w:eastAsia="宋体"/>
          <w:color w:val="auto"/>
          <w:kern w:val="0"/>
          <w:sz w:val="24"/>
          <w:szCs w:val="24"/>
        </w:rPr>
        <w:t>根据《环境工程统计手册》中一般粒径范围的给料粉尘产生量系数为0.0006t/原料-t，</w:t>
      </w:r>
      <w:r>
        <w:rPr>
          <w:rFonts w:hint="eastAsia" w:ascii="宋体" w:hAnsi="Calibri" w:eastAsia="宋体"/>
          <w:color w:val="auto"/>
          <w:kern w:val="0"/>
          <w:sz w:val="24"/>
          <w:szCs w:val="24"/>
        </w:rPr>
        <w:t>矿粉罐</w:t>
      </w:r>
      <w:r>
        <w:rPr>
          <w:rFonts w:hint="default" w:ascii="宋体" w:hAnsi="Calibri" w:eastAsia="宋体"/>
          <w:color w:val="auto"/>
          <w:kern w:val="0"/>
          <w:sz w:val="24"/>
          <w:szCs w:val="24"/>
        </w:rPr>
        <w:t>中</w:t>
      </w:r>
      <w:r>
        <w:rPr>
          <w:rFonts w:hint="eastAsia" w:ascii="宋体" w:hAnsi="Calibri" w:eastAsia="宋体"/>
          <w:color w:val="auto"/>
          <w:kern w:val="0"/>
          <w:sz w:val="24"/>
          <w:szCs w:val="24"/>
        </w:rPr>
        <w:t>年周转</w:t>
      </w:r>
      <w:r>
        <w:rPr>
          <w:rFonts w:hint="default" w:ascii="宋体" w:hAnsi="Calibri" w:eastAsia="宋体"/>
          <w:color w:val="auto"/>
          <w:kern w:val="0"/>
          <w:sz w:val="24"/>
          <w:szCs w:val="24"/>
        </w:rPr>
        <w:t>物料为</w:t>
      </w:r>
      <w:r>
        <w:rPr>
          <w:rFonts w:hint="eastAsia" w:ascii="Times New Roman" w:hAnsi="Times New Roman" w:eastAsia="宋体" w:cs="Times New Roman"/>
          <w:color w:val="auto"/>
          <w:kern w:val="0"/>
          <w:sz w:val="24"/>
          <w:szCs w:val="24"/>
          <w:lang w:val="en-US" w:eastAsia="zh-CN"/>
        </w:rPr>
        <w:t>1000</w:t>
      </w:r>
      <w:r>
        <w:rPr>
          <w:rFonts w:hint="default" w:ascii="宋体" w:hAnsi="Calibri" w:eastAsia="宋体"/>
          <w:color w:val="auto"/>
          <w:kern w:val="0"/>
          <w:sz w:val="24"/>
          <w:szCs w:val="24"/>
        </w:rPr>
        <w:t>t/a</w:t>
      </w:r>
      <w:r>
        <w:rPr>
          <w:rFonts w:hint="eastAsia" w:ascii="宋体" w:hAnsi="Calibri" w:eastAsia="宋体"/>
          <w:color w:val="auto"/>
          <w:kern w:val="0"/>
          <w:sz w:val="24"/>
          <w:szCs w:val="24"/>
        </w:rPr>
        <w:t>，</w:t>
      </w:r>
      <w:r>
        <w:rPr>
          <w:rFonts w:hint="default" w:ascii="宋体" w:hAnsi="Calibri" w:eastAsia="宋体"/>
          <w:color w:val="auto"/>
          <w:kern w:val="0"/>
          <w:sz w:val="24"/>
          <w:szCs w:val="24"/>
        </w:rPr>
        <w:t>则年产量为</w:t>
      </w:r>
      <w:r>
        <w:rPr>
          <w:rFonts w:hint="eastAsia" w:ascii="宋体" w:hAnsi="Calibri" w:eastAsia="宋体"/>
          <w:color w:val="auto"/>
          <w:kern w:val="0"/>
          <w:sz w:val="24"/>
          <w:szCs w:val="24"/>
        </w:rPr>
        <w:t>0.</w:t>
      </w:r>
      <w:r>
        <w:rPr>
          <w:rFonts w:hint="eastAsia" w:ascii="宋体" w:hAnsi="Calibri"/>
          <w:color w:val="auto"/>
          <w:kern w:val="0"/>
          <w:sz w:val="24"/>
          <w:szCs w:val="24"/>
          <w:lang w:val="en-US" w:eastAsia="zh-CN"/>
        </w:rPr>
        <w:t>6</w:t>
      </w:r>
      <w:r>
        <w:rPr>
          <w:rFonts w:hint="default" w:ascii="宋体" w:hAnsi="Calibri" w:eastAsia="宋体"/>
          <w:color w:val="auto"/>
          <w:kern w:val="0"/>
          <w:sz w:val="24"/>
          <w:szCs w:val="24"/>
        </w:rPr>
        <w:t>t/a</w:t>
      </w:r>
      <w:r>
        <w:rPr>
          <w:rFonts w:hint="eastAsia" w:ascii="宋体" w:hAnsi="Calibri" w:eastAsia="宋体"/>
          <w:color w:val="auto"/>
          <w:kern w:val="0"/>
          <w:sz w:val="24"/>
          <w:szCs w:val="24"/>
        </w:rPr>
        <w:t>（0.</w:t>
      </w:r>
      <w:r>
        <w:rPr>
          <w:rFonts w:hint="eastAsia" w:ascii="宋体" w:hAnsi="Calibri"/>
          <w:color w:val="auto"/>
          <w:kern w:val="0"/>
          <w:sz w:val="24"/>
          <w:szCs w:val="24"/>
          <w:lang w:val="en-US" w:eastAsia="zh-CN"/>
        </w:rPr>
        <w:t>208k</w:t>
      </w:r>
      <w:r>
        <w:rPr>
          <w:rFonts w:hint="eastAsia" w:ascii="宋体" w:hAnsi="Calibri" w:eastAsia="宋体"/>
          <w:color w:val="auto"/>
          <w:kern w:val="0"/>
          <w:sz w:val="24"/>
          <w:szCs w:val="24"/>
        </w:rPr>
        <w:t>g/h）</w:t>
      </w:r>
      <w:r>
        <w:rPr>
          <w:rFonts w:hint="eastAsia" w:ascii="宋体" w:hAnsi="Calibri"/>
          <w:color w:val="auto"/>
          <w:kern w:val="0"/>
          <w:sz w:val="24"/>
          <w:szCs w:val="24"/>
          <w:lang w:eastAsia="zh-CN"/>
        </w:rPr>
        <w:t>，仓顶采用布袋除尘器，去除效率为</w:t>
      </w:r>
      <w:r>
        <w:rPr>
          <w:rFonts w:hint="eastAsia" w:ascii="宋体" w:hAnsi="Calibri"/>
          <w:color w:val="auto"/>
          <w:kern w:val="0"/>
          <w:sz w:val="24"/>
          <w:szCs w:val="24"/>
          <w:lang w:val="en-US" w:eastAsia="zh-CN"/>
        </w:rPr>
        <w:t>99%，则无组织排放量为0.006t/a（0.00208k</w:t>
      </w:r>
      <w:r>
        <w:rPr>
          <w:rFonts w:hint="eastAsia" w:ascii="宋体" w:hAnsi="Calibri" w:eastAsia="宋体"/>
          <w:color w:val="auto"/>
          <w:kern w:val="0"/>
          <w:sz w:val="24"/>
          <w:szCs w:val="24"/>
        </w:rPr>
        <w:t>g/h</w:t>
      </w:r>
      <w:r>
        <w:rPr>
          <w:rFonts w:hint="eastAsia" w:ascii="宋体" w:hAnsi="Calibri"/>
          <w:color w:val="auto"/>
          <w:kern w:val="0"/>
          <w:sz w:val="24"/>
          <w:szCs w:val="24"/>
          <w:lang w:val="en-US" w:eastAsia="zh-CN"/>
        </w:rPr>
        <w:t>）。</w:t>
      </w:r>
    </w:p>
    <w:p w14:paraId="367230E5">
      <w:pPr>
        <w:keepNext w:val="0"/>
        <w:keepLines w:val="0"/>
        <w:pageBreakBefore w:val="0"/>
        <w:widowControl w:val="0"/>
        <w:suppressLineNumbers w:val="0"/>
        <w:kinsoku/>
        <w:wordWrap/>
        <w:topLinePunct w:val="0"/>
        <w:bidi w:val="0"/>
        <w:adjustRightInd w:val="0"/>
        <w:snapToGrid w:val="0"/>
        <w:spacing w:before="0" w:beforeAutospacing="0" w:after="0" w:afterAutospacing="0" w:line="500" w:lineRule="exact"/>
        <w:ind w:left="0" w:right="0" w:firstLine="480" w:firstLineChars="200"/>
        <w:jc w:val="left"/>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w:t>
      </w:r>
      <w:r>
        <w:rPr>
          <w:rFonts w:hint="eastAsia" w:ascii="宋体" w:hAnsi="Calibri"/>
          <w:color w:val="auto"/>
          <w:kern w:val="0"/>
          <w:sz w:val="24"/>
          <w:szCs w:val="24"/>
          <w:lang w:val="en-US" w:eastAsia="zh-CN"/>
        </w:rPr>
        <w:t>5</w:t>
      </w:r>
      <w:r>
        <w:rPr>
          <w:rFonts w:hint="default" w:ascii="宋体" w:hAnsi="Calibri" w:eastAsia="宋体"/>
          <w:color w:val="auto"/>
          <w:kern w:val="0"/>
          <w:sz w:val="24"/>
          <w:szCs w:val="24"/>
        </w:rPr>
        <w:t>）原料堆料区扬尘</w:t>
      </w:r>
    </w:p>
    <w:p w14:paraId="1FD8439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center"/>
        <w:outlineLvl w:val="9"/>
        <w:rPr>
          <w:rFonts w:hint="default" w:ascii="宋体" w:hAnsi="Calibri" w:eastAsia="宋体"/>
          <w:color w:val="auto"/>
          <w:kern w:val="0"/>
          <w:sz w:val="24"/>
          <w:szCs w:val="24"/>
        </w:rPr>
      </w:pPr>
      <w:r>
        <w:rPr>
          <w:rFonts w:hint="default" w:ascii="宋体" w:hAnsi="Calibri" w:eastAsia="宋体"/>
          <w:color w:val="auto"/>
          <w:kern w:val="0"/>
          <w:sz w:val="24"/>
          <w:szCs w:val="24"/>
        </w:rPr>
        <w:t>本项目设置占地面积</w:t>
      </w:r>
      <w:r>
        <w:rPr>
          <w:rFonts w:hint="eastAsia" w:ascii="宋体" w:hAnsi="Calibri"/>
          <w:color w:val="auto"/>
          <w:kern w:val="0"/>
          <w:sz w:val="24"/>
          <w:szCs w:val="24"/>
          <w:lang w:val="en-US" w:eastAsia="zh-CN"/>
        </w:rPr>
        <w:t>80</w:t>
      </w:r>
      <w:r>
        <w:rPr>
          <w:rFonts w:hint="default" w:ascii="宋体" w:hAnsi="Calibri" w:eastAsia="宋体"/>
          <w:color w:val="auto"/>
          <w:kern w:val="0"/>
          <w:sz w:val="24"/>
          <w:szCs w:val="24"/>
        </w:rPr>
        <w:t>00m</w:t>
      </w:r>
      <w:r>
        <w:rPr>
          <w:rFonts w:hint="default" w:ascii="宋体" w:hAnsi="Calibri" w:eastAsia="宋体"/>
          <w:color w:val="auto"/>
          <w:kern w:val="0"/>
          <w:sz w:val="24"/>
          <w:szCs w:val="24"/>
          <w:vertAlign w:val="superscript"/>
        </w:rPr>
        <w:t>2</w:t>
      </w:r>
      <w:r>
        <w:rPr>
          <w:rFonts w:hint="default" w:ascii="宋体" w:hAnsi="Calibri" w:eastAsia="宋体"/>
          <w:color w:val="auto"/>
          <w:kern w:val="0"/>
          <w:sz w:val="24"/>
          <w:szCs w:val="24"/>
        </w:rPr>
        <w:t>的碎石（骨料）原料堆放场地，骨料堆放场地在碎石、砂卸料、堆放过程产生无组织排放粉尘。</w:t>
      </w:r>
      <w:r>
        <w:rPr>
          <w:rFonts w:hint="eastAsia" w:ascii="宋体" w:hAnsi="Calibri" w:eastAsia="宋体"/>
          <w:color w:val="auto"/>
          <w:kern w:val="0"/>
          <w:sz w:val="24"/>
          <w:szCs w:val="24"/>
        </w:rPr>
        <w:t>参照《逸散性工业粉尘控制技术》中“表21-1沥青混凝土制造厂的逸散尘排放因子”，原材料砂子装卸到原料堆场过程中的粉尘排放系数按0.02kg/t（上堆料）计算，</w:t>
      </w:r>
      <w:r>
        <w:rPr>
          <w:rFonts w:hint="default" w:ascii="宋体" w:hAnsi="Calibri" w:eastAsia="宋体"/>
          <w:color w:val="auto"/>
          <w:kern w:val="0"/>
          <w:sz w:val="24"/>
          <w:szCs w:val="24"/>
        </w:rPr>
        <w:t>拟建项目的碎石</w:t>
      </w:r>
      <w:r>
        <w:rPr>
          <w:rFonts w:hint="eastAsia" w:ascii="宋体" w:hAnsi="Calibri"/>
          <w:color w:val="auto"/>
          <w:kern w:val="0"/>
          <w:sz w:val="24"/>
          <w:szCs w:val="24"/>
          <w:lang w:eastAsia="zh-CN"/>
        </w:rPr>
        <w:t>及机制砂</w:t>
      </w:r>
      <w:r>
        <w:rPr>
          <w:rFonts w:hint="default" w:ascii="宋体" w:hAnsi="Calibri" w:eastAsia="宋体"/>
          <w:color w:val="auto"/>
          <w:kern w:val="0"/>
          <w:sz w:val="24"/>
          <w:szCs w:val="24"/>
        </w:rPr>
        <w:t>用量</w:t>
      </w:r>
      <w:r>
        <w:rPr>
          <w:rFonts w:hint="eastAsia" w:ascii="宋体" w:hAnsi="Calibri"/>
          <w:color w:val="auto"/>
          <w:kern w:val="0"/>
          <w:sz w:val="24"/>
          <w:szCs w:val="24"/>
          <w:lang w:val="en-US" w:eastAsia="zh-CN"/>
        </w:rPr>
        <w:t>41146.7</w:t>
      </w:r>
      <w:r>
        <w:rPr>
          <w:rFonts w:hint="default" w:ascii="宋体" w:hAnsi="Calibri" w:eastAsia="宋体"/>
          <w:color w:val="auto"/>
          <w:kern w:val="0"/>
          <w:sz w:val="24"/>
          <w:szCs w:val="24"/>
        </w:rPr>
        <w:t>t/a，</w:t>
      </w:r>
      <w:r>
        <w:rPr>
          <w:rFonts w:hint="eastAsia" w:ascii="宋体" w:hAnsi="Calibri"/>
          <w:color w:val="auto"/>
          <w:kern w:val="0"/>
          <w:sz w:val="24"/>
          <w:szCs w:val="24"/>
          <w:lang w:eastAsia="zh-CN"/>
        </w:rPr>
        <w:t>存储时间按</w:t>
      </w:r>
      <w:r>
        <w:rPr>
          <w:rFonts w:hint="eastAsia" w:ascii="宋体" w:hAnsi="Calibri"/>
          <w:color w:val="auto"/>
          <w:kern w:val="0"/>
          <w:sz w:val="24"/>
          <w:szCs w:val="24"/>
          <w:lang w:val="en-US" w:eastAsia="zh-CN"/>
        </w:rPr>
        <w:t>4320h，</w:t>
      </w:r>
      <w:r>
        <w:rPr>
          <w:rFonts w:hint="default" w:ascii="宋体" w:hAnsi="Calibri" w:eastAsia="宋体"/>
          <w:color w:val="auto"/>
          <w:kern w:val="0"/>
          <w:sz w:val="24"/>
          <w:szCs w:val="24"/>
        </w:rPr>
        <w:t>估算得无组织粉尘发生量约为</w:t>
      </w:r>
      <w:r>
        <w:rPr>
          <w:rFonts w:hint="eastAsia" w:ascii="宋体" w:hAnsi="Calibri" w:eastAsia="宋体"/>
          <w:color w:val="auto"/>
          <w:kern w:val="0"/>
          <w:sz w:val="24"/>
          <w:szCs w:val="24"/>
        </w:rPr>
        <w:t>0.</w:t>
      </w:r>
      <w:r>
        <w:rPr>
          <w:rFonts w:hint="eastAsia" w:ascii="宋体" w:hAnsi="Calibri"/>
          <w:color w:val="auto"/>
          <w:kern w:val="0"/>
          <w:sz w:val="24"/>
          <w:szCs w:val="24"/>
          <w:lang w:val="en-US" w:eastAsia="zh-CN"/>
        </w:rPr>
        <w:t>823</w:t>
      </w:r>
      <w:r>
        <w:rPr>
          <w:rFonts w:hint="default" w:ascii="宋体" w:hAnsi="Calibri" w:eastAsia="宋体"/>
          <w:color w:val="auto"/>
          <w:kern w:val="0"/>
          <w:sz w:val="24"/>
          <w:szCs w:val="24"/>
        </w:rPr>
        <w:t>t/a（</w:t>
      </w:r>
      <w:r>
        <w:rPr>
          <w:rFonts w:hint="eastAsia" w:ascii="宋体" w:hAnsi="Calibri" w:eastAsia="宋体"/>
          <w:color w:val="auto"/>
          <w:kern w:val="0"/>
          <w:sz w:val="24"/>
          <w:szCs w:val="24"/>
        </w:rPr>
        <w:t>0.</w:t>
      </w:r>
      <w:r>
        <w:rPr>
          <w:rFonts w:hint="eastAsia" w:ascii="宋体" w:hAnsi="Calibri"/>
          <w:color w:val="auto"/>
          <w:kern w:val="0"/>
          <w:sz w:val="24"/>
          <w:szCs w:val="24"/>
          <w:lang w:val="en-US" w:eastAsia="zh-CN"/>
        </w:rPr>
        <w:t>19</w:t>
      </w:r>
      <w:r>
        <w:rPr>
          <w:rFonts w:hint="default" w:ascii="宋体" w:hAnsi="Calibri" w:eastAsia="宋体"/>
          <w:color w:val="auto"/>
          <w:kern w:val="0"/>
          <w:sz w:val="24"/>
          <w:szCs w:val="24"/>
        </w:rPr>
        <w:t>kg/h）。</w:t>
      </w:r>
      <w:r>
        <w:rPr>
          <w:rFonts w:hint="eastAsia" w:ascii="宋体" w:hAnsi="Calibri"/>
          <w:color w:val="auto"/>
          <w:kern w:val="0"/>
          <w:sz w:val="24"/>
          <w:szCs w:val="24"/>
          <w:lang w:eastAsia="zh-CN"/>
        </w:rPr>
        <w:t>现有堆场</w:t>
      </w:r>
      <w:r>
        <w:rPr>
          <w:rFonts w:hint="default" w:ascii="宋体" w:hAnsi="Calibri" w:eastAsia="宋体"/>
          <w:color w:val="auto"/>
          <w:kern w:val="0"/>
          <w:sz w:val="24"/>
          <w:szCs w:val="24"/>
        </w:rPr>
        <w:t>地面硬化，并在堆料区周边设置围挡，定期向棚内原材料进行洒水保持湿度，碎石堆场加盖苫布，保持湿度，且在四周</w:t>
      </w:r>
      <w:r>
        <w:rPr>
          <w:rFonts w:hint="eastAsia" w:ascii="宋体" w:hAnsi="Calibri" w:eastAsia="宋体"/>
          <w:color w:val="auto"/>
          <w:kern w:val="0"/>
          <w:sz w:val="24"/>
          <w:szCs w:val="24"/>
        </w:rPr>
        <w:t>加强绿化</w:t>
      </w:r>
      <w:r>
        <w:rPr>
          <w:rFonts w:hint="default" w:ascii="宋体" w:hAnsi="Calibri" w:eastAsia="宋体"/>
          <w:color w:val="auto"/>
          <w:kern w:val="0"/>
          <w:sz w:val="24"/>
          <w:szCs w:val="24"/>
        </w:rPr>
        <w:t>且进行定期洒水抑尘，采取此措施后，故可以将扬尘量可减少8</w:t>
      </w:r>
      <w:r>
        <w:rPr>
          <w:rFonts w:hint="eastAsia" w:ascii="宋体" w:hAnsi="Calibri" w:eastAsia="宋体"/>
          <w:color w:val="auto"/>
          <w:kern w:val="0"/>
          <w:sz w:val="24"/>
          <w:szCs w:val="24"/>
        </w:rPr>
        <w:t>5</w:t>
      </w:r>
      <w:r>
        <w:rPr>
          <w:rFonts w:hint="default" w:ascii="宋体" w:hAnsi="Calibri" w:eastAsia="宋体"/>
          <w:color w:val="auto"/>
          <w:kern w:val="0"/>
          <w:sz w:val="24"/>
          <w:szCs w:val="24"/>
        </w:rPr>
        <w:t>%，即粉尘无组织排放量为</w:t>
      </w:r>
      <w:r>
        <w:rPr>
          <w:rFonts w:hint="eastAsia" w:ascii="宋体" w:hAnsi="Calibri"/>
          <w:color w:val="auto"/>
          <w:kern w:val="0"/>
          <w:sz w:val="24"/>
          <w:szCs w:val="24"/>
          <w:lang w:eastAsia="zh-CN"/>
        </w:rPr>
        <w:t>0.123</w:t>
      </w:r>
      <w:r>
        <w:rPr>
          <w:rFonts w:hint="default" w:ascii="宋体" w:hAnsi="Calibri" w:eastAsia="宋体"/>
          <w:color w:val="auto"/>
          <w:kern w:val="0"/>
          <w:sz w:val="24"/>
          <w:szCs w:val="24"/>
        </w:rPr>
        <w:t>t/a（</w:t>
      </w:r>
      <w:r>
        <w:rPr>
          <w:rFonts w:hint="eastAsia" w:ascii="宋体" w:hAnsi="Calibri" w:eastAsia="宋体"/>
          <w:color w:val="auto"/>
          <w:kern w:val="0"/>
          <w:sz w:val="24"/>
          <w:szCs w:val="24"/>
        </w:rPr>
        <w:t>0.0</w:t>
      </w:r>
      <w:r>
        <w:rPr>
          <w:rFonts w:hint="eastAsia" w:ascii="宋体" w:hAnsi="Calibri"/>
          <w:color w:val="auto"/>
          <w:kern w:val="0"/>
          <w:sz w:val="24"/>
          <w:szCs w:val="24"/>
          <w:lang w:val="en-US" w:eastAsia="zh-CN"/>
        </w:rPr>
        <w:t>29</w:t>
      </w:r>
      <w:r>
        <w:rPr>
          <w:rFonts w:hint="default" w:ascii="宋体" w:hAnsi="Calibri" w:eastAsia="宋体"/>
          <w:color w:val="auto"/>
          <w:kern w:val="0"/>
          <w:sz w:val="24"/>
          <w:szCs w:val="24"/>
        </w:rPr>
        <w:t>kg/h）。</w:t>
      </w:r>
    </w:p>
    <w:p w14:paraId="55C3E2D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center"/>
        <w:outlineLvl w:val="9"/>
        <w:rPr>
          <w:rFonts w:hint="default" w:ascii="宋体" w:hAnsi="Calibri" w:eastAsia="宋体"/>
          <w:color w:val="auto"/>
          <w:kern w:val="0"/>
          <w:sz w:val="24"/>
          <w:szCs w:val="24"/>
          <w:lang w:val="en-US" w:eastAsia="zh-CN"/>
        </w:rPr>
      </w:pPr>
      <w:r>
        <w:rPr>
          <w:rFonts w:hint="eastAsia" w:ascii="宋体" w:hAnsi="Calibri" w:eastAsia="宋体"/>
          <w:color w:val="auto"/>
          <w:kern w:val="0"/>
          <w:sz w:val="24"/>
          <w:szCs w:val="24"/>
          <w:lang w:eastAsia="zh-CN"/>
        </w:rPr>
        <w:t>（</w:t>
      </w:r>
      <w:r>
        <w:rPr>
          <w:rFonts w:hint="eastAsia" w:ascii="宋体" w:hAnsi="Calibri" w:eastAsia="宋体"/>
          <w:color w:val="auto"/>
          <w:kern w:val="0"/>
          <w:sz w:val="24"/>
          <w:szCs w:val="24"/>
          <w:lang w:val="en-US" w:eastAsia="zh-CN"/>
        </w:rPr>
        <w:t>6</w:t>
      </w:r>
      <w:r>
        <w:rPr>
          <w:rFonts w:hint="eastAsia" w:ascii="宋体" w:hAnsi="Calibri" w:eastAsia="宋体"/>
          <w:color w:val="auto"/>
          <w:kern w:val="0"/>
          <w:sz w:val="24"/>
          <w:szCs w:val="24"/>
          <w:lang w:eastAsia="zh-CN"/>
        </w:rPr>
        <w:t>）</w:t>
      </w:r>
      <w:r>
        <w:rPr>
          <w:rFonts w:hint="eastAsia" w:ascii="宋体" w:hAnsi="Calibri" w:eastAsia="宋体"/>
          <w:color w:val="auto"/>
          <w:kern w:val="0"/>
          <w:sz w:val="24"/>
          <w:szCs w:val="24"/>
          <w:lang w:val="en-US" w:eastAsia="zh-CN"/>
        </w:rPr>
        <w:t>非甲烷总烃</w:t>
      </w:r>
    </w:p>
    <w:p w14:paraId="15E224B1">
      <w:pPr>
        <w:keepLines w:val="0"/>
        <w:pageBreakBefore w:val="0"/>
        <w:widowControl w:val="0"/>
        <w:kinsoku/>
        <w:wordWrap/>
        <w:topLinePunct w:val="0"/>
        <w:bidi w:val="0"/>
        <w:adjustRightInd w:val="0"/>
        <w:spacing w:line="312" w:lineRule="auto"/>
        <w:ind w:left="113" w:right="113" w:firstLine="482"/>
        <w:jc w:val="left"/>
        <w:textAlignment w:val="baseline"/>
        <w:outlineLvl w:val="9"/>
        <w:rPr>
          <w:rFonts w:hint="default" w:ascii="Times New Roman" w:hAnsi="Times New Roman" w:eastAsia="宋体" w:cs="Times New Roman"/>
          <w:color w:val="auto"/>
          <w:kern w:val="0"/>
          <w:sz w:val="24"/>
          <w:szCs w:val="22"/>
          <w:highlight w:val="none"/>
          <w:lang w:val="en-US" w:eastAsia="zh-CN" w:bidi="ar-SA"/>
        </w:rPr>
      </w:pPr>
      <w:r>
        <w:rPr>
          <w:rFonts w:hint="default" w:ascii="Times New Roman" w:hAnsi="Times New Roman" w:eastAsia="宋体" w:cs="Times New Roman"/>
          <w:color w:val="auto"/>
          <w:kern w:val="0"/>
          <w:sz w:val="24"/>
          <w:szCs w:val="22"/>
          <w:highlight w:val="none"/>
          <w:lang w:val="en-US" w:eastAsia="zh-CN" w:bidi="ar-SA"/>
        </w:rPr>
        <w:t>本项目油品挥发废气排放源主要为卸油过程产生的无组织废气（以非甲烷总烃计）。卸油损耗根据《散装液态石油产品损耗》（GB11085-89）计算，计算参数见表</w:t>
      </w:r>
      <w:r>
        <w:rPr>
          <w:rFonts w:hint="eastAsia" w:ascii="Times New Roman" w:hAnsi="Times New Roman" w:eastAsia="宋体" w:cs="Times New Roman"/>
          <w:color w:val="auto"/>
          <w:kern w:val="0"/>
          <w:sz w:val="24"/>
          <w:szCs w:val="22"/>
          <w:highlight w:val="none"/>
          <w:lang w:val="en-US" w:eastAsia="zh-CN" w:bidi="ar-SA"/>
        </w:rPr>
        <w:t>4-3</w:t>
      </w:r>
      <w:r>
        <w:rPr>
          <w:rFonts w:hint="default" w:ascii="Times New Roman" w:hAnsi="Times New Roman" w:eastAsia="宋体" w:cs="Times New Roman"/>
          <w:color w:val="auto"/>
          <w:kern w:val="0"/>
          <w:sz w:val="24"/>
          <w:szCs w:val="22"/>
          <w:highlight w:val="none"/>
          <w:lang w:val="en-US" w:eastAsia="zh-CN" w:bidi="ar-SA"/>
        </w:rPr>
        <w:t>。</w:t>
      </w:r>
    </w:p>
    <w:p w14:paraId="7E09315C">
      <w:pPr>
        <w:keepLines w:val="0"/>
        <w:pageBreakBefore w:val="0"/>
        <w:widowControl w:val="0"/>
        <w:kinsoku/>
        <w:wordWrap/>
        <w:topLinePunct w:val="0"/>
        <w:bidi w:val="0"/>
        <w:adjustRightInd w:val="0"/>
        <w:spacing w:beforeLines="50" w:afterLines="50" w:line="400" w:lineRule="exact"/>
        <w:ind w:left="567" w:hanging="567"/>
        <w:jc w:val="center"/>
        <w:textAlignment w:val="baseline"/>
        <w:outlineLvl w:val="9"/>
        <w:rPr>
          <w:rFonts w:hint="default" w:ascii="Times New Roman" w:hAnsi="Times New Roman" w:eastAsia="黑体" w:cs="Times New Roman"/>
          <w:color w:val="auto"/>
          <w:spacing w:val="4"/>
          <w:sz w:val="24"/>
          <w:highlight w:val="none"/>
          <w:lang w:val="en-US" w:eastAsia="zh-CN" w:bidi="ar-SA"/>
        </w:rPr>
      </w:pPr>
      <w:r>
        <w:rPr>
          <w:rFonts w:hint="default" w:ascii="Times New Roman" w:hAnsi="Times New Roman" w:eastAsia="黑体" w:cs="Times New Roman"/>
          <w:color w:val="auto"/>
          <w:spacing w:val="4"/>
          <w:sz w:val="24"/>
          <w:highlight w:val="none"/>
          <w:lang w:val="en-US" w:eastAsia="zh-CN" w:bidi="ar-SA"/>
        </w:rPr>
        <w:t>表</w:t>
      </w:r>
      <w:r>
        <w:rPr>
          <w:rFonts w:hint="eastAsia" w:ascii="Times New Roman" w:hAnsi="Times New Roman" w:eastAsia="黑体" w:cs="Times New Roman"/>
          <w:color w:val="auto"/>
          <w:spacing w:val="4"/>
          <w:sz w:val="24"/>
          <w:highlight w:val="none"/>
          <w:lang w:val="en-US" w:eastAsia="zh-CN" w:bidi="ar-SA"/>
        </w:rPr>
        <w:t>4-3</w:t>
      </w:r>
      <w:r>
        <w:rPr>
          <w:rFonts w:hint="default" w:ascii="Times New Roman" w:hAnsi="Times New Roman" w:eastAsia="黑体" w:cs="Times New Roman"/>
          <w:color w:val="auto"/>
          <w:spacing w:val="4"/>
          <w:sz w:val="24"/>
          <w:highlight w:val="none"/>
          <w:lang w:val="en-US" w:eastAsia="zh-CN" w:bidi="ar-SA"/>
        </w:rPr>
        <w:t>卸车（船）损耗率（%）</w:t>
      </w:r>
    </w:p>
    <w:tbl>
      <w:tblPr>
        <w:tblStyle w:val="35"/>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963"/>
        <w:gridCol w:w="1259"/>
        <w:gridCol w:w="1767"/>
        <w:gridCol w:w="1943"/>
        <w:gridCol w:w="1590"/>
      </w:tblGrid>
      <w:tr w14:paraId="6947E3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75" w:type="dxa"/>
            <w:vMerge w:val="restart"/>
            <w:tcBorders>
              <w:tl2br w:val="nil"/>
              <w:tr2bl w:val="nil"/>
            </w:tcBorders>
            <w:noWrap w:val="0"/>
            <w:vAlign w:val="center"/>
          </w:tcPr>
          <w:p w14:paraId="2D78DA67">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地区</w:t>
            </w:r>
          </w:p>
        </w:tc>
        <w:tc>
          <w:tcPr>
            <w:tcW w:w="2428" w:type="dxa"/>
            <w:gridSpan w:val="2"/>
            <w:tcBorders>
              <w:tl2br w:val="nil"/>
              <w:tr2bl w:val="nil"/>
            </w:tcBorders>
            <w:noWrap w:val="0"/>
            <w:vAlign w:val="center"/>
          </w:tcPr>
          <w:p w14:paraId="224CF388">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汽油</w:t>
            </w:r>
          </w:p>
        </w:tc>
        <w:tc>
          <w:tcPr>
            <w:tcW w:w="1559" w:type="dxa"/>
            <w:tcBorders>
              <w:tl2br w:val="nil"/>
              <w:tr2bl w:val="nil"/>
            </w:tcBorders>
            <w:noWrap w:val="0"/>
            <w:vAlign w:val="center"/>
          </w:tcPr>
          <w:p w14:paraId="2C529C7C">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煤、柴油</w:t>
            </w:r>
          </w:p>
        </w:tc>
        <w:tc>
          <w:tcPr>
            <w:tcW w:w="1276" w:type="dxa"/>
            <w:tcBorders>
              <w:tl2br w:val="nil"/>
              <w:tr2bl w:val="nil"/>
            </w:tcBorders>
            <w:noWrap w:val="0"/>
            <w:vAlign w:val="center"/>
          </w:tcPr>
          <w:p w14:paraId="2800D63D">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润滑油</w:t>
            </w:r>
          </w:p>
        </w:tc>
      </w:tr>
      <w:tr w14:paraId="5ABE0E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75" w:type="dxa"/>
            <w:vMerge w:val="continue"/>
            <w:tcBorders>
              <w:tl2br w:val="nil"/>
              <w:tr2bl w:val="nil"/>
            </w:tcBorders>
            <w:noWrap w:val="0"/>
            <w:vAlign w:val="center"/>
          </w:tcPr>
          <w:p w14:paraId="40E61FB2">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c>
          <w:tcPr>
            <w:tcW w:w="1010" w:type="dxa"/>
            <w:tcBorders>
              <w:tl2br w:val="nil"/>
              <w:tr2bl w:val="nil"/>
            </w:tcBorders>
            <w:noWrap w:val="0"/>
            <w:vAlign w:val="center"/>
          </w:tcPr>
          <w:p w14:paraId="7DAF1C62">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浮顶罐</w:t>
            </w:r>
          </w:p>
        </w:tc>
        <w:tc>
          <w:tcPr>
            <w:tcW w:w="1418" w:type="dxa"/>
            <w:tcBorders>
              <w:tl2br w:val="nil"/>
              <w:tr2bl w:val="nil"/>
            </w:tcBorders>
            <w:noWrap w:val="0"/>
            <w:vAlign w:val="center"/>
          </w:tcPr>
          <w:p w14:paraId="114BBCAF">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其他罐</w:t>
            </w:r>
          </w:p>
        </w:tc>
        <w:tc>
          <w:tcPr>
            <w:tcW w:w="2835" w:type="dxa"/>
            <w:gridSpan w:val="2"/>
            <w:tcBorders>
              <w:tl2br w:val="nil"/>
              <w:tr2bl w:val="nil"/>
            </w:tcBorders>
            <w:noWrap w:val="0"/>
            <w:vAlign w:val="center"/>
          </w:tcPr>
          <w:p w14:paraId="5FF424B0">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不分罐型</w:t>
            </w:r>
          </w:p>
        </w:tc>
      </w:tr>
      <w:tr w14:paraId="43065C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75" w:type="dxa"/>
            <w:tcBorders>
              <w:tl2br w:val="nil"/>
              <w:tr2bl w:val="nil"/>
            </w:tcBorders>
            <w:noWrap w:val="0"/>
            <w:vAlign w:val="center"/>
          </w:tcPr>
          <w:p w14:paraId="6ED1B26D">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A类</w:t>
            </w:r>
          </w:p>
        </w:tc>
        <w:tc>
          <w:tcPr>
            <w:tcW w:w="1010" w:type="dxa"/>
            <w:vMerge w:val="restart"/>
            <w:tcBorders>
              <w:tl2br w:val="nil"/>
              <w:tr2bl w:val="nil"/>
            </w:tcBorders>
            <w:noWrap w:val="0"/>
            <w:vAlign w:val="center"/>
          </w:tcPr>
          <w:p w14:paraId="7CDBBF66">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0.01</w:t>
            </w:r>
          </w:p>
        </w:tc>
        <w:tc>
          <w:tcPr>
            <w:tcW w:w="1418" w:type="dxa"/>
            <w:tcBorders>
              <w:tl2br w:val="nil"/>
              <w:tr2bl w:val="nil"/>
            </w:tcBorders>
            <w:noWrap w:val="0"/>
            <w:vAlign w:val="center"/>
          </w:tcPr>
          <w:p w14:paraId="4CF00FC9">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0.23</w:t>
            </w:r>
          </w:p>
        </w:tc>
        <w:tc>
          <w:tcPr>
            <w:tcW w:w="1559" w:type="dxa"/>
            <w:vMerge w:val="restart"/>
            <w:tcBorders>
              <w:tl2br w:val="nil"/>
              <w:tr2bl w:val="nil"/>
            </w:tcBorders>
            <w:noWrap w:val="0"/>
            <w:vAlign w:val="center"/>
          </w:tcPr>
          <w:p w14:paraId="31A12755">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0.05</w:t>
            </w:r>
          </w:p>
        </w:tc>
        <w:tc>
          <w:tcPr>
            <w:tcW w:w="1276" w:type="dxa"/>
            <w:vMerge w:val="restart"/>
            <w:tcBorders>
              <w:tl2br w:val="nil"/>
              <w:tr2bl w:val="nil"/>
            </w:tcBorders>
            <w:noWrap w:val="0"/>
            <w:vAlign w:val="center"/>
          </w:tcPr>
          <w:p w14:paraId="10FD6CB5">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0.04</w:t>
            </w:r>
          </w:p>
        </w:tc>
      </w:tr>
      <w:tr w14:paraId="6409E4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75" w:type="dxa"/>
            <w:tcBorders>
              <w:tl2br w:val="nil"/>
              <w:tr2bl w:val="nil"/>
            </w:tcBorders>
            <w:noWrap w:val="0"/>
            <w:vAlign w:val="center"/>
          </w:tcPr>
          <w:p w14:paraId="511529DA">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B类</w:t>
            </w:r>
          </w:p>
        </w:tc>
        <w:tc>
          <w:tcPr>
            <w:tcW w:w="1010" w:type="dxa"/>
            <w:vMerge w:val="continue"/>
            <w:tcBorders>
              <w:tl2br w:val="nil"/>
              <w:tr2bl w:val="nil"/>
            </w:tcBorders>
            <w:noWrap w:val="0"/>
            <w:vAlign w:val="center"/>
          </w:tcPr>
          <w:p w14:paraId="15AC8AB7">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c>
          <w:tcPr>
            <w:tcW w:w="1418" w:type="dxa"/>
            <w:tcBorders>
              <w:tl2br w:val="nil"/>
              <w:tr2bl w:val="nil"/>
            </w:tcBorders>
            <w:noWrap w:val="0"/>
            <w:vAlign w:val="center"/>
          </w:tcPr>
          <w:p w14:paraId="18B7953C">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0.20</w:t>
            </w:r>
          </w:p>
        </w:tc>
        <w:tc>
          <w:tcPr>
            <w:tcW w:w="1559" w:type="dxa"/>
            <w:vMerge w:val="continue"/>
            <w:tcBorders>
              <w:tl2br w:val="nil"/>
              <w:tr2bl w:val="nil"/>
            </w:tcBorders>
            <w:noWrap w:val="0"/>
            <w:vAlign w:val="center"/>
          </w:tcPr>
          <w:p w14:paraId="07FE6F68">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c>
          <w:tcPr>
            <w:tcW w:w="1276" w:type="dxa"/>
            <w:vMerge w:val="continue"/>
            <w:tcBorders>
              <w:tl2br w:val="nil"/>
              <w:tr2bl w:val="nil"/>
            </w:tcBorders>
            <w:noWrap w:val="0"/>
            <w:vAlign w:val="center"/>
          </w:tcPr>
          <w:p w14:paraId="26F037E3">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r>
      <w:tr w14:paraId="7A5E72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1575" w:type="dxa"/>
            <w:tcBorders>
              <w:tl2br w:val="nil"/>
              <w:tr2bl w:val="nil"/>
            </w:tcBorders>
            <w:noWrap w:val="0"/>
            <w:vAlign w:val="center"/>
          </w:tcPr>
          <w:p w14:paraId="7FFCA7CF">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C类</w:t>
            </w:r>
          </w:p>
        </w:tc>
        <w:tc>
          <w:tcPr>
            <w:tcW w:w="1010" w:type="dxa"/>
            <w:vMerge w:val="continue"/>
            <w:tcBorders>
              <w:tl2br w:val="nil"/>
              <w:tr2bl w:val="nil"/>
            </w:tcBorders>
            <w:noWrap w:val="0"/>
            <w:vAlign w:val="center"/>
          </w:tcPr>
          <w:p w14:paraId="1D7F0A5E">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c>
          <w:tcPr>
            <w:tcW w:w="1418" w:type="dxa"/>
            <w:tcBorders>
              <w:tl2br w:val="nil"/>
              <w:tr2bl w:val="nil"/>
            </w:tcBorders>
            <w:noWrap w:val="0"/>
            <w:vAlign w:val="center"/>
          </w:tcPr>
          <w:p w14:paraId="09D72E30">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0.13</w:t>
            </w:r>
          </w:p>
        </w:tc>
        <w:tc>
          <w:tcPr>
            <w:tcW w:w="1559" w:type="dxa"/>
            <w:vMerge w:val="continue"/>
            <w:tcBorders>
              <w:tl2br w:val="nil"/>
              <w:tr2bl w:val="nil"/>
            </w:tcBorders>
            <w:noWrap w:val="0"/>
            <w:vAlign w:val="center"/>
          </w:tcPr>
          <w:p w14:paraId="4636B65A">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c>
          <w:tcPr>
            <w:tcW w:w="1276" w:type="dxa"/>
            <w:vMerge w:val="continue"/>
            <w:tcBorders>
              <w:tl2br w:val="nil"/>
              <w:tr2bl w:val="nil"/>
            </w:tcBorders>
            <w:noWrap w:val="0"/>
            <w:vAlign w:val="center"/>
          </w:tcPr>
          <w:p w14:paraId="7CAE97ED">
            <w:pPr>
              <w:pStyle w:val="183"/>
              <w:keepNext w:val="0"/>
              <w:keepLines w:val="0"/>
              <w:pageBreakBefore w:val="0"/>
              <w:widowControl w:val="0"/>
              <w:suppressLineNumbers w:val="0"/>
              <w:kinsoku/>
              <w:wordWrap/>
              <w:topLinePunct w:val="0"/>
              <w:bidi w:val="0"/>
              <w:spacing w:before="0" w:beforeAutospacing="0" w:after="0" w:afterAutospacing="0"/>
              <w:ind w:right="0"/>
              <w:outlineLvl w:val="9"/>
              <w:rPr>
                <w:rFonts w:hint="default" w:ascii="Times New Roman" w:hAnsi="Times New Roman" w:cs="Times New Roman"/>
                <w:color w:val="auto"/>
                <w:highlight w:val="none"/>
              </w:rPr>
            </w:pPr>
          </w:p>
        </w:tc>
      </w:tr>
    </w:tbl>
    <w:p w14:paraId="34BE67ED">
      <w:pPr>
        <w:keepLines w:val="0"/>
        <w:pageBreakBefore w:val="0"/>
        <w:widowControl w:val="0"/>
        <w:kinsoku/>
        <w:wordWrap/>
        <w:topLinePunct w:val="0"/>
        <w:bidi w:val="0"/>
        <w:adjustRightInd w:val="0"/>
        <w:spacing w:line="240" w:lineRule="auto"/>
        <w:ind w:left="0" w:leftChars="0" w:right="113" w:firstLine="0" w:firstLineChars="0"/>
        <w:jc w:val="left"/>
        <w:textAlignment w:val="baseline"/>
        <w:outlineLvl w:val="9"/>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注：其他罐包括立式金属罐、隐蔽罐和卧式罐。C类地区：辽宁、吉林、黑龙江、内蒙古自治区、新疆维吾尔自治区、西藏自治区。</w:t>
      </w:r>
    </w:p>
    <w:p w14:paraId="0CA1C34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center"/>
        <w:outlineLvl w:val="9"/>
        <w:rPr>
          <w:rFonts w:hint="default" w:ascii="宋体" w:hAnsi="Calibri" w:eastAsia="宋体"/>
          <w:color w:val="auto"/>
          <w:kern w:val="0"/>
          <w:sz w:val="24"/>
          <w:szCs w:val="24"/>
          <w:lang w:val="en-US" w:eastAsia="zh-CN"/>
        </w:rPr>
      </w:pPr>
      <w:r>
        <w:rPr>
          <w:rFonts w:hint="default" w:ascii="Times New Roman" w:hAnsi="Times New Roman" w:cs="Times New Roman"/>
          <w:color w:val="auto"/>
          <w:kern w:val="0"/>
          <w:sz w:val="24"/>
          <w:szCs w:val="20"/>
          <w:highlight w:val="none"/>
          <w:lang w:val="en-US" w:eastAsia="zh-CN"/>
        </w:rPr>
        <w:t>本项目柴油</w:t>
      </w:r>
      <w:r>
        <w:rPr>
          <w:rFonts w:hint="eastAsia" w:ascii="Times New Roman" w:hAnsi="Times New Roman" w:cs="Times New Roman"/>
          <w:color w:val="auto"/>
          <w:kern w:val="0"/>
          <w:sz w:val="24"/>
          <w:szCs w:val="20"/>
          <w:highlight w:val="none"/>
          <w:lang w:val="en-US" w:eastAsia="zh-CN"/>
        </w:rPr>
        <w:t>、重油</w:t>
      </w:r>
      <w:r>
        <w:rPr>
          <w:rFonts w:hint="default" w:ascii="Times New Roman" w:hAnsi="Times New Roman" w:cs="Times New Roman"/>
          <w:color w:val="auto"/>
          <w:kern w:val="0"/>
          <w:sz w:val="24"/>
          <w:szCs w:val="20"/>
          <w:highlight w:val="none"/>
          <w:lang w:val="en-US" w:eastAsia="zh-CN"/>
        </w:rPr>
        <w:t>消耗量为</w:t>
      </w:r>
      <w:r>
        <w:rPr>
          <w:rFonts w:hint="eastAsia" w:ascii="宋体" w:hAnsi="Calibri" w:cs="Times New Roman"/>
          <w:color w:val="auto"/>
          <w:kern w:val="0"/>
          <w:sz w:val="24"/>
          <w:szCs w:val="20"/>
          <w:highlight w:val="none"/>
          <w:lang w:val="en-US" w:eastAsia="zh-CN"/>
        </w:rPr>
        <w:t>800</w:t>
      </w:r>
      <w:r>
        <w:rPr>
          <w:rFonts w:hint="default" w:ascii="Times New Roman" w:hAnsi="Times New Roman" w:cs="Times New Roman"/>
          <w:color w:val="auto"/>
          <w:kern w:val="0"/>
          <w:sz w:val="24"/>
          <w:szCs w:val="20"/>
          <w:highlight w:val="none"/>
          <w:lang w:val="en-US" w:eastAsia="zh-CN"/>
        </w:rPr>
        <w:t>t/a，单次卸油时间约为</w:t>
      </w:r>
      <w:r>
        <w:rPr>
          <w:rFonts w:hint="eastAsia" w:ascii="宋体" w:hAnsi="Calibri" w:cs="Times New Roman"/>
          <w:color w:val="auto"/>
          <w:kern w:val="0"/>
          <w:sz w:val="24"/>
          <w:szCs w:val="20"/>
          <w:highlight w:val="none"/>
          <w:lang w:val="en-US" w:eastAsia="zh-CN"/>
        </w:rPr>
        <w:t>5</w:t>
      </w:r>
      <w:r>
        <w:rPr>
          <w:rFonts w:hint="default" w:ascii="Times New Roman" w:hAnsi="Times New Roman" w:cs="Times New Roman"/>
          <w:color w:val="auto"/>
          <w:kern w:val="0"/>
          <w:sz w:val="24"/>
          <w:szCs w:val="20"/>
          <w:highlight w:val="none"/>
          <w:lang w:val="en-US" w:eastAsia="zh-CN"/>
        </w:rPr>
        <w:t>h，每年约卸油</w:t>
      </w:r>
      <w:r>
        <w:rPr>
          <w:rFonts w:hint="eastAsia" w:ascii="宋体" w:hAnsi="Calibri" w:cs="Times New Roman"/>
          <w:color w:val="auto"/>
          <w:kern w:val="0"/>
          <w:sz w:val="24"/>
          <w:szCs w:val="20"/>
          <w:highlight w:val="none"/>
          <w:lang w:val="en-US" w:eastAsia="zh-CN"/>
        </w:rPr>
        <w:t>10</w:t>
      </w:r>
      <w:r>
        <w:rPr>
          <w:rFonts w:hint="default" w:ascii="Times New Roman" w:hAnsi="Times New Roman" w:cs="Times New Roman"/>
          <w:color w:val="auto"/>
          <w:kern w:val="0"/>
          <w:sz w:val="24"/>
          <w:szCs w:val="20"/>
          <w:highlight w:val="none"/>
          <w:lang w:val="en-US" w:eastAsia="zh-CN"/>
        </w:rPr>
        <w:t>次，则本项目储罐非甲烷总烃量为0.</w:t>
      </w:r>
      <w:r>
        <w:rPr>
          <w:rFonts w:hint="eastAsia" w:ascii="宋体" w:hAnsi="Calibri" w:cs="Times New Roman"/>
          <w:color w:val="auto"/>
          <w:kern w:val="0"/>
          <w:sz w:val="24"/>
          <w:szCs w:val="20"/>
          <w:highlight w:val="none"/>
          <w:lang w:val="en-US" w:eastAsia="zh-CN"/>
        </w:rPr>
        <w:t>4</w:t>
      </w:r>
      <w:r>
        <w:rPr>
          <w:rFonts w:hint="default" w:ascii="Times New Roman" w:hAnsi="Times New Roman" w:cs="Times New Roman"/>
          <w:color w:val="auto"/>
          <w:kern w:val="0"/>
          <w:sz w:val="24"/>
          <w:szCs w:val="20"/>
          <w:highlight w:val="none"/>
          <w:lang w:val="en-US" w:eastAsia="zh-CN"/>
        </w:rPr>
        <w:t>t/a，</w:t>
      </w:r>
      <w:r>
        <w:rPr>
          <w:rFonts w:hint="eastAsia" w:ascii="宋体" w:hAnsi="Calibri" w:cs="Times New Roman"/>
          <w:color w:val="auto"/>
          <w:kern w:val="0"/>
          <w:sz w:val="24"/>
          <w:szCs w:val="20"/>
          <w:highlight w:val="none"/>
          <w:lang w:val="en-US" w:eastAsia="zh-CN"/>
        </w:rPr>
        <w:t>0.069</w:t>
      </w:r>
      <w:r>
        <w:rPr>
          <w:rFonts w:hint="default" w:ascii="Times New Roman" w:hAnsi="Times New Roman" w:cs="Times New Roman"/>
          <w:color w:val="auto"/>
          <w:kern w:val="0"/>
          <w:sz w:val="24"/>
          <w:szCs w:val="20"/>
          <w:highlight w:val="none"/>
          <w:lang w:val="en-US" w:eastAsia="zh-CN"/>
        </w:rPr>
        <w:t>kg/h</w:t>
      </w:r>
      <w:r>
        <w:rPr>
          <w:rFonts w:hint="eastAsia" w:ascii="Times New Roman" w:hAnsi="Times New Roman" w:cs="Times New Roman"/>
          <w:color w:val="auto"/>
          <w:kern w:val="0"/>
          <w:sz w:val="24"/>
          <w:szCs w:val="20"/>
          <w:highlight w:val="none"/>
          <w:lang w:val="en-US" w:eastAsia="zh-CN"/>
        </w:rPr>
        <w:t>。</w:t>
      </w:r>
    </w:p>
    <w:p w14:paraId="2B62EB13">
      <w:pPr>
        <w:keepLines w:val="0"/>
        <w:pageBreakBefore w:val="0"/>
        <w:widowControl w:val="0"/>
        <w:kinsoku/>
        <w:wordWrap/>
        <w:topLinePunct w:val="0"/>
        <w:bidi w:val="0"/>
        <w:spacing w:line="480" w:lineRule="exact"/>
        <w:ind w:left="420" w:leftChars="200" w:firstLine="0" w:firstLineChars="0"/>
        <w:outlineLvl w:val="9"/>
        <w:rPr>
          <w:rFonts w:hint="default" w:ascii="Times New Roman" w:hAnsi="Times New Roman" w:cs="Times New Roman"/>
          <w:color w:val="auto"/>
          <w:szCs w:val="24"/>
          <w:highlight w:val="none"/>
        </w:rPr>
        <w:sectPr>
          <w:head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2B7AC57">
      <w:pPr>
        <w:keepNext/>
        <w:spacing w:line="580" w:lineRule="exact"/>
        <w:ind w:firstLine="482"/>
        <w:jc w:val="center"/>
        <w:rPr>
          <w:rFonts w:hint="default" w:ascii="Times New Roman" w:hAnsi="Times New Roman" w:cs="Times New Roman"/>
          <w:b/>
          <w:color w:val="auto"/>
          <w:kern w:val="0"/>
          <w:sz w:val="24"/>
          <w:szCs w:val="21"/>
          <w:highlight w:val="none"/>
        </w:rPr>
      </w:pPr>
      <w:r>
        <w:rPr>
          <w:rFonts w:hint="default" w:ascii="Times New Roman" w:hAnsi="Times New Roman" w:cs="Times New Roman"/>
          <w:b/>
          <w:color w:val="auto"/>
          <w:kern w:val="0"/>
          <w:sz w:val="24"/>
          <w:szCs w:val="21"/>
          <w:highlight w:val="none"/>
        </w:rPr>
        <w:t>表</w:t>
      </w:r>
      <w:r>
        <w:rPr>
          <w:rFonts w:hint="eastAsia" w:ascii="Times New Roman" w:hAnsi="Times New Roman" w:cs="Times New Roman"/>
          <w:b/>
          <w:color w:val="auto"/>
          <w:kern w:val="0"/>
          <w:sz w:val="24"/>
          <w:szCs w:val="21"/>
          <w:highlight w:val="none"/>
          <w:lang w:val="en-US" w:eastAsia="zh-CN"/>
        </w:rPr>
        <w:t>4-4</w:t>
      </w:r>
      <w:r>
        <w:rPr>
          <w:rFonts w:hint="default" w:ascii="Times New Roman" w:hAnsi="Times New Roman" w:cs="Times New Roman"/>
          <w:b/>
          <w:color w:val="auto"/>
          <w:kern w:val="0"/>
          <w:sz w:val="24"/>
          <w:szCs w:val="21"/>
          <w:highlight w:val="none"/>
        </w:rPr>
        <w:t>废气污染源源强核算结果及相关参数一览表</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95"/>
        <w:gridCol w:w="982"/>
        <w:gridCol w:w="999"/>
        <w:gridCol w:w="835"/>
        <w:gridCol w:w="836"/>
        <w:gridCol w:w="1012"/>
        <w:gridCol w:w="1249"/>
        <w:gridCol w:w="1254"/>
        <w:gridCol w:w="1490"/>
        <w:gridCol w:w="625"/>
        <w:gridCol w:w="387"/>
        <w:gridCol w:w="903"/>
        <w:gridCol w:w="1036"/>
        <w:gridCol w:w="1483"/>
        <w:gridCol w:w="472"/>
      </w:tblGrid>
      <w:tr w14:paraId="2E558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0" w:type="auto"/>
            <w:vMerge w:val="restart"/>
            <w:noWrap w:val="0"/>
            <w:vAlign w:val="center"/>
          </w:tcPr>
          <w:p w14:paraId="326CE0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工序/生产线</w:t>
            </w:r>
          </w:p>
        </w:tc>
        <w:tc>
          <w:tcPr>
            <w:tcW w:w="982" w:type="dxa"/>
            <w:vMerge w:val="restart"/>
            <w:noWrap w:val="0"/>
            <w:vAlign w:val="center"/>
          </w:tcPr>
          <w:p w14:paraId="69E77A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装置</w:t>
            </w:r>
          </w:p>
        </w:tc>
        <w:tc>
          <w:tcPr>
            <w:tcW w:w="999" w:type="dxa"/>
            <w:vMerge w:val="restart"/>
            <w:noWrap w:val="0"/>
            <w:vAlign w:val="center"/>
          </w:tcPr>
          <w:p w14:paraId="1C44D9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污染源</w:t>
            </w:r>
          </w:p>
        </w:tc>
        <w:tc>
          <w:tcPr>
            <w:tcW w:w="835" w:type="dxa"/>
            <w:vMerge w:val="restart"/>
            <w:noWrap w:val="0"/>
            <w:vAlign w:val="center"/>
          </w:tcPr>
          <w:p w14:paraId="7F70AD6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w:t>
            </w:r>
          </w:p>
        </w:tc>
        <w:tc>
          <w:tcPr>
            <w:tcW w:w="4351" w:type="dxa"/>
            <w:gridSpan w:val="4"/>
            <w:noWrap w:val="0"/>
            <w:vAlign w:val="center"/>
          </w:tcPr>
          <w:p w14:paraId="241824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污染物产生</w:t>
            </w:r>
          </w:p>
        </w:tc>
        <w:tc>
          <w:tcPr>
            <w:tcW w:w="2115" w:type="dxa"/>
            <w:gridSpan w:val="2"/>
            <w:noWrap w:val="0"/>
            <w:vAlign w:val="center"/>
          </w:tcPr>
          <w:p w14:paraId="2A0782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治理措施</w:t>
            </w:r>
          </w:p>
        </w:tc>
        <w:tc>
          <w:tcPr>
            <w:tcW w:w="3809" w:type="dxa"/>
            <w:gridSpan w:val="4"/>
            <w:noWrap w:val="0"/>
            <w:vAlign w:val="center"/>
          </w:tcPr>
          <w:p w14:paraId="005676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污染物排放</w:t>
            </w:r>
          </w:p>
        </w:tc>
        <w:tc>
          <w:tcPr>
            <w:tcW w:w="0" w:type="auto"/>
            <w:vMerge w:val="restart"/>
            <w:noWrap w:val="0"/>
            <w:vAlign w:val="center"/>
          </w:tcPr>
          <w:p w14:paraId="1C83DB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排放时间/h</w:t>
            </w:r>
          </w:p>
        </w:tc>
      </w:tr>
      <w:tr w14:paraId="73BB2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0" w:type="auto"/>
            <w:vMerge w:val="continue"/>
            <w:noWrap w:val="0"/>
            <w:vAlign w:val="center"/>
          </w:tcPr>
          <w:p w14:paraId="5C3F28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11106EC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6C34BAB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vMerge w:val="continue"/>
            <w:noWrap w:val="0"/>
            <w:vAlign w:val="center"/>
          </w:tcPr>
          <w:p w14:paraId="7E83EE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6" w:type="dxa"/>
            <w:noWrap w:val="0"/>
            <w:vAlign w:val="center"/>
          </w:tcPr>
          <w:p w14:paraId="54BBAB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核算方法</w:t>
            </w:r>
          </w:p>
        </w:tc>
        <w:tc>
          <w:tcPr>
            <w:tcW w:w="1012" w:type="dxa"/>
            <w:noWrap w:val="0"/>
            <w:vAlign w:val="center"/>
          </w:tcPr>
          <w:p w14:paraId="0E0EAD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废气产生量/（m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a</w:t>
            </w:r>
            <w:r>
              <w:rPr>
                <w:rFonts w:hint="default" w:ascii="Times New Roman" w:hAnsi="Times New Roman" w:cs="Times New Roman"/>
                <w:color w:val="auto"/>
                <w:kern w:val="0"/>
                <w:sz w:val="21"/>
                <w:szCs w:val="21"/>
                <w:highlight w:val="none"/>
              </w:rPr>
              <w:t>）</w:t>
            </w:r>
          </w:p>
        </w:tc>
        <w:tc>
          <w:tcPr>
            <w:tcW w:w="1249" w:type="dxa"/>
            <w:noWrap w:val="0"/>
            <w:vAlign w:val="center"/>
          </w:tcPr>
          <w:p w14:paraId="4C0B9E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产生浓度/（mg/m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1254" w:type="dxa"/>
            <w:noWrap w:val="0"/>
            <w:vAlign w:val="center"/>
          </w:tcPr>
          <w:p w14:paraId="4E938A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产生量/（</w:t>
            </w:r>
            <w:r>
              <w:rPr>
                <w:rFonts w:hint="default" w:ascii="Times New Roman" w:hAnsi="Times New Roman" w:cs="Times New Roman"/>
                <w:color w:val="auto"/>
                <w:kern w:val="0"/>
                <w:sz w:val="21"/>
                <w:szCs w:val="21"/>
                <w:highlight w:val="none"/>
                <w:lang w:val="en-US" w:eastAsia="zh-CN"/>
              </w:rPr>
              <w:t>t</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a</w:t>
            </w:r>
            <w:r>
              <w:rPr>
                <w:rFonts w:hint="default" w:ascii="Times New Roman" w:hAnsi="Times New Roman" w:cs="Times New Roman"/>
                <w:color w:val="auto"/>
                <w:kern w:val="0"/>
                <w:sz w:val="21"/>
                <w:szCs w:val="21"/>
                <w:highlight w:val="none"/>
              </w:rPr>
              <w:t>）</w:t>
            </w:r>
          </w:p>
        </w:tc>
        <w:tc>
          <w:tcPr>
            <w:tcW w:w="1490" w:type="dxa"/>
            <w:noWrap w:val="0"/>
            <w:vAlign w:val="center"/>
          </w:tcPr>
          <w:p w14:paraId="364FA4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工艺</w:t>
            </w:r>
          </w:p>
        </w:tc>
        <w:tc>
          <w:tcPr>
            <w:tcW w:w="625" w:type="dxa"/>
            <w:noWrap w:val="0"/>
            <w:vAlign w:val="center"/>
          </w:tcPr>
          <w:p w14:paraId="080989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效率/%</w:t>
            </w:r>
          </w:p>
        </w:tc>
        <w:tc>
          <w:tcPr>
            <w:tcW w:w="387" w:type="dxa"/>
            <w:noWrap w:val="0"/>
            <w:vAlign w:val="center"/>
          </w:tcPr>
          <w:p w14:paraId="6F2F92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核算方法</w:t>
            </w:r>
          </w:p>
        </w:tc>
        <w:tc>
          <w:tcPr>
            <w:tcW w:w="0" w:type="auto"/>
            <w:noWrap w:val="0"/>
            <w:vAlign w:val="center"/>
          </w:tcPr>
          <w:p w14:paraId="768F93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废气排放量/（m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/h）</w:t>
            </w:r>
          </w:p>
        </w:tc>
        <w:tc>
          <w:tcPr>
            <w:tcW w:w="0" w:type="auto"/>
            <w:noWrap w:val="0"/>
            <w:vAlign w:val="center"/>
          </w:tcPr>
          <w:p w14:paraId="71EA814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排放浓度/（mg/m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0" w:type="auto"/>
            <w:noWrap w:val="0"/>
            <w:vAlign w:val="center"/>
          </w:tcPr>
          <w:p w14:paraId="2F2578E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排放量/（</w:t>
            </w:r>
            <w:r>
              <w:rPr>
                <w:rFonts w:hint="default" w:ascii="Times New Roman" w:hAnsi="Times New Roman" w:cs="Times New Roman"/>
                <w:color w:val="auto"/>
                <w:kern w:val="0"/>
                <w:sz w:val="21"/>
                <w:szCs w:val="21"/>
                <w:highlight w:val="none"/>
                <w:lang w:val="en-US" w:eastAsia="zh-CN"/>
              </w:rPr>
              <w:t>t</w:t>
            </w: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a</w:t>
            </w:r>
            <w:r>
              <w:rPr>
                <w:rFonts w:hint="default" w:ascii="Times New Roman" w:hAnsi="Times New Roman" w:cs="Times New Roman"/>
                <w:color w:val="auto"/>
                <w:kern w:val="0"/>
                <w:sz w:val="21"/>
                <w:szCs w:val="21"/>
                <w:highlight w:val="none"/>
              </w:rPr>
              <w:t>）</w:t>
            </w:r>
          </w:p>
        </w:tc>
        <w:tc>
          <w:tcPr>
            <w:tcW w:w="0" w:type="auto"/>
            <w:vMerge w:val="continue"/>
            <w:noWrap w:val="0"/>
            <w:vAlign w:val="center"/>
          </w:tcPr>
          <w:p w14:paraId="48E0A6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20B95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restart"/>
            <w:noWrap w:val="0"/>
            <w:vAlign w:val="center"/>
          </w:tcPr>
          <w:p w14:paraId="02ED0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导热油炉</w:t>
            </w:r>
          </w:p>
        </w:tc>
        <w:tc>
          <w:tcPr>
            <w:tcW w:w="982" w:type="dxa"/>
            <w:vMerge w:val="restart"/>
            <w:noWrap w:val="0"/>
            <w:vAlign w:val="center"/>
          </w:tcPr>
          <w:p w14:paraId="46BB6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导热油炉</w:t>
            </w:r>
          </w:p>
        </w:tc>
        <w:tc>
          <w:tcPr>
            <w:tcW w:w="999" w:type="dxa"/>
            <w:vMerge w:val="restart"/>
            <w:noWrap w:val="0"/>
            <w:vAlign w:val="center"/>
          </w:tcPr>
          <w:p w14:paraId="2433DD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val="en-US" w:eastAsia="zh-CN"/>
              </w:rPr>
              <w:t>15米</w:t>
            </w:r>
            <w:r>
              <w:rPr>
                <w:rFonts w:hint="default" w:ascii="Times New Roman" w:hAnsi="Times New Roman" w:cs="Times New Roman"/>
                <w:color w:val="auto"/>
                <w:kern w:val="0"/>
                <w:sz w:val="21"/>
                <w:szCs w:val="21"/>
                <w:highlight w:val="none"/>
              </w:rPr>
              <w:t>高</w:t>
            </w:r>
            <w:r>
              <w:rPr>
                <w:rFonts w:hint="default" w:ascii="Times New Roman" w:hAnsi="Times New Roman" w:cs="Times New Roman"/>
                <w:color w:val="auto"/>
                <w:kern w:val="0"/>
                <w:sz w:val="21"/>
                <w:szCs w:val="21"/>
                <w:highlight w:val="none"/>
                <w:lang w:eastAsia="zh-CN"/>
              </w:rPr>
              <w:t>排气筒</w:t>
            </w:r>
          </w:p>
        </w:tc>
        <w:tc>
          <w:tcPr>
            <w:tcW w:w="835" w:type="dxa"/>
            <w:noWrap w:val="0"/>
            <w:vAlign w:val="center"/>
          </w:tcPr>
          <w:p w14:paraId="75B3C3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bidi="ar"/>
              </w:rPr>
              <w:t>颗粒物</w:t>
            </w:r>
          </w:p>
        </w:tc>
        <w:tc>
          <w:tcPr>
            <w:tcW w:w="836" w:type="dxa"/>
            <w:vMerge w:val="restart"/>
            <w:noWrap w:val="0"/>
            <w:vAlign w:val="center"/>
          </w:tcPr>
          <w:p w14:paraId="15C7909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tc>
        <w:tc>
          <w:tcPr>
            <w:tcW w:w="1012" w:type="dxa"/>
            <w:vMerge w:val="restart"/>
            <w:noWrap w:val="0"/>
            <w:vAlign w:val="center"/>
          </w:tcPr>
          <w:p w14:paraId="65DA1A2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rPr>
            </w:pPr>
            <w:r>
              <w:rPr>
                <w:rFonts w:hint="eastAsia" w:ascii="Times New Roman" w:hAnsi="Times New Roman" w:cs="Times New Roman"/>
                <w:color w:val="auto"/>
                <w:kern w:val="0"/>
                <w:sz w:val="21"/>
                <w:szCs w:val="21"/>
                <w:highlight w:val="none"/>
                <w:lang w:val="en-US" w:eastAsia="zh-CN"/>
              </w:rPr>
              <w:t>3424428</w:t>
            </w:r>
          </w:p>
        </w:tc>
        <w:tc>
          <w:tcPr>
            <w:tcW w:w="1249" w:type="dxa"/>
            <w:noWrap w:val="0"/>
            <w:vAlign w:val="center"/>
          </w:tcPr>
          <w:p w14:paraId="1E1E1F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20.1</w:t>
            </w:r>
          </w:p>
        </w:tc>
        <w:tc>
          <w:tcPr>
            <w:tcW w:w="1254" w:type="dxa"/>
            <w:noWrap w:val="0"/>
            <w:vAlign w:val="center"/>
          </w:tcPr>
          <w:p w14:paraId="65F4BF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0.069</w:t>
            </w:r>
          </w:p>
        </w:tc>
        <w:tc>
          <w:tcPr>
            <w:tcW w:w="1490" w:type="dxa"/>
            <w:vMerge w:val="restart"/>
            <w:noWrap w:val="0"/>
            <w:vAlign w:val="center"/>
          </w:tcPr>
          <w:p w14:paraId="417DB07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eastAsia="zh-CN"/>
              </w:rPr>
              <w:t>低氮燃烧，</w:t>
            </w:r>
            <w:r>
              <w:rPr>
                <w:rFonts w:hint="default" w:ascii="Times New Roman" w:hAnsi="Times New Roman" w:eastAsia="宋体" w:cs="Times New Roman"/>
                <w:b w:val="0"/>
                <w:bCs w:val="0"/>
                <w:color w:val="auto"/>
                <w:kern w:val="0"/>
                <w:sz w:val="21"/>
                <w:szCs w:val="21"/>
                <w:highlight w:val="none"/>
                <w:lang w:val="en-US" w:eastAsia="zh-CN"/>
              </w:rPr>
              <w:t>15m高排气筒</w:t>
            </w:r>
          </w:p>
        </w:tc>
        <w:tc>
          <w:tcPr>
            <w:tcW w:w="625" w:type="dxa"/>
            <w:noWrap w:val="0"/>
            <w:vAlign w:val="center"/>
          </w:tcPr>
          <w:p w14:paraId="1674AB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rPr>
              <w:t>/</w:t>
            </w:r>
          </w:p>
        </w:tc>
        <w:tc>
          <w:tcPr>
            <w:tcW w:w="387" w:type="dxa"/>
            <w:vMerge w:val="restart"/>
            <w:noWrap w:val="0"/>
            <w:vAlign w:val="center"/>
          </w:tcPr>
          <w:p w14:paraId="7AC7F9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p w14:paraId="4BF275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03" w:type="dxa"/>
            <w:vMerge w:val="restart"/>
            <w:noWrap w:val="0"/>
            <w:vAlign w:val="center"/>
          </w:tcPr>
          <w:p w14:paraId="2C2451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rPr>
            </w:pPr>
            <w:r>
              <w:rPr>
                <w:rFonts w:hint="eastAsia" w:ascii="Times New Roman" w:hAnsi="Times New Roman" w:cs="Times New Roman"/>
                <w:color w:val="auto"/>
                <w:kern w:val="0"/>
                <w:sz w:val="21"/>
                <w:szCs w:val="21"/>
                <w:highlight w:val="none"/>
                <w:lang w:val="en-US" w:eastAsia="zh-CN"/>
              </w:rPr>
              <w:t>3424428</w:t>
            </w:r>
          </w:p>
        </w:tc>
        <w:tc>
          <w:tcPr>
            <w:tcW w:w="1036" w:type="dxa"/>
            <w:noWrap w:val="0"/>
            <w:vAlign w:val="center"/>
          </w:tcPr>
          <w:p w14:paraId="0EDF8B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20.1</w:t>
            </w:r>
          </w:p>
        </w:tc>
        <w:tc>
          <w:tcPr>
            <w:tcW w:w="1483" w:type="dxa"/>
            <w:noWrap w:val="0"/>
            <w:vAlign w:val="center"/>
          </w:tcPr>
          <w:p w14:paraId="10A6B9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0.069</w:t>
            </w:r>
          </w:p>
        </w:tc>
        <w:tc>
          <w:tcPr>
            <w:tcW w:w="472" w:type="dxa"/>
            <w:vMerge w:val="restart"/>
            <w:noWrap w:val="0"/>
            <w:vAlign w:val="center"/>
          </w:tcPr>
          <w:p w14:paraId="1D088E5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r>
              <w:rPr>
                <w:rFonts w:hint="eastAsia" w:ascii="Times New Roman" w:hAnsi="Times New Roman" w:cs="Times New Roman"/>
                <w:color w:val="auto"/>
                <w:kern w:val="0"/>
                <w:sz w:val="21"/>
                <w:szCs w:val="21"/>
                <w:highlight w:val="none"/>
                <w:lang w:val="en-US" w:eastAsia="zh-CN"/>
              </w:rPr>
              <w:t>88</w:t>
            </w:r>
            <w:r>
              <w:rPr>
                <w:rFonts w:hint="default" w:ascii="Times New Roman" w:hAnsi="Times New Roman" w:cs="Times New Roman"/>
                <w:color w:val="auto"/>
                <w:kern w:val="0"/>
                <w:sz w:val="21"/>
                <w:szCs w:val="21"/>
                <w:highlight w:val="none"/>
                <w:lang w:val="en-US" w:eastAsia="zh-CN"/>
              </w:rPr>
              <w:t>0</w:t>
            </w:r>
          </w:p>
        </w:tc>
      </w:tr>
      <w:tr w14:paraId="1D7696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04253F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76314C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50AABC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130ED8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836" w:type="dxa"/>
            <w:vMerge w:val="continue"/>
            <w:noWrap w:val="0"/>
            <w:vAlign w:val="center"/>
          </w:tcPr>
          <w:p w14:paraId="26BB00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222F8E1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249" w:type="dxa"/>
            <w:noWrap w:val="0"/>
            <w:vAlign w:val="center"/>
          </w:tcPr>
          <w:p w14:paraId="6826918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0.64</w:t>
            </w:r>
          </w:p>
        </w:tc>
        <w:tc>
          <w:tcPr>
            <w:tcW w:w="1254" w:type="dxa"/>
            <w:noWrap w:val="0"/>
            <w:vAlign w:val="center"/>
          </w:tcPr>
          <w:p w14:paraId="009E0A3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0.0022</w:t>
            </w:r>
          </w:p>
        </w:tc>
        <w:tc>
          <w:tcPr>
            <w:tcW w:w="1490" w:type="dxa"/>
            <w:vMerge w:val="continue"/>
            <w:noWrap w:val="0"/>
            <w:vAlign w:val="center"/>
          </w:tcPr>
          <w:p w14:paraId="096EF0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625" w:type="dxa"/>
            <w:noWrap w:val="0"/>
            <w:vAlign w:val="center"/>
          </w:tcPr>
          <w:p w14:paraId="3931D3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w:t>
            </w:r>
          </w:p>
        </w:tc>
        <w:tc>
          <w:tcPr>
            <w:tcW w:w="387" w:type="dxa"/>
            <w:vMerge w:val="continue"/>
            <w:noWrap w:val="0"/>
            <w:vAlign w:val="center"/>
          </w:tcPr>
          <w:p w14:paraId="1951BD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03" w:type="dxa"/>
            <w:vMerge w:val="continue"/>
            <w:noWrap w:val="0"/>
            <w:vAlign w:val="center"/>
          </w:tcPr>
          <w:p w14:paraId="33E9B62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36" w:type="dxa"/>
            <w:noWrap w:val="0"/>
            <w:vAlign w:val="center"/>
          </w:tcPr>
          <w:p w14:paraId="7B8F7D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0.64</w:t>
            </w:r>
          </w:p>
        </w:tc>
        <w:tc>
          <w:tcPr>
            <w:tcW w:w="1483" w:type="dxa"/>
            <w:noWrap w:val="0"/>
            <w:vAlign w:val="center"/>
          </w:tcPr>
          <w:p w14:paraId="225F4F8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0.0022</w:t>
            </w:r>
          </w:p>
        </w:tc>
        <w:tc>
          <w:tcPr>
            <w:tcW w:w="472" w:type="dxa"/>
            <w:vMerge w:val="continue"/>
            <w:noWrap w:val="0"/>
            <w:vAlign w:val="center"/>
          </w:tcPr>
          <w:p w14:paraId="71FCC57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12D6F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6A3C3DE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0B96A98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69F5AB0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1640385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836" w:type="dxa"/>
            <w:vMerge w:val="continue"/>
            <w:noWrap w:val="0"/>
            <w:vAlign w:val="center"/>
          </w:tcPr>
          <w:p w14:paraId="0BE5D9E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698FA4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249" w:type="dxa"/>
            <w:noWrap w:val="0"/>
            <w:vAlign w:val="center"/>
          </w:tcPr>
          <w:p w14:paraId="6EE89D1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235.98</w:t>
            </w:r>
          </w:p>
        </w:tc>
        <w:tc>
          <w:tcPr>
            <w:tcW w:w="1254" w:type="dxa"/>
            <w:noWrap w:val="0"/>
            <w:vAlign w:val="center"/>
          </w:tcPr>
          <w:p w14:paraId="2BD3AE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0.808</w:t>
            </w:r>
          </w:p>
        </w:tc>
        <w:tc>
          <w:tcPr>
            <w:tcW w:w="1490" w:type="dxa"/>
            <w:vMerge w:val="continue"/>
            <w:noWrap w:val="0"/>
            <w:vAlign w:val="center"/>
          </w:tcPr>
          <w:p w14:paraId="36A234E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eastAsia="zh-CN"/>
              </w:rPr>
            </w:pPr>
          </w:p>
        </w:tc>
        <w:tc>
          <w:tcPr>
            <w:tcW w:w="625" w:type="dxa"/>
            <w:noWrap w:val="0"/>
            <w:vAlign w:val="center"/>
          </w:tcPr>
          <w:p w14:paraId="768AC41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lang w:val="en-US"/>
              </w:rPr>
            </w:pPr>
            <w:r>
              <w:rPr>
                <w:rFonts w:hint="default" w:ascii="Times New Roman" w:hAnsi="Times New Roman" w:cs="Times New Roman"/>
                <w:b w:val="0"/>
                <w:bCs w:val="0"/>
                <w:color w:val="auto"/>
                <w:kern w:val="0"/>
                <w:sz w:val="21"/>
                <w:szCs w:val="21"/>
                <w:highlight w:val="none"/>
                <w:lang w:val="en-US" w:eastAsia="zh-CN"/>
              </w:rPr>
              <w:t>30</w:t>
            </w:r>
          </w:p>
        </w:tc>
        <w:tc>
          <w:tcPr>
            <w:tcW w:w="387" w:type="dxa"/>
            <w:vMerge w:val="continue"/>
            <w:noWrap w:val="0"/>
            <w:vAlign w:val="center"/>
          </w:tcPr>
          <w:p w14:paraId="5A1B86D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continue"/>
            <w:noWrap w:val="0"/>
            <w:vAlign w:val="center"/>
          </w:tcPr>
          <w:p w14:paraId="344C4B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1036" w:type="dxa"/>
            <w:noWrap w:val="0"/>
            <w:vAlign w:val="center"/>
          </w:tcPr>
          <w:p w14:paraId="454B27E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235.98</w:t>
            </w:r>
          </w:p>
        </w:tc>
        <w:tc>
          <w:tcPr>
            <w:tcW w:w="1483" w:type="dxa"/>
            <w:noWrap w:val="0"/>
            <w:vAlign w:val="center"/>
          </w:tcPr>
          <w:p w14:paraId="2F8B04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0.808</w:t>
            </w:r>
          </w:p>
        </w:tc>
        <w:tc>
          <w:tcPr>
            <w:tcW w:w="472" w:type="dxa"/>
            <w:vMerge w:val="continue"/>
            <w:noWrap w:val="0"/>
            <w:vAlign w:val="center"/>
          </w:tcPr>
          <w:p w14:paraId="3402E3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6A43AA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restart"/>
            <w:noWrap w:val="0"/>
            <w:vAlign w:val="center"/>
          </w:tcPr>
          <w:p w14:paraId="413D62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生产系统</w:t>
            </w:r>
          </w:p>
        </w:tc>
        <w:tc>
          <w:tcPr>
            <w:tcW w:w="982" w:type="dxa"/>
            <w:vMerge w:val="restart"/>
            <w:noWrap w:val="0"/>
            <w:vAlign w:val="center"/>
          </w:tcPr>
          <w:p w14:paraId="033FCA1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骨料加热烘干废气</w:t>
            </w:r>
          </w:p>
        </w:tc>
        <w:tc>
          <w:tcPr>
            <w:tcW w:w="999" w:type="dxa"/>
            <w:vMerge w:val="restart"/>
            <w:noWrap w:val="0"/>
            <w:vAlign w:val="center"/>
          </w:tcPr>
          <w:p w14:paraId="46EC8F8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15米高排气筒</w:t>
            </w:r>
          </w:p>
        </w:tc>
        <w:tc>
          <w:tcPr>
            <w:tcW w:w="835" w:type="dxa"/>
            <w:noWrap w:val="0"/>
            <w:vAlign w:val="center"/>
          </w:tcPr>
          <w:p w14:paraId="10EDC7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eastAsia="zh-CN" w:bidi="ar"/>
              </w:rPr>
              <w:t>颗粒物</w:t>
            </w:r>
          </w:p>
        </w:tc>
        <w:tc>
          <w:tcPr>
            <w:tcW w:w="836" w:type="dxa"/>
            <w:vMerge w:val="continue"/>
            <w:noWrap w:val="0"/>
            <w:vAlign w:val="center"/>
          </w:tcPr>
          <w:p w14:paraId="67866A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restart"/>
            <w:noWrap w:val="0"/>
            <w:vAlign w:val="center"/>
          </w:tcPr>
          <w:p w14:paraId="4316813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8195221.1</w:t>
            </w:r>
          </w:p>
        </w:tc>
        <w:tc>
          <w:tcPr>
            <w:tcW w:w="1249" w:type="dxa"/>
            <w:noWrap w:val="0"/>
            <w:vAlign w:val="center"/>
          </w:tcPr>
          <w:p w14:paraId="3ADCCB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213.4</w:t>
            </w:r>
          </w:p>
        </w:tc>
        <w:tc>
          <w:tcPr>
            <w:tcW w:w="1254" w:type="dxa"/>
            <w:noWrap w:val="0"/>
            <w:vAlign w:val="center"/>
          </w:tcPr>
          <w:p w14:paraId="52EF3F3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1.749</w:t>
            </w:r>
          </w:p>
        </w:tc>
        <w:tc>
          <w:tcPr>
            <w:tcW w:w="1490" w:type="dxa"/>
            <w:vMerge w:val="restart"/>
            <w:noWrap w:val="0"/>
            <w:vAlign w:val="center"/>
          </w:tcPr>
          <w:p w14:paraId="6FCFCE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eastAsia="zh-CN"/>
              </w:rPr>
              <w:t>重力</w:t>
            </w:r>
            <w:r>
              <w:rPr>
                <w:rFonts w:hint="default" w:ascii="Times New Roman" w:hAnsi="Times New Roman" w:cs="Times New Roman"/>
                <w:b w:val="0"/>
                <w:bCs w:val="0"/>
                <w:color w:val="auto"/>
                <w:kern w:val="0"/>
                <w:sz w:val="21"/>
                <w:szCs w:val="21"/>
                <w:highlight w:val="none"/>
                <w:lang w:val="en-US" w:eastAsia="zh-CN"/>
              </w:rPr>
              <w:t>+布袋除尘+低氮燃烧器</w:t>
            </w:r>
            <w:r>
              <w:rPr>
                <w:rFonts w:hint="eastAsia" w:ascii="Times New Roman" w:hAnsi="Times New Roman" w:cs="Times New Roman"/>
                <w:b w:val="0"/>
                <w:bCs w:val="0"/>
                <w:color w:val="auto"/>
                <w:kern w:val="0"/>
                <w:sz w:val="21"/>
                <w:szCs w:val="21"/>
                <w:highlight w:val="none"/>
                <w:lang w:val="en-US" w:eastAsia="zh-CN"/>
              </w:rPr>
              <w:t>+活性炭吸附</w:t>
            </w:r>
            <w:r>
              <w:rPr>
                <w:rFonts w:hint="default" w:ascii="Times New Roman" w:hAnsi="Times New Roman" w:cs="Times New Roman"/>
                <w:b w:val="0"/>
                <w:bCs w:val="0"/>
                <w:color w:val="auto"/>
                <w:kern w:val="0"/>
                <w:sz w:val="21"/>
                <w:szCs w:val="21"/>
                <w:highlight w:val="none"/>
                <w:lang w:val="en-US" w:eastAsia="zh-CN"/>
              </w:rPr>
              <w:t>+15m排气筒</w:t>
            </w:r>
          </w:p>
        </w:tc>
        <w:tc>
          <w:tcPr>
            <w:tcW w:w="625" w:type="dxa"/>
            <w:noWrap w:val="0"/>
            <w:vAlign w:val="center"/>
          </w:tcPr>
          <w:p w14:paraId="33BC85D9">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ascii="Times New Roman" w:hAnsi="Times New Roman" w:eastAsia="宋体" w:cs="Times New Roman"/>
                <w:b w:val="0"/>
                <w:bCs w:val="0"/>
                <w:color w:val="auto"/>
                <w:kern w:val="0"/>
                <w:sz w:val="21"/>
                <w:szCs w:val="21"/>
                <w:highlight w:val="none"/>
                <w:lang w:eastAsia="zh-CN"/>
              </w:rPr>
              <w:t>99</w:t>
            </w:r>
          </w:p>
        </w:tc>
        <w:tc>
          <w:tcPr>
            <w:tcW w:w="387" w:type="dxa"/>
            <w:vMerge w:val="continue"/>
            <w:noWrap w:val="0"/>
            <w:vAlign w:val="center"/>
          </w:tcPr>
          <w:p w14:paraId="71E666D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restart"/>
            <w:noWrap w:val="0"/>
            <w:vAlign w:val="center"/>
          </w:tcPr>
          <w:p w14:paraId="5A27712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8195221.1</w:t>
            </w:r>
          </w:p>
        </w:tc>
        <w:tc>
          <w:tcPr>
            <w:tcW w:w="1036" w:type="dxa"/>
            <w:noWrap w:val="0"/>
            <w:vAlign w:val="center"/>
          </w:tcPr>
          <w:p w14:paraId="7B95D7D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2.13</w:t>
            </w:r>
          </w:p>
        </w:tc>
        <w:tc>
          <w:tcPr>
            <w:tcW w:w="1483" w:type="dxa"/>
            <w:noWrap w:val="0"/>
            <w:vAlign w:val="center"/>
          </w:tcPr>
          <w:p w14:paraId="3F58D9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0.017</w:t>
            </w:r>
          </w:p>
        </w:tc>
        <w:tc>
          <w:tcPr>
            <w:tcW w:w="472" w:type="dxa"/>
            <w:vMerge w:val="restart"/>
            <w:noWrap w:val="0"/>
            <w:vAlign w:val="center"/>
          </w:tcPr>
          <w:p w14:paraId="081F7A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r>
              <w:rPr>
                <w:rFonts w:hint="eastAsia" w:ascii="Times New Roman" w:hAnsi="Times New Roman" w:cs="Times New Roman"/>
                <w:color w:val="auto"/>
                <w:kern w:val="0"/>
                <w:sz w:val="21"/>
                <w:szCs w:val="21"/>
                <w:highlight w:val="none"/>
                <w:lang w:val="en-US" w:eastAsia="zh-CN"/>
              </w:rPr>
              <w:t>88</w:t>
            </w:r>
            <w:r>
              <w:rPr>
                <w:rFonts w:hint="default" w:ascii="Times New Roman" w:hAnsi="Times New Roman" w:cs="Times New Roman"/>
                <w:color w:val="auto"/>
                <w:kern w:val="0"/>
                <w:sz w:val="21"/>
                <w:szCs w:val="21"/>
                <w:highlight w:val="none"/>
                <w:lang w:val="en-US" w:eastAsia="zh-CN"/>
              </w:rPr>
              <w:t>0</w:t>
            </w:r>
          </w:p>
        </w:tc>
      </w:tr>
      <w:tr w14:paraId="5D099E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2BEEACF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05010C7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59AF560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580914D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836" w:type="dxa"/>
            <w:vMerge w:val="continue"/>
            <w:noWrap w:val="0"/>
            <w:vAlign w:val="center"/>
          </w:tcPr>
          <w:p w14:paraId="18350A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3BB73A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249" w:type="dxa"/>
            <w:noWrap w:val="0"/>
            <w:vAlign w:val="center"/>
          </w:tcPr>
          <w:p w14:paraId="151B6B1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43.3</w:t>
            </w:r>
          </w:p>
        </w:tc>
        <w:tc>
          <w:tcPr>
            <w:tcW w:w="1254" w:type="dxa"/>
            <w:noWrap w:val="0"/>
            <w:vAlign w:val="center"/>
          </w:tcPr>
          <w:p w14:paraId="10F521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0.355</w:t>
            </w:r>
          </w:p>
        </w:tc>
        <w:tc>
          <w:tcPr>
            <w:tcW w:w="1490" w:type="dxa"/>
            <w:vMerge w:val="continue"/>
            <w:noWrap w:val="0"/>
            <w:vAlign w:val="center"/>
          </w:tcPr>
          <w:p w14:paraId="5B4A60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625" w:type="dxa"/>
            <w:noWrap w:val="0"/>
            <w:vAlign w:val="center"/>
          </w:tcPr>
          <w:p w14:paraId="17A569B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w:t>
            </w:r>
          </w:p>
        </w:tc>
        <w:tc>
          <w:tcPr>
            <w:tcW w:w="387" w:type="dxa"/>
            <w:vMerge w:val="continue"/>
            <w:noWrap w:val="0"/>
            <w:vAlign w:val="center"/>
          </w:tcPr>
          <w:p w14:paraId="028DC4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continue"/>
            <w:noWrap w:val="0"/>
            <w:vAlign w:val="center"/>
          </w:tcPr>
          <w:p w14:paraId="312370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036" w:type="dxa"/>
            <w:noWrap w:val="0"/>
            <w:vAlign w:val="center"/>
          </w:tcPr>
          <w:p w14:paraId="697B19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43.3</w:t>
            </w:r>
          </w:p>
        </w:tc>
        <w:tc>
          <w:tcPr>
            <w:tcW w:w="1483" w:type="dxa"/>
            <w:noWrap w:val="0"/>
            <w:vAlign w:val="center"/>
          </w:tcPr>
          <w:p w14:paraId="7F8379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0.355</w:t>
            </w:r>
          </w:p>
        </w:tc>
        <w:tc>
          <w:tcPr>
            <w:tcW w:w="472" w:type="dxa"/>
            <w:vMerge w:val="continue"/>
            <w:noWrap w:val="0"/>
            <w:vAlign w:val="center"/>
          </w:tcPr>
          <w:p w14:paraId="11A89F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093B5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5E50E9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0C7C54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37D1BE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563304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836" w:type="dxa"/>
            <w:vMerge w:val="continue"/>
            <w:noWrap w:val="0"/>
            <w:vAlign w:val="center"/>
          </w:tcPr>
          <w:p w14:paraId="52B6E7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4855EA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249" w:type="dxa"/>
            <w:noWrap w:val="0"/>
            <w:vAlign w:val="center"/>
          </w:tcPr>
          <w:p w14:paraId="6E07DB9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234.27</w:t>
            </w:r>
          </w:p>
        </w:tc>
        <w:tc>
          <w:tcPr>
            <w:tcW w:w="1254" w:type="dxa"/>
            <w:noWrap w:val="0"/>
            <w:vAlign w:val="center"/>
          </w:tcPr>
          <w:p w14:paraId="305B28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1.92</w:t>
            </w:r>
          </w:p>
        </w:tc>
        <w:tc>
          <w:tcPr>
            <w:tcW w:w="1490" w:type="dxa"/>
            <w:vMerge w:val="continue"/>
            <w:noWrap w:val="0"/>
            <w:vAlign w:val="center"/>
          </w:tcPr>
          <w:p w14:paraId="48FC19F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625" w:type="dxa"/>
            <w:noWrap w:val="0"/>
            <w:vAlign w:val="center"/>
          </w:tcPr>
          <w:p w14:paraId="016AED9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30</w:t>
            </w:r>
          </w:p>
        </w:tc>
        <w:tc>
          <w:tcPr>
            <w:tcW w:w="387" w:type="dxa"/>
            <w:vMerge w:val="continue"/>
            <w:noWrap w:val="0"/>
            <w:vAlign w:val="center"/>
          </w:tcPr>
          <w:p w14:paraId="379C03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continue"/>
            <w:noWrap w:val="0"/>
            <w:vAlign w:val="center"/>
          </w:tcPr>
          <w:p w14:paraId="0FEA25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036" w:type="dxa"/>
            <w:noWrap w:val="0"/>
            <w:vAlign w:val="center"/>
          </w:tcPr>
          <w:p w14:paraId="322D1B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163.99</w:t>
            </w:r>
          </w:p>
        </w:tc>
        <w:tc>
          <w:tcPr>
            <w:tcW w:w="1483" w:type="dxa"/>
            <w:noWrap w:val="0"/>
            <w:vAlign w:val="center"/>
          </w:tcPr>
          <w:p w14:paraId="2E7FED3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rPr>
              <w:t>1.92</w:t>
            </w:r>
          </w:p>
        </w:tc>
        <w:tc>
          <w:tcPr>
            <w:tcW w:w="472" w:type="dxa"/>
            <w:vMerge w:val="continue"/>
            <w:noWrap w:val="0"/>
            <w:vAlign w:val="center"/>
          </w:tcPr>
          <w:p w14:paraId="7A25E4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242248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0EE3C4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3212E9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4B95BC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20C62F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bidi="ar"/>
              </w:rPr>
            </w:pPr>
            <w:r>
              <w:rPr>
                <w:rFonts w:hint="default" w:ascii="Times New Roman" w:hAnsi="Times New Roman" w:cs="Times New Roman"/>
                <w:color w:val="auto"/>
                <w:kern w:val="0"/>
                <w:sz w:val="21"/>
                <w:szCs w:val="21"/>
                <w:highlight w:val="none"/>
                <w:lang w:eastAsia="zh-CN" w:bidi="ar"/>
              </w:rPr>
              <w:t>沥青烟</w:t>
            </w:r>
          </w:p>
        </w:tc>
        <w:tc>
          <w:tcPr>
            <w:tcW w:w="836" w:type="dxa"/>
            <w:vMerge w:val="continue"/>
            <w:noWrap w:val="0"/>
            <w:vAlign w:val="center"/>
          </w:tcPr>
          <w:p w14:paraId="14207E0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6B7200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249" w:type="dxa"/>
            <w:noWrap w:val="0"/>
            <w:vAlign w:val="center"/>
          </w:tcPr>
          <w:p w14:paraId="598D816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9.91</w:t>
            </w:r>
          </w:p>
        </w:tc>
        <w:tc>
          <w:tcPr>
            <w:tcW w:w="1254" w:type="dxa"/>
            <w:noWrap w:val="0"/>
            <w:vAlign w:val="center"/>
          </w:tcPr>
          <w:p w14:paraId="040CDF5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0824</w:t>
            </w:r>
          </w:p>
        </w:tc>
        <w:tc>
          <w:tcPr>
            <w:tcW w:w="1490" w:type="dxa"/>
            <w:vMerge w:val="continue"/>
            <w:noWrap w:val="0"/>
            <w:vAlign w:val="center"/>
          </w:tcPr>
          <w:p w14:paraId="7D27D39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625" w:type="dxa"/>
            <w:noWrap w:val="0"/>
            <w:vAlign w:val="center"/>
          </w:tcPr>
          <w:p w14:paraId="395AB6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98</w:t>
            </w:r>
          </w:p>
        </w:tc>
        <w:tc>
          <w:tcPr>
            <w:tcW w:w="387" w:type="dxa"/>
            <w:vMerge w:val="continue"/>
            <w:noWrap w:val="0"/>
            <w:vAlign w:val="center"/>
          </w:tcPr>
          <w:p w14:paraId="26440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continue"/>
            <w:noWrap w:val="0"/>
            <w:vAlign w:val="center"/>
          </w:tcPr>
          <w:p w14:paraId="2ECC4C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0" w:type="auto"/>
            <w:noWrap w:val="0"/>
            <w:vAlign w:val="center"/>
          </w:tcPr>
          <w:p w14:paraId="389062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0.1982</w:t>
            </w:r>
          </w:p>
        </w:tc>
        <w:tc>
          <w:tcPr>
            <w:tcW w:w="0" w:type="auto"/>
            <w:noWrap w:val="0"/>
            <w:vAlign w:val="center"/>
          </w:tcPr>
          <w:p w14:paraId="07538A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0.0016</w:t>
            </w:r>
          </w:p>
        </w:tc>
        <w:tc>
          <w:tcPr>
            <w:tcW w:w="472" w:type="dxa"/>
            <w:vMerge w:val="continue"/>
            <w:noWrap w:val="0"/>
            <w:vAlign w:val="center"/>
          </w:tcPr>
          <w:p w14:paraId="6606E3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188A16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3F40FB9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6ED98F5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99" w:type="dxa"/>
            <w:vMerge w:val="continue"/>
            <w:noWrap w:val="0"/>
            <w:vAlign w:val="center"/>
          </w:tcPr>
          <w:p w14:paraId="08C9861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835" w:type="dxa"/>
            <w:noWrap w:val="0"/>
            <w:vAlign w:val="center"/>
          </w:tcPr>
          <w:p w14:paraId="7FA89828">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eastAsia="zh-CN" w:bidi="ar"/>
              </w:rPr>
            </w:pPr>
            <w:r>
              <w:rPr>
                <w:rFonts w:hint="default" w:ascii="Times New Roman" w:hAnsi="Times New Roman" w:cs="Times New Roman"/>
                <w:color w:val="auto"/>
                <w:kern w:val="0"/>
                <w:sz w:val="21"/>
                <w:szCs w:val="21"/>
                <w:highlight w:val="none"/>
                <w:lang w:eastAsia="zh-CN" w:bidi="ar"/>
              </w:rPr>
              <w:t>苯并</w:t>
            </w:r>
            <w:r>
              <w:rPr>
                <w:rFonts w:hint="default" w:ascii="Times New Roman" w:hAnsi="Times New Roman" w:cs="Times New Roman"/>
                <w:color w:val="auto"/>
                <w:kern w:val="0"/>
                <w:sz w:val="21"/>
                <w:szCs w:val="21"/>
                <w:highlight w:val="none"/>
                <w:lang w:val="en-US" w:eastAsia="zh-CN" w:bidi="ar"/>
              </w:rPr>
              <w:t>[a]</w:t>
            </w:r>
            <w:r>
              <w:rPr>
                <w:rFonts w:hint="default" w:ascii="Times New Roman" w:hAnsi="Times New Roman" w:cs="Times New Roman"/>
                <w:color w:val="auto"/>
                <w:kern w:val="0"/>
                <w:sz w:val="21"/>
                <w:szCs w:val="21"/>
                <w:highlight w:val="none"/>
                <w:lang w:eastAsia="zh-CN" w:bidi="ar"/>
              </w:rPr>
              <w:t>芘</w:t>
            </w:r>
          </w:p>
        </w:tc>
        <w:tc>
          <w:tcPr>
            <w:tcW w:w="836" w:type="dxa"/>
            <w:vMerge w:val="continue"/>
            <w:noWrap w:val="0"/>
            <w:vAlign w:val="center"/>
          </w:tcPr>
          <w:p w14:paraId="7E52D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1012" w:type="dxa"/>
            <w:vMerge w:val="continue"/>
            <w:noWrap w:val="0"/>
            <w:vAlign w:val="center"/>
          </w:tcPr>
          <w:p w14:paraId="7E7DDB3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1249" w:type="dxa"/>
            <w:noWrap w:val="0"/>
            <w:vAlign w:val="center"/>
          </w:tcPr>
          <w:p w14:paraId="3B3F6B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0.008</w:t>
            </w:r>
          </w:p>
        </w:tc>
        <w:tc>
          <w:tcPr>
            <w:tcW w:w="1254" w:type="dxa"/>
            <w:noWrap w:val="0"/>
            <w:vAlign w:val="center"/>
          </w:tcPr>
          <w:p w14:paraId="75B257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0.0681k</w:t>
            </w:r>
            <w:r>
              <w:rPr>
                <w:rFonts w:hint="default" w:ascii="Times New Roman" w:hAnsi="Times New Roman" w:eastAsia="宋体" w:cs="Times New Roman"/>
                <w:color w:val="auto"/>
                <w:kern w:val="0"/>
                <w:sz w:val="21"/>
                <w:szCs w:val="21"/>
                <w:highlight w:val="none"/>
                <w:lang w:val="en-US" w:eastAsia="zh-CN"/>
              </w:rPr>
              <w:t>g/a</w:t>
            </w:r>
          </w:p>
        </w:tc>
        <w:tc>
          <w:tcPr>
            <w:tcW w:w="1490" w:type="dxa"/>
            <w:vMerge w:val="continue"/>
            <w:noWrap w:val="0"/>
            <w:vAlign w:val="center"/>
          </w:tcPr>
          <w:p w14:paraId="3DCAED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625" w:type="dxa"/>
            <w:noWrap w:val="0"/>
            <w:vAlign w:val="center"/>
          </w:tcPr>
          <w:p w14:paraId="0BE3F9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98</w:t>
            </w:r>
          </w:p>
        </w:tc>
        <w:tc>
          <w:tcPr>
            <w:tcW w:w="387" w:type="dxa"/>
            <w:vMerge w:val="continue"/>
            <w:noWrap w:val="0"/>
            <w:vAlign w:val="center"/>
          </w:tcPr>
          <w:p w14:paraId="52B43F2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vMerge w:val="continue"/>
            <w:noWrap w:val="0"/>
            <w:vAlign w:val="center"/>
          </w:tcPr>
          <w:p w14:paraId="3E2087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p>
        </w:tc>
        <w:tc>
          <w:tcPr>
            <w:tcW w:w="0" w:type="auto"/>
            <w:noWrap w:val="0"/>
            <w:vAlign w:val="center"/>
          </w:tcPr>
          <w:p w14:paraId="619FB6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0.00016</w:t>
            </w:r>
          </w:p>
        </w:tc>
        <w:tc>
          <w:tcPr>
            <w:tcW w:w="0" w:type="auto"/>
            <w:noWrap w:val="0"/>
            <w:vAlign w:val="center"/>
          </w:tcPr>
          <w:p w14:paraId="7020C9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0.0012kg</w:t>
            </w:r>
            <w:r>
              <w:rPr>
                <w:rFonts w:hint="default" w:ascii="Times New Roman" w:hAnsi="Times New Roman" w:eastAsia="宋体" w:cs="Times New Roman"/>
                <w:color w:val="auto"/>
                <w:kern w:val="0"/>
                <w:sz w:val="21"/>
                <w:szCs w:val="21"/>
                <w:highlight w:val="none"/>
                <w:lang w:val="en-US" w:eastAsia="zh-CN"/>
              </w:rPr>
              <w:t>/a</w:t>
            </w:r>
          </w:p>
        </w:tc>
        <w:tc>
          <w:tcPr>
            <w:tcW w:w="472" w:type="dxa"/>
            <w:vMerge w:val="continue"/>
            <w:noWrap w:val="0"/>
            <w:vAlign w:val="center"/>
          </w:tcPr>
          <w:p w14:paraId="35E904F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r>
      <w:tr w14:paraId="02D17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noWrap w:val="0"/>
            <w:vAlign w:val="center"/>
          </w:tcPr>
          <w:p w14:paraId="78DC2F5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矿粉罐</w:t>
            </w:r>
          </w:p>
        </w:tc>
        <w:tc>
          <w:tcPr>
            <w:tcW w:w="982" w:type="dxa"/>
            <w:noWrap w:val="0"/>
            <w:vAlign w:val="center"/>
          </w:tcPr>
          <w:p w14:paraId="0FADFE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矿粉罐</w:t>
            </w:r>
          </w:p>
        </w:tc>
        <w:tc>
          <w:tcPr>
            <w:tcW w:w="999" w:type="dxa"/>
            <w:noWrap w:val="0"/>
            <w:vAlign w:val="center"/>
          </w:tcPr>
          <w:p w14:paraId="56B8A96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无组织</w:t>
            </w:r>
          </w:p>
        </w:tc>
        <w:tc>
          <w:tcPr>
            <w:tcW w:w="835" w:type="dxa"/>
            <w:noWrap w:val="0"/>
            <w:vAlign w:val="center"/>
          </w:tcPr>
          <w:p w14:paraId="0BE96A07">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eastAsia="zh-CN" w:bidi="ar"/>
              </w:rPr>
            </w:pPr>
            <w:r>
              <w:rPr>
                <w:rFonts w:hint="default" w:ascii="Times New Roman" w:hAnsi="Times New Roman" w:cs="Times New Roman"/>
                <w:color w:val="auto"/>
                <w:kern w:val="0"/>
                <w:sz w:val="21"/>
                <w:szCs w:val="21"/>
                <w:highlight w:val="none"/>
                <w:lang w:eastAsia="zh-CN" w:bidi="ar"/>
              </w:rPr>
              <w:t>颗粒物</w:t>
            </w:r>
          </w:p>
        </w:tc>
        <w:tc>
          <w:tcPr>
            <w:tcW w:w="836" w:type="dxa"/>
            <w:noWrap w:val="0"/>
            <w:vAlign w:val="center"/>
          </w:tcPr>
          <w:p w14:paraId="163E4B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系数法</w:t>
            </w:r>
          </w:p>
        </w:tc>
        <w:tc>
          <w:tcPr>
            <w:tcW w:w="1012" w:type="dxa"/>
            <w:noWrap w:val="0"/>
            <w:vAlign w:val="center"/>
          </w:tcPr>
          <w:p w14:paraId="0318AB6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w:t>
            </w:r>
          </w:p>
        </w:tc>
        <w:tc>
          <w:tcPr>
            <w:tcW w:w="1249" w:type="dxa"/>
            <w:noWrap w:val="0"/>
            <w:vAlign w:val="center"/>
          </w:tcPr>
          <w:p w14:paraId="0B74343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w:t>
            </w:r>
          </w:p>
        </w:tc>
        <w:tc>
          <w:tcPr>
            <w:tcW w:w="1254" w:type="dxa"/>
            <w:noWrap w:val="0"/>
            <w:vAlign w:val="center"/>
          </w:tcPr>
          <w:p w14:paraId="124B97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0.45</w:t>
            </w:r>
          </w:p>
        </w:tc>
        <w:tc>
          <w:tcPr>
            <w:tcW w:w="1490" w:type="dxa"/>
            <w:noWrap w:val="0"/>
            <w:vAlign w:val="center"/>
          </w:tcPr>
          <w:p w14:paraId="0BDD1C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eastAsia="zh-CN"/>
              </w:rPr>
            </w:pPr>
            <w:r>
              <w:rPr>
                <w:rFonts w:hint="default" w:ascii="Times New Roman" w:hAnsi="Times New Roman" w:cs="Times New Roman"/>
                <w:b w:val="0"/>
                <w:bCs w:val="0"/>
                <w:color w:val="auto"/>
                <w:kern w:val="0"/>
                <w:sz w:val="21"/>
                <w:szCs w:val="21"/>
                <w:highlight w:val="none"/>
                <w:lang w:eastAsia="zh-CN"/>
              </w:rPr>
              <w:t>布袋除尘器</w:t>
            </w:r>
          </w:p>
        </w:tc>
        <w:tc>
          <w:tcPr>
            <w:tcW w:w="625" w:type="dxa"/>
            <w:noWrap w:val="0"/>
            <w:vAlign w:val="center"/>
          </w:tcPr>
          <w:p w14:paraId="17DB4D5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99</w:t>
            </w:r>
          </w:p>
        </w:tc>
        <w:tc>
          <w:tcPr>
            <w:tcW w:w="387" w:type="dxa"/>
            <w:vMerge w:val="continue"/>
            <w:noWrap w:val="0"/>
            <w:vAlign w:val="center"/>
          </w:tcPr>
          <w:p w14:paraId="372FBE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rPr>
            </w:pPr>
          </w:p>
        </w:tc>
        <w:tc>
          <w:tcPr>
            <w:tcW w:w="903" w:type="dxa"/>
            <w:noWrap w:val="0"/>
            <w:vAlign w:val="center"/>
          </w:tcPr>
          <w:p w14:paraId="539032F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w:t>
            </w:r>
          </w:p>
        </w:tc>
        <w:tc>
          <w:tcPr>
            <w:tcW w:w="0" w:type="auto"/>
            <w:noWrap w:val="0"/>
            <w:vAlign w:val="center"/>
          </w:tcPr>
          <w:p w14:paraId="08A27B1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val="0"/>
                <w:bCs w:val="0"/>
                <w:color w:val="auto"/>
                <w:kern w:val="0"/>
                <w:sz w:val="21"/>
                <w:szCs w:val="21"/>
                <w:highlight w:val="none"/>
                <w:lang w:val="en-US" w:eastAsia="zh-CN" w:bidi="ar"/>
              </w:rPr>
            </w:pPr>
            <w:r>
              <w:rPr>
                <w:rFonts w:hint="default" w:ascii="Times New Roman" w:hAnsi="Times New Roman" w:cs="Times New Roman"/>
                <w:b w:val="0"/>
                <w:bCs w:val="0"/>
                <w:color w:val="auto"/>
                <w:kern w:val="0"/>
                <w:sz w:val="21"/>
                <w:szCs w:val="21"/>
                <w:highlight w:val="none"/>
                <w:lang w:val="en-US" w:eastAsia="zh-CN" w:bidi="ar"/>
              </w:rPr>
              <w:t>/</w:t>
            </w:r>
          </w:p>
        </w:tc>
        <w:tc>
          <w:tcPr>
            <w:tcW w:w="0" w:type="auto"/>
            <w:noWrap w:val="0"/>
            <w:vAlign w:val="center"/>
          </w:tcPr>
          <w:p w14:paraId="30EEC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0.0045</w:t>
            </w:r>
          </w:p>
        </w:tc>
        <w:tc>
          <w:tcPr>
            <w:tcW w:w="472" w:type="dxa"/>
            <w:noWrap w:val="0"/>
            <w:vAlign w:val="center"/>
          </w:tcPr>
          <w:p w14:paraId="0A31F08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288</w:t>
            </w:r>
            <w:r>
              <w:rPr>
                <w:rFonts w:hint="default" w:ascii="Times New Roman" w:hAnsi="Times New Roman" w:cs="Times New Roman"/>
                <w:color w:val="auto"/>
                <w:kern w:val="0"/>
                <w:sz w:val="21"/>
                <w:szCs w:val="21"/>
                <w:highlight w:val="none"/>
                <w:lang w:val="en-US" w:eastAsia="zh-CN"/>
              </w:rPr>
              <w:t>0</w:t>
            </w:r>
          </w:p>
        </w:tc>
      </w:tr>
      <w:tr w14:paraId="70340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restart"/>
            <w:noWrap w:val="0"/>
            <w:vAlign w:val="center"/>
          </w:tcPr>
          <w:p w14:paraId="64F2386F">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val="en-US" w:eastAsia="zh-CN"/>
              </w:rPr>
              <w:t>无组织</w:t>
            </w:r>
          </w:p>
        </w:tc>
        <w:tc>
          <w:tcPr>
            <w:tcW w:w="982" w:type="dxa"/>
            <w:noWrap w:val="0"/>
            <w:vAlign w:val="center"/>
          </w:tcPr>
          <w:p w14:paraId="452142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原料堆场</w:t>
            </w:r>
          </w:p>
        </w:tc>
        <w:tc>
          <w:tcPr>
            <w:tcW w:w="999" w:type="dxa"/>
            <w:noWrap w:val="0"/>
            <w:vAlign w:val="center"/>
          </w:tcPr>
          <w:p w14:paraId="34C801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原料堆场</w:t>
            </w:r>
          </w:p>
        </w:tc>
        <w:tc>
          <w:tcPr>
            <w:tcW w:w="835" w:type="dxa"/>
            <w:noWrap w:val="0"/>
            <w:vAlign w:val="center"/>
          </w:tcPr>
          <w:p w14:paraId="75F1DF82">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粉尘</w:t>
            </w:r>
          </w:p>
        </w:tc>
        <w:tc>
          <w:tcPr>
            <w:tcW w:w="836" w:type="dxa"/>
            <w:noWrap w:val="0"/>
            <w:vAlign w:val="center"/>
          </w:tcPr>
          <w:p w14:paraId="3596005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tc>
        <w:tc>
          <w:tcPr>
            <w:tcW w:w="1012" w:type="dxa"/>
            <w:noWrap w:val="0"/>
            <w:vAlign w:val="center"/>
          </w:tcPr>
          <w:p w14:paraId="2D1392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49" w:type="dxa"/>
            <w:noWrap w:val="0"/>
            <w:vAlign w:val="center"/>
          </w:tcPr>
          <w:p w14:paraId="75616E7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54" w:type="dxa"/>
            <w:noWrap w:val="0"/>
            <w:vAlign w:val="center"/>
          </w:tcPr>
          <w:p w14:paraId="4FF559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0.823</w:t>
            </w:r>
          </w:p>
        </w:tc>
        <w:tc>
          <w:tcPr>
            <w:tcW w:w="1490" w:type="dxa"/>
            <w:noWrap w:val="0"/>
            <w:vAlign w:val="center"/>
          </w:tcPr>
          <w:p w14:paraId="190651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现有堆场</w:t>
            </w:r>
            <w:r>
              <w:rPr>
                <w:rFonts w:hint="default" w:ascii="Times New Roman" w:hAnsi="Times New Roman" w:cs="Times New Roman"/>
                <w:color w:val="auto"/>
                <w:kern w:val="0"/>
                <w:sz w:val="21"/>
                <w:szCs w:val="21"/>
                <w:highlight w:val="none"/>
              </w:rPr>
              <w:t>地面硬化，并在堆料区周边设置围挡，上方搭建风雨棚，严禁露天堆放，定期向棚内原材料进行洒水保持湿度，碎石堆场加盖苫布，保持湿度，且在四周加强绿化且进行定期洒水抑尘</w:t>
            </w:r>
          </w:p>
        </w:tc>
        <w:tc>
          <w:tcPr>
            <w:tcW w:w="625" w:type="dxa"/>
            <w:noWrap w:val="0"/>
            <w:vAlign w:val="center"/>
          </w:tcPr>
          <w:p w14:paraId="2D0C338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85</w:t>
            </w:r>
          </w:p>
        </w:tc>
        <w:tc>
          <w:tcPr>
            <w:tcW w:w="387" w:type="dxa"/>
            <w:vMerge w:val="continue"/>
            <w:noWrap w:val="0"/>
            <w:vAlign w:val="center"/>
          </w:tcPr>
          <w:p w14:paraId="59BAA6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0" w:type="auto"/>
            <w:noWrap w:val="0"/>
            <w:vAlign w:val="center"/>
          </w:tcPr>
          <w:p w14:paraId="7139F2A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0" w:type="auto"/>
            <w:noWrap w:val="0"/>
            <w:vAlign w:val="center"/>
          </w:tcPr>
          <w:p w14:paraId="4386FDB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w:t>
            </w:r>
          </w:p>
        </w:tc>
        <w:tc>
          <w:tcPr>
            <w:tcW w:w="0" w:type="auto"/>
            <w:noWrap w:val="0"/>
            <w:vAlign w:val="center"/>
          </w:tcPr>
          <w:p w14:paraId="1BCF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0.123</w:t>
            </w:r>
          </w:p>
        </w:tc>
        <w:tc>
          <w:tcPr>
            <w:tcW w:w="0" w:type="auto"/>
            <w:noWrap w:val="0"/>
            <w:vAlign w:val="center"/>
          </w:tcPr>
          <w:p w14:paraId="5348CB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576</w:t>
            </w:r>
            <w:r>
              <w:rPr>
                <w:rFonts w:hint="default" w:ascii="Times New Roman" w:hAnsi="Times New Roman" w:cs="Times New Roman"/>
                <w:color w:val="auto"/>
                <w:kern w:val="0"/>
                <w:sz w:val="21"/>
                <w:szCs w:val="21"/>
                <w:highlight w:val="none"/>
              </w:rPr>
              <w:t>0</w:t>
            </w:r>
          </w:p>
        </w:tc>
      </w:tr>
      <w:tr w14:paraId="4A5E6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7CF913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noWrap w:val="0"/>
            <w:vAlign w:val="center"/>
          </w:tcPr>
          <w:p w14:paraId="69E01996">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eastAsia" w:ascii="宋体" w:hAnsi="Calibri"/>
                <w:color w:val="auto"/>
                <w:kern w:val="0"/>
                <w:sz w:val="18"/>
                <w:szCs w:val="18"/>
                <w:lang w:val="en-US" w:eastAsia="zh-CN"/>
              </w:rPr>
              <w:t>储油罐</w:t>
            </w:r>
          </w:p>
        </w:tc>
        <w:tc>
          <w:tcPr>
            <w:tcW w:w="999" w:type="dxa"/>
            <w:noWrap w:val="0"/>
            <w:vAlign w:val="center"/>
          </w:tcPr>
          <w:p w14:paraId="212BAC18">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eastAsia" w:ascii="宋体" w:hAnsi="Calibri"/>
                <w:color w:val="auto"/>
                <w:kern w:val="0"/>
                <w:sz w:val="18"/>
                <w:szCs w:val="18"/>
                <w:lang w:val="en-US" w:eastAsia="zh-CN"/>
              </w:rPr>
              <w:t>储油罐</w:t>
            </w:r>
          </w:p>
        </w:tc>
        <w:tc>
          <w:tcPr>
            <w:tcW w:w="835" w:type="dxa"/>
            <w:noWrap w:val="0"/>
            <w:vAlign w:val="center"/>
          </w:tcPr>
          <w:p w14:paraId="465F25BB">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eastAsia" w:ascii="宋体" w:hAnsi="宋体"/>
                <w:color w:val="auto"/>
                <w:kern w:val="0"/>
                <w:sz w:val="18"/>
                <w:szCs w:val="18"/>
              </w:rPr>
              <w:t>非甲烷总烃</w:t>
            </w:r>
          </w:p>
        </w:tc>
        <w:tc>
          <w:tcPr>
            <w:tcW w:w="836" w:type="dxa"/>
            <w:noWrap w:val="0"/>
            <w:vAlign w:val="center"/>
          </w:tcPr>
          <w:p w14:paraId="60BACE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tc>
        <w:tc>
          <w:tcPr>
            <w:tcW w:w="1012" w:type="dxa"/>
            <w:noWrap w:val="0"/>
            <w:vAlign w:val="center"/>
          </w:tcPr>
          <w:p w14:paraId="2675F4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49" w:type="dxa"/>
            <w:noWrap w:val="0"/>
            <w:vAlign w:val="center"/>
          </w:tcPr>
          <w:p w14:paraId="5480D67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54" w:type="dxa"/>
            <w:noWrap w:val="0"/>
            <w:vAlign w:val="center"/>
          </w:tcPr>
          <w:p w14:paraId="27E036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0.4</w:t>
            </w:r>
          </w:p>
        </w:tc>
        <w:tc>
          <w:tcPr>
            <w:tcW w:w="1490" w:type="dxa"/>
            <w:noWrap w:val="0"/>
            <w:vAlign w:val="center"/>
          </w:tcPr>
          <w:p w14:paraId="57EF04E6">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default" w:ascii="宋体" w:hAnsi="Calibri"/>
                <w:color w:val="auto"/>
                <w:kern w:val="0"/>
                <w:sz w:val="18"/>
                <w:szCs w:val="18"/>
              </w:rPr>
              <w:t>/</w:t>
            </w:r>
          </w:p>
        </w:tc>
        <w:tc>
          <w:tcPr>
            <w:tcW w:w="625" w:type="dxa"/>
            <w:noWrap w:val="0"/>
            <w:vAlign w:val="center"/>
          </w:tcPr>
          <w:p w14:paraId="76DCC3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387" w:type="dxa"/>
            <w:noWrap w:val="0"/>
            <w:vAlign w:val="center"/>
          </w:tcPr>
          <w:p w14:paraId="3C55832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03" w:type="dxa"/>
            <w:noWrap w:val="0"/>
            <w:vAlign w:val="center"/>
          </w:tcPr>
          <w:p w14:paraId="284A101E">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default" w:ascii="宋体" w:hAnsi="Calibri"/>
                <w:color w:val="auto"/>
                <w:kern w:val="0"/>
                <w:sz w:val="18"/>
                <w:szCs w:val="18"/>
              </w:rPr>
              <w:t>/</w:t>
            </w:r>
          </w:p>
        </w:tc>
        <w:tc>
          <w:tcPr>
            <w:tcW w:w="1036" w:type="dxa"/>
            <w:noWrap w:val="0"/>
            <w:vAlign w:val="center"/>
          </w:tcPr>
          <w:p w14:paraId="292BCA9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highlight w:val="none"/>
                <w:lang w:bidi="ar"/>
              </w:rPr>
            </w:pPr>
            <w:r>
              <w:rPr>
                <w:rFonts w:hint="default" w:ascii="宋体" w:hAnsi="Calibri"/>
                <w:color w:val="auto"/>
                <w:kern w:val="0"/>
                <w:sz w:val="18"/>
                <w:szCs w:val="18"/>
              </w:rPr>
              <w:t>/</w:t>
            </w:r>
          </w:p>
        </w:tc>
        <w:tc>
          <w:tcPr>
            <w:tcW w:w="0" w:type="auto"/>
            <w:noWrap w:val="0"/>
            <w:vAlign w:val="center"/>
          </w:tcPr>
          <w:p w14:paraId="5C690D3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0.4</w:t>
            </w:r>
          </w:p>
        </w:tc>
        <w:tc>
          <w:tcPr>
            <w:tcW w:w="0" w:type="auto"/>
            <w:noWrap w:val="0"/>
            <w:vAlign w:val="center"/>
          </w:tcPr>
          <w:p w14:paraId="6F35EE3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5760</w:t>
            </w:r>
          </w:p>
        </w:tc>
      </w:tr>
      <w:tr w14:paraId="212D89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71" w:hRule="atLeast"/>
          <w:jc w:val="center"/>
        </w:trPr>
        <w:tc>
          <w:tcPr>
            <w:tcW w:w="395" w:type="dxa"/>
            <w:vMerge w:val="continue"/>
            <w:noWrap w:val="0"/>
            <w:vAlign w:val="center"/>
          </w:tcPr>
          <w:p w14:paraId="6708EBB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restart"/>
            <w:noWrap w:val="0"/>
            <w:vAlign w:val="center"/>
          </w:tcPr>
          <w:p w14:paraId="62E3B74C">
            <w:pPr>
              <w:keepNext w:val="0"/>
              <w:keepLines w:val="0"/>
              <w:suppressLineNumbers w:val="0"/>
              <w:spacing w:before="0" w:beforeAutospacing="0" w:after="0" w:afterAutospacing="0"/>
              <w:ind w:left="0" w:right="0"/>
              <w:contextualSpacing/>
              <w:jc w:val="center"/>
              <w:rPr>
                <w:rFonts w:hint="default" w:ascii="宋体" w:hAnsi="宋体"/>
                <w:color w:val="auto"/>
                <w:spacing w:val="-14"/>
                <w:kern w:val="0"/>
                <w:sz w:val="18"/>
                <w:szCs w:val="18"/>
              </w:rPr>
            </w:pPr>
            <w:r>
              <w:rPr>
                <w:rFonts w:hint="default" w:ascii="宋体" w:hAnsi="宋体"/>
                <w:color w:val="auto"/>
                <w:spacing w:val="-14"/>
                <w:kern w:val="0"/>
                <w:sz w:val="18"/>
                <w:szCs w:val="18"/>
              </w:rPr>
              <w:t>搅拌缸</w:t>
            </w:r>
          </w:p>
          <w:p w14:paraId="5170DF49">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default" w:ascii="宋体" w:hAnsi="宋体"/>
                <w:color w:val="auto"/>
                <w:spacing w:val="-14"/>
                <w:kern w:val="0"/>
                <w:sz w:val="18"/>
                <w:szCs w:val="18"/>
              </w:rPr>
              <w:t>沥青储罐</w:t>
            </w:r>
          </w:p>
        </w:tc>
        <w:tc>
          <w:tcPr>
            <w:tcW w:w="999" w:type="dxa"/>
            <w:vMerge w:val="restart"/>
            <w:noWrap w:val="0"/>
            <w:vAlign w:val="center"/>
          </w:tcPr>
          <w:p w14:paraId="67D9BF33">
            <w:pPr>
              <w:keepNext w:val="0"/>
              <w:keepLines w:val="0"/>
              <w:suppressLineNumbers w:val="0"/>
              <w:spacing w:before="0" w:beforeAutospacing="0" w:after="0" w:afterAutospacing="0"/>
              <w:ind w:left="0" w:right="0"/>
              <w:contextualSpacing/>
              <w:jc w:val="center"/>
              <w:rPr>
                <w:rFonts w:hint="default" w:ascii="宋体" w:hAnsi="宋体"/>
                <w:color w:val="auto"/>
                <w:spacing w:val="-14"/>
                <w:kern w:val="0"/>
                <w:sz w:val="18"/>
                <w:szCs w:val="18"/>
              </w:rPr>
            </w:pPr>
            <w:r>
              <w:rPr>
                <w:rFonts w:hint="default" w:ascii="宋体" w:hAnsi="宋体"/>
                <w:color w:val="auto"/>
                <w:spacing w:val="-14"/>
                <w:kern w:val="0"/>
                <w:sz w:val="18"/>
                <w:szCs w:val="18"/>
              </w:rPr>
              <w:t>搅拌缸</w:t>
            </w:r>
          </w:p>
          <w:p w14:paraId="298244DD">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default" w:ascii="宋体" w:hAnsi="宋体"/>
                <w:color w:val="auto"/>
                <w:spacing w:val="-14"/>
                <w:kern w:val="0"/>
                <w:sz w:val="18"/>
                <w:szCs w:val="18"/>
              </w:rPr>
              <w:t>沥青储罐</w:t>
            </w:r>
          </w:p>
        </w:tc>
        <w:tc>
          <w:tcPr>
            <w:tcW w:w="835" w:type="dxa"/>
            <w:noWrap w:val="0"/>
            <w:vAlign w:val="center"/>
          </w:tcPr>
          <w:p w14:paraId="5D6B78F3">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default" w:ascii="宋体" w:hAnsi="宋体"/>
                <w:color w:val="auto"/>
                <w:kern w:val="0"/>
                <w:sz w:val="18"/>
                <w:szCs w:val="18"/>
              </w:rPr>
              <w:t>沥青烟</w:t>
            </w:r>
          </w:p>
        </w:tc>
        <w:tc>
          <w:tcPr>
            <w:tcW w:w="836" w:type="dxa"/>
            <w:noWrap w:val="0"/>
            <w:vAlign w:val="center"/>
          </w:tcPr>
          <w:p w14:paraId="4140C04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tc>
        <w:tc>
          <w:tcPr>
            <w:tcW w:w="1012" w:type="dxa"/>
            <w:noWrap w:val="0"/>
            <w:vAlign w:val="center"/>
          </w:tcPr>
          <w:p w14:paraId="3D910E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49" w:type="dxa"/>
            <w:noWrap w:val="0"/>
            <w:vAlign w:val="center"/>
          </w:tcPr>
          <w:p w14:paraId="4BAA0EC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54" w:type="dxa"/>
            <w:noWrap w:val="0"/>
            <w:vAlign w:val="center"/>
          </w:tcPr>
          <w:p w14:paraId="2F1F5BF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0.00</w:t>
            </w:r>
            <w:r>
              <w:rPr>
                <w:rFonts w:hint="eastAsia" w:ascii="Times New Roman" w:hAnsi="Times New Roman" w:eastAsia="宋体" w:cs="Times New Roman"/>
                <w:color w:val="auto"/>
                <w:kern w:val="0"/>
                <w:sz w:val="21"/>
                <w:szCs w:val="21"/>
                <w:highlight w:val="none"/>
                <w:lang w:val="en-US" w:eastAsia="zh-CN"/>
              </w:rPr>
              <w:t>92</w:t>
            </w:r>
          </w:p>
        </w:tc>
        <w:tc>
          <w:tcPr>
            <w:tcW w:w="1490" w:type="dxa"/>
            <w:noWrap w:val="0"/>
            <w:vAlign w:val="center"/>
          </w:tcPr>
          <w:p w14:paraId="601DB853">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default" w:ascii="宋体" w:hAnsi="Calibri"/>
                <w:color w:val="auto"/>
                <w:kern w:val="0"/>
                <w:sz w:val="18"/>
                <w:szCs w:val="18"/>
              </w:rPr>
              <w:t>/</w:t>
            </w:r>
          </w:p>
        </w:tc>
        <w:tc>
          <w:tcPr>
            <w:tcW w:w="625" w:type="dxa"/>
            <w:noWrap w:val="0"/>
            <w:vAlign w:val="center"/>
          </w:tcPr>
          <w:p w14:paraId="5D1C44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387" w:type="dxa"/>
            <w:noWrap w:val="0"/>
            <w:vAlign w:val="center"/>
          </w:tcPr>
          <w:p w14:paraId="51A20CB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03" w:type="dxa"/>
            <w:noWrap w:val="0"/>
            <w:vAlign w:val="center"/>
          </w:tcPr>
          <w:p w14:paraId="6ADDEFF3">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default" w:ascii="宋体" w:hAnsi="Calibri"/>
                <w:color w:val="auto"/>
                <w:kern w:val="0"/>
                <w:sz w:val="18"/>
                <w:szCs w:val="18"/>
              </w:rPr>
              <w:t>/</w:t>
            </w:r>
          </w:p>
        </w:tc>
        <w:tc>
          <w:tcPr>
            <w:tcW w:w="1036" w:type="dxa"/>
            <w:noWrap w:val="0"/>
            <w:vAlign w:val="center"/>
          </w:tcPr>
          <w:p w14:paraId="2FFD0339">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highlight w:val="none"/>
                <w:lang w:bidi="ar"/>
              </w:rPr>
            </w:pPr>
            <w:r>
              <w:rPr>
                <w:rFonts w:hint="default" w:ascii="宋体" w:hAnsi="Calibri"/>
                <w:color w:val="auto"/>
                <w:kern w:val="0"/>
                <w:sz w:val="18"/>
                <w:szCs w:val="18"/>
              </w:rPr>
              <w:t>/</w:t>
            </w:r>
          </w:p>
        </w:tc>
        <w:tc>
          <w:tcPr>
            <w:tcW w:w="1483" w:type="dxa"/>
            <w:noWrap w:val="0"/>
            <w:vAlign w:val="center"/>
          </w:tcPr>
          <w:p w14:paraId="739201E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0.00</w:t>
            </w:r>
            <w:r>
              <w:rPr>
                <w:rFonts w:hint="eastAsia" w:ascii="Times New Roman" w:hAnsi="Times New Roman" w:eastAsia="宋体" w:cs="Times New Roman"/>
                <w:color w:val="auto"/>
                <w:kern w:val="0"/>
                <w:sz w:val="21"/>
                <w:szCs w:val="21"/>
                <w:highlight w:val="none"/>
                <w:lang w:val="en-US" w:eastAsia="zh-CN"/>
              </w:rPr>
              <w:t>92</w:t>
            </w:r>
          </w:p>
        </w:tc>
        <w:tc>
          <w:tcPr>
            <w:tcW w:w="0" w:type="auto"/>
            <w:noWrap w:val="0"/>
            <w:vAlign w:val="center"/>
          </w:tcPr>
          <w:p w14:paraId="4ADDD96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2880</w:t>
            </w:r>
          </w:p>
        </w:tc>
      </w:tr>
      <w:tr w14:paraId="345257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395" w:type="dxa"/>
            <w:vMerge w:val="continue"/>
            <w:noWrap w:val="0"/>
            <w:vAlign w:val="center"/>
          </w:tcPr>
          <w:p w14:paraId="2A1648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82" w:type="dxa"/>
            <w:vMerge w:val="continue"/>
            <w:noWrap w:val="0"/>
            <w:vAlign w:val="center"/>
          </w:tcPr>
          <w:p w14:paraId="120D71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eastAsia="zh-CN"/>
              </w:rPr>
            </w:pPr>
          </w:p>
        </w:tc>
        <w:tc>
          <w:tcPr>
            <w:tcW w:w="999" w:type="dxa"/>
            <w:vMerge w:val="continue"/>
            <w:noWrap w:val="0"/>
            <w:vAlign w:val="center"/>
          </w:tcPr>
          <w:p w14:paraId="0C4548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eastAsia="zh-CN"/>
              </w:rPr>
            </w:pPr>
          </w:p>
        </w:tc>
        <w:tc>
          <w:tcPr>
            <w:tcW w:w="835" w:type="dxa"/>
            <w:noWrap w:val="0"/>
            <w:vAlign w:val="center"/>
          </w:tcPr>
          <w:p w14:paraId="248B5957">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default" w:ascii="宋体" w:hAnsi="宋体"/>
                <w:color w:val="auto"/>
                <w:kern w:val="0"/>
                <w:sz w:val="18"/>
                <w:szCs w:val="18"/>
              </w:rPr>
              <w:t>苯并[a]芘</w:t>
            </w:r>
          </w:p>
        </w:tc>
        <w:tc>
          <w:tcPr>
            <w:tcW w:w="836" w:type="dxa"/>
            <w:noWrap w:val="0"/>
            <w:vAlign w:val="center"/>
          </w:tcPr>
          <w:p w14:paraId="6B6E3C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系数法</w:t>
            </w:r>
          </w:p>
        </w:tc>
        <w:tc>
          <w:tcPr>
            <w:tcW w:w="1012" w:type="dxa"/>
            <w:noWrap w:val="0"/>
            <w:vAlign w:val="center"/>
          </w:tcPr>
          <w:p w14:paraId="5F7408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49" w:type="dxa"/>
            <w:noWrap w:val="0"/>
            <w:vAlign w:val="center"/>
          </w:tcPr>
          <w:p w14:paraId="37CAE7A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w:t>
            </w:r>
          </w:p>
        </w:tc>
        <w:tc>
          <w:tcPr>
            <w:tcW w:w="1254" w:type="dxa"/>
            <w:noWrap w:val="0"/>
            <w:vAlign w:val="center"/>
          </w:tcPr>
          <w:p w14:paraId="651BE2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0076kg</w:t>
            </w:r>
            <w:r>
              <w:rPr>
                <w:rFonts w:hint="default" w:ascii="Times New Roman" w:hAnsi="Times New Roman" w:eastAsia="宋体" w:cs="Times New Roman"/>
                <w:color w:val="auto"/>
                <w:kern w:val="0"/>
                <w:sz w:val="21"/>
                <w:szCs w:val="21"/>
                <w:highlight w:val="none"/>
                <w:lang w:val="en-US" w:eastAsia="zh-CN"/>
              </w:rPr>
              <w:t>/a</w:t>
            </w:r>
          </w:p>
        </w:tc>
        <w:tc>
          <w:tcPr>
            <w:tcW w:w="1490" w:type="dxa"/>
            <w:noWrap w:val="0"/>
            <w:vAlign w:val="center"/>
          </w:tcPr>
          <w:p w14:paraId="71E49404">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lang w:eastAsia="zh-CN"/>
              </w:rPr>
            </w:pPr>
            <w:r>
              <w:rPr>
                <w:rFonts w:hint="default" w:ascii="宋体" w:hAnsi="Calibri"/>
                <w:color w:val="auto"/>
                <w:kern w:val="0"/>
                <w:sz w:val="18"/>
                <w:szCs w:val="18"/>
              </w:rPr>
              <w:t>/</w:t>
            </w:r>
          </w:p>
        </w:tc>
        <w:tc>
          <w:tcPr>
            <w:tcW w:w="625" w:type="dxa"/>
            <w:noWrap w:val="0"/>
            <w:vAlign w:val="center"/>
          </w:tcPr>
          <w:p w14:paraId="246DB6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387" w:type="dxa"/>
            <w:noWrap w:val="0"/>
            <w:vAlign w:val="center"/>
          </w:tcPr>
          <w:p w14:paraId="35504A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p>
        </w:tc>
        <w:tc>
          <w:tcPr>
            <w:tcW w:w="903" w:type="dxa"/>
            <w:noWrap w:val="0"/>
            <w:vAlign w:val="center"/>
          </w:tcPr>
          <w:p w14:paraId="7C9697F6">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0"/>
                <w:sz w:val="21"/>
                <w:szCs w:val="21"/>
                <w:highlight w:val="none"/>
              </w:rPr>
            </w:pPr>
            <w:r>
              <w:rPr>
                <w:rFonts w:hint="default" w:ascii="宋体" w:hAnsi="Calibri"/>
                <w:color w:val="auto"/>
                <w:kern w:val="0"/>
                <w:sz w:val="18"/>
                <w:szCs w:val="18"/>
              </w:rPr>
              <w:t>/</w:t>
            </w:r>
          </w:p>
        </w:tc>
        <w:tc>
          <w:tcPr>
            <w:tcW w:w="1036" w:type="dxa"/>
            <w:noWrap w:val="0"/>
            <w:vAlign w:val="center"/>
          </w:tcPr>
          <w:p w14:paraId="4E9D3BBC">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highlight w:val="none"/>
                <w:lang w:bidi="ar"/>
              </w:rPr>
            </w:pPr>
            <w:r>
              <w:rPr>
                <w:rFonts w:hint="default" w:ascii="宋体" w:hAnsi="Calibri"/>
                <w:color w:val="auto"/>
                <w:kern w:val="0"/>
                <w:sz w:val="18"/>
                <w:szCs w:val="18"/>
              </w:rPr>
              <w:t>/</w:t>
            </w:r>
          </w:p>
        </w:tc>
        <w:tc>
          <w:tcPr>
            <w:tcW w:w="1483" w:type="dxa"/>
            <w:noWrap w:val="0"/>
            <w:vAlign w:val="center"/>
          </w:tcPr>
          <w:p w14:paraId="6529D2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0076kg</w:t>
            </w:r>
            <w:r>
              <w:rPr>
                <w:rFonts w:hint="default" w:ascii="Times New Roman" w:hAnsi="Times New Roman" w:eastAsia="宋体" w:cs="Times New Roman"/>
                <w:color w:val="auto"/>
                <w:kern w:val="0"/>
                <w:sz w:val="21"/>
                <w:szCs w:val="21"/>
                <w:highlight w:val="none"/>
                <w:lang w:val="en-US" w:eastAsia="zh-CN"/>
              </w:rPr>
              <w:t>/a</w:t>
            </w:r>
          </w:p>
        </w:tc>
        <w:tc>
          <w:tcPr>
            <w:tcW w:w="0" w:type="auto"/>
            <w:noWrap w:val="0"/>
            <w:vAlign w:val="center"/>
          </w:tcPr>
          <w:p w14:paraId="51C685E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2880</w:t>
            </w:r>
          </w:p>
        </w:tc>
      </w:tr>
    </w:tbl>
    <w:p w14:paraId="362798D2">
      <w:pPr>
        <w:widowControl w:val="0"/>
        <w:ind w:firstLine="0" w:firstLineChars="0"/>
        <w:rPr>
          <w:rFonts w:hint="eastAsia" w:ascii="Times New Roman" w:hAnsi="Times New Roman" w:eastAsia="宋体" w:cs="Times New Roman"/>
          <w:color w:val="auto"/>
          <w:szCs w:val="24"/>
          <w:highlight w:val="none"/>
          <w:lang w:eastAsia="zh-CN"/>
        </w:rPr>
        <w:sectPr>
          <w:headerReference r:id="rId12"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77ABFA33">
      <w:pPr>
        <w:widowControl w:val="0"/>
        <w:numPr>
          <w:ilvl w:val="2"/>
          <w:numId w:val="1"/>
        </w:numPr>
        <w:bidi w:val="0"/>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非正常工况下</w:t>
      </w:r>
    </w:p>
    <w:p w14:paraId="2172BB9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center"/>
        <w:outlineLvl w:val="9"/>
        <w:rPr>
          <w:rFonts w:hint="default" w:ascii="Times New Roman" w:hAnsi="Times New Roman" w:cs="Times New Roman"/>
          <w:color w:val="auto"/>
          <w:kern w:val="0"/>
          <w:sz w:val="24"/>
          <w:szCs w:val="20"/>
        </w:rPr>
      </w:pPr>
      <w:r>
        <w:rPr>
          <w:rFonts w:hint="default" w:ascii="Times New Roman" w:hAnsi="Times New Roman" w:cs="Times New Roman"/>
          <w:color w:val="auto"/>
          <w:kern w:val="0"/>
          <w:sz w:val="24"/>
          <w:szCs w:val="20"/>
          <w:lang w:val="en-US" w:eastAsia="zh-CN"/>
        </w:rPr>
        <w:t>（6）</w:t>
      </w:r>
      <w:r>
        <w:rPr>
          <w:rFonts w:hint="default" w:ascii="Times New Roman" w:hAnsi="Times New Roman" w:cs="Times New Roman"/>
          <w:color w:val="auto"/>
          <w:kern w:val="0"/>
          <w:sz w:val="24"/>
          <w:szCs w:val="20"/>
        </w:rPr>
        <w:t>非正常工况分析</w:t>
      </w:r>
    </w:p>
    <w:p w14:paraId="772E6980">
      <w:pPr>
        <w:keepNext w:val="0"/>
        <w:keepLines w:val="0"/>
        <w:pageBreakBefore w:val="0"/>
        <w:widowControl w:val="0"/>
        <w:suppressLineNumbers w:val="0"/>
        <w:kinsoku/>
        <w:wordWrap/>
        <w:overflowPunct/>
        <w:topLinePunct w:val="0"/>
        <w:autoSpaceDE/>
        <w:autoSpaceDN/>
        <w:bidi w:val="0"/>
        <w:spacing w:beforeAutospacing="0" w:after="0" w:afterLines="0" w:afterAutospacing="0" w:line="480" w:lineRule="exact"/>
        <w:ind w:left="0" w:firstLine="480" w:firstLineChars="200"/>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本项目非正常工况主要为布袋除尘器布袋损坏，除尘效率按90%计算，活性炭失效，活性炭治理效率按50%算.</w:t>
      </w:r>
    </w:p>
    <w:p w14:paraId="59811BB6">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2" w:firstLineChars="200"/>
        <w:jc w:val="center"/>
        <w:outlineLvl w:val="9"/>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表</w:t>
      </w:r>
      <w:r>
        <w:rPr>
          <w:rFonts w:hint="default" w:ascii="Times New Roman" w:hAnsi="Times New Roman" w:eastAsia="宋体" w:cs="Times New Roman"/>
          <w:b/>
          <w:bCs/>
          <w:color w:val="auto"/>
          <w:kern w:val="0"/>
          <w:sz w:val="24"/>
          <w:szCs w:val="20"/>
          <w:lang w:val="en-US" w:eastAsia="zh-CN"/>
        </w:rPr>
        <w:t>4-</w:t>
      </w:r>
      <w:r>
        <w:rPr>
          <w:rFonts w:hint="eastAsia" w:ascii="Times New Roman" w:hAnsi="Times New Roman" w:eastAsia="宋体" w:cs="Times New Roman"/>
          <w:b/>
          <w:bCs/>
          <w:color w:val="auto"/>
          <w:kern w:val="0"/>
          <w:sz w:val="24"/>
          <w:szCs w:val="20"/>
          <w:lang w:val="en-US" w:eastAsia="zh-CN"/>
        </w:rPr>
        <w:t>5</w:t>
      </w:r>
      <w:r>
        <w:rPr>
          <w:rFonts w:hint="default" w:ascii="Times New Roman" w:hAnsi="Times New Roman" w:eastAsia="宋体" w:cs="Times New Roman"/>
          <w:b/>
          <w:bCs/>
          <w:color w:val="auto"/>
          <w:kern w:val="0"/>
          <w:sz w:val="24"/>
          <w:szCs w:val="20"/>
        </w:rPr>
        <w:t>污染源非正常排放核算表</w:t>
      </w:r>
    </w:p>
    <w:tbl>
      <w:tblPr>
        <w:tblStyle w:val="35"/>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1032"/>
        <w:gridCol w:w="1073"/>
        <w:gridCol w:w="1281"/>
        <w:gridCol w:w="1394"/>
        <w:gridCol w:w="976"/>
        <w:gridCol w:w="971"/>
        <w:gridCol w:w="961"/>
      </w:tblGrid>
      <w:tr w14:paraId="36D392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1" w:type="pct"/>
            <w:noWrap w:val="0"/>
            <w:vAlign w:val="center"/>
          </w:tcPr>
          <w:p w14:paraId="1459E61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序号</w:t>
            </w:r>
          </w:p>
        </w:tc>
        <w:tc>
          <w:tcPr>
            <w:tcW w:w="612" w:type="pct"/>
            <w:noWrap w:val="0"/>
            <w:vAlign w:val="center"/>
          </w:tcPr>
          <w:p w14:paraId="61A72F6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污染源</w:t>
            </w:r>
          </w:p>
        </w:tc>
        <w:tc>
          <w:tcPr>
            <w:tcW w:w="636" w:type="pct"/>
            <w:noWrap w:val="0"/>
            <w:vAlign w:val="center"/>
          </w:tcPr>
          <w:p w14:paraId="02E18A4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非正常排放原因</w:t>
            </w:r>
          </w:p>
        </w:tc>
        <w:tc>
          <w:tcPr>
            <w:tcW w:w="758" w:type="pct"/>
            <w:noWrap w:val="0"/>
            <w:vAlign w:val="center"/>
          </w:tcPr>
          <w:p w14:paraId="070AF38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污染物</w:t>
            </w:r>
          </w:p>
        </w:tc>
        <w:tc>
          <w:tcPr>
            <w:tcW w:w="824" w:type="pct"/>
            <w:noWrap w:val="0"/>
            <w:vAlign w:val="center"/>
          </w:tcPr>
          <w:p w14:paraId="2307CF6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非正常排放浓度/（</w:t>
            </w:r>
            <w:r>
              <w:rPr>
                <w:rFonts w:hint="default" w:ascii="Times New Roman" w:hAnsi="Times New Roman" w:eastAsia="宋体" w:cs="Times New Roman"/>
                <w:color w:val="auto"/>
                <w:spacing w:val="5"/>
                <w:kern w:val="0"/>
                <w:sz w:val="21"/>
                <w:szCs w:val="21"/>
                <w:lang w:val="en-US" w:eastAsia="zh-CN"/>
              </w:rPr>
              <w:t>m</w:t>
            </w:r>
            <w:r>
              <w:rPr>
                <w:rFonts w:hint="default" w:ascii="Times New Roman" w:hAnsi="Times New Roman" w:eastAsia="宋体" w:cs="Times New Roman"/>
                <w:color w:val="auto"/>
                <w:spacing w:val="5"/>
                <w:kern w:val="0"/>
                <w:sz w:val="21"/>
                <w:szCs w:val="21"/>
              </w:rPr>
              <w:t>g/m</w:t>
            </w:r>
            <w:r>
              <w:rPr>
                <w:rFonts w:hint="default" w:ascii="Times New Roman" w:hAnsi="Times New Roman" w:eastAsia="宋体" w:cs="Times New Roman"/>
                <w:color w:val="auto"/>
                <w:spacing w:val="5"/>
                <w:kern w:val="0"/>
                <w:sz w:val="21"/>
                <w:szCs w:val="21"/>
                <w:vertAlign w:val="superscript"/>
              </w:rPr>
              <w:t>3</w:t>
            </w:r>
            <w:r>
              <w:rPr>
                <w:rFonts w:hint="default" w:ascii="Times New Roman" w:hAnsi="Times New Roman" w:eastAsia="宋体" w:cs="Times New Roman"/>
                <w:color w:val="auto"/>
                <w:spacing w:val="5"/>
                <w:kern w:val="0"/>
                <w:sz w:val="21"/>
                <w:szCs w:val="21"/>
              </w:rPr>
              <w:t>）</w:t>
            </w:r>
          </w:p>
        </w:tc>
        <w:tc>
          <w:tcPr>
            <w:tcW w:w="579" w:type="pct"/>
            <w:noWrap w:val="0"/>
            <w:vAlign w:val="center"/>
          </w:tcPr>
          <w:p w14:paraId="718EED8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单次持续时间/h</w:t>
            </w:r>
          </w:p>
        </w:tc>
        <w:tc>
          <w:tcPr>
            <w:tcW w:w="576" w:type="pct"/>
            <w:noWrap w:val="0"/>
            <w:vAlign w:val="center"/>
          </w:tcPr>
          <w:p w14:paraId="6C97D48B">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年发生频次/次</w:t>
            </w:r>
          </w:p>
        </w:tc>
        <w:tc>
          <w:tcPr>
            <w:tcW w:w="570" w:type="pct"/>
            <w:noWrap w:val="0"/>
            <w:vAlign w:val="center"/>
          </w:tcPr>
          <w:p w14:paraId="47A96451">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应对</w:t>
            </w:r>
          </w:p>
          <w:p w14:paraId="029F79A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措施</w:t>
            </w:r>
          </w:p>
        </w:tc>
      </w:tr>
      <w:tr w14:paraId="2B63EE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1" w:type="pct"/>
            <w:vMerge w:val="restart"/>
            <w:noWrap w:val="0"/>
            <w:vAlign w:val="center"/>
          </w:tcPr>
          <w:p w14:paraId="4757B7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pacing w:val="5"/>
                <w:sz w:val="21"/>
                <w:szCs w:val="21"/>
                <w:lang w:val="en-US" w:eastAsia="zh-CN" w:bidi="ar-SA"/>
              </w:rPr>
            </w:pPr>
            <w:r>
              <w:rPr>
                <w:rFonts w:hint="eastAsia" w:ascii="Times New Roman" w:hAnsi="Times New Roman" w:eastAsia="宋体" w:cs="Times New Roman"/>
                <w:b w:val="0"/>
                <w:bCs w:val="0"/>
                <w:color w:val="FF0000"/>
                <w:sz w:val="21"/>
                <w:szCs w:val="21"/>
                <w:highlight w:val="none"/>
                <w:lang w:val="en-US" w:eastAsia="zh-CN" w:bidi="ar"/>
              </w:rPr>
              <w:t>DA004</w:t>
            </w:r>
          </w:p>
        </w:tc>
        <w:tc>
          <w:tcPr>
            <w:tcW w:w="612" w:type="pct"/>
            <w:noWrap w:val="0"/>
            <w:vAlign w:val="center"/>
          </w:tcPr>
          <w:p w14:paraId="465EC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烘干废气</w:t>
            </w:r>
          </w:p>
        </w:tc>
        <w:tc>
          <w:tcPr>
            <w:tcW w:w="636" w:type="pct"/>
            <w:noWrap w:val="0"/>
            <w:vAlign w:val="center"/>
          </w:tcPr>
          <w:p w14:paraId="32CA27C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outlineLvl w:val="9"/>
              <w:rPr>
                <w:rFonts w:hint="default" w:ascii="Times New Roman" w:hAnsi="Times New Roman" w:eastAsia="宋体" w:cs="Times New Roman"/>
                <w:color w:val="auto"/>
                <w:spacing w:val="5"/>
                <w:kern w:val="0"/>
                <w:sz w:val="21"/>
                <w:szCs w:val="21"/>
                <w:lang w:eastAsia="zh-CN"/>
              </w:rPr>
            </w:pPr>
            <w:r>
              <w:rPr>
                <w:rFonts w:hint="default" w:ascii="Times New Roman" w:hAnsi="Times New Roman" w:eastAsia="宋体" w:cs="Times New Roman"/>
                <w:color w:val="auto"/>
                <w:spacing w:val="5"/>
                <w:kern w:val="0"/>
                <w:sz w:val="21"/>
                <w:szCs w:val="21"/>
              </w:rPr>
              <w:t>布袋除尘器</w:t>
            </w:r>
            <w:r>
              <w:rPr>
                <w:rFonts w:hint="default" w:ascii="Times New Roman" w:hAnsi="Times New Roman" w:cs="Times New Roman"/>
                <w:color w:val="auto"/>
                <w:spacing w:val="5"/>
                <w:kern w:val="0"/>
                <w:sz w:val="21"/>
                <w:szCs w:val="21"/>
                <w:lang w:eastAsia="zh-CN"/>
              </w:rPr>
              <w:t>布袋泄露</w:t>
            </w:r>
          </w:p>
        </w:tc>
        <w:tc>
          <w:tcPr>
            <w:tcW w:w="758" w:type="pct"/>
            <w:tcBorders>
              <w:bottom w:val="single" w:color="auto" w:sz="4" w:space="0"/>
            </w:tcBorders>
            <w:noWrap w:val="0"/>
            <w:vAlign w:val="center"/>
          </w:tcPr>
          <w:p w14:paraId="3254D2E3">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exact"/>
              <w:ind w:left="0" w:right="0"/>
              <w:jc w:val="center"/>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颗粒物</w:t>
            </w:r>
          </w:p>
        </w:tc>
        <w:tc>
          <w:tcPr>
            <w:tcW w:w="1406" w:type="dxa"/>
            <w:tcBorders>
              <w:bottom w:val="single" w:color="auto" w:sz="4" w:space="0"/>
            </w:tcBorders>
            <w:noWrap w:val="0"/>
            <w:vAlign w:val="center"/>
          </w:tcPr>
          <w:p w14:paraId="46C839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cs="Times New Roman"/>
                <w:b w:val="0"/>
                <w:bCs w:val="0"/>
                <w:color w:val="auto"/>
                <w:kern w:val="0"/>
                <w:sz w:val="21"/>
                <w:szCs w:val="21"/>
                <w:highlight w:val="none"/>
                <w:lang w:val="en-US" w:eastAsia="zh-CN" w:bidi="ar"/>
              </w:rPr>
              <w:t>21.34</w:t>
            </w:r>
          </w:p>
        </w:tc>
        <w:tc>
          <w:tcPr>
            <w:tcW w:w="579" w:type="pct"/>
            <w:vMerge w:val="restart"/>
            <w:noWrap w:val="0"/>
            <w:vAlign w:val="center"/>
          </w:tcPr>
          <w:p w14:paraId="2AB7267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1</w:t>
            </w:r>
          </w:p>
        </w:tc>
        <w:tc>
          <w:tcPr>
            <w:tcW w:w="576" w:type="pct"/>
            <w:vMerge w:val="restart"/>
            <w:noWrap w:val="0"/>
            <w:vAlign w:val="center"/>
          </w:tcPr>
          <w:p w14:paraId="64B4312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1</w:t>
            </w:r>
          </w:p>
        </w:tc>
        <w:tc>
          <w:tcPr>
            <w:tcW w:w="570" w:type="pct"/>
            <w:vMerge w:val="restart"/>
            <w:noWrap w:val="0"/>
            <w:vAlign w:val="center"/>
          </w:tcPr>
          <w:p w14:paraId="5630BAB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停止检修</w:t>
            </w:r>
          </w:p>
        </w:tc>
      </w:tr>
      <w:tr w14:paraId="5E3D60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1" w:type="pct"/>
            <w:vMerge w:val="continue"/>
            <w:noWrap w:val="0"/>
            <w:vAlign w:val="center"/>
          </w:tcPr>
          <w:p w14:paraId="44FE7E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p>
        </w:tc>
        <w:tc>
          <w:tcPr>
            <w:tcW w:w="612" w:type="pct"/>
            <w:vMerge w:val="restart"/>
            <w:tcBorders>
              <w:top w:val="single" w:color="auto" w:sz="4" w:space="0"/>
            </w:tcBorders>
            <w:noWrap w:val="0"/>
            <w:vAlign w:val="center"/>
          </w:tcPr>
          <w:p w14:paraId="2C7220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沥青烟气</w:t>
            </w:r>
          </w:p>
        </w:tc>
        <w:tc>
          <w:tcPr>
            <w:tcW w:w="636" w:type="pct"/>
            <w:vMerge w:val="restart"/>
            <w:tcBorders>
              <w:top w:val="single" w:color="auto" w:sz="4" w:space="0"/>
            </w:tcBorders>
            <w:noWrap w:val="0"/>
            <w:vAlign w:val="center"/>
          </w:tcPr>
          <w:p w14:paraId="58FD2E7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活性碳失效</w:t>
            </w:r>
          </w:p>
        </w:tc>
        <w:tc>
          <w:tcPr>
            <w:tcW w:w="758" w:type="pct"/>
            <w:tcBorders>
              <w:top w:val="single" w:color="auto" w:sz="4" w:space="0"/>
              <w:bottom w:val="single" w:color="auto" w:sz="4" w:space="0"/>
            </w:tcBorders>
            <w:noWrap w:val="0"/>
            <w:vAlign w:val="center"/>
          </w:tcPr>
          <w:p w14:paraId="3AAA24A3">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exact"/>
              <w:ind w:left="0" w:right="0"/>
              <w:jc w:val="center"/>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沥青烟气</w:t>
            </w:r>
          </w:p>
        </w:tc>
        <w:tc>
          <w:tcPr>
            <w:tcW w:w="1406" w:type="dxa"/>
            <w:tcBorders>
              <w:top w:val="single" w:color="auto" w:sz="4" w:space="0"/>
            </w:tcBorders>
            <w:noWrap w:val="0"/>
            <w:vAlign w:val="center"/>
          </w:tcPr>
          <w:p w14:paraId="5BAAE0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outlineLvl w:val="9"/>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highlight w:val="none"/>
                <w:lang w:val="en-US" w:eastAsia="zh-CN"/>
              </w:rPr>
              <w:t>4.955</w:t>
            </w:r>
          </w:p>
        </w:tc>
        <w:tc>
          <w:tcPr>
            <w:tcW w:w="579" w:type="pct"/>
            <w:vMerge w:val="continue"/>
            <w:noWrap w:val="0"/>
            <w:vAlign w:val="center"/>
          </w:tcPr>
          <w:p w14:paraId="2E85044F">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6" w:type="pct"/>
            <w:vMerge w:val="continue"/>
            <w:noWrap w:val="0"/>
            <w:vAlign w:val="center"/>
          </w:tcPr>
          <w:p w14:paraId="6832040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0" w:type="pct"/>
            <w:vMerge w:val="continue"/>
            <w:noWrap w:val="0"/>
            <w:vAlign w:val="center"/>
          </w:tcPr>
          <w:p w14:paraId="789979B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r>
      <w:tr w14:paraId="6DFED7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1" w:type="pct"/>
            <w:vMerge w:val="continue"/>
            <w:noWrap w:val="0"/>
            <w:vAlign w:val="center"/>
          </w:tcPr>
          <w:p w14:paraId="788CA1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p>
        </w:tc>
        <w:tc>
          <w:tcPr>
            <w:tcW w:w="612" w:type="pct"/>
            <w:vMerge w:val="continue"/>
            <w:tcBorders>
              <w:top w:val="single" w:color="auto" w:sz="4" w:space="0"/>
              <w:bottom w:val="single" w:color="auto" w:sz="4" w:space="0"/>
            </w:tcBorders>
            <w:noWrap w:val="0"/>
            <w:vAlign w:val="center"/>
          </w:tcPr>
          <w:p w14:paraId="36767A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p>
        </w:tc>
        <w:tc>
          <w:tcPr>
            <w:tcW w:w="636" w:type="pct"/>
            <w:vMerge w:val="continue"/>
            <w:noWrap w:val="0"/>
            <w:vAlign w:val="center"/>
          </w:tcPr>
          <w:p w14:paraId="13982BD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outlineLvl w:val="9"/>
              <w:rPr>
                <w:rFonts w:hint="default" w:ascii="Times New Roman" w:hAnsi="Times New Roman" w:eastAsia="宋体" w:cs="Times New Roman"/>
                <w:color w:val="auto"/>
                <w:spacing w:val="5"/>
                <w:kern w:val="0"/>
                <w:sz w:val="21"/>
                <w:szCs w:val="21"/>
              </w:rPr>
            </w:pPr>
          </w:p>
        </w:tc>
        <w:tc>
          <w:tcPr>
            <w:tcW w:w="758" w:type="pct"/>
            <w:tcBorders>
              <w:top w:val="single" w:color="auto" w:sz="4" w:space="0"/>
              <w:bottom w:val="single" w:color="auto" w:sz="4" w:space="0"/>
            </w:tcBorders>
            <w:noWrap w:val="0"/>
            <w:vAlign w:val="center"/>
          </w:tcPr>
          <w:p w14:paraId="421DA7E9">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exact"/>
              <w:ind w:left="0" w:right="0"/>
              <w:jc w:val="center"/>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苯并[a]芘</w:t>
            </w:r>
          </w:p>
        </w:tc>
        <w:tc>
          <w:tcPr>
            <w:tcW w:w="1406" w:type="dxa"/>
            <w:tcBorders>
              <w:top w:val="single" w:color="auto" w:sz="4" w:space="0"/>
              <w:bottom w:val="single" w:color="auto" w:sz="4" w:space="0"/>
            </w:tcBorders>
            <w:noWrap w:val="0"/>
            <w:vAlign w:val="center"/>
          </w:tcPr>
          <w:p w14:paraId="1EEA65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outlineLvl w:val="9"/>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highlight w:val="none"/>
              </w:rPr>
              <w:t>0.00</w:t>
            </w:r>
            <w:r>
              <w:rPr>
                <w:rFonts w:hint="default" w:ascii="Times New Roman" w:hAnsi="Times New Roman" w:cs="Times New Roman"/>
                <w:color w:val="auto"/>
                <w:kern w:val="0"/>
                <w:sz w:val="21"/>
                <w:szCs w:val="21"/>
                <w:highlight w:val="none"/>
                <w:lang w:val="en-US" w:eastAsia="zh-CN"/>
              </w:rPr>
              <w:t>4</w:t>
            </w:r>
          </w:p>
        </w:tc>
        <w:tc>
          <w:tcPr>
            <w:tcW w:w="579" w:type="pct"/>
            <w:vMerge w:val="continue"/>
            <w:noWrap w:val="0"/>
            <w:vAlign w:val="center"/>
          </w:tcPr>
          <w:p w14:paraId="5ED2CFCB">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6" w:type="pct"/>
            <w:vMerge w:val="continue"/>
            <w:noWrap w:val="0"/>
            <w:vAlign w:val="center"/>
          </w:tcPr>
          <w:p w14:paraId="2A78298B">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0" w:type="pct"/>
            <w:vMerge w:val="continue"/>
            <w:noWrap w:val="0"/>
            <w:vAlign w:val="center"/>
          </w:tcPr>
          <w:p w14:paraId="4A89073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r>
      <w:tr w14:paraId="0B2AD5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1" w:type="pct"/>
            <w:noWrap w:val="0"/>
            <w:vAlign w:val="center"/>
          </w:tcPr>
          <w:p w14:paraId="40E897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矿粉罐无组织排放</w:t>
            </w:r>
          </w:p>
        </w:tc>
        <w:tc>
          <w:tcPr>
            <w:tcW w:w="612" w:type="pct"/>
            <w:tcBorders>
              <w:top w:val="single" w:color="auto" w:sz="4" w:space="0"/>
            </w:tcBorders>
            <w:noWrap w:val="0"/>
            <w:vAlign w:val="center"/>
          </w:tcPr>
          <w:p w14:paraId="19F2DA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矿粉罐无组织排放</w:t>
            </w:r>
          </w:p>
        </w:tc>
        <w:tc>
          <w:tcPr>
            <w:tcW w:w="636" w:type="pct"/>
            <w:tcBorders>
              <w:bottom w:val="single" w:color="auto" w:sz="4" w:space="0"/>
            </w:tcBorders>
            <w:noWrap w:val="0"/>
            <w:vAlign w:val="center"/>
          </w:tcPr>
          <w:p w14:paraId="4DFCB57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outlineLvl w:val="9"/>
              <w:rPr>
                <w:rFonts w:hint="default" w:ascii="Times New Roman" w:hAnsi="Times New Roman" w:eastAsia="宋体" w:cs="Times New Roman"/>
                <w:color w:val="auto"/>
                <w:spacing w:val="5"/>
                <w:kern w:val="0"/>
                <w:sz w:val="21"/>
                <w:szCs w:val="21"/>
              </w:rPr>
            </w:pPr>
            <w:r>
              <w:rPr>
                <w:rFonts w:hint="default" w:ascii="Times New Roman" w:hAnsi="Times New Roman" w:eastAsia="宋体" w:cs="Times New Roman"/>
                <w:color w:val="auto"/>
                <w:spacing w:val="5"/>
                <w:kern w:val="0"/>
                <w:sz w:val="21"/>
                <w:szCs w:val="21"/>
              </w:rPr>
              <w:t>布袋除尘器</w:t>
            </w:r>
            <w:r>
              <w:rPr>
                <w:rFonts w:hint="default" w:ascii="Times New Roman" w:hAnsi="Times New Roman" w:cs="Times New Roman"/>
                <w:color w:val="auto"/>
                <w:spacing w:val="5"/>
                <w:kern w:val="0"/>
                <w:sz w:val="21"/>
                <w:szCs w:val="21"/>
                <w:lang w:eastAsia="zh-CN"/>
              </w:rPr>
              <w:t>布袋泄露</w:t>
            </w:r>
          </w:p>
        </w:tc>
        <w:tc>
          <w:tcPr>
            <w:tcW w:w="758" w:type="pct"/>
            <w:tcBorders>
              <w:top w:val="single" w:color="auto" w:sz="4" w:space="0"/>
              <w:bottom w:val="single" w:color="auto" w:sz="4" w:space="0"/>
            </w:tcBorders>
            <w:noWrap w:val="0"/>
            <w:vAlign w:val="center"/>
          </w:tcPr>
          <w:p w14:paraId="2856FEA9">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exact"/>
              <w:ind w:left="0" w:right="0"/>
              <w:jc w:val="center"/>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颗粒物</w:t>
            </w:r>
          </w:p>
        </w:tc>
        <w:tc>
          <w:tcPr>
            <w:tcW w:w="824" w:type="pct"/>
            <w:tcBorders>
              <w:top w:val="single" w:color="auto" w:sz="4" w:space="0"/>
            </w:tcBorders>
            <w:noWrap w:val="0"/>
            <w:vAlign w:val="center"/>
          </w:tcPr>
          <w:p w14:paraId="7CCD8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outlineLvl w:val="9"/>
              <w:rPr>
                <w:rFonts w:hint="default" w:ascii="Times New Roman" w:hAnsi="Times New Roman" w:eastAsia="宋体" w:cs="Times New Roman"/>
                <w:color w:val="auto"/>
                <w:kern w:val="0"/>
                <w:sz w:val="21"/>
                <w:szCs w:val="21"/>
                <w:lang w:val="en-US" w:eastAsia="zh-CN"/>
              </w:rPr>
            </w:pPr>
            <w:bookmarkStart w:id="248" w:name="_Toc27988"/>
            <w:r>
              <w:rPr>
                <w:rFonts w:hint="default" w:ascii="Times New Roman" w:hAnsi="Times New Roman" w:cs="Times New Roman"/>
                <w:color w:val="auto"/>
                <w:kern w:val="0"/>
                <w:sz w:val="21"/>
                <w:szCs w:val="21"/>
                <w:lang w:val="en-US" w:eastAsia="zh-CN"/>
              </w:rPr>
              <w:t>0.0208kg/h</w:t>
            </w:r>
            <w:bookmarkEnd w:id="248"/>
          </w:p>
        </w:tc>
        <w:tc>
          <w:tcPr>
            <w:tcW w:w="579" w:type="pct"/>
            <w:vMerge w:val="continue"/>
            <w:noWrap w:val="0"/>
            <w:vAlign w:val="center"/>
          </w:tcPr>
          <w:p w14:paraId="47B5899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6" w:type="pct"/>
            <w:vMerge w:val="continue"/>
            <w:noWrap w:val="0"/>
            <w:vAlign w:val="center"/>
          </w:tcPr>
          <w:p w14:paraId="5ACC7FA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c>
          <w:tcPr>
            <w:tcW w:w="570" w:type="pct"/>
            <w:vMerge w:val="continue"/>
            <w:noWrap w:val="0"/>
            <w:vAlign w:val="center"/>
          </w:tcPr>
          <w:p w14:paraId="6639E1B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tLeast"/>
              <w:ind w:left="0" w:right="0"/>
              <w:jc w:val="center"/>
              <w:outlineLvl w:val="9"/>
              <w:rPr>
                <w:rFonts w:hint="default" w:ascii="Times New Roman" w:hAnsi="Times New Roman" w:eastAsia="宋体" w:cs="Times New Roman"/>
                <w:color w:val="auto"/>
                <w:spacing w:val="5"/>
                <w:kern w:val="0"/>
                <w:sz w:val="21"/>
                <w:szCs w:val="21"/>
              </w:rPr>
            </w:pPr>
          </w:p>
        </w:tc>
      </w:tr>
    </w:tbl>
    <w:p w14:paraId="344D2FA1">
      <w:pPr>
        <w:keepNext w:val="0"/>
        <w:keepLines w:val="0"/>
        <w:pageBreakBefore w:val="0"/>
        <w:widowControl w:val="0"/>
        <w:kinsoku/>
        <w:wordWrap/>
        <w:overflowPunct/>
        <w:topLinePunct w:val="0"/>
        <w:autoSpaceDE/>
        <w:autoSpaceDN/>
        <w:bidi w:val="0"/>
        <w:spacing w:after="0" w:afterLines="0" w:line="480" w:lineRule="exact"/>
        <w:ind w:firstLine="480" w:firstLineChars="200"/>
        <w:outlineLvl w:val="9"/>
        <w:rPr>
          <w:rFonts w:hint="default" w:ascii="Times New Roman" w:hAnsi="Times New Roman" w:eastAsia="宋体" w:cs="Times New Roman"/>
          <w:color w:val="auto"/>
          <w:sz w:val="24"/>
          <w:szCs w:val="24"/>
          <w:lang w:val="en-US" w:eastAsia="zh-CN" w:bidi="ar-SA"/>
        </w:rPr>
      </w:pPr>
    </w:p>
    <w:p w14:paraId="16C0ED8A">
      <w:pPr>
        <w:widowControl w:val="0"/>
        <w:spacing w:after="0" w:afterLines="0" w:line="480" w:lineRule="exact"/>
        <w:ind w:firstLine="480" w:firstLineChars="200"/>
        <w:rPr>
          <w:rFonts w:hint="default" w:ascii="Times New Roman" w:hAnsi="Times New Roman" w:eastAsia="宋体" w:cs="Times New Roman"/>
          <w:color w:val="auto"/>
          <w:sz w:val="24"/>
          <w:szCs w:val="24"/>
          <w:lang w:val="en-US" w:eastAsia="zh-CN" w:bidi="ar-SA"/>
        </w:rPr>
      </w:pPr>
    </w:p>
    <w:p w14:paraId="06024AB7">
      <w:pPr>
        <w:ind w:firstLine="422"/>
        <w:jc w:val="center"/>
        <w:rPr>
          <w:rFonts w:hint="default" w:ascii="Times New Roman" w:hAnsi="Times New Roman" w:cs="Times New Roman"/>
          <w:b/>
          <w:bCs/>
          <w:color w:val="auto"/>
          <w:sz w:val="21"/>
          <w:szCs w:val="21"/>
        </w:rPr>
        <w:sectPr>
          <w:headerReference r:id="rId13" w:type="default"/>
          <w:footnotePr>
            <w:numFmt w:val="decimalEnclosedCircle"/>
          </w:footnotePr>
          <w:pgSz w:w="11906" w:h="16838"/>
          <w:pgMar w:top="1440" w:right="1797" w:bottom="1440" w:left="1797" w:header="1021" w:footer="1021" w:gutter="0"/>
          <w:pgBorders>
            <w:top w:val="none" w:sz="0" w:space="0"/>
            <w:left w:val="none" w:sz="0" w:space="0"/>
            <w:bottom w:val="none" w:sz="0" w:space="0"/>
            <w:right w:val="none" w:sz="0" w:space="0"/>
          </w:pgBorders>
          <w:pgNumType w:fmt="decimal"/>
          <w:cols w:space="720" w:num="1"/>
          <w:docGrid w:linePitch="326" w:charSpace="0"/>
        </w:sectPr>
      </w:pPr>
    </w:p>
    <w:bookmarkEnd w:id="177"/>
    <w:bookmarkEnd w:id="178"/>
    <w:bookmarkEnd w:id="179"/>
    <w:bookmarkEnd w:id="180"/>
    <w:bookmarkEnd w:id="181"/>
    <w:bookmarkEnd w:id="182"/>
    <w:bookmarkEnd w:id="183"/>
    <w:p w14:paraId="63C92DA3">
      <w:pPr>
        <w:widowControl w:val="0"/>
        <w:numPr>
          <w:ilvl w:val="0"/>
          <w:numId w:val="1"/>
        </w:numPr>
        <w:spacing w:before="240" w:beforeLines="10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249" w:name="_Toc14597"/>
      <w:bookmarkStart w:id="250" w:name="_Toc344060692"/>
      <w:bookmarkStart w:id="251" w:name="_Toc307229532"/>
      <w:bookmarkStart w:id="252" w:name="_Toc353554884"/>
      <w:bookmarkStart w:id="253" w:name="_Toc307947618"/>
      <w:bookmarkStart w:id="254" w:name="_Toc245605578"/>
      <w:r>
        <w:rPr>
          <w:rFonts w:hint="default" w:ascii="Times New Roman" w:hAnsi="Times New Roman" w:eastAsia="黑体" w:cs="Times New Roman"/>
          <w:color w:val="auto"/>
          <w:kern w:val="2"/>
          <w:sz w:val="36"/>
          <w:szCs w:val="24"/>
          <w:lang w:val="en-US" w:eastAsia="zh-CN" w:bidi="ar-SA"/>
        </w:rPr>
        <w:t>环境质量现状评价</w:t>
      </w:r>
      <w:bookmarkEnd w:id="249"/>
      <w:bookmarkEnd w:id="250"/>
      <w:bookmarkEnd w:id="251"/>
      <w:bookmarkEnd w:id="252"/>
      <w:bookmarkEnd w:id="253"/>
      <w:bookmarkEnd w:id="254"/>
    </w:p>
    <w:p w14:paraId="18D3BFD2">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55" w:name="_Toc515979303"/>
      <w:bookmarkEnd w:id="255"/>
      <w:bookmarkStart w:id="256" w:name="_Toc31856"/>
      <w:bookmarkStart w:id="257" w:name="_Toc151170463"/>
      <w:bookmarkStart w:id="258" w:name="_Toc353554888"/>
      <w:bookmarkStart w:id="259" w:name="_Toc155863991"/>
      <w:bookmarkStart w:id="260" w:name="_Toc151175389"/>
      <w:bookmarkStart w:id="261" w:name="_Toc155940052"/>
      <w:bookmarkStart w:id="262" w:name="_Toc154219492"/>
      <w:bookmarkStart w:id="263" w:name="_Toc151170861"/>
      <w:bookmarkStart w:id="264" w:name="_Toc320947532"/>
      <w:bookmarkStart w:id="265" w:name="_Toc344060696"/>
      <w:bookmarkStart w:id="266" w:name="_Toc152558562"/>
      <w:bookmarkStart w:id="267" w:name="_Toc152510452"/>
      <w:bookmarkStart w:id="268" w:name="_Toc322611695"/>
      <w:bookmarkStart w:id="269" w:name="_Toc151992517"/>
      <w:bookmarkStart w:id="270" w:name="_Toc154220781"/>
      <w:bookmarkStart w:id="271" w:name="_Toc325697682"/>
      <w:r>
        <w:rPr>
          <w:rFonts w:hint="default" w:ascii="Times New Roman" w:hAnsi="Times New Roman" w:eastAsia="黑体" w:cs="Times New Roman"/>
          <w:color w:val="auto"/>
          <w:sz w:val="28"/>
          <w:szCs w:val="20"/>
          <w:lang w:val="en-US" w:eastAsia="zh-CN" w:bidi="ar-SA"/>
        </w:rPr>
        <w:t>区域基本污染物环境质量达标情况</w:t>
      </w:r>
      <w:bookmarkEnd w:id="256"/>
    </w:p>
    <w:p w14:paraId="48AA885D">
      <w:pPr>
        <w:keepNext w:val="0"/>
        <w:keepLines w:val="0"/>
        <w:suppressLineNumbers w:val="0"/>
        <w:spacing w:before="0" w:beforeAutospacing="0" w:after="0" w:afterAutospacing="0" w:line="360" w:lineRule="auto"/>
        <w:ind w:left="0" w:right="0" w:firstLine="480" w:firstLineChars="200"/>
        <w:jc w:val="left"/>
        <w:rPr>
          <w:rFonts w:hint="default" w:ascii="宋体" w:hAnsi="Calibri"/>
          <w:color w:val="auto"/>
          <w:kern w:val="0"/>
          <w:sz w:val="24"/>
          <w:szCs w:val="20"/>
        </w:rPr>
      </w:pPr>
      <w:r>
        <w:rPr>
          <w:rFonts w:hint="default" w:ascii="Times New Roman" w:hAnsi="Times New Roman" w:eastAsia="宋体"/>
          <w:color w:val="auto"/>
          <w:kern w:val="0"/>
          <w:sz w:val="24"/>
          <w:szCs w:val="24"/>
          <w:highlight w:val="none"/>
        </w:rPr>
        <w:t>根据黑龙江省生态环境监测中心《202</w:t>
      </w:r>
      <w:r>
        <w:rPr>
          <w:rFonts w:hint="eastAsia" w:ascii="Times New Roman" w:hAnsi="Times New Roman" w:eastAsia="宋体"/>
          <w:color w:val="auto"/>
          <w:kern w:val="0"/>
          <w:sz w:val="24"/>
          <w:szCs w:val="24"/>
          <w:highlight w:val="none"/>
        </w:rPr>
        <w:t>5</w:t>
      </w:r>
      <w:r>
        <w:rPr>
          <w:rFonts w:hint="default" w:ascii="Times New Roman" w:hAnsi="Times New Roman" w:eastAsia="宋体"/>
          <w:color w:val="auto"/>
          <w:kern w:val="0"/>
          <w:sz w:val="24"/>
          <w:szCs w:val="24"/>
          <w:highlight w:val="none"/>
        </w:rPr>
        <w:t>年黑龙江省生态环境质量状况》</w:t>
      </w:r>
      <w:r>
        <w:rPr>
          <w:rFonts w:hint="eastAsia" w:ascii="Times New Roman" w:hAnsi="Times New Roman" w:eastAsia="宋体"/>
          <w:color w:val="auto"/>
          <w:kern w:val="0"/>
          <w:sz w:val="24"/>
          <w:szCs w:val="24"/>
          <w:highlight w:val="none"/>
        </w:rPr>
        <w:t>（</w:t>
      </w:r>
      <w:r>
        <w:rPr>
          <w:rFonts w:hint="default" w:ascii="Times New Roman" w:hAnsi="Times New Roman" w:eastAsia="宋体"/>
          <w:color w:val="auto"/>
          <w:kern w:val="0"/>
          <w:sz w:val="24"/>
          <w:szCs w:val="24"/>
          <w:highlight w:val="none"/>
        </w:rPr>
        <w:t>202</w:t>
      </w:r>
      <w:r>
        <w:rPr>
          <w:rFonts w:hint="eastAsia" w:ascii="Times New Roman" w:hAnsi="Times New Roman" w:eastAsia="宋体"/>
          <w:color w:val="auto"/>
          <w:kern w:val="0"/>
          <w:sz w:val="24"/>
          <w:szCs w:val="24"/>
          <w:highlight w:val="none"/>
        </w:rPr>
        <w:t>6</w:t>
      </w:r>
      <w:r>
        <w:rPr>
          <w:rFonts w:hint="default" w:ascii="Times New Roman" w:hAnsi="Times New Roman" w:eastAsia="宋体"/>
          <w:color w:val="auto"/>
          <w:kern w:val="0"/>
          <w:sz w:val="24"/>
          <w:szCs w:val="24"/>
          <w:highlight w:val="none"/>
        </w:rPr>
        <w:t>年1月</w:t>
      </w:r>
      <w:r>
        <w:rPr>
          <w:rFonts w:hint="eastAsia" w:ascii="Times New Roman" w:hAnsi="Times New Roman" w:eastAsia="宋体"/>
          <w:color w:val="auto"/>
          <w:kern w:val="0"/>
          <w:sz w:val="24"/>
          <w:szCs w:val="24"/>
          <w:highlight w:val="none"/>
        </w:rPr>
        <w:t>）</w:t>
      </w:r>
      <w:r>
        <w:rPr>
          <w:rFonts w:hint="default" w:ascii="Times New Roman" w:hAnsi="Times New Roman" w:eastAsia="宋体"/>
          <w:color w:val="auto"/>
          <w:kern w:val="0"/>
          <w:sz w:val="24"/>
          <w:szCs w:val="24"/>
          <w:highlight w:val="none"/>
        </w:rPr>
        <w:t>，</w:t>
      </w:r>
      <w:r>
        <w:rPr>
          <w:rFonts w:hint="default" w:ascii="Times New Roman" w:hAnsi="Times New Roman" w:eastAsia="宋体" w:cs="方正仿宋_GBK"/>
          <w:color w:val="auto"/>
          <w:kern w:val="0"/>
          <w:sz w:val="24"/>
          <w:szCs w:val="24"/>
          <w:highlight w:val="none"/>
          <w:lang w:val="en-US" w:eastAsia="zh-CN" w:bidi="ar"/>
        </w:rPr>
        <w:t>伊春市空气质量级别达二级标准，达标天数为</w:t>
      </w:r>
      <w:r>
        <w:rPr>
          <w:rFonts w:hint="default" w:ascii="Times New Roman" w:hAnsi="Times New Roman" w:eastAsia="宋体" w:cs="Times New Roman"/>
          <w:color w:val="auto"/>
          <w:kern w:val="0"/>
          <w:sz w:val="24"/>
          <w:szCs w:val="24"/>
          <w:highlight w:val="none"/>
          <w:lang w:val="en-US" w:eastAsia="zh-CN" w:bidi="ar"/>
        </w:rPr>
        <w:t>357</w:t>
      </w:r>
      <w:r>
        <w:rPr>
          <w:rFonts w:hint="default" w:ascii="Times New Roman" w:hAnsi="Times New Roman" w:eastAsia="宋体" w:cs="方正仿宋_GBK"/>
          <w:color w:val="auto"/>
          <w:kern w:val="0"/>
          <w:sz w:val="24"/>
          <w:szCs w:val="24"/>
          <w:highlight w:val="none"/>
          <w:lang w:val="en-US" w:eastAsia="zh-CN" w:bidi="ar"/>
        </w:rPr>
        <w:t>天</w:t>
      </w:r>
      <w:r>
        <w:rPr>
          <w:rFonts w:hint="default" w:ascii="Times New Roman" w:hAnsi="Times New Roman" w:eastAsia="宋体" w:cs="Times New Roman"/>
          <w:color w:val="auto"/>
          <w:kern w:val="0"/>
          <w:sz w:val="24"/>
          <w:szCs w:val="24"/>
          <w:highlight w:val="none"/>
          <w:lang w:val="en-US" w:eastAsia="zh-CN" w:bidi="ar"/>
        </w:rPr>
        <w:t>(97.8%</w:t>
      </w:r>
      <w:r>
        <w:rPr>
          <w:rFonts w:hint="eastAsia" w:ascii="宋体" w:hAnsi="Calibri" w:cs="Times New Roman"/>
          <w:color w:val="auto"/>
          <w:kern w:val="0"/>
          <w:sz w:val="24"/>
          <w:szCs w:val="24"/>
          <w:highlight w:val="none"/>
          <w:lang w:val="en-US" w:eastAsia="zh-CN" w:bidi="ar"/>
        </w:rPr>
        <w:t>）</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2.5</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10</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SO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NO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CO-95per</w:t>
      </w:r>
      <w:r>
        <w:rPr>
          <w:rFonts w:hint="default" w:ascii="Times New Roman" w:hAnsi="Times New Roman" w:eastAsia="宋体" w:cs="方正仿宋_GBK"/>
          <w:color w:val="auto"/>
          <w:kern w:val="0"/>
          <w:sz w:val="24"/>
          <w:szCs w:val="24"/>
          <w:highlight w:val="none"/>
          <w:lang w:val="en-US" w:eastAsia="zh-CN" w:bidi="ar"/>
        </w:rPr>
        <w:t>和</w:t>
      </w:r>
      <w:r>
        <w:rPr>
          <w:rFonts w:hint="default" w:ascii="Times New Roman" w:hAnsi="Times New Roman" w:eastAsia="宋体" w:cs="Times New Roman"/>
          <w:color w:val="auto"/>
          <w:kern w:val="0"/>
          <w:sz w:val="24"/>
          <w:szCs w:val="24"/>
          <w:highlight w:val="none"/>
          <w:lang w:val="en-US" w:eastAsia="zh-CN" w:bidi="ar"/>
        </w:rPr>
        <w:t>O</w:t>
      </w:r>
      <w:r>
        <w:rPr>
          <w:rFonts w:hint="default" w:ascii="Times New Roman" w:hAnsi="Times New Roman" w:eastAsia="宋体" w:cs="Times New Roman"/>
          <w:color w:val="auto"/>
          <w:kern w:val="0"/>
          <w:sz w:val="24"/>
          <w:szCs w:val="24"/>
          <w:highlight w:val="none"/>
          <w:vertAlign w:val="sub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-8h-90per</w:t>
      </w:r>
      <w:r>
        <w:rPr>
          <w:rFonts w:hint="default" w:ascii="Times New Roman" w:hAnsi="Times New Roman" w:eastAsia="宋体" w:cs="方正仿宋_GBK"/>
          <w:color w:val="auto"/>
          <w:kern w:val="0"/>
          <w:sz w:val="24"/>
          <w:szCs w:val="24"/>
          <w:highlight w:val="none"/>
          <w:lang w:val="en-US" w:eastAsia="zh-CN" w:bidi="ar"/>
        </w:rPr>
        <w:t>年均浓度分别为</w:t>
      </w:r>
      <w:r>
        <w:rPr>
          <w:rFonts w:hint="default" w:ascii="Times New Roman" w:hAnsi="Times New Roman" w:eastAsia="宋体" w:cs="Times New Roman"/>
          <w:color w:val="auto"/>
          <w:kern w:val="0"/>
          <w:sz w:val="24"/>
          <w:szCs w:val="24"/>
          <w:highlight w:val="none"/>
          <w:lang w:val="en-US" w:eastAsia="zh-CN" w:bidi="ar"/>
        </w:rPr>
        <w:t>24μg/m³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32μg/m³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5μg/m³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11μg/m³</w:t>
      </w:r>
      <w:r>
        <w:rPr>
          <w:rFonts w:hint="default" w:ascii="Times New Roman" w:hAnsi="Times New Roman" w:eastAsia="宋体" w:cs="方正仿宋_GBK"/>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1.0mg/m³</w:t>
      </w:r>
      <w:r>
        <w:rPr>
          <w:rFonts w:hint="default" w:ascii="Times New Roman" w:hAnsi="Times New Roman" w:eastAsia="宋体" w:cs="方正仿宋_GBK"/>
          <w:color w:val="auto"/>
          <w:kern w:val="0"/>
          <w:sz w:val="24"/>
          <w:szCs w:val="24"/>
          <w:highlight w:val="none"/>
          <w:lang w:val="en-US" w:eastAsia="zh-CN" w:bidi="ar"/>
        </w:rPr>
        <w:t>和</w:t>
      </w:r>
      <w:r>
        <w:rPr>
          <w:rFonts w:hint="default" w:ascii="Times New Roman" w:hAnsi="Times New Roman" w:eastAsia="宋体" w:cs="Times New Roman"/>
          <w:color w:val="auto"/>
          <w:kern w:val="0"/>
          <w:sz w:val="24"/>
          <w:szCs w:val="24"/>
          <w:highlight w:val="none"/>
          <w:lang w:val="en-US" w:eastAsia="zh-CN" w:bidi="ar"/>
        </w:rPr>
        <w:t>102μg/m³</w:t>
      </w:r>
      <w:r>
        <w:rPr>
          <w:rFonts w:hint="default" w:ascii="Times New Roman" w:hAnsi="Times New Roman" w:eastAsia="宋体" w:cs="方正仿宋_GBK"/>
          <w:color w:val="auto"/>
          <w:kern w:val="0"/>
          <w:sz w:val="24"/>
          <w:szCs w:val="24"/>
          <w:highlight w:val="none"/>
          <w:lang w:val="en-US" w:eastAsia="zh-CN" w:bidi="ar"/>
        </w:rPr>
        <w:t>。</w:t>
      </w:r>
    </w:p>
    <w:p w14:paraId="4F38E88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Calibri" w:eastAsia="宋体" w:cs="宋体"/>
          <w:color w:val="auto"/>
          <w:kern w:val="2"/>
          <w:sz w:val="24"/>
          <w:lang w:val="en-US" w:eastAsia="zh-CN" w:bidi="ar-SA"/>
        </w:rPr>
        <w:t>2025年伊春</w:t>
      </w:r>
      <w:r>
        <w:rPr>
          <w:rFonts w:hint="default" w:ascii="Times New Roman" w:hAnsi="Calibri" w:eastAsia="宋体" w:cs="宋体"/>
          <w:color w:val="auto"/>
          <w:kern w:val="2"/>
          <w:sz w:val="24"/>
          <w:lang w:val="zh-CN" w:eastAsia="zh-CN" w:bidi="ar-SA"/>
        </w:rPr>
        <w:t>区域基本污染物均符合《环境空气质量标准》（GB3095-20</w:t>
      </w:r>
      <w:r>
        <w:rPr>
          <w:rFonts w:hint="eastAsia" w:ascii="Times New Roman" w:hAnsi="Calibri" w:eastAsia="宋体" w:cs="宋体"/>
          <w:color w:val="auto"/>
          <w:kern w:val="2"/>
          <w:sz w:val="24"/>
          <w:lang w:val="en-US" w:eastAsia="zh-CN" w:bidi="ar-SA"/>
        </w:rPr>
        <w:t>26</w:t>
      </w:r>
      <w:r>
        <w:rPr>
          <w:rFonts w:hint="default" w:ascii="Times New Roman" w:hAnsi="Calibri" w:eastAsia="宋体" w:cs="宋体"/>
          <w:color w:val="auto"/>
          <w:kern w:val="2"/>
          <w:sz w:val="24"/>
          <w:lang w:val="zh-CN" w:eastAsia="zh-CN" w:bidi="ar-SA"/>
        </w:rPr>
        <w:t>）</w:t>
      </w:r>
      <w:r>
        <w:rPr>
          <w:rFonts w:hint="eastAsia" w:ascii="Times New Roman" w:hAnsi="Calibri" w:eastAsia="宋体" w:cs="宋体"/>
          <w:color w:val="auto"/>
          <w:kern w:val="2"/>
          <w:sz w:val="24"/>
          <w:lang w:val="en-US" w:eastAsia="zh-CN" w:bidi="ar-SA"/>
        </w:rPr>
        <w:t>过渡期浓度限值</w:t>
      </w:r>
      <w:r>
        <w:rPr>
          <w:rFonts w:hint="default" w:ascii="Times New Roman" w:hAnsi="Calibri" w:eastAsia="宋体" w:cs="宋体"/>
          <w:color w:val="auto"/>
          <w:kern w:val="2"/>
          <w:sz w:val="24"/>
          <w:lang w:val="zh-CN" w:eastAsia="zh-CN" w:bidi="ar-SA"/>
        </w:rPr>
        <w:t>二级标准，区域属于环境空气质量达标区</w:t>
      </w:r>
      <w:r>
        <w:rPr>
          <w:rFonts w:hint="default" w:ascii="Times New Roman" w:hAnsi="Times New Roman" w:eastAsia="宋体" w:cs="Times New Roman"/>
          <w:color w:val="auto"/>
          <w:kern w:val="2"/>
          <w:sz w:val="24"/>
          <w:szCs w:val="24"/>
          <w:highlight w:val="none"/>
          <w:lang w:val="en-US" w:eastAsia="zh-CN" w:bidi="ar-SA"/>
        </w:rPr>
        <w:t>。</w:t>
      </w:r>
    </w:p>
    <w:p w14:paraId="4ED87C55">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72" w:name="_Toc18331"/>
      <w:r>
        <w:rPr>
          <w:rFonts w:hint="default" w:ascii="Times New Roman" w:hAnsi="Times New Roman" w:eastAsia="黑体" w:cs="Times New Roman"/>
          <w:color w:val="auto"/>
          <w:sz w:val="28"/>
          <w:szCs w:val="20"/>
          <w:lang w:val="en-US" w:eastAsia="zh-CN" w:bidi="ar-SA"/>
        </w:rPr>
        <w:t>特征污染物补充监测</w:t>
      </w:r>
      <w:bookmarkEnd w:id="272"/>
    </w:p>
    <w:p w14:paraId="1798E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特征污染物质量现状评价</w:t>
      </w:r>
      <w:r>
        <w:rPr>
          <w:rFonts w:hint="eastAsia" w:ascii="宋体" w:hAnsi="Calibri" w:cs="Times New Roman"/>
          <w:color w:val="auto"/>
          <w:kern w:val="0"/>
          <w:sz w:val="24"/>
          <w:szCs w:val="20"/>
          <w:highlight w:val="none"/>
          <w:lang w:val="en-US" w:eastAsia="zh-CN"/>
        </w:rPr>
        <w:t>引用北侧紧邻项目</w:t>
      </w:r>
      <w:r>
        <w:rPr>
          <w:rFonts w:hint="eastAsia" w:ascii="Times New Roman" w:hAnsi="Times New Roman" w:eastAsia="宋体" w:cs="Times New Roman"/>
          <w:color w:val="auto"/>
          <w:kern w:val="0"/>
          <w:sz w:val="24"/>
          <w:szCs w:val="24"/>
          <w:highlight w:val="none"/>
          <w:lang w:val="en-US" w:eastAsia="zh-CN" w:bidi="ar"/>
        </w:rPr>
        <w:t>《伊春市交通路桥建筑有限责任公司建设项目》</w:t>
      </w:r>
      <w:r>
        <w:rPr>
          <w:rFonts w:hint="default" w:ascii="Times New Roman" w:hAnsi="Times New Roman" w:eastAsia="宋体" w:cs="Times New Roman"/>
          <w:color w:val="auto"/>
          <w:kern w:val="0"/>
          <w:sz w:val="24"/>
          <w:szCs w:val="24"/>
          <w:highlight w:val="none"/>
          <w:lang w:val="en-US" w:eastAsia="zh-CN" w:bidi="ar"/>
        </w:rPr>
        <w:t>于20</w:t>
      </w:r>
      <w:r>
        <w:rPr>
          <w:rFonts w:hint="eastAsia" w:ascii="Times New Roman" w:hAnsi="Times New Roman" w:eastAsia="宋体" w:cs="Times New Roman"/>
          <w:color w:val="auto"/>
          <w:kern w:val="0"/>
          <w:sz w:val="24"/>
          <w:szCs w:val="24"/>
          <w:highlight w:val="none"/>
          <w:lang w:val="en-US" w:eastAsia="zh-CN" w:bidi="ar"/>
        </w:rPr>
        <w:t>25</w:t>
      </w:r>
      <w:r>
        <w:rPr>
          <w:rFonts w:hint="default" w:ascii="Times New Roman" w:hAnsi="Times New Roman" w:eastAsia="宋体" w:cs="Times New Roman"/>
          <w:color w:val="auto"/>
          <w:kern w:val="0"/>
          <w:sz w:val="24"/>
          <w:szCs w:val="24"/>
          <w:highlight w:val="none"/>
          <w:lang w:val="en-US" w:eastAsia="zh-CN" w:bidi="ar"/>
        </w:rPr>
        <w:t>年</w:t>
      </w:r>
      <w:r>
        <w:rPr>
          <w:rFonts w:hint="eastAsia" w:ascii="Times New Roman" w:hAnsi="Times New Roman" w:eastAsia="宋体" w:cs="Times New Roman"/>
          <w:color w:val="auto"/>
          <w:kern w:val="0"/>
          <w:sz w:val="24"/>
          <w:szCs w:val="24"/>
          <w:highlight w:val="none"/>
          <w:lang w:val="en-US" w:eastAsia="zh-CN" w:bidi="ar"/>
        </w:rPr>
        <w:t>10</w:t>
      </w:r>
      <w:r>
        <w:rPr>
          <w:rFonts w:hint="default" w:ascii="Times New Roman" w:hAnsi="Times New Roman" w:eastAsia="宋体" w:cs="Times New Roman"/>
          <w:color w:val="auto"/>
          <w:kern w:val="0"/>
          <w:sz w:val="24"/>
          <w:szCs w:val="24"/>
          <w:highlight w:val="none"/>
          <w:lang w:val="en-US" w:eastAsia="zh-CN" w:bidi="ar"/>
        </w:rPr>
        <w:t>月</w:t>
      </w:r>
      <w:r>
        <w:rPr>
          <w:rFonts w:hint="eastAsia" w:ascii="Times New Roman" w:hAnsi="Times New Roman" w:eastAsia="宋体" w:cs="Times New Roman"/>
          <w:color w:val="auto"/>
          <w:kern w:val="0"/>
          <w:sz w:val="24"/>
          <w:szCs w:val="24"/>
          <w:highlight w:val="none"/>
          <w:lang w:val="en-US" w:eastAsia="zh-CN" w:bidi="ar"/>
        </w:rPr>
        <w:t>15</w:t>
      </w:r>
      <w:r>
        <w:rPr>
          <w:rFonts w:hint="default" w:ascii="Times New Roman" w:hAnsi="Times New Roman" w:eastAsia="宋体" w:cs="Times New Roman"/>
          <w:color w:val="auto"/>
          <w:kern w:val="0"/>
          <w:sz w:val="24"/>
          <w:szCs w:val="24"/>
          <w:highlight w:val="none"/>
          <w:lang w:val="en-US" w:eastAsia="zh-CN" w:bidi="ar"/>
        </w:rPr>
        <w:t>日至</w:t>
      </w:r>
      <w:r>
        <w:rPr>
          <w:rFonts w:hint="eastAsia" w:ascii="Times New Roman" w:hAnsi="Times New Roman" w:eastAsia="宋体" w:cs="Times New Roman"/>
          <w:color w:val="auto"/>
          <w:kern w:val="0"/>
          <w:sz w:val="24"/>
          <w:szCs w:val="24"/>
          <w:highlight w:val="none"/>
          <w:lang w:val="en-US" w:eastAsia="zh-CN" w:bidi="ar"/>
        </w:rPr>
        <w:t>22</w:t>
      </w:r>
      <w:r>
        <w:rPr>
          <w:rFonts w:hint="default" w:ascii="Times New Roman" w:hAnsi="Times New Roman" w:eastAsia="宋体" w:cs="Times New Roman"/>
          <w:color w:val="auto"/>
          <w:kern w:val="0"/>
          <w:sz w:val="24"/>
          <w:szCs w:val="24"/>
          <w:highlight w:val="none"/>
          <w:lang w:val="en-US" w:eastAsia="zh-CN" w:bidi="ar"/>
        </w:rPr>
        <w:t>日进行</w:t>
      </w:r>
      <w:r>
        <w:rPr>
          <w:rFonts w:hint="eastAsia" w:ascii="Times New Roman" w:hAnsi="Times New Roman" w:eastAsia="宋体" w:cs="Times New Roman"/>
          <w:color w:val="auto"/>
          <w:kern w:val="0"/>
          <w:sz w:val="24"/>
          <w:szCs w:val="24"/>
          <w:highlight w:val="none"/>
          <w:lang w:val="en-US" w:eastAsia="zh-CN" w:bidi="ar"/>
        </w:rPr>
        <w:t>的</w:t>
      </w:r>
      <w:r>
        <w:rPr>
          <w:rFonts w:hint="default" w:ascii="Times New Roman" w:hAnsi="Times New Roman" w:eastAsia="宋体" w:cs="Times New Roman"/>
          <w:color w:val="auto"/>
          <w:kern w:val="0"/>
          <w:sz w:val="24"/>
          <w:szCs w:val="24"/>
          <w:highlight w:val="none"/>
          <w:lang w:val="en-US" w:eastAsia="zh-CN" w:bidi="ar"/>
        </w:rPr>
        <w:t>现状监测，</w:t>
      </w:r>
      <w:r>
        <w:rPr>
          <w:rFonts w:hint="default" w:ascii="Times New Roman" w:hAnsi="Times New Roman" w:eastAsia="宋体" w:cs="Times New Roman"/>
          <w:color w:val="auto"/>
          <w:kern w:val="0"/>
          <w:sz w:val="24"/>
          <w:szCs w:val="20"/>
          <w:highlight w:val="none"/>
          <w:lang w:eastAsia="zh-CN"/>
        </w:rPr>
        <w:t>连续监测</w:t>
      </w:r>
      <w:r>
        <w:rPr>
          <w:rFonts w:hint="eastAsia" w:ascii="宋体" w:hAnsi="Calibri" w:cs="Times New Roman"/>
          <w:color w:val="auto"/>
          <w:kern w:val="0"/>
          <w:sz w:val="24"/>
          <w:szCs w:val="20"/>
          <w:highlight w:val="none"/>
          <w:lang w:val="en-US" w:eastAsia="zh-CN"/>
        </w:rPr>
        <w:t>7</w:t>
      </w:r>
      <w:r>
        <w:rPr>
          <w:rFonts w:hint="default" w:ascii="Times New Roman" w:hAnsi="Times New Roman" w:eastAsia="宋体" w:cs="Times New Roman"/>
          <w:color w:val="auto"/>
          <w:kern w:val="0"/>
          <w:sz w:val="24"/>
          <w:szCs w:val="20"/>
          <w:highlight w:val="none"/>
          <w:lang w:eastAsia="zh-CN"/>
        </w:rPr>
        <w:t>天。</w:t>
      </w:r>
    </w:p>
    <w:p w14:paraId="3CCEF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（1）监测因子</w:t>
      </w:r>
    </w:p>
    <w:p w14:paraId="3B0F64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根据工程分析，确定项目监测因子为</w:t>
      </w:r>
      <w:r>
        <w:rPr>
          <w:rFonts w:hint="eastAsia" w:ascii="Times New Roman" w:hAnsi="Times New Roman" w:eastAsia="宋体" w:cs="Times New Roman"/>
          <w:color w:val="auto"/>
          <w:kern w:val="0"/>
          <w:sz w:val="24"/>
          <w:szCs w:val="20"/>
          <w:highlight w:val="none"/>
          <w:lang w:val="en-US" w:eastAsia="zh-CN"/>
        </w:rPr>
        <w:t>TSP</w:t>
      </w:r>
      <w:r>
        <w:rPr>
          <w:rFonts w:hint="eastAsia" w:ascii="宋体" w:hAnsi="Calibri" w:cs="Times New Roman"/>
          <w:color w:val="auto"/>
          <w:kern w:val="0"/>
          <w:sz w:val="24"/>
          <w:szCs w:val="20"/>
          <w:highlight w:val="none"/>
          <w:lang w:val="en-US" w:eastAsia="zh-CN"/>
        </w:rPr>
        <w:t>、苯并[a]芘</w:t>
      </w:r>
      <w:r>
        <w:rPr>
          <w:rFonts w:hint="default" w:ascii="Times New Roman" w:hAnsi="Times New Roman" w:eastAsia="宋体" w:cs="Times New Roman"/>
          <w:color w:val="auto"/>
          <w:kern w:val="0"/>
          <w:sz w:val="24"/>
          <w:szCs w:val="20"/>
          <w:highlight w:val="none"/>
          <w:lang w:eastAsia="zh-CN"/>
        </w:rPr>
        <w:t>。</w:t>
      </w:r>
    </w:p>
    <w:p w14:paraId="60A1BA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（2）监测点位</w:t>
      </w:r>
    </w:p>
    <w:p w14:paraId="2DB2C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0"/>
          <w:highlight w:val="none"/>
          <w:lang w:eastAsia="zh-CN"/>
        </w:rPr>
      </w:pPr>
      <w:r>
        <w:rPr>
          <w:rFonts w:hint="default" w:ascii="Times New Roman" w:hAnsi="Times New Roman" w:eastAsia="宋体" w:cs="Times New Roman"/>
          <w:color w:val="auto"/>
          <w:kern w:val="0"/>
          <w:sz w:val="24"/>
          <w:szCs w:val="20"/>
          <w:highlight w:val="none"/>
          <w:lang w:eastAsia="zh-CN"/>
        </w:rPr>
        <w:t>根据拟建工程的污染特征、当地气象条件、地形分布及评价区域环境功能区划要求等，在</w:t>
      </w:r>
      <w:r>
        <w:rPr>
          <w:rFonts w:hint="eastAsia" w:ascii="Times New Roman" w:hAnsi="Times New Roman" w:eastAsia="宋体" w:cs="Times New Roman"/>
          <w:color w:val="auto"/>
          <w:kern w:val="0"/>
          <w:sz w:val="24"/>
          <w:szCs w:val="20"/>
          <w:highlight w:val="none"/>
          <w:lang w:eastAsia="zh-CN"/>
        </w:rPr>
        <w:t>厂址当季主导风向下风向</w:t>
      </w:r>
      <w:r>
        <w:rPr>
          <w:rFonts w:hint="default" w:ascii="Times New Roman" w:hAnsi="Times New Roman" w:eastAsia="宋体" w:cs="Times New Roman"/>
          <w:color w:val="auto"/>
          <w:kern w:val="0"/>
          <w:sz w:val="24"/>
          <w:szCs w:val="20"/>
          <w:highlight w:val="none"/>
          <w:lang w:eastAsia="zh-CN"/>
        </w:rPr>
        <w:t>设置</w:t>
      </w:r>
      <w:r>
        <w:rPr>
          <w:rFonts w:hint="eastAsia" w:ascii="Times New Roman" w:hAnsi="Times New Roman" w:eastAsia="宋体" w:cs="Times New Roman"/>
          <w:color w:val="auto"/>
          <w:kern w:val="0"/>
          <w:sz w:val="24"/>
          <w:szCs w:val="20"/>
          <w:highlight w:val="none"/>
          <w:lang w:val="en-US" w:eastAsia="zh-CN"/>
        </w:rPr>
        <w:t>1</w:t>
      </w:r>
      <w:r>
        <w:rPr>
          <w:rFonts w:hint="default" w:ascii="Times New Roman" w:hAnsi="Times New Roman" w:eastAsia="宋体" w:cs="Times New Roman"/>
          <w:color w:val="auto"/>
          <w:kern w:val="0"/>
          <w:sz w:val="24"/>
          <w:szCs w:val="20"/>
          <w:highlight w:val="none"/>
          <w:lang w:eastAsia="zh-CN"/>
        </w:rPr>
        <w:t>个监测点位，点位分布情况见表</w:t>
      </w:r>
      <w:r>
        <w:rPr>
          <w:rFonts w:hint="eastAsia" w:ascii="宋体" w:hAnsi="Calibri" w:cs="Times New Roman"/>
          <w:color w:val="auto"/>
          <w:kern w:val="0"/>
          <w:sz w:val="24"/>
          <w:szCs w:val="20"/>
          <w:highlight w:val="none"/>
          <w:lang w:val="en-US" w:eastAsia="zh-CN"/>
        </w:rPr>
        <w:t>3-1</w:t>
      </w:r>
      <w:r>
        <w:rPr>
          <w:rFonts w:hint="default" w:ascii="Times New Roman" w:hAnsi="Times New Roman" w:eastAsia="宋体" w:cs="Times New Roman"/>
          <w:color w:val="auto"/>
          <w:kern w:val="0"/>
          <w:sz w:val="24"/>
          <w:szCs w:val="20"/>
          <w:highlight w:val="none"/>
          <w:lang w:eastAsia="zh-CN"/>
        </w:rPr>
        <w:t>。</w:t>
      </w:r>
    </w:p>
    <w:p w14:paraId="7A3D20EB">
      <w:pPr>
        <w:keepNext w:val="0"/>
        <w:keepLines w:val="0"/>
        <w:widowControl w:val="0"/>
        <w:suppressLineNumbers w:val="0"/>
        <w:bidi w:val="0"/>
        <w:adjustRightInd w:val="0"/>
        <w:spacing w:before="0" w:beforeAutospacing="0" w:after="0" w:afterAutospacing="0" w:line="360" w:lineRule="auto"/>
        <w:ind w:left="0" w:right="0"/>
        <w:jc w:val="center"/>
        <w:textAlignment w:val="baseline"/>
        <w:rPr>
          <w:rFonts w:hint="default" w:ascii="宋体" w:hAnsi="Calibri" w:eastAsia="黑体" w:cs="Times New Roman"/>
          <w:color w:val="auto"/>
          <w:kern w:val="0"/>
          <w:sz w:val="24"/>
          <w:szCs w:val="20"/>
          <w:lang w:val="en-US" w:eastAsia="zh-CN" w:bidi="ar-SA"/>
        </w:rPr>
      </w:pPr>
      <w:r>
        <w:rPr>
          <w:rFonts w:hint="default" w:ascii="宋体" w:hAnsi="Calibri" w:eastAsia="黑体" w:cs="Times New Roman"/>
          <w:color w:val="auto"/>
          <w:kern w:val="0"/>
          <w:sz w:val="24"/>
          <w:szCs w:val="20"/>
          <w:lang w:val="en-US" w:eastAsia="zh-CN" w:bidi="ar-SA"/>
        </w:rPr>
        <w:t>表</w:t>
      </w:r>
      <w:r>
        <w:rPr>
          <w:rFonts w:hint="eastAsia" w:ascii="宋体" w:hAnsi="Calibri" w:eastAsia="黑体" w:cs="Times New Roman"/>
          <w:color w:val="auto"/>
          <w:kern w:val="0"/>
          <w:sz w:val="24"/>
          <w:szCs w:val="20"/>
          <w:lang w:val="en-US" w:eastAsia="zh-CN" w:bidi="ar-SA"/>
        </w:rPr>
        <w:t>3-1</w:t>
      </w:r>
      <w:r>
        <w:rPr>
          <w:rFonts w:hint="default" w:ascii="宋体" w:hAnsi="Calibri" w:eastAsia="黑体" w:cs="Times New Roman"/>
          <w:color w:val="auto"/>
          <w:kern w:val="0"/>
          <w:sz w:val="24"/>
          <w:szCs w:val="20"/>
          <w:lang w:val="en-US" w:eastAsia="zh-CN" w:bidi="ar-SA"/>
        </w:rPr>
        <w:t>补充监测点位基本信息</w:t>
      </w:r>
    </w:p>
    <w:tbl>
      <w:tblPr>
        <w:tblStyle w:val="3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1251"/>
        <w:gridCol w:w="1106"/>
        <w:gridCol w:w="1037"/>
        <w:gridCol w:w="1031"/>
        <w:gridCol w:w="1295"/>
        <w:gridCol w:w="1426"/>
        <w:gridCol w:w="1637"/>
      </w:tblGrid>
      <w:tr w14:paraId="0CC5D9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29" w:hRule="atLeast"/>
          <w:jc w:val="center"/>
        </w:trPr>
        <w:tc>
          <w:tcPr>
            <w:tcW w:w="718" w:type="pct"/>
            <w:vMerge w:val="restart"/>
            <w:noWrap w:val="0"/>
            <w:vAlign w:val="center"/>
          </w:tcPr>
          <w:p w14:paraId="770DFF98">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监测点名称</w:t>
            </w:r>
          </w:p>
        </w:tc>
        <w:tc>
          <w:tcPr>
            <w:tcW w:w="1189" w:type="pct"/>
            <w:gridSpan w:val="2"/>
            <w:tcBorders>
              <w:bottom w:val="single" w:color="auto" w:sz="4" w:space="0"/>
            </w:tcBorders>
            <w:noWrap w:val="0"/>
            <w:vAlign w:val="center"/>
          </w:tcPr>
          <w:p w14:paraId="677DE36C">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监测点坐标</w:t>
            </w:r>
          </w:p>
        </w:tc>
        <w:tc>
          <w:tcPr>
            <w:tcW w:w="593" w:type="pct"/>
            <w:vMerge w:val="restart"/>
            <w:tcBorders>
              <w:left w:val="single" w:color="auto" w:sz="4" w:space="0"/>
            </w:tcBorders>
            <w:noWrap w:val="0"/>
            <w:vAlign w:val="center"/>
          </w:tcPr>
          <w:p w14:paraId="5FC3AC4C">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监测因子</w:t>
            </w:r>
          </w:p>
        </w:tc>
        <w:tc>
          <w:tcPr>
            <w:tcW w:w="743" w:type="pct"/>
            <w:vMerge w:val="restart"/>
            <w:tcBorders>
              <w:left w:val="single" w:color="auto" w:sz="4" w:space="0"/>
            </w:tcBorders>
            <w:noWrap w:val="0"/>
            <w:vAlign w:val="center"/>
          </w:tcPr>
          <w:p w14:paraId="64A0873E">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监测时段</w:t>
            </w:r>
          </w:p>
        </w:tc>
        <w:tc>
          <w:tcPr>
            <w:tcW w:w="817" w:type="pct"/>
            <w:vMerge w:val="restart"/>
            <w:tcBorders>
              <w:left w:val="single" w:color="auto" w:sz="4" w:space="0"/>
            </w:tcBorders>
            <w:noWrap w:val="0"/>
            <w:vAlign w:val="center"/>
          </w:tcPr>
          <w:p w14:paraId="1AAC59E3">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相对厂址方位</w:t>
            </w:r>
          </w:p>
        </w:tc>
        <w:tc>
          <w:tcPr>
            <w:tcW w:w="937" w:type="pct"/>
            <w:vMerge w:val="restart"/>
            <w:noWrap w:val="0"/>
            <w:vAlign w:val="center"/>
          </w:tcPr>
          <w:p w14:paraId="7810F099">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相对厂界距离（m）</w:t>
            </w:r>
          </w:p>
        </w:tc>
      </w:tr>
      <w:tr w14:paraId="3CC8E2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29" w:hRule="atLeast"/>
          <w:jc w:val="center"/>
        </w:trPr>
        <w:tc>
          <w:tcPr>
            <w:tcW w:w="718" w:type="pct"/>
            <w:vMerge w:val="continue"/>
            <w:noWrap w:val="0"/>
            <w:vAlign w:val="center"/>
          </w:tcPr>
          <w:p w14:paraId="0AA16956">
            <w:pPr>
              <w:keepNext w:val="0"/>
              <w:keepLines w:val="0"/>
              <w:suppressLineNumbers w:val="0"/>
              <w:spacing w:before="0" w:beforeAutospacing="0" w:after="0" w:afterAutospacing="0"/>
              <w:ind w:left="0" w:right="0" w:firstLine="420"/>
              <w:jc w:val="center"/>
              <w:rPr>
                <w:rFonts w:hint="default" w:ascii="宋体" w:hAnsi="Calibri"/>
                <w:color w:val="auto"/>
                <w:kern w:val="0"/>
                <w:sz w:val="24"/>
                <w:szCs w:val="21"/>
              </w:rPr>
            </w:pPr>
          </w:p>
        </w:tc>
        <w:tc>
          <w:tcPr>
            <w:tcW w:w="593" w:type="pct"/>
            <w:tcBorders>
              <w:top w:val="single" w:color="auto" w:sz="4" w:space="0"/>
              <w:right w:val="single" w:color="auto" w:sz="4" w:space="0"/>
            </w:tcBorders>
            <w:noWrap w:val="0"/>
            <w:vAlign w:val="center"/>
          </w:tcPr>
          <w:p w14:paraId="6551BD91">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eastAsia" w:ascii="宋体" w:hAnsi="Calibri"/>
                <w:color w:val="auto"/>
                <w:kern w:val="0"/>
                <w:sz w:val="24"/>
                <w:szCs w:val="21"/>
              </w:rPr>
              <w:t>东经（°）</w:t>
            </w:r>
          </w:p>
        </w:tc>
        <w:tc>
          <w:tcPr>
            <w:tcW w:w="596" w:type="pct"/>
            <w:tcBorders>
              <w:top w:val="single" w:color="auto" w:sz="4" w:space="0"/>
              <w:left w:val="single" w:color="auto" w:sz="4" w:space="0"/>
            </w:tcBorders>
            <w:noWrap w:val="0"/>
            <w:vAlign w:val="center"/>
          </w:tcPr>
          <w:p w14:paraId="5B6F8C94">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eastAsia" w:ascii="宋体" w:hAnsi="Calibri"/>
                <w:color w:val="auto"/>
                <w:kern w:val="0"/>
                <w:sz w:val="24"/>
                <w:szCs w:val="21"/>
              </w:rPr>
              <w:t>北纬（°）</w:t>
            </w:r>
          </w:p>
        </w:tc>
        <w:tc>
          <w:tcPr>
            <w:tcW w:w="593" w:type="pct"/>
            <w:vMerge w:val="continue"/>
            <w:tcBorders>
              <w:left w:val="single" w:color="auto" w:sz="4" w:space="0"/>
            </w:tcBorders>
            <w:noWrap w:val="0"/>
            <w:vAlign w:val="center"/>
          </w:tcPr>
          <w:p w14:paraId="3B7C17DE">
            <w:pPr>
              <w:keepNext w:val="0"/>
              <w:keepLines w:val="0"/>
              <w:suppressLineNumbers w:val="0"/>
              <w:spacing w:before="0" w:beforeAutospacing="0" w:after="0" w:afterAutospacing="0"/>
              <w:ind w:left="0" w:right="0" w:firstLine="420"/>
              <w:jc w:val="center"/>
              <w:rPr>
                <w:rFonts w:hint="default" w:ascii="宋体" w:hAnsi="Calibri"/>
                <w:color w:val="auto"/>
                <w:kern w:val="0"/>
                <w:sz w:val="24"/>
                <w:szCs w:val="21"/>
              </w:rPr>
            </w:pPr>
          </w:p>
        </w:tc>
        <w:tc>
          <w:tcPr>
            <w:tcW w:w="743" w:type="pct"/>
            <w:vMerge w:val="continue"/>
            <w:tcBorders>
              <w:left w:val="single" w:color="auto" w:sz="4" w:space="0"/>
            </w:tcBorders>
            <w:noWrap w:val="0"/>
            <w:vAlign w:val="center"/>
          </w:tcPr>
          <w:p w14:paraId="55CA9F87">
            <w:pPr>
              <w:keepNext w:val="0"/>
              <w:keepLines w:val="0"/>
              <w:suppressLineNumbers w:val="0"/>
              <w:spacing w:before="0" w:beforeAutospacing="0" w:after="0" w:afterAutospacing="0"/>
              <w:ind w:left="0" w:right="0" w:firstLine="420"/>
              <w:jc w:val="center"/>
              <w:rPr>
                <w:rFonts w:hint="default" w:ascii="宋体" w:hAnsi="Calibri"/>
                <w:color w:val="auto"/>
                <w:kern w:val="0"/>
                <w:sz w:val="24"/>
                <w:szCs w:val="21"/>
              </w:rPr>
            </w:pPr>
          </w:p>
        </w:tc>
        <w:tc>
          <w:tcPr>
            <w:tcW w:w="817" w:type="pct"/>
            <w:vMerge w:val="continue"/>
            <w:tcBorders>
              <w:left w:val="single" w:color="auto" w:sz="4" w:space="0"/>
            </w:tcBorders>
            <w:noWrap w:val="0"/>
            <w:vAlign w:val="center"/>
          </w:tcPr>
          <w:p w14:paraId="182E835E">
            <w:pPr>
              <w:keepNext w:val="0"/>
              <w:keepLines w:val="0"/>
              <w:suppressLineNumbers w:val="0"/>
              <w:spacing w:before="0" w:beforeAutospacing="0" w:after="0" w:afterAutospacing="0"/>
              <w:ind w:left="0" w:right="0" w:firstLine="420"/>
              <w:jc w:val="center"/>
              <w:rPr>
                <w:rFonts w:hint="default" w:ascii="宋体" w:hAnsi="Calibri"/>
                <w:color w:val="auto"/>
                <w:kern w:val="0"/>
                <w:sz w:val="24"/>
                <w:szCs w:val="21"/>
              </w:rPr>
            </w:pPr>
          </w:p>
        </w:tc>
        <w:tc>
          <w:tcPr>
            <w:tcW w:w="937" w:type="pct"/>
            <w:vMerge w:val="continue"/>
            <w:noWrap w:val="0"/>
            <w:vAlign w:val="center"/>
          </w:tcPr>
          <w:p w14:paraId="0AC659A3">
            <w:pPr>
              <w:keepNext w:val="0"/>
              <w:keepLines w:val="0"/>
              <w:suppressLineNumbers w:val="0"/>
              <w:spacing w:before="0" w:beforeAutospacing="0" w:after="0" w:afterAutospacing="0"/>
              <w:ind w:left="0" w:right="0" w:firstLine="420"/>
              <w:jc w:val="center"/>
              <w:rPr>
                <w:rFonts w:hint="default" w:ascii="宋体" w:hAnsi="Calibri"/>
                <w:color w:val="auto"/>
                <w:kern w:val="0"/>
                <w:sz w:val="24"/>
                <w:szCs w:val="21"/>
              </w:rPr>
            </w:pPr>
          </w:p>
        </w:tc>
      </w:tr>
      <w:tr w14:paraId="22AA8A8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806" w:hRule="atLeast"/>
          <w:jc w:val="center"/>
        </w:trPr>
        <w:tc>
          <w:tcPr>
            <w:tcW w:w="718" w:type="pct"/>
            <w:noWrap w:val="0"/>
            <w:vAlign w:val="center"/>
          </w:tcPr>
          <w:p w14:paraId="1E11BF23">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default" w:ascii="宋体" w:hAnsi="Calibri"/>
                <w:color w:val="auto"/>
                <w:kern w:val="0"/>
                <w:sz w:val="24"/>
                <w:szCs w:val="21"/>
              </w:rPr>
              <w:t>1#厂址</w:t>
            </w:r>
            <w:r>
              <w:rPr>
                <w:rFonts w:hint="eastAsia" w:ascii="宋体" w:hAnsi="Calibri"/>
                <w:color w:val="auto"/>
                <w:kern w:val="0"/>
                <w:sz w:val="24"/>
                <w:szCs w:val="21"/>
              </w:rPr>
              <w:t>下风向</w:t>
            </w:r>
          </w:p>
        </w:tc>
        <w:tc>
          <w:tcPr>
            <w:tcW w:w="593" w:type="pct"/>
            <w:tcBorders>
              <w:right w:val="single" w:color="auto" w:sz="4" w:space="0"/>
            </w:tcBorders>
            <w:noWrap w:val="0"/>
            <w:vAlign w:val="center"/>
          </w:tcPr>
          <w:p w14:paraId="130344B5">
            <w:pPr>
              <w:keepNext w:val="0"/>
              <w:keepLines w:val="0"/>
              <w:widowControl w:val="0"/>
              <w:suppressLineNumbers w:val="0"/>
              <w:tabs>
                <w:tab w:val="left" w:pos="6480"/>
              </w:tabs>
              <w:spacing w:before="0" w:beforeAutospacing="0" w:after="0" w:afterAutospacing="0" w:line="480" w:lineRule="auto"/>
              <w:ind w:left="0" w:right="0"/>
              <w:jc w:val="center"/>
              <w:rPr>
                <w:rFonts w:hint="default" w:ascii="宋体" w:hAnsi="Calibri" w:eastAsia="宋体" w:cs="Times New Roman"/>
                <w:color w:val="auto"/>
                <w:sz w:val="21"/>
                <w:szCs w:val="21"/>
                <w:lang w:val="en-US" w:eastAsia="zh-CN" w:bidi="ar-SA"/>
              </w:rPr>
            </w:pPr>
            <w:r>
              <w:rPr>
                <w:rFonts w:hint="eastAsia" w:ascii="宋体" w:hAnsi="Calibri" w:eastAsia="宋体" w:cs="Times New Roman"/>
                <w:color w:val="auto"/>
                <w:sz w:val="21"/>
                <w:szCs w:val="21"/>
                <w:lang w:val="en-US" w:eastAsia="zh-CN" w:bidi="ar-SA"/>
              </w:rPr>
              <w:t>128.955783</w:t>
            </w:r>
          </w:p>
        </w:tc>
        <w:tc>
          <w:tcPr>
            <w:tcW w:w="596" w:type="pct"/>
            <w:tcBorders>
              <w:left w:val="single" w:color="auto" w:sz="4" w:space="0"/>
            </w:tcBorders>
            <w:noWrap w:val="0"/>
            <w:vAlign w:val="center"/>
          </w:tcPr>
          <w:p w14:paraId="540D5A4D">
            <w:pPr>
              <w:keepNext w:val="0"/>
              <w:keepLines w:val="0"/>
              <w:widowControl w:val="0"/>
              <w:suppressLineNumbers w:val="0"/>
              <w:tabs>
                <w:tab w:val="left" w:pos="6480"/>
              </w:tabs>
              <w:spacing w:before="0" w:beforeAutospacing="0" w:after="0" w:afterAutospacing="0" w:line="480" w:lineRule="auto"/>
              <w:ind w:left="0" w:right="0"/>
              <w:jc w:val="center"/>
              <w:rPr>
                <w:rFonts w:hint="default" w:ascii="宋体" w:hAnsi="Calibri" w:eastAsia="宋体" w:cs="Times New Roman"/>
                <w:color w:val="auto"/>
                <w:sz w:val="21"/>
                <w:szCs w:val="21"/>
                <w:lang w:val="en-US" w:eastAsia="zh-CN" w:bidi="ar-SA"/>
              </w:rPr>
            </w:pPr>
            <w:r>
              <w:rPr>
                <w:rFonts w:hint="eastAsia" w:ascii="宋体" w:hAnsi="Calibri" w:eastAsia="宋体" w:cs="Times New Roman"/>
                <w:color w:val="auto"/>
                <w:sz w:val="21"/>
                <w:szCs w:val="21"/>
                <w:lang w:val="en-US" w:eastAsia="zh-CN" w:bidi="ar-SA"/>
              </w:rPr>
              <w:t>47.709180</w:t>
            </w:r>
          </w:p>
        </w:tc>
        <w:tc>
          <w:tcPr>
            <w:tcW w:w="593" w:type="pct"/>
            <w:tcBorders>
              <w:left w:val="single" w:color="auto" w:sz="4" w:space="0"/>
            </w:tcBorders>
            <w:noWrap w:val="0"/>
            <w:vAlign w:val="center"/>
          </w:tcPr>
          <w:p w14:paraId="6D707D34">
            <w:pPr>
              <w:keepNext w:val="0"/>
              <w:keepLines w:val="0"/>
              <w:widowControl w:val="0"/>
              <w:suppressLineNumbers w:val="0"/>
              <w:tabs>
                <w:tab w:val="left" w:pos="6480"/>
              </w:tabs>
              <w:spacing w:before="0" w:beforeAutospacing="0" w:after="0" w:afterAutospacing="0" w:line="480" w:lineRule="auto"/>
              <w:ind w:left="0" w:right="0"/>
              <w:jc w:val="center"/>
              <w:rPr>
                <w:rFonts w:hint="default" w:ascii="宋体" w:hAnsi="Calibri" w:eastAsia="宋体" w:cs="Times New Roman"/>
                <w:color w:val="auto"/>
                <w:sz w:val="21"/>
                <w:szCs w:val="21"/>
                <w:lang w:val="en-US" w:eastAsia="zh-CN" w:bidi="ar-SA"/>
              </w:rPr>
            </w:pPr>
            <w:r>
              <w:rPr>
                <w:rFonts w:hint="eastAsia" w:ascii="宋体" w:hAnsi="Calibri" w:eastAsia="宋体" w:cs="Times New Roman"/>
                <w:color w:val="auto"/>
                <w:sz w:val="21"/>
                <w:szCs w:val="21"/>
                <w:lang w:val="en-US" w:eastAsia="zh-CN" w:bidi="ar-SA"/>
              </w:rPr>
              <w:t>TSP、苯并[a]芘</w:t>
            </w:r>
          </w:p>
        </w:tc>
        <w:tc>
          <w:tcPr>
            <w:tcW w:w="743" w:type="pct"/>
            <w:tcBorders>
              <w:left w:val="single" w:color="auto" w:sz="4" w:space="0"/>
            </w:tcBorders>
            <w:noWrap w:val="0"/>
            <w:vAlign w:val="center"/>
          </w:tcPr>
          <w:p w14:paraId="02136BF4">
            <w:pPr>
              <w:keepNext w:val="0"/>
              <w:keepLines w:val="0"/>
              <w:widowControl w:val="0"/>
              <w:suppressLineNumbers w:val="0"/>
              <w:tabs>
                <w:tab w:val="left" w:pos="6480"/>
              </w:tabs>
              <w:spacing w:before="0" w:beforeAutospacing="0" w:after="0" w:afterAutospacing="0" w:line="480" w:lineRule="auto"/>
              <w:ind w:left="0" w:right="0"/>
              <w:jc w:val="center"/>
              <w:rPr>
                <w:rFonts w:hint="default" w:ascii="宋体" w:hAnsi="Calibri" w:eastAsia="宋体" w:cs="Times New Roman"/>
                <w:color w:val="auto"/>
                <w:sz w:val="21"/>
                <w:szCs w:val="21"/>
                <w:lang w:val="en-US" w:eastAsia="zh-CN" w:bidi="ar-SA"/>
              </w:rPr>
            </w:pPr>
            <w:r>
              <w:rPr>
                <w:rFonts w:hint="eastAsia" w:ascii="宋体" w:hAnsi="Calibri" w:eastAsia="宋体" w:cs="Times New Roman"/>
                <w:color w:val="auto"/>
                <w:sz w:val="21"/>
                <w:szCs w:val="21"/>
                <w:highlight w:val="none"/>
                <w:lang w:val="en-US" w:eastAsia="zh-CN" w:bidi="ar-SA"/>
              </w:rPr>
              <w:t>10</w:t>
            </w:r>
            <w:r>
              <w:rPr>
                <w:rFonts w:hint="default" w:ascii="宋体" w:hAnsi="Calibri" w:eastAsia="宋体" w:cs="Times New Roman"/>
                <w:color w:val="auto"/>
                <w:sz w:val="21"/>
                <w:szCs w:val="21"/>
                <w:highlight w:val="none"/>
                <w:lang w:val="en-US" w:eastAsia="zh-CN" w:bidi="ar-SA"/>
              </w:rPr>
              <w:t>月</w:t>
            </w:r>
            <w:r>
              <w:rPr>
                <w:rFonts w:hint="eastAsia" w:ascii="宋体" w:hAnsi="Calibri" w:eastAsia="宋体" w:cs="Times New Roman"/>
                <w:color w:val="auto"/>
                <w:sz w:val="21"/>
                <w:szCs w:val="21"/>
                <w:highlight w:val="none"/>
                <w:lang w:val="en-US" w:eastAsia="zh-CN" w:bidi="ar-SA"/>
              </w:rPr>
              <w:t>15</w:t>
            </w:r>
            <w:r>
              <w:rPr>
                <w:rFonts w:hint="default" w:ascii="宋体" w:hAnsi="Calibri" w:eastAsia="宋体" w:cs="Times New Roman"/>
                <w:color w:val="auto"/>
                <w:sz w:val="21"/>
                <w:szCs w:val="21"/>
                <w:highlight w:val="none"/>
                <w:lang w:val="en-US" w:eastAsia="zh-CN" w:bidi="ar-SA"/>
              </w:rPr>
              <w:t>日至</w:t>
            </w:r>
            <w:r>
              <w:rPr>
                <w:rFonts w:hint="eastAsia" w:ascii="宋体" w:hAnsi="Calibri" w:eastAsia="宋体" w:cs="Times New Roman"/>
                <w:color w:val="auto"/>
                <w:sz w:val="21"/>
                <w:szCs w:val="21"/>
                <w:highlight w:val="none"/>
                <w:lang w:val="en-US" w:eastAsia="zh-CN" w:bidi="ar-SA"/>
              </w:rPr>
              <w:t>22</w:t>
            </w:r>
            <w:r>
              <w:rPr>
                <w:rFonts w:hint="default" w:ascii="宋体" w:hAnsi="Calibri" w:eastAsia="宋体" w:cs="Times New Roman"/>
                <w:color w:val="auto"/>
                <w:sz w:val="21"/>
                <w:szCs w:val="21"/>
                <w:highlight w:val="none"/>
                <w:lang w:val="en-US" w:eastAsia="zh-CN" w:bidi="ar-SA"/>
              </w:rPr>
              <w:t>日</w:t>
            </w:r>
          </w:p>
        </w:tc>
        <w:tc>
          <w:tcPr>
            <w:tcW w:w="817" w:type="pct"/>
            <w:tcBorders>
              <w:left w:val="single" w:color="auto" w:sz="4" w:space="0"/>
            </w:tcBorders>
            <w:noWrap w:val="0"/>
            <w:vAlign w:val="center"/>
          </w:tcPr>
          <w:p w14:paraId="636411A7">
            <w:pPr>
              <w:keepNext w:val="0"/>
              <w:keepLines w:val="0"/>
              <w:widowControl w:val="0"/>
              <w:suppressLineNumbers w:val="0"/>
              <w:tabs>
                <w:tab w:val="left" w:pos="6480"/>
              </w:tabs>
              <w:spacing w:before="0" w:beforeAutospacing="0" w:after="0" w:afterAutospacing="0" w:line="480" w:lineRule="auto"/>
              <w:ind w:left="0" w:right="0"/>
              <w:jc w:val="center"/>
              <w:rPr>
                <w:rFonts w:hint="default" w:ascii="宋体" w:hAnsi="Calibri" w:eastAsia="宋体" w:cs="Times New Roman"/>
                <w:color w:val="auto"/>
                <w:sz w:val="21"/>
                <w:szCs w:val="21"/>
                <w:lang w:val="en-US" w:eastAsia="zh-CN" w:bidi="ar-SA"/>
              </w:rPr>
            </w:pPr>
            <w:r>
              <w:rPr>
                <w:rFonts w:hint="eastAsia" w:ascii="宋体" w:hAnsi="Calibri" w:eastAsia="宋体" w:cs="Times New Roman"/>
                <w:color w:val="auto"/>
                <w:sz w:val="21"/>
                <w:szCs w:val="21"/>
                <w:lang w:val="en-US" w:eastAsia="zh-CN" w:bidi="ar-SA"/>
              </w:rPr>
              <w:t>东北侧</w:t>
            </w:r>
          </w:p>
        </w:tc>
        <w:tc>
          <w:tcPr>
            <w:tcW w:w="937" w:type="pct"/>
            <w:noWrap w:val="0"/>
            <w:vAlign w:val="center"/>
          </w:tcPr>
          <w:p w14:paraId="67D0BCE4">
            <w:pPr>
              <w:keepNext w:val="0"/>
              <w:keepLines w:val="0"/>
              <w:suppressLineNumbers w:val="0"/>
              <w:spacing w:before="0" w:beforeAutospacing="0" w:after="0" w:afterAutospacing="0"/>
              <w:ind w:left="0" w:right="0"/>
              <w:jc w:val="center"/>
              <w:rPr>
                <w:rFonts w:hint="default" w:ascii="宋体" w:hAnsi="Calibri"/>
                <w:color w:val="auto"/>
                <w:kern w:val="0"/>
                <w:sz w:val="24"/>
                <w:szCs w:val="21"/>
              </w:rPr>
            </w:pPr>
            <w:r>
              <w:rPr>
                <w:rFonts w:hint="eastAsia" w:ascii="宋体" w:hAnsi="Calibri"/>
                <w:color w:val="auto"/>
                <w:kern w:val="0"/>
                <w:sz w:val="24"/>
                <w:szCs w:val="21"/>
                <w:lang w:val="en-US" w:eastAsia="zh-CN"/>
              </w:rPr>
              <w:t>7</w:t>
            </w:r>
            <w:r>
              <w:rPr>
                <w:rFonts w:hint="eastAsia" w:ascii="宋体" w:hAnsi="Calibri"/>
                <w:color w:val="auto"/>
                <w:kern w:val="0"/>
                <w:sz w:val="24"/>
                <w:szCs w:val="21"/>
              </w:rPr>
              <w:t>00</w:t>
            </w:r>
          </w:p>
        </w:tc>
      </w:tr>
    </w:tbl>
    <w:p w14:paraId="43027D5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jc w:val="both"/>
        <w:textAlignment w:val="baseline"/>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（3）监测结果</w:t>
      </w:r>
    </w:p>
    <w:p w14:paraId="20A53D88">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本项目监测结果见表</w:t>
      </w:r>
      <w:r>
        <w:rPr>
          <w:rFonts w:hint="eastAsia" w:ascii="宋体" w:hAnsi="Calibri" w:cs="Times New Roman"/>
          <w:color w:val="auto"/>
          <w:kern w:val="2"/>
          <w:sz w:val="24"/>
          <w:szCs w:val="24"/>
          <w:highlight w:val="none"/>
          <w:lang w:val="en-US" w:eastAsia="zh-CN"/>
        </w:rPr>
        <w:t>3-2</w:t>
      </w:r>
      <w:r>
        <w:rPr>
          <w:rFonts w:hint="default" w:ascii="Times New Roman" w:hAnsi="Times New Roman" w:eastAsia="宋体" w:cs="Times New Roman"/>
          <w:color w:val="auto"/>
          <w:kern w:val="2"/>
          <w:sz w:val="24"/>
          <w:szCs w:val="24"/>
          <w:highlight w:val="none"/>
        </w:rPr>
        <w:t>。</w:t>
      </w:r>
    </w:p>
    <w:p w14:paraId="1A363463">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drawing>
          <wp:inline distT="0" distB="0" distL="114300" distR="114300">
            <wp:extent cx="5540375" cy="1435100"/>
            <wp:effectExtent l="0" t="0" r="3175" b="12700"/>
            <wp:docPr id="68" name="图片 8" descr="d5431919-e66e-4b2c-bc22-8d84fae57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descr="d5431919-e66e-4b2c-bc22-8d84fae57dff"/>
                    <pic:cNvPicPr>
                      <a:picLocks noChangeAspect="1"/>
                    </pic:cNvPicPr>
                  </pic:nvPicPr>
                  <pic:blipFill>
                    <a:blip r:embed="rId83"/>
                    <a:stretch>
                      <a:fillRect/>
                    </a:stretch>
                  </pic:blipFill>
                  <pic:spPr>
                    <a:xfrm>
                      <a:off x="0" y="0"/>
                      <a:ext cx="5540375" cy="1435100"/>
                    </a:xfrm>
                    <a:prstGeom prst="rect">
                      <a:avLst/>
                    </a:prstGeom>
                    <a:noFill/>
                    <a:ln>
                      <a:noFill/>
                    </a:ln>
                  </pic:spPr>
                </pic:pic>
              </a:graphicData>
            </a:graphic>
          </wp:inline>
        </w:drawing>
      </w:r>
    </w:p>
    <w:p w14:paraId="6F0DE6D7">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方正仿宋_GBK"/>
          <w:color w:val="auto"/>
          <w:kern w:val="0"/>
          <w:sz w:val="24"/>
          <w:szCs w:val="24"/>
          <w:highlight w:val="none"/>
          <w:lang w:val="en-US" w:eastAsia="zh-CN" w:bidi="ar"/>
        </w:rPr>
      </w:pPr>
      <w:r>
        <w:rPr>
          <w:rFonts w:hint="default" w:ascii="Times New Roman" w:hAnsi="Times New Roman" w:eastAsia="宋体" w:cs="Times New Roman"/>
          <w:color w:val="auto"/>
          <w:kern w:val="2"/>
          <w:sz w:val="24"/>
          <w:szCs w:val="24"/>
          <w:highlight w:val="none"/>
        </w:rPr>
        <w:t>根据上表统计结果，本项目特征污染物</w:t>
      </w:r>
      <w:r>
        <w:rPr>
          <w:rFonts w:hint="eastAsia" w:ascii="Times New Roman" w:hAnsi="Times New Roman" w:eastAsia="宋体" w:cs="Times New Roman"/>
          <w:color w:val="auto"/>
          <w:kern w:val="2"/>
          <w:sz w:val="24"/>
          <w:szCs w:val="24"/>
          <w:highlight w:val="none"/>
          <w:lang w:eastAsia="zh-CN"/>
        </w:rPr>
        <w:t>颗粒物</w:t>
      </w:r>
      <w:r>
        <w:rPr>
          <w:rFonts w:hint="eastAsia" w:ascii="宋体" w:hAnsi="Calibri" w:cs="Times New Roman"/>
          <w:color w:val="auto"/>
          <w:kern w:val="2"/>
          <w:sz w:val="24"/>
          <w:szCs w:val="24"/>
          <w:highlight w:val="none"/>
          <w:lang w:eastAsia="zh-CN"/>
        </w:rPr>
        <w:t>、</w:t>
      </w:r>
      <w:r>
        <w:rPr>
          <w:rFonts w:hint="eastAsia" w:ascii="宋体" w:hAnsi="Calibri" w:cs="Times New Roman"/>
          <w:color w:val="auto"/>
          <w:kern w:val="2"/>
          <w:sz w:val="24"/>
          <w:szCs w:val="24"/>
          <w:highlight w:val="none"/>
          <w:lang w:val="en-US" w:eastAsia="zh-CN"/>
        </w:rPr>
        <w:t>苯并[a]芘</w:t>
      </w:r>
      <w:r>
        <w:rPr>
          <w:rFonts w:hint="eastAsia" w:ascii="Times New Roman" w:hAnsi="Times New Roman" w:eastAsia="宋体" w:cs="Times New Roman"/>
          <w:color w:val="auto"/>
          <w:kern w:val="2"/>
          <w:sz w:val="24"/>
          <w:szCs w:val="24"/>
          <w:highlight w:val="none"/>
          <w:lang w:eastAsia="zh-CN"/>
        </w:rPr>
        <w:t>可以满足</w:t>
      </w:r>
      <w:r>
        <w:rPr>
          <w:rFonts w:hint="default" w:ascii="Times New Roman" w:hAnsi="Times New Roman"/>
          <w:color w:val="auto"/>
          <w:kern w:val="0"/>
          <w:sz w:val="24"/>
          <w:szCs w:val="24"/>
          <w:highlight w:val="none"/>
        </w:rPr>
        <w:t>《环境空气质量标准》（GB3095-2012）</w:t>
      </w:r>
      <w:r>
        <w:rPr>
          <w:rFonts w:hint="eastAsia" w:ascii="宋体" w:hAnsi="Calibri"/>
          <w:color w:val="auto"/>
          <w:kern w:val="0"/>
          <w:sz w:val="24"/>
          <w:szCs w:val="20"/>
          <w:lang w:val="en-US" w:eastAsia="zh-CN"/>
        </w:rPr>
        <w:t>二级标准要求</w:t>
      </w:r>
      <w:r>
        <w:rPr>
          <w:rFonts w:hint="eastAsia" w:ascii="宋体" w:hAnsi="Calibri" w:cs="Times New Roman"/>
          <w:color w:val="auto"/>
          <w:kern w:val="2"/>
          <w:sz w:val="24"/>
          <w:szCs w:val="24"/>
          <w:highlight w:val="none"/>
          <w:lang w:val="en-US" w:eastAsia="zh-CN"/>
        </w:rPr>
        <w:t>。</w:t>
      </w:r>
    </w:p>
    <w:p w14:paraId="526E3F1A">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14:paraId="1B372CCD">
      <w:pPr>
        <w:ind w:left="0" w:leftChars="0" w:firstLine="0" w:firstLineChars="0"/>
        <w:rPr>
          <w:rFonts w:hint="default" w:ascii="Times New Roman" w:hAnsi="Times New Roman" w:cs="Times New Roman"/>
          <w:color w:val="auto"/>
        </w:rPr>
        <w:sectPr>
          <w:headerReference r:id="rId14" w:type="default"/>
          <w:footerReference r:id="rId15" w:type="default"/>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bookmarkStart w:id="273" w:name="_Toc245605579"/>
      <w:bookmarkStart w:id="274" w:name="_Toc307229548"/>
      <w:bookmarkStart w:id="275" w:name="_Toc307947623"/>
    </w:p>
    <w:bookmarkEnd w:id="273"/>
    <w:bookmarkEnd w:id="274"/>
    <w:bookmarkEnd w:id="275"/>
    <w:p w14:paraId="7A576A82">
      <w:pPr>
        <w:widowControl w:val="0"/>
        <w:numPr>
          <w:ilvl w:val="0"/>
          <w:numId w:val="1"/>
        </w:numPr>
        <w:spacing w:before="240" w:beforeLines="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276" w:name="_Toc344060701"/>
      <w:bookmarkStart w:id="277" w:name="_Toc15999"/>
      <w:bookmarkStart w:id="278" w:name="_Toc245605580"/>
      <w:bookmarkStart w:id="279" w:name="_Toc307229560"/>
      <w:bookmarkStart w:id="280" w:name="_Toc307947627"/>
      <w:bookmarkStart w:id="281" w:name="_Toc353554893"/>
      <w:r>
        <w:rPr>
          <w:rFonts w:hint="default" w:ascii="Times New Roman" w:hAnsi="Times New Roman" w:eastAsia="黑体" w:cs="Times New Roman"/>
          <w:color w:val="auto"/>
          <w:kern w:val="2"/>
          <w:sz w:val="36"/>
          <w:szCs w:val="24"/>
          <w:lang w:val="en-US" w:eastAsia="zh-CN" w:bidi="ar-SA"/>
        </w:rPr>
        <w:t>环境影响预测评价</w:t>
      </w:r>
      <w:bookmarkEnd w:id="276"/>
      <w:bookmarkEnd w:id="277"/>
      <w:bookmarkEnd w:id="278"/>
      <w:bookmarkEnd w:id="279"/>
      <w:bookmarkEnd w:id="280"/>
      <w:bookmarkEnd w:id="281"/>
    </w:p>
    <w:p w14:paraId="0ABE8DF2">
      <w:pPr>
        <w:widowControl w:val="0"/>
        <w:numPr>
          <w:ilvl w:val="1"/>
          <w:numId w:val="1"/>
        </w:numPr>
        <w:bidi w:val="0"/>
        <w:spacing w:line="360" w:lineRule="auto"/>
        <w:jc w:val="both"/>
        <w:outlineLvl w:val="1"/>
        <w:rPr>
          <w:rFonts w:hint="default" w:ascii="Times New Roman" w:hAnsi="Times New Roman" w:eastAsia="黑体" w:cs="Times New Roman"/>
          <w:color w:val="auto"/>
          <w:sz w:val="28"/>
          <w:szCs w:val="20"/>
          <w:lang w:val="en-US" w:eastAsia="zh-CN" w:bidi="ar-SA"/>
        </w:rPr>
      </w:pPr>
      <w:bookmarkStart w:id="282" w:name="_Toc18070"/>
      <w:r>
        <w:rPr>
          <w:rFonts w:hint="default" w:ascii="Times New Roman" w:hAnsi="Times New Roman" w:eastAsia="黑体" w:cs="Times New Roman"/>
          <w:color w:val="auto"/>
          <w:sz w:val="28"/>
          <w:szCs w:val="20"/>
          <w:lang w:val="en-US" w:eastAsia="zh-CN" w:bidi="ar-SA"/>
        </w:rPr>
        <w:t>环境影响分析</w:t>
      </w:r>
      <w:bookmarkEnd w:id="282"/>
    </w:p>
    <w:p w14:paraId="58F0D979">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(1)预测因子</w:t>
      </w:r>
    </w:p>
    <w:p w14:paraId="6A2C188C">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导则要求，按照《建设项目环境影响评价技术导则总纲》(HJ2.1-2016)的要求识别大气环境影响因素，并筛选出大气环境影响评价因子。大气环境影响评价因子主要为项目排放的基本污染物及其他污染物。本次环境空气评价仅针对颗粒物、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、NO</w:t>
      </w:r>
      <w:r>
        <w:rPr>
          <w:rFonts w:hint="default" w:ascii="Times New Roman" w:hAnsi="Times New Roman" w:eastAsia="宋体" w:cs="Times New Roman"/>
          <w:color w:val="auto"/>
          <w:kern w:val="2"/>
          <w:sz w:val="24"/>
          <w:szCs w:val="24"/>
          <w:highlight w:val="none"/>
          <w:vertAlign w:val="subscript"/>
          <w:lang w:val="en-US" w:eastAsia="zh-CN" w:bidi="ar-SA"/>
        </w:rPr>
        <w:t>X</w:t>
      </w:r>
      <w:r>
        <w:rPr>
          <w:rFonts w:hint="default" w:ascii="Times New Roman" w:hAnsi="Times New Roman" w:eastAsia="宋体" w:cs="Times New Roman"/>
          <w:color w:val="auto"/>
          <w:kern w:val="2"/>
          <w:sz w:val="24"/>
          <w:szCs w:val="24"/>
          <w:highlight w:val="none"/>
          <w:lang w:val="en-US" w:eastAsia="zh-CN" w:bidi="ar-SA"/>
        </w:rPr>
        <w:t>、苯并[a]芘评价。</w:t>
      </w:r>
    </w:p>
    <w:p w14:paraId="61903444">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(2)预测范围</w:t>
      </w:r>
    </w:p>
    <w:p w14:paraId="3E1FFE38">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环境影响评价技术导则大气环境》(HJ2.2-2018)中评价工作等级划分及评价范围确定的原则，采用导则推荐的估算模式对每一个污染物排放源下风向的轴线浓度及相应浓度占标率进行了计算，本项目大气环境影响评价等级为二级，评价范围为以厂区为中心区域，自厂界外延2500m的矩形区域。</w:t>
      </w:r>
    </w:p>
    <w:p w14:paraId="7FF3DD51">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（3）估算模型参数</w:t>
      </w:r>
    </w:p>
    <w:p w14:paraId="2704439B">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见评价工作等级章节</w:t>
      </w:r>
    </w:p>
    <w:p w14:paraId="3CFBB378">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（4）预测结果</w:t>
      </w:r>
    </w:p>
    <w:p w14:paraId="1248A18D">
      <w:pPr>
        <w:widowControl w:val="0"/>
        <w:spacing w:line="360" w:lineRule="auto"/>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采用估算模式计算出的各污染物在评价范围内不同距离处的最大落地浓度见下表。</w:t>
      </w:r>
    </w:p>
    <w:p w14:paraId="32F7677E">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表4-1点源在评价范围内不同距离处的最大落地浓度表（</w:t>
      </w:r>
      <w:r>
        <w:rPr>
          <w:rFonts w:hint="eastAsia" w:ascii="Times New Roman" w:hAnsi="Times New Roman" w:eastAsia="黑体" w:cs="Times New Roman"/>
          <w:color w:val="auto"/>
          <w:kern w:val="0"/>
          <w:sz w:val="24"/>
          <w:szCs w:val="20"/>
          <w:lang w:val="en-US" w:eastAsia="zh-CN" w:bidi="ar-SA"/>
        </w:rPr>
        <w:t>DA003</w:t>
      </w:r>
      <w:r>
        <w:rPr>
          <w:rFonts w:hint="default" w:ascii="Times New Roman" w:hAnsi="Times New Roman" w:eastAsia="黑体" w:cs="Times New Roman"/>
          <w:color w:val="auto"/>
          <w:kern w:val="0"/>
          <w:sz w:val="24"/>
          <w:szCs w:val="20"/>
          <w:lang w:val="en-US" w:eastAsia="zh-CN" w:bidi="ar-SA"/>
        </w:rPr>
        <w:t>）</w:t>
      </w:r>
    </w:p>
    <w:tbl>
      <w:tblPr>
        <w:tblStyle w:val="144"/>
        <w:tblW w:w="851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1309"/>
        <w:gridCol w:w="1159"/>
        <w:gridCol w:w="1160"/>
        <w:gridCol w:w="1016"/>
        <w:gridCol w:w="1016"/>
        <w:gridCol w:w="1016"/>
        <w:gridCol w:w="1100"/>
      </w:tblGrid>
      <w:tr w14:paraId="2F435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740" w:type="dxa"/>
            <w:vMerge w:val="restart"/>
            <w:tcBorders>
              <w:left w:val="nil"/>
              <w:bottom w:val="nil"/>
            </w:tcBorders>
            <w:noWrap w:val="0"/>
            <w:vAlign w:val="top"/>
          </w:tcPr>
          <w:p w14:paraId="52E463E6">
            <w:pPr>
              <w:spacing w:line="254" w:lineRule="auto"/>
              <w:jc w:val="left"/>
              <w:rPr>
                <w:rFonts w:hint="default" w:ascii="Times New Roman" w:hAnsi="Times New Roman" w:cs="Times New Roman"/>
                <w:color w:val="auto"/>
                <w:kern w:val="0"/>
                <w:sz w:val="21"/>
                <w:szCs w:val="20"/>
              </w:rPr>
            </w:pPr>
          </w:p>
          <w:p w14:paraId="6B849FD4">
            <w:pPr>
              <w:spacing w:before="68" w:line="223" w:lineRule="auto"/>
              <w:ind w:left="17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序号</w:t>
            </w:r>
          </w:p>
        </w:tc>
        <w:tc>
          <w:tcPr>
            <w:tcW w:w="1309" w:type="dxa"/>
            <w:vMerge w:val="restart"/>
            <w:tcBorders>
              <w:bottom w:val="nil"/>
            </w:tcBorders>
            <w:noWrap w:val="0"/>
            <w:vAlign w:val="top"/>
          </w:tcPr>
          <w:p w14:paraId="33E67036">
            <w:pPr>
              <w:spacing w:before="188" w:line="222" w:lineRule="auto"/>
              <w:ind w:left="136"/>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下风向距</w:t>
            </w:r>
            <w:r>
              <w:rPr>
                <w:rFonts w:hint="default" w:ascii="Times New Roman" w:hAnsi="Times New Roman" w:eastAsia="宋体" w:cs="Times New Roman"/>
                <w:color w:val="auto"/>
                <w:spacing w:val="-1"/>
                <w:kern w:val="0"/>
                <w:sz w:val="21"/>
                <w:szCs w:val="21"/>
              </w:rPr>
              <w:t>离</w:t>
            </w:r>
          </w:p>
          <w:p w14:paraId="2148A8EE">
            <w:pPr>
              <w:spacing w:before="19" w:line="224" w:lineRule="auto"/>
              <w:ind w:left="372"/>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7"/>
                <w:kern w:val="0"/>
                <w:sz w:val="21"/>
                <w:szCs w:val="21"/>
              </w:rPr>
              <w:t>(</w:t>
            </w:r>
            <w:r>
              <w:rPr>
                <w:rFonts w:hint="default" w:ascii="Times New Roman" w:hAnsi="Times New Roman" w:eastAsia="Times New Roman" w:cs="Times New Roman"/>
                <w:color w:val="auto"/>
                <w:spacing w:val="-7"/>
                <w:kern w:val="0"/>
                <w:sz w:val="21"/>
                <w:szCs w:val="21"/>
              </w:rPr>
              <w:t>m</w:t>
            </w:r>
            <w:r>
              <w:rPr>
                <w:rFonts w:hint="default" w:ascii="Times New Roman" w:hAnsi="Times New Roman" w:eastAsia="宋体" w:cs="Times New Roman"/>
                <w:color w:val="auto"/>
                <w:spacing w:val="-7"/>
                <w:kern w:val="0"/>
                <w:sz w:val="21"/>
                <w:szCs w:val="21"/>
              </w:rPr>
              <w:t>)</w:t>
            </w:r>
          </w:p>
        </w:tc>
        <w:tc>
          <w:tcPr>
            <w:tcW w:w="6467" w:type="dxa"/>
            <w:gridSpan w:val="6"/>
            <w:tcBorders>
              <w:right w:val="nil"/>
            </w:tcBorders>
            <w:noWrap w:val="0"/>
            <w:vAlign w:val="top"/>
          </w:tcPr>
          <w:p w14:paraId="048C270E">
            <w:pPr>
              <w:spacing w:before="57" w:line="217" w:lineRule="auto"/>
              <w:ind w:left="2380"/>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8"/>
                <w:kern w:val="0"/>
                <w:sz w:val="21"/>
                <w:szCs w:val="21"/>
              </w:rPr>
              <w:t>废</w:t>
            </w:r>
            <w:r>
              <w:rPr>
                <w:rFonts w:hint="default" w:ascii="Times New Roman" w:hAnsi="Times New Roman" w:eastAsia="宋体" w:cs="Times New Roman"/>
                <w:color w:val="auto"/>
                <w:spacing w:val="-5"/>
                <w:kern w:val="0"/>
                <w:sz w:val="21"/>
                <w:szCs w:val="21"/>
              </w:rPr>
              <w:t>气排气筒</w:t>
            </w:r>
            <w:r>
              <w:rPr>
                <w:rFonts w:hint="eastAsia" w:ascii="Times New Roman" w:hAnsi="Times New Roman" w:eastAsia="宋体" w:cs="Times New Roman"/>
                <w:color w:val="auto"/>
                <w:spacing w:val="-5"/>
                <w:kern w:val="0"/>
                <w:sz w:val="21"/>
                <w:szCs w:val="21"/>
                <w:lang w:val="en-US" w:eastAsia="zh-CN"/>
              </w:rPr>
              <w:t>DA003</w:t>
            </w:r>
          </w:p>
        </w:tc>
      </w:tr>
      <w:tr w14:paraId="7336A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740" w:type="dxa"/>
            <w:vMerge w:val="continue"/>
            <w:tcBorders>
              <w:top w:val="nil"/>
              <w:left w:val="nil"/>
              <w:bottom w:val="nil"/>
            </w:tcBorders>
            <w:noWrap w:val="0"/>
            <w:vAlign w:val="top"/>
          </w:tcPr>
          <w:p w14:paraId="11A8C919">
            <w:pPr>
              <w:jc w:val="left"/>
              <w:rPr>
                <w:rFonts w:hint="default" w:ascii="Times New Roman" w:hAnsi="Times New Roman" w:cs="Times New Roman"/>
                <w:color w:val="auto"/>
                <w:kern w:val="0"/>
                <w:sz w:val="21"/>
                <w:szCs w:val="20"/>
              </w:rPr>
            </w:pPr>
          </w:p>
        </w:tc>
        <w:tc>
          <w:tcPr>
            <w:tcW w:w="1309" w:type="dxa"/>
            <w:vMerge w:val="continue"/>
            <w:tcBorders>
              <w:top w:val="nil"/>
              <w:bottom w:val="nil"/>
            </w:tcBorders>
            <w:noWrap w:val="0"/>
            <w:vAlign w:val="top"/>
          </w:tcPr>
          <w:p w14:paraId="2146FBED">
            <w:pPr>
              <w:jc w:val="left"/>
              <w:rPr>
                <w:rFonts w:hint="default" w:ascii="Times New Roman" w:hAnsi="Times New Roman" w:cs="Times New Roman"/>
                <w:color w:val="auto"/>
                <w:kern w:val="0"/>
                <w:sz w:val="21"/>
                <w:szCs w:val="20"/>
              </w:rPr>
            </w:pPr>
          </w:p>
        </w:tc>
        <w:tc>
          <w:tcPr>
            <w:tcW w:w="3335" w:type="dxa"/>
            <w:gridSpan w:val="3"/>
            <w:noWrap w:val="0"/>
            <w:vAlign w:val="top"/>
          </w:tcPr>
          <w:p w14:paraId="6DAD1539">
            <w:pPr>
              <w:spacing w:line="275" w:lineRule="exact"/>
              <w:ind w:left="574"/>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19"/>
                <w:kern w:val="0"/>
                <w:position w:val="2"/>
                <w:sz w:val="20"/>
                <w:szCs w:val="20"/>
              </w:rPr>
              <w:t>预</w:t>
            </w:r>
            <w:r>
              <w:rPr>
                <w:rFonts w:hint="default" w:ascii="Times New Roman" w:hAnsi="Times New Roman" w:eastAsia="宋体" w:cs="Times New Roman"/>
                <w:color w:val="auto"/>
                <w:spacing w:val="15"/>
                <w:kern w:val="0"/>
                <w:position w:val="2"/>
                <w:sz w:val="20"/>
                <w:szCs w:val="20"/>
              </w:rPr>
              <w:t>测质量浓度(</w:t>
            </w:r>
            <w:r>
              <w:rPr>
                <w:rFonts w:hint="default" w:ascii="Times New Roman" w:hAnsi="Times New Roman" w:eastAsia="Times New Roman" w:cs="Times New Roman"/>
                <w:color w:val="auto"/>
                <w:spacing w:val="15"/>
                <w:kern w:val="0"/>
                <w:position w:val="2"/>
                <w:sz w:val="20"/>
                <w:szCs w:val="20"/>
              </w:rPr>
              <w:t>µ</w:t>
            </w:r>
            <w:r>
              <w:rPr>
                <w:rFonts w:hint="default" w:ascii="Times New Roman" w:hAnsi="Times New Roman" w:eastAsia="Times New Roman" w:cs="Times New Roman"/>
                <w:color w:val="auto"/>
                <w:kern w:val="0"/>
                <w:position w:val="2"/>
                <w:sz w:val="20"/>
                <w:szCs w:val="20"/>
              </w:rPr>
              <w:t>g</w:t>
            </w:r>
            <w:r>
              <w:rPr>
                <w:rFonts w:hint="default" w:ascii="Times New Roman" w:hAnsi="Times New Roman" w:eastAsia="Times New Roman" w:cs="Times New Roman"/>
                <w:color w:val="auto"/>
                <w:spacing w:val="15"/>
                <w:kern w:val="0"/>
                <w:position w:val="2"/>
                <w:sz w:val="20"/>
                <w:szCs w:val="20"/>
              </w:rPr>
              <w:t>/</w:t>
            </w:r>
            <w:r>
              <w:rPr>
                <w:rFonts w:hint="default" w:ascii="Times New Roman" w:hAnsi="Times New Roman" w:eastAsia="Times New Roman" w:cs="Times New Roman"/>
                <w:color w:val="auto"/>
                <w:kern w:val="0"/>
                <w:position w:val="2"/>
                <w:sz w:val="20"/>
                <w:szCs w:val="20"/>
              </w:rPr>
              <w:t>m</w:t>
            </w:r>
            <w:r>
              <w:rPr>
                <w:rFonts w:hint="default" w:ascii="Times New Roman" w:hAnsi="Times New Roman" w:eastAsia="Times New Roman" w:cs="Times New Roman"/>
                <w:color w:val="auto"/>
                <w:spacing w:val="15"/>
                <w:kern w:val="0"/>
                <w:position w:val="8"/>
                <w:sz w:val="13"/>
                <w:szCs w:val="13"/>
              </w:rPr>
              <w:t>3</w:t>
            </w:r>
            <w:r>
              <w:rPr>
                <w:rFonts w:hint="default" w:ascii="Times New Roman" w:hAnsi="Times New Roman" w:eastAsia="宋体" w:cs="Times New Roman"/>
                <w:color w:val="auto"/>
                <w:spacing w:val="15"/>
                <w:kern w:val="0"/>
                <w:position w:val="2"/>
                <w:sz w:val="20"/>
                <w:szCs w:val="20"/>
              </w:rPr>
              <w:t>)</w:t>
            </w:r>
          </w:p>
        </w:tc>
        <w:tc>
          <w:tcPr>
            <w:tcW w:w="3132" w:type="dxa"/>
            <w:gridSpan w:val="3"/>
            <w:tcBorders>
              <w:right w:val="nil"/>
            </w:tcBorders>
            <w:noWrap w:val="0"/>
            <w:vAlign w:val="top"/>
          </w:tcPr>
          <w:p w14:paraId="77B3958C">
            <w:pPr>
              <w:spacing w:line="275" w:lineRule="exact"/>
              <w:ind w:left="996"/>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20"/>
                <w:kern w:val="0"/>
                <w:position w:val="1"/>
                <w:sz w:val="20"/>
                <w:szCs w:val="20"/>
              </w:rPr>
              <w:t>占</w:t>
            </w:r>
            <w:r>
              <w:rPr>
                <w:rFonts w:hint="default" w:ascii="Times New Roman" w:hAnsi="Times New Roman" w:eastAsia="宋体" w:cs="Times New Roman"/>
                <w:color w:val="auto"/>
                <w:spacing w:val="18"/>
                <w:kern w:val="0"/>
                <w:position w:val="1"/>
                <w:sz w:val="20"/>
                <w:szCs w:val="20"/>
              </w:rPr>
              <w:t>标率(</w:t>
            </w:r>
            <w:r>
              <w:rPr>
                <w:rFonts w:hint="default" w:ascii="Times New Roman" w:hAnsi="Times New Roman" w:eastAsia="Times New Roman" w:cs="Times New Roman"/>
                <w:color w:val="auto"/>
                <w:spacing w:val="18"/>
                <w:kern w:val="0"/>
                <w:position w:val="1"/>
                <w:sz w:val="20"/>
                <w:szCs w:val="20"/>
              </w:rPr>
              <w:t>%</w:t>
            </w:r>
            <w:r>
              <w:rPr>
                <w:rFonts w:hint="default" w:ascii="Times New Roman" w:hAnsi="Times New Roman" w:eastAsia="宋体" w:cs="Times New Roman"/>
                <w:color w:val="auto"/>
                <w:spacing w:val="18"/>
                <w:kern w:val="0"/>
                <w:position w:val="1"/>
                <w:sz w:val="20"/>
                <w:szCs w:val="20"/>
              </w:rPr>
              <w:t>)</w:t>
            </w:r>
          </w:p>
        </w:tc>
      </w:tr>
      <w:tr w14:paraId="5977F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740" w:type="dxa"/>
            <w:vMerge w:val="continue"/>
            <w:tcBorders>
              <w:top w:val="nil"/>
              <w:left w:val="nil"/>
            </w:tcBorders>
            <w:noWrap w:val="0"/>
            <w:vAlign w:val="top"/>
          </w:tcPr>
          <w:p w14:paraId="5B00ADAB">
            <w:pPr>
              <w:jc w:val="left"/>
              <w:rPr>
                <w:rFonts w:hint="default" w:ascii="Times New Roman" w:hAnsi="Times New Roman" w:cs="Times New Roman"/>
                <w:color w:val="auto"/>
                <w:kern w:val="0"/>
                <w:sz w:val="21"/>
                <w:szCs w:val="20"/>
              </w:rPr>
            </w:pPr>
          </w:p>
        </w:tc>
        <w:tc>
          <w:tcPr>
            <w:tcW w:w="1309" w:type="dxa"/>
            <w:vMerge w:val="continue"/>
            <w:tcBorders>
              <w:top w:val="nil"/>
            </w:tcBorders>
            <w:noWrap w:val="0"/>
            <w:vAlign w:val="top"/>
          </w:tcPr>
          <w:p w14:paraId="70FB5098">
            <w:pPr>
              <w:jc w:val="left"/>
              <w:rPr>
                <w:rFonts w:hint="default" w:ascii="Times New Roman" w:hAnsi="Times New Roman" w:cs="Times New Roman"/>
                <w:color w:val="auto"/>
                <w:kern w:val="0"/>
                <w:sz w:val="21"/>
                <w:szCs w:val="20"/>
              </w:rPr>
            </w:pPr>
          </w:p>
        </w:tc>
        <w:tc>
          <w:tcPr>
            <w:tcW w:w="1159" w:type="dxa"/>
            <w:noWrap w:val="0"/>
            <w:vAlign w:val="top"/>
          </w:tcPr>
          <w:p w14:paraId="03A39821">
            <w:pPr>
              <w:spacing w:before="49" w:line="189" w:lineRule="auto"/>
              <w:ind w:left="417"/>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3"/>
                <w:kern w:val="0"/>
                <w:sz w:val="21"/>
                <w:szCs w:val="21"/>
              </w:rPr>
              <w:t>SO</w:t>
            </w:r>
            <w:r>
              <w:rPr>
                <w:rFonts w:hint="default" w:ascii="Times New Roman" w:hAnsi="Times New Roman" w:eastAsia="Times New Roman" w:cs="Times New Roman"/>
                <w:color w:val="auto"/>
                <w:spacing w:val="-3"/>
                <w:kern w:val="0"/>
                <w:position w:val="-1"/>
                <w:sz w:val="14"/>
                <w:szCs w:val="14"/>
              </w:rPr>
              <w:t>2</w:t>
            </w:r>
          </w:p>
        </w:tc>
        <w:tc>
          <w:tcPr>
            <w:tcW w:w="1160" w:type="dxa"/>
            <w:noWrap w:val="0"/>
            <w:vAlign w:val="top"/>
          </w:tcPr>
          <w:p w14:paraId="3EA92597">
            <w:pPr>
              <w:spacing w:before="49" w:line="188" w:lineRule="auto"/>
              <w:ind w:left="403"/>
              <w:jc w:val="left"/>
              <w:rPr>
                <w:rFonts w:hint="default" w:ascii="Times New Roman" w:hAnsi="Times New Roman" w:eastAsia="宋体" w:cs="Times New Roman"/>
                <w:color w:val="auto"/>
                <w:kern w:val="0"/>
                <w:sz w:val="21"/>
                <w:szCs w:val="21"/>
                <w:vertAlign w:val="subscript"/>
                <w:lang w:val="en-US" w:eastAsia="zh-CN"/>
              </w:rPr>
            </w:pPr>
            <w:r>
              <w:rPr>
                <w:rFonts w:hint="default" w:ascii="Times New Roman" w:hAnsi="Times New Roman" w:eastAsia="宋体" w:cs="Times New Roman"/>
                <w:color w:val="auto"/>
                <w:kern w:val="0"/>
                <w:sz w:val="21"/>
                <w:szCs w:val="21"/>
                <w:lang w:val="en-US" w:eastAsia="zh-CN"/>
              </w:rPr>
              <w:t>PM</w:t>
            </w:r>
            <w:r>
              <w:rPr>
                <w:rFonts w:hint="default" w:ascii="Times New Roman" w:hAnsi="Times New Roman" w:eastAsia="宋体" w:cs="Times New Roman"/>
                <w:color w:val="auto"/>
                <w:kern w:val="0"/>
                <w:sz w:val="21"/>
                <w:szCs w:val="21"/>
                <w:vertAlign w:val="subscript"/>
                <w:lang w:val="en-US" w:eastAsia="zh-CN"/>
              </w:rPr>
              <w:t>10</w:t>
            </w:r>
          </w:p>
        </w:tc>
        <w:tc>
          <w:tcPr>
            <w:tcW w:w="1016" w:type="dxa"/>
            <w:noWrap w:val="0"/>
            <w:vAlign w:val="top"/>
          </w:tcPr>
          <w:p w14:paraId="4C1F684D">
            <w:pPr>
              <w:spacing w:before="49" w:line="189" w:lineRule="auto"/>
              <w:ind w:left="298"/>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2"/>
                <w:kern w:val="0"/>
                <w:sz w:val="21"/>
                <w:szCs w:val="21"/>
              </w:rPr>
              <w:t>N</w:t>
            </w:r>
            <w:r>
              <w:rPr>
                <w:rFonts w:hint="default" w:ascii="Times New Roman" w:hAnsi="Times New Roman" w:eastAsia="Times New Roman" w:cs="Times New Roman"/>
                <w:color w:val="auto"/>
                <w:spacing w:val="1"/>
                <w:kern w:val="0"/>
                <w:sz w:val="21"/>
                <w:szCs w:val="21"/>
              </w:rPr>
              <w:t>O</w:t>
            </w:r>
            <w:r>
              <w:rPr>
                <w:rFonts w:hint="default" w:ascii="Times New Roman" w:hAnsi="Times New Roman" w:eastAsia="Times New Roman" w:cs="Times New Roman"/>
                <w:color w:val="auto"/>
                <w:spacing w:val="1"/>
                <w:kern w:val="0"/>
                <w:position w:val="-1"/>
                <w:sz w:val="14"/>
                <w:szCs w:val="14"/>
              </w:rPr>
              <w:t>X</w:t>
            </w:r>
          </w:p>
        </w:tc>
        <w:tc>
          <w:tcPr>
            <w:tcW w:w="1016" w:type="dxa"/>
            <w:noWrap w:val="0"/>
            <w:vAlign w:val="top"/>
          </w:tcPr>
          <w:p w14:paraId="22E9398F">
            <w:pPr>
              <w:spacing w:before="49" w:line="189" w:lineRule="auto"/>
              <w:ind w:left="346"/>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3"/>
                <w:kern w:val="0"/>
                <w:sz w:val="21"/>
                <w:szCs w:val="21"/>
              </w:rPr>
              <w:t>SO</w:t>
            </w:r>
            <w:r>
              <w:rPr>
                <w:rFonts w:hint="default" w:ascii="Times New Roman" w:hAnsi="Times New Roman" w:eastAsia="Times New Roman" w:cs="Times New Roman"/>
                <w:color w:val="auto"/>
                <w:spacing w:val="-3"/>
                <w:kern w:val="0"/>
                <w:position w:val="-1"/>
                <w:sz w:val="14"/>
                <w:szCs w:val="14"/>
              </w:rPr>
              <w:t>2</w:t>
            </w:r>
          </w:p>
        </w:tc>
        <w:tc>
          <w:tcPr>
            <w:tcW w:w="1016" w:type="dxa"/>
            <w:noWrap w:val="0"/>
            <w:vAlign w:val="top"/>
          </w:tcPr>
          <w:p w14:paraId="5D112DF3">
            <w:pPr>
              <w:spacing w:before="49" w:line="188" w:lineRule="auto"/>
              <w:ind w:left="331"/>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spacing w:val="-2"/>
                <w:kern w:val="0"/>
                <w:sz w:val="21"/>
                <w:szCs w:val="21"/>
              </w:rPr>
              <w:t>TSP</w:t>
            </w:r>
          </w:p>
        </w:tc>
        <w:tc>
          <w:tcPr>
            <w:tcW w:w="1100" w:type="dxa"/>
            <w:tcBorders>
              <w:right w:val="nil"/>
            </w:tcBorders>
            <w:noWrap w:val="0"/>
            <w:vAlign w:val="top"/>
          </w:tcPr>
          <w:p w14:paraId="6499C3A6">
            <w:pPr>
              <w:spacing w:before="49" w:line="189" w:lineRule="auto"/>
              <w:ind w:left="346"/>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2"/>
                <w:kern w:val="0"/>
                <w:sz w:val="21"/>
                <w:szCs w:val="21"/>
              </w:rPr>
              <w:t>N</w:t>
            </w:r>
            <w:r>
              <w:rPr>
                <w:rFonts w:hint="default" w:ascii="Times New Roman" w:hAnsi="Times New Roman" w:eastAsia="Times New Roman" w:cs="Times New Roman"/>
                <w:color w:val="auto"/>
                <w:spacing w:val="1"/>
                <w:kern w:val="0"/>
                <w:sz w:val="21"/>
                <w:szCs w:val="21"/>
              </w:rPr>
              <w:t>O</w:t>
            </w:r>
            <w:r>
              <w:rPr>
                <w:rFonts w:hint="default" w:ascii="Times New Roman" w:hAnsi="Times New Roman" w:eastAsia="Times New Roman" w:cs="Times New Roman"/>
                <w:color w:val="auto"/>
                <w:spacing w:val="1"/>
                <w:kern w:val="0"/>
                <w:position w:val="-1"/>
                <w:sz w:val="14"/>
                <w:szCs w:val="14"/>
              </w:rPr>
              <w:t>X</w:t>
            </w:r>
          </w:p>
        </w:tc>
      </w:tr>
      <w:tr w14:paraId="72ED1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6B50507D">
            <w:pPr>
              <w:spacing w:before="56" w:line="188" w:lineRule="auto"/>
              <w:ind w:left="344"/>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kern w:val="0"/>
                <w:sz w:val="21"/>
                <w:szCs w:val="21"/>
              </w:rPr>
              <w:t>1</w:t>
            </w:r>
          </w:p>
        </w:tc>
        <w:tc>
          <w:tcPr>
            <w:tcW w:w="1309" w:type="dxa"/>
            <w:noWrap w:val="0"/>
            <w:vAlign w:val="top"/>
          </w:tcPr>
          <w:p w14:paraId="5B4B697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w:t>
            </w:r>
          </w:p>
        </w:tc>
        <w:tc>
          <w:tcPr>
            <w:tcW w:w="1159" w:type="dxa"/>
            <w:noWrap w:val="0"/>
            <w:vAlign w:val="top"/>
          </w:tcPr>
          <w:p w14:paraId="4999CD5F">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cs="Times New Roman"/>
                <w:color w:val="auto"/>
                <w:kern w:val="0"/>
                <w:sz w:val="21"/>
                <w:szCs w:val="21"/>
              </w:rPr>
              <w:t>0.002591</w:t>
            </w:r>
          </w:p>
        </w:tc>
        <w:tc>
          <w:tcPr>
            <w:tcW w:w="1160" w:type="dxa"/>
            <w:noWrap w:val="0"/>
            <w:vAlign w:val="top"/>
          </w:tcPr>
          <w:p w14:paraId="5F65B33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0.079038</w:t>
            </w:r>
          </w:p>
        </w:tc>
        <w:tc>
          <w:tcPr>
            <w:tcW w:w="1016" w:type="dxa"/>
            <w:noWrap w:val="0"/>
            <w:vAlign w:val="top"/>
          </w:tcPr>
          <w:p w14:paraId="4F6CB1F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0.645479</w:t>
            </w:r>
          </w:p>
        </w:tc>
        <w:tc>
          <w:tcPr>
            <w:tcW w:w="1016" w:type="dxa"/>
            <w:noWrap w:val="0"/>
            <w:vAlign w:val="top"/>
          </w:tcPr>
          <w:p w14:paraId="7A61785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0.00</w:t>
            </w:r>
          </w:p>
        </w:tc>
        <w:tc>
          <w:tcPr>
            <w:tcW w:w="1016" w:type="dxa"/>
            <w:noWrap w:val="0"/>
            <w:vAlign w:val="top"/>
          </w:tcPr>
          <w:p w14:paraId="025ABF2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100" w:type="dxa"/>
            <w:tcBorders>
              <w:right w:val="nil"/>
            </w:tcBorders>
            <w:noWrap w:val="0"/>
            <w:vAlign w:val="top"/>
          </w:tcPr>
          <w:p w14:paraId="38385CC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0.26</w:t>
            </w:r>
          </w:p>
        </w:tc>
      </w:tr>
      <w:tr w14:paraId="260C0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504BF24B">
            <w:pPr>
              <w:spacing w:before="57" w:line="188" w:lineRule="auto"/>
              <w:ind w:left="324"/>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kern w:val="0"/>
                <w:sz w:val="21"/>
                <w:szCs w:val="21"/>
              </w:rPr>
              <w:t>2</w:t>
            </w:r>
          </w:p>
        </w:tc>
        <w:tc>
          <w:tcPr>
            <w:tcW w:w="1309" w:type="dxa"/>
            <w:noWrap w:val="0"/>
            <w:vAlign w:val="top"/>
          </w:tcPr>
          <w:p w14:paraId="79F10B6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25</w:t>
            </w:r>
          </w:p>
        </w:tc>
        <w:tc>
          <w:tcPr>
            <w:tcW w:w="1159" w:type="dxa"/>
            <w:noWrap w:val="0"/>
            <w:vAlign w:val="top"/>
          </w:tcPr>
          <w:p w14:paraId="2E4FD19B">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0.067064</w:t>
            </w:r>
          </w:p>
        </w:tc>
        <w:tc>
          <w:tcPr>
            <w:tcW w:w="1160" w:type="dxa"/>
            <w:noWrap w:val="0"/>
            <w:vAlign w:val="top"/>
          </w:tcPr>
          <w:p w14:paraId="1C6DAF8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2.04602</w:t>
            </w:r>
          </w:p>
        </w:tc>
        <w:tc>
          <w:tcPr>
            <w:tcW w:w="1016" w:type="dxa"/>
            <w:noWrap w:val="0"/>
            <w:vAlign w:val="top"/>
          </w:tcPr>
          <w:p w14:paraId="665FD93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16.70916</w:t>
            </w:r>
          </w:p>
        </w:tc>
        <w:tc>
          <w:tcPr>
            <w:tcW w:w="1016" w:type="dxa"/>
            <w:noWrap w:val="0"/>
            <w:vAlign w:val="top"/>
          </w:tcPr>
          <w:p w14:paraId="7DC3543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4EBCF86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0.45</w:t>
            </w:r>
          </w:p>
        </w:tc>
        <w:tc>
          <w:tcPr>
            <w:tcW w:w="1100" w:type="dxa"/>
            <w:tcBorders>
              <w:right w:val="nil"/>
            </w:tcBorders>
            <w:noWrap w:val="0"/>
            <w:vAlign w:val="top"/>
          </w:tcPr>
          <w:p w14:paraId="533A8107">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6.68</w:t>
            </w:r>
          </w:p>
        </w:tc>
      </w:tr>
      <w:tr w14:paraId="03B68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5F6FDFAC">
            <w:pPr>
              <w:spacing w:before="57" w:line="187" w:lineRule="auto"/>
              <w:ind w:left="328"/>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kern w:val="0"/>
                <w:sz w:val="21"/>
                <w:szCs w:val="21"/>
              </w:rPr>
              <w:t>3</w:t>
            </w:r>
          </w:p>
        </w:tc>
        <w:tc>
          <w:tcPr>
            <w:tcW w:w="1309" w:type="dxa"/>
            <w:noWrap w:val="0"/>
            <w:vAlign w:val="top"/>
          </w:tcPr>
          <w:p w14:paraId="1E70121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50</w:t>
            </w:r>
          </w:p>
        </w:tc>
        <w:tc>
          <w:tcPr>
            <w:tcW w:w="1159" w:type="dxa"/>
            <w:noWrap w:val="0"/>
            <w:vAlign w:val="top"/>
          </w:tcPr>
          <w:p w14:paraId="41A89485">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0.073283</w:t>
            </w:r>
          </w:p>
        </w:tc>
        <w:tc>
          <w:tcPr>
            <w:tcW w:w="1160" w:type="dxa"/>
            <w:noWrap w:val="0"/>
            <w:vAlign w:val="top"/>
          </w:tcPr>
          <w:p w14:paraId="0048D7E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2.235752</w:t>
            </w:r>
          </w:p>
        </w:tc>
        <w:tc>
          <w:tcPr>
            <w:tcW w:w="1016" w:type="dxa"/>
            <w:noWrap w:val="0"/>
            <w:vAlign w:val="top"/>
          </w:tcPr>
          <w:p w14:paraId="0FB6073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18.25864</w:t>
            </w:r>
          </w:p>
        </w:tc>
        <w:tc>
          <w:tcPr>
            <w:tcW w:w="1016" w:type="dxa"/>
            <w:noWrap w:val="0"/>
            <w:vAlign w:val="top"/>
          </w:tcPr>
          <w:p w14:paraId="24D724B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02A890E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0.50</w:t>
            </w:r>
          </w:p>
        </w:tc>
        <w:tc>
          <w:tcPr>
            <w:tcW w:w="1100" w:type="dxa"/>
            <w:tcBorders>
              <w:right w:val="nil"/>
            </w:tcBorders>
            <w:noWrap w:val="0"/>
            <w:vAlign w:val="top"/>
          </w:tcPr>
          <w:p w14:paraId="1488521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7.30</w:t>
            </w:r>
          </w:p>
        </w:tc>
      </w:tr>
      <w:tr w14:paraId="49003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66024178">
            <w:pPr>
              <w:spacing w:before="58" w:line="186" w:lineRule="auto"/>
              <w:ind w:left="323"/>
              <w:jc w:val="left"/>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kern w:val="0"/>
                <w:sz w:val="21"/>
                <w:szCs w:val="21"/>
              </w:rPr>
              <w:t>4</w:t>
            </w:r>
          </w:p>
        </w:tc>
        <w:tc>
          <w:tcPr>
            <w:tcW w:w="1309" w:type="dxa"/>
            <w:noWrap w:val="0"/>
            <w:vAlign w:val="top"/>
          </w:tcPr>
          <w:p w14:paraId="2D4110E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75</w:t>
            </w:r>
          </w:p>
        </w:tc>
        <w:tc>
          <w:tcPr>
            <w:tcW w:w="1159" w:type="dxa"/>
            <w:noWrap w:val="0"/>
            <w:vAlign w:val="top"/>
          </w:tcPr>
          <w:p w14:paraId="02ADB075">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0.086301</w:t>
            </w:r>
          </w:p>
        </w:tc>
        <w:tc>
          <w:tcPr>
            <w:tcW w:w="1160" w:type="dxa"/>
            <w:noWrap w:val="0"/>
            <w:vAlign w:val="top"/>
          </w:tcPr>
          <w:p w14:paraId="78BC667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2.632912</w:t>
            </w:r>
          </w:p>
        </w:tc>
        <w:tc>
          <w:tcPr>
            <w:tcW w:w="1016" w:type="dxa"/>
            <w:noWrap w:val="0"/>
            <w:vAlign w:val="top"/>
          </w:tcPr>
          <w:p w14:paraId="31102D9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21.50211</w:t>
            </w:r>
          </w:p>
        </w:tc>
        <w:tc>
          <w:tcPr>
            <w:tcW w:w="1016" w:type="dxa"/>
            <w:noWrap w:val="0"/>
            <w:vAlign w:val="top"/>
          </w:tcPr>
          <w:p w14:paraId="1CA15A7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3DDB525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0.59</w:t>
            </w:r>
          </w:p>
        </w:tc>
        <w:tc>
          <w:tcPr>
            <w:tcW w:w="1100" w:type="dxa"/>
            <w:tcBorders>
              <w:right w:val="nil"/>
            </w:tcBorders>
            <w:noWrap w:val="0"/>
            <w:vAlign w:val="top"/>
          </w:tcPr>
          <w:p w14:paraId="05C0215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8.60</w:t>
            </w:r>
          </w:p>
        </w:tc>
      </w:tr>
      <w:tr w14:paraId="4F08F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592EAE15">
            <w:pPr>
              <w:spacing w:before="58" w:line="185" w:lineRule="auto"/>
              <w:ind w:left="330"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kern w:val="0"/>
                <w:sz w:val="21"/>
                <w:szCs w:val="21"/>
              </w:rPr>
              <w:t>5</w:t>
            </w:r>
          </w:p>
        </w:tc>
        <w:tc>
          <w:tcPr>
            <w:tcW w:w="1309" w:type="dxa"/>
            <w:noWrap w:val="0"/>
            <w:vAlign w:val="top"/>
          </w:tcPr>
          <w:p w14:paraId="598E8135">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80</w:t>
            </w:r>
          </w:p>
        </w:tc>
        <w:tc>
          <w:tcPr>
            <w:tcW w:w="1159" w:type="dxa"/>
            <w:noWrap w:val="0"/>
            <w:vAlign w:val="top"/>
          </w:tcPr>
          <w:p w14:paraId="02BD943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0.086853</w:t>
            </w:r>
          </w:p>
        </w:tc>
        <w:tc>
          <w:tcPr>
            <w:tcW w:w="1160" w:type="dxa"/>
            <w:noWrap w:val="0"/>
            <w:vAlign w:val="top"/>
          </w:tcPr>
          <w:p w14:paraId="570809E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2.649752</w:t>
            </w:r>
          </w:p>
        </w:tc>
        <w:tc>
          <w:tcPr>
            <w:tcW w:w="1016" w:type="dxa"/>
            <w:noWrap w:val="0"/>
            <w:vAlign w:val="top"/>
          </w:tcPr>
          <w:p w14:paraId="43E38F2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21.63964</w:t>
            </w:r>
          </w:p>
        </w:tc>
        <w:tc>
          <w:tcPr>
            <w:tcW w:w="1016" w:type="dxa"/>
            <w:noWrap w:val="0"/>
            <w:vAlign w:val="top"/>
          </w:tcPr>
          <w:p w14:paraId="2EF6FFC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4D943F4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0.59</w:t>
            </w:r>
          </w:p>
        </w:tc>
        <w:tc>
          <w:tcPr>
            <w:tcW w:w="1100" w:type="dxa"/>
            <w:tcBorders>
              <w:right w:val="nil"/>
            </w:tcBorders>
            <w:noWrap w:val="0"/>
            <w:vAlign w:val="top"/>
          </w:tcPr>
          <w:p w14:paraId="5F94B9D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8.66</w:t>
            </w:r>
          </w:p>
        </w:tc>
      </w:tr>
      <w:tr w14:paraId="72FDF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38A7F7C3">
            <w:pPr>
              <w:spacing w:before="56" w:line="187" w:lineRule="auto"/>
              <w:ind w:left="327"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b w:val="0"/>
                <w:bCs w:val="0"/>
                <w:color w:val="auto"/>
                <w:kern w:val="0"/>
                <w:sz w:val="21"/>
                <w:szCs w:val="21"/>
              </w:rPr>
              <w:t>6</w:t>
            </w:r>
          </w:p>
        </w:tc>
        <w:tc>
          <w:tcPr>
            <w:tcW w:w="1309" w:type="dxa"/>
            <w:noWrap w:val="0"/>
            <w:vAlign w:val="top"/>
          </w:tcPr>
          <w:p w14:paraId="7AD1A04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100</w:t>
            </w:r>
          </w:p>
        </w:tc>
        <w:tc>
          <w:tcPr>
            <w:tcW w:w="1159" w:type="dxa"/>
            <w:noWrap w:val="0"/>
            <w:vAlign w:val="top"/>
          </w:tcPr>
          <w:p w14:paraId="0D222810">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0.083186</w:t>
            </w:r>
          </w:p>
        </w:tc>
        <w:tc>
          <w:tcPr>
            <w:tcW w:w="1160" w:type="dxa"/>
            <w:noWrap w:val="0"/>
            <w:vAlign w:val="top"/>
          </w:tcPr>
          <w:p w14:paraId="52858D54">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2.537878</w:t>
            </w:r>
          </w:p>
        </w:tc>
        <w:tc>
          <w:tcPr>
            <w:tcW w:w="1016" w:type="dxa"/>
            <w:noWrap w:val="0"/>
            <w:vAlign w:val="top"/>
          </w:tcPr>
          <w:p w14:paraId="2F57CE24">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20.726</w:t>
            </w:r>
          </w:p>
        </w:tc>
        <w:tc>
          <w:tcPr>
            <w:tcW w:w="1016" w:type="dxa"/>
            <w:noWrap w:val="0"/>
            <w:vAlign w:val="top"/>
          </w:tcPr>
          <w:p w14:paraId="2DED0F3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269AB41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0.56</w:t>
            </w:r>
          </w:p>
        </w:tc>
        <w:tc>
          <w:tcPr>
            <w:tcW w:w="1100" w:type="dxa"/>
            <w:tcBorders>
              <w:right w:val="nil"/>
            </w:tcBorders>
            <w:noWrap w:val="0"/>
            <w:vAlign w:val="top"/>
          </w:tcPr>
          <w:p w14:paraId="6704FFA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8.29</w:t>
            </w:r>
          </w:p>
        </w:tc>
      </w:tr>
      <w:tr w14:paraId="02315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5DDFAAD1">
            <w:pPr>
              <w:spacing w:before="59" w:line="182" w:lineRule="auto"/>
              <w:ind w:left="327"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b/>
                <w:bCs/>
                <w:color w:val="auto"/>
                <w:kern w:val="0"/>
                <w:sz w:val="21"/>
                <w:szCs w:val="21"/>
              </w:rPr>
              <w:t>7</w:t>
            </w:r>
          </w:p>
        </w:tc>
        <w:tc>
          <w:tcPr>
            <w:tcW w:w="1309" w:type="dxa"/>
            <w:noWrap w:val="0"/>
            <w:vAlign w:val="top"/>
          </w:tcPr>
          <w:p w14:paraId="794D433F">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125</w:t>
            </w:r>
          </w:p>
        </w:tc>
        <w:tc>
          <w:tcPr>
            <w:tcW w:w="1159" w:type="dxa"/>
            <w:noWrap w:val="0"/>
            <w:vAlign w:val="top"/>
          </w:tcPr>
          <w:p w14:paraId="2E9A4C8B">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0.078451</w:t>
            </w:r>
          </w:p>
        </w:tc>
        <w:tc>
          <w:tcPr>
            <w:tcW w:w="1160" w:type="dxa"/>
            <w:noWrap w:val="0"/>
            <w:vAlign w:val="top"/>
          </w:tcPr>
          <w:p w14:paraId="70C2DC6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2.39342</w:t>
            </w:r>
          </w:p>
        </w:tc>
        <w:tc>
          <w:tcPr>
            <w:tcW w:w="1016" w:type="dxa"/>
            <w:noWrap w:val="0"/>
            <w:vAlign w:val="top"/>
          </w:tcPr>
          <w:p w14:paraId="5DCC880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19.54626</w:t>
            </w:r>
          </w:p>
        </w:tc>
        <w:tc>
          <w:tcPr>
            <w:tcW w:w="1016" w:type="dxa"/>
            <w:noWrap w:val="0"/>
            <w:vAlign w:val="top"/>
          </w:tcPr>
          <w:p w14:paraId="7E07CB3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54CFFC6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0.53</w:t>
            </w:r>
          </w:p>
        </w:tc>
        <w:tc>
          <w:tcPr>
            <w:tcW w:w="1100" w:type="dxa"/>
            <w:tcBorders>
              <w:right w:val="nil"/>
            </w:tcBorders>
            <w:noWrap w:val="0"/>
            <w:vAlign w:val="top"/>
          </w:tcPr>
          <w:p w14:paraId="4F8F1D5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7.82</w:t>
            </w:r>
          </w:p>
        </w:tc>
      </w:tr>
      <w:tr w14:paraId="7196D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740" w:type="dxa"/>
            <w:tcBorders>
              <w:left w:val="nil"/>
            </w:tcBorders>
            <w:noWrap w:val="0"/>
            <w:vAlign w:val="top"/>
          </w:tcPr>
          <w:p w14:paraId="70A0BD4F">
            <w:pPr>
              <w:spacing w:before="61" w:line="187" w:lineRule="auto"/>
              <w:ind w:left="33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kern w:val="0"/>
                <w:sz w:val="21"/>
                <w:szCs w:val="21"/>
              </w:rPr>
              <w:t>8</w:t>
            </w:r>
          </w:p>
        </w:tc>
        <w:tc>
          <w:tcPr>
            <w:tcW w:w="1309" w:type="dxa"/>
            <w:noWrap w:val="0"/>
            <w:vAlign w:val="top"/>
          </w:tcPr>
          <w:p w14:paraId="6AAF668E">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150</w:t>
            </w:r>
          </w:p>
        </w:tc>
        <w:tc>
          <w:tcPr>
            <w:tcW w:w="1159" w:type="dxa"/>
            <w:noWrap w:val="0"/>
            <w:vAlign w:val="top"/>
          </w:tcPr>
          <w:p w14:paraId="5FCAF9D4">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0.072446</w:t>
            </w:r>
          </w:p>
        </w:tc>
        <w:tc>
          <w:tcPr>
            <w:tcW w:w="1160" w:type="dxa"/>
            <w:noWrap w:val="0"/>
            <w:vAlign w:val="top"/>
          </w:tcPr>
          <w:p w14:paraId="6C37BBB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2.210217</w:t>
            </w:r>
          </w:p>
        </w:tc>
        <w:tc>
          <w:tcPr>
            <w:tcW w:w="1016" w:type="dxa"/>
            <w:noWrap w:val="0"/>
            <w:vAlign w:val="top"/>
          </w:tcPr>
          <w:p w14:paraId="5E69A297">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18.0501</w:t>
            </w:r>
          </w:p>
        </w:tc>
        <w:tc>
          <w:tcPr>
            <w:tcW w:w="1016" w:type="dxa"/>
            <w:noWrap w:val="0"/>
            <w:vAlign w:val="top"/>
          </w:tcPr>
          <w:p w14:paraId="52777E8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4B139E64">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0.49</w:t>
            </w:r>
          </w:p>
        </w:tc>
        <w:tc>
          <w:tcPr>
            <w:tcW w:w="1100" w:type="dxa"/>
            <w:tcBorders>
              <w:right w:val="nil"/>
            </w:tcBorders>
            <w:noWrap w:val="0"/>
            <w:vAlign w:val="top"/>
          </w:tcPr>
          <w:p w14:paraId="792FC40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7.22</w:t>
            </w:r>
          </w:p>
        </w:tc>
      </w:tr>
      <w:tr w14:paraId="04496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740" w:type="dxa"/>
            <w:tcBorders>
              <w:left w:val="nil"/>
            </w:tcBorders>
            <w:noWrap w:val="0"/>
            <w:vAlign w:val="top"/>
          </w:tcPr>
          <w:p w14:paraId="252C9EC0">
            <w:pPr>
              <w:spacing w:before="53" w:line="187" w:lineRule="auto"/>
              <w:ind w:left="328"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kern w:val="0"/>
                <w:sz w:val="21"/>
                <w:szCs w:val="21"/>
              </w:rPr>
              <w:t>9</w:t>
            </w:r>
          </w:p>
        </w:tc>
        <w:tc>
          <w:tcPr>
            <w:tcW w:w="1309" w:type="dxa"/>
            <w:noWrap w:val="0"/>
            <w:vAlign w:val="top"/>
          </w:tcPr>
          <w:p w14:paraId="7E2963F6">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175</w:t>
            </w:r>
          </w:p>
        </w:tc>
        <w:tc>
          <w:tcPr>
            <w:tcW w:w="1159" w:type="dxa"/>
            <w:noWrap w:val="0"/>
            <w:vAlign w:val="top"/>
          </w:tcPr>
          <w:p w14:paraId="524CA264">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0.070929</w:t>
            </w:r>
          </w:p>
        </w:tc>
        <w:tc>
          <w:tcPr>
            <w:tcW w:w="1160" w:type="dxa"/>
            <w:noWrap w:val="0"/>
            <w:vAlign w:val="top"/>
          </w:tcPr>
          <w:p w14:paraId="5BD4771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2.163935</w:t>
            </w:r>
          </w:p>
        </w:tc>
        <w:tc>
          <w:tcPr>
            <w:tcW w:w="1016" w:type="dxa"/>
            <w:noWrap w:val="0"/>
            <w:vAlign w:val="top"/>
          </w:tcPr>
          <w:p w14:paraId="1B1360D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17.67214</w:t>
            </w:r>
          </w:p>
        </w:tc>
        <w:tc>
          <w:tcPr>
            <w:tcW w:w="1016" w:type="dxa"/>
            <w:noWrap w:val="0"/>
            <w:vAlign w:val="top"/>
          </w:tcPr>
          <w:p w14:paraId="3E48A19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7376E11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0.48</w:t>
            </w:r>
          </w:p>
        </w:tc>
        <w:tc>
          <w:tcPr>
            <w:tcW w:w="1100" w:type="dxa"/>
            <w:tcBorders>
              <w:right w:val="nil"/>
            </w:tcBorders>
            <w:noWrap w:val="0"/>
            <w:vAlign w:val="top"/>
          </w:tcPr>
          <w:p w14:paraId="2045253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7.07</w:t>
            </w:r>
          </w:p>
        </w:tc>
      </w:tr>
      <w:tr w14:paraId="402C1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42DB4EA7">
            <w:pPr>
              <w:spacing w:before="53"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0</w:t>
            </w:r>
          </w:p>
        </w:tc>
        <w:tc>
          <w:tcPr>
            <w:tcW w:w="1309" w:type="dxa"/>
            <w:noWrap w:val="0"/>
            <w:vAlign w:val="top"/>
          </w:tcPr>
          <w:p w14:paraId="7323608A">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200</w:t>
            </w:r>
          </w:p>
        </w:tc>
        <w:tc>
          <w:tcPr>
            <w:tcW w:w="1159" w:type="dxa"/>
            <w:noWrap w:val="0"/>
            <w:vAlign w:val="top"/>
          </w:tcPr>
          <w:p w14:paraId="788E380C">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0.074937</w:t>
            </w:r>
          </w:p>
        </w:tc>
        <w:tc>
          <w:tcPr>
            <w:tcW w:w="1160" w:type="dxa"/>
            <w:noWrap w:val="0"/>
            <w:vAlign w:val="top"/>
          </w:tcPr>
          <w:p w14:paraId="36F9C9D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2.286213</w:t>
            </w:r>
          </w:p>
        </w:tc>
        <w:tc>
          <w:tcPr>
            <w:tcW w:w="1016" w:type="dxa"/>
            <w:noWrap w:val="0"/>
            <w:vAlign w:val="top"/>
          </w:tcPr>
          <w:p w14:paraId="544B287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18.67074</w:t>
            </w:r>
          </w:p>
        </w:tc>
        <w:tc>
          <w:tcPr>
            <w:tcW w:w="1016" w:type="dxa"/>
            <w:noWrap w:val="0"/>
            <w:vAlign w:val="top"/>
          </w:tcPr>
          <w:p w14:paraId="3E0A248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224C6C1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0.51</w:t>
            </w:r>
          </w:p>
        </w:tc>
        <w:tc>
          <w:tcPr>
            <w:tcW w:w="1100" w:type="dxa"/>
            <w:tcBorders>
              <w:right w:val="nil"/>
            </w:tcBorders>
            <w:noWrap w:val="0"/>
            <w:vAlign w:val="top"/>
          </w:tcPr>
          <w:p w14:paraId="2AFC93E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7.47</w:t>
            </w:r>
          </w:p>
        </w:tc>
      </w:tr>
      <w:tr w14:paraId="47AE6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36A7A522">
            <w:pPr>
              <w:spacing w:before="52" w:line="188" w:lineRule="auto"/>
              <w:ind w:left="296"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8"/>
                <w:kern w:val="0"/>
                <w:sz w:val="21"/>
                <w:szCs w:val="21"/>
              </w:rPr>
              <w:t>1</w:t>
            </w:r>
            <w:r>
              <w:rPr>
                <w:rFonts w:hint="default" w:ascii="Times New Roman" w:hAnsi="Times New Roman" w:eastAsia="Times New Roman" w:cs="Times New Roman"/>
                <w:color w:val="auto"/>
                <w:spacing w:val="-7"/>
                <w:kern w:val="0"/>
                <w:sz w:val="21"/>
                <w:szCs w:val="21"/>
              </w:rPr>
              <w:t>1</w:t>
            </w:r>
          </w:p>
        </w:tc>
        <w:tc>
          <w:tcPr>
            <w:tcW w:w="1309" w:type="dxa"/>
            <w:noWrap w:val="0"/>
            <w:vAlign w:val="top"/>
          </w:tcPr>
          <w:p w14:paraId="66E92340">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225</w:t>
            </w:r>
          </w:p>
        </w:tc>
        <w:tc>
          <w:tcPr>
            <w:tcW w:w="1159" w:type="dxa"/>
            <w:noWrap w:val="0"/>
            <w:vAlign w:val="top"/>
          </w:tcPr>
          <w:p w14:paraId="3127A0E6">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0.077541</w:t>
            </w:r>
          </w:p>
        </w:tc>
        <w:tc>
          <w:tcPr>
            <w:tcW w:w="1160" w:type="dxa"/>
            <w:noWrap w:val="0"/>
            <w:vAlign w:val="top"/>
          </w:tcPr>
          <w:p w14:paraId="42C3036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2.365658</w:t>
            </w:r>
          </w:p>
        </w:tc>
        <w:tc>
          <w:tcPr>
            <w:tcW w:w="1016" w:type="dxa"/>
            <w:noWrap w:val="0"/>
            <w:vAlign w:val="top"/>
          </w:tcPr>
          <w:p w14:paraId="0753E99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19.31953</w:t>
            </w:r>
          </w:p>
        </w:tc>
        <w:tc>
          <w:tcPr>
            <w:tcW w:w="1016" w:type="dxa"/>
            <w:noWrap w:val="0"/>
            <w:vAlign w:val="top"/>
          </w:tcPr>
          <w:p w14:paraId="43D8F8F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22E335E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0.53</w:t>
            </w:r>
          </w:p>
        </w:tc>
        <w:tc>
          <w:tcPr>
            <w:tcW w:w="1100" w:type="dxa"/>
            <w:tcBorders>
              <w:right w:val="nil"/>
            </w:tcBorders>
            <w:noWrap w:val="0"/>
            <w:vAlign w:val="top"/>
          </w:tcPr>
          <w:p w14:paraId="6100B44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7.73</w:t>
            </w:r>
          </w:p>
        </w:tc>
      </w:tr>
      <w:tr w14:paraId="2D4A4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740" w:type="dxa"/>
            <w:tcBorders>
              <w:left w:val="nil"/>
            </w:tcBorders>
            <w:noWrap w:val="0"/>
            <w:vAlign w:val="top"/>
          </w:tcPr>
          <w:p w14:paraId="2F486B95">
            <w:pPr>
              <w:spacing w:before="56" w:line="188"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2</w:t>
            </w:r>
          </w:p>
        </w:tc>
        <w:tc>
          <w:tcPr>
            <w:tcW w:w="1309" w:type="dxa"/>
            <w:noWrap w:val="0"/>
            <w:vAlign w:val="top"/>
          </w:tcPr>
          <w:p w14:paraId="2C732A2C">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250</w:t>
            </w:r>
          </w:p>
        </w:tc>
        <w:tc>
          <w:tcPr>
            <w:tcW w:w="1159" w:type="dxa"/>
            <w:noWrap w:val="0"/>
            <w:vAlign w:val="top"/>
          </w:tcPr>
          <w:p w14:paraId="7BE3B206">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0.077067</w:t>
            </w:r>
          </w:p>
        </w:tc>
        <w:tc>
          <w:tcPr>
            <w:tcW w:w="1160" w:type="dxa"/>
            <w:noWrap w:val="0"/>
            <w:vAlign w:val="top"/>
          </w:tcPr>
          <w:p w14:paraId="3C165FB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2.351197</w:t>
            </w:r>
          </w:p>
        </w:tc>
        <w:tc>
          <w:tcPr>
            <w:tcW w:w="1016" w:type="dxa"/>
            <w:noWrap w:val="0"/>
            <w:vAlign w:val="top"/>
          </w:tcPr>
          <w:p w14:paraId="683399A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19.20144</w:t>
            </w:r>
          </w:p>
        </w:tc>
        <w:tc>
          <w:tcPr>
            <w:tcW w:w="1016" w:type="dxa"/>
            <w:noWrap w:val="0"/>
            <w:vAlign w:val="top"/>
          </w:tcPr>
          <w:p w14:paraId="7174618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0AFA91D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0.52</w:t>
            </w:r>
          </w:p>
        </w:tc>
        <w:tc>
          <w:tcPr>
            <w:tcW w:w="1100" w:type="dxa"/>
            <w:tcBorders>
              <w:right w:val="nil"/>
            </w:tcBorders>
            <w:noWrap w:val="0"/>
            <w:vAlign w:val="top"/>
          </w:tcPr>
          <w:p w14:paraId="2CAB8C2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7.68</w:t>
            </w:r>
          </w:p>
        </w:tc>
      </w:tr>
      <w:tr w14:paraId="0D869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49C44EF4">
            <w:pPr>
              <w:spacing w:before="58"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3</w:t>
            </w:r>
          </w:p>
        </w:tc>
        <w:tc>
          <w:tcPr>
            <w:tcW w:w="1309" w:type="dxa"/>
            <w:noWrap w:val="0"/>
            <w:vAlign w:val="top"/>
          </w:tcPr>
          <w:p w14:paraId="1CE307CA">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275</w:t>
            </w:r>
          </w:p>
        </w:tc>
        <w:tc>
          <w:tcPr>
            <w:tcW w:w="1159" w:type="dxa"/>
            <w:noWrap w:val="0"/>
            <w:vAlign w:val="top"/>
          </w:tcPr>
          <w:p w14:paraId="36E45DF7">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0.080049</w:t>
            </w:r>
          </w:p>
        </w:tc>
        <w:tc>
          <w:tcPr>
            <w:tcW w:w="1160" w:type="dxa"/>
            <w:noWrap w:val="0"/>
            <w:vAlign w:val="top"/>
          </w:tcPr>
          <w:p w14:paraId="18B3DF5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2.442173</w:t>
            </w:r>
          </w:p>
        </w:tc>
        <w:tc>
          <w:tcPr>
            <w:tcW w:w="1016" w:type="dxa"/>
            <w:noWrap w:val="0"/>
            <w:vAlign w:val="top"/>
          </w:tcPr>
          <w:p w14:paraId="631FAE34">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19.94441</w:t>
            </w:r>
          </w:p>
        </w:tc>
        <w:tc>
          <w:tcPr>
            <w:tcW w:w="1016" w:type="dxa"/>
            <w:noWrap w:val="0"/>
            <w:vAlign w:val="top"/>
          </w:tcPr>
          <w:p w14:paraId="084DE0B7">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3353CD9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0.54</w:t>
            </w:r>
          </w:p>
        </w:tc>
        <w:tc>
          <w:tcPr>
            <w:tcW w:w="1100" w:type="dxa"/>
            <w:tcBorders>
              <w:right w:val="nil"/>
            </w:tcBorders>
            <w:noWrap w:val="0"/>
            <w:vAlign w:val="top"/>
          </w:tcPr>
          <w:p w14:paraId="07005A07">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7.98</w:t>
            </w:r>
          </w:p>
        </w:tc>
      </w:tr>
      <w:tr w14:paraId="005CA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1D084DD7">
            <w:pPr>
              <w:spacing w:before="57"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4</w:t>
            </w:r>
          </w:p>
        </w:tc>
        <w:tc>
          <w:tcPr>
            <w:tcW w:w="1309" w:type="dxa"/>
            <w:noWrap w:val="0"/>
            <w:vAlign w:val="top"/>
          </w:tcPr>
          <w:p w14:paraId="28F0CECD">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300</w:t>
            </w:r>
          </w:p>
        </w:tc>
        <w:tc>
          <w:tcPr>
            <w:tcW w:w="1159" w:type="dxa"/>
            <w:noWrap w:val="0"/>
            <w:vAlign w:val="top"/>
          </w:tcPr>
          <w:p w14:paraId="53E9BDB3">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0.081198</w:t>
            </w:r>
          </w:p>
        </w:tc>
        <w:tc>
          <w:tcPr>
            <w:tcW w:w="1160" w:type="dxa"/>
            <w:noWrap w:val="0"/>
            <w:vAlign w:val="top"/>
          </w:tcPr>
          <w:p w14:paraId="5943F19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2.477227</w:t>
            </w:r>
          </w:p>
        </w:tc>
        <w:tc>
          <w:tcPr>
            <w:tcW w:w="1016" w:type="dxa"/>
            <w:noWrap w:val="0"/>
            <w:vAlign w:val="top"/>
          </w:tcPr>
          <w:p w14:paraId="0BA84807">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20.23068</w:t>
            </w:r>
          </w:p>
        </w:tc>
        <w:tc>
          <w:tcPr>
            <w:tcW w:w="1016" w:type="dxa"/>
            <w:noWrap w:val="0"/>
            <w:vAlign w:val="top"/>
          </w:tcPr>
          <w:p w14:paraId="1A76366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31267B2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0.55</w:t>
            </w:r>
          </w:p>
        </w:tc>
        <w:tc>
          <w:tcPr>
            <w:tcW w:w="1100" w:type="dxa"/>
            <w:tcBorders>
              <w:right w:val="nil"/>
            </w:tcBorders>
            <w:noWrap w:val="0"/>
            <w:vAlign w:val="top"/>
          </w:tcPr>
          <w:p w14:paraId="58726E6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8.09</w:t>
            </w:r>
          </w:p>
        </w:tc>
      </w:tr>
      <w:tr w14:paraId="2CF08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40" w:type="dxa"/>
            <w:tcBorders>
              <w:left w:val="nil"/>
            </w:tcBorders>
            <w:noWrap w:val="0"/>
            <w:vAlign w:val="top"/>
          </w:tcPr>
          <w:p w14:paraId="5B540087">
            <w:pPr>
              <w:spacing w:before="58"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5</w:t>
            </w:r>
          </w:p>
        </w:tc>
        <w:tc>
          <w:tcPr>
            <w:tcW w:w="1309" w:type="dxa"/>
            <w:noWrap w:val="0"/>
            <w:vAlign w:val="top"/>
          </w:tcPr>
          <w:p w14:paraId="3730099A">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325</w:t>
            </w:r>
          </w:p>
        </w:tc>
        <w:tc>
          <w:tcPr>
            <w:tcW w:w="1159" w:type="dxa"/>
            <w:noWrap w:val="0"/>
            <w:vAlign w:val="top"/>
          </w:tcPr>
          <w:p w14:paraId="5DF321E4">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0.080914</w:t>
            </w:r>
          </w:p>
        </w:tc>
        <w:tc>
          <w:tcPr>
            <w:tcW w:w="1160" w:type="dxa"/>
            <w:noWrap w:val="0"/>
            <w:vAlign w:val="top"/>
          </w:tcPr>
          <w:p w14:paraId="4CA12D3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2.468563</w:t>
            </w:r>
          </w:p>
        </w:tc>
        <w:tc>
          <w:tcPr>
            <w:tcW w:w="1016" w:type="dxa"/>
            <w:noWrap w:val="0"/>
            <w:vAlign w:val="top"/>
          </w:tcPr>
          <w:p w14:paraId="3AAA9A2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20.15992</w:t>
            </w:r>
          </w:p>
        </w:tc>
        <w:tc>
          <w:tcPr>
            <w:tcW w:w="1016" w:type="dxa"/>
            <w:noWrap w:val="0"/>
            <w:vAlign w:val="top"/>
          </w:tcPr>
          <w:p w14:paraId="3FC3A34D">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3BD0DDD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0.55</w:t>
            </w:r>
          </w:p>
        </w:tc>
        <w:tc>
          <w:tcPr>
            <w:tcW w:w="1100" w:type="dxa"/>
            <w:tcBorders>
              <w:right w:val="nil"/>
            </w:tcBorders>
            <w:noWrap w:val="0"/>
            <w:vAlign w:val="top"/>
          </w:tcPr>
          <w:p w14:paraId="05364DC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8.06</w:t>
            </w:r>
          </w:p>
        </w:tc>
      </w:tr>
      <w:tr w14:paraId="5B0EE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17508FFF">
            <w:pPr>
              <w:spacing w:before="55"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6</w:t>
            </w:r>
          </w:p>
        </w:tc>
        <w:tc>
          <w:tcPr>
            <w:tcW w:w="1309" w:type="dxa"/>
            <w:noWrap w:val="0"/>
            <w:vAlign w:val="top"/>
          </w:tcPr>
          <w:p w14:paraId="4857A95D">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350</w:t>
            </w:r>
          </w:p>
        </w:tc>
        <w:tc>
          <w:tcPr>
            <w:tcW w:w="1159" w:type="dxa"/>
            <w:noWrap w:val="0"/>
            <w:vAlign w:val="top"/>
          </w:tcPr>
          <w:p w14:paraId="528A5F1D">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0.079661</w:t>
            </w:r>
          </w:p>
        </w:tc>
        <w:tc>
          <w:tcPr>
            <w:tcW w:w="1160" w:type="dxa"/>
            <w:noWrap w:val="0"/>
            <w:vAlign w:val="top"/>
          </w:tcPr>
          <w:p w14:paraId="741773B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2.430335</w:t>
            </w:r>
          </w:p>
        </w:tc>
        <w:tc>
          <w:tcPr>
            <w:tcW w:w="1016" w:type="dxa"/>
            <w:noWrap w:val="0"/>
            <w:vAlign w:val="top"/>
          </w:tcPr>
          <w:p w14:paraId="262DA5F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19.84773</w:t>
            </w:r>
          </w:p>
        </w:tc>
        <w:tc>
          <w:tcPr>
            <w:tcW w:w="1016" w:type="dxa"/>
            <w:noWrap w:val="0"/>
            <w:vAlign w:val="top"/>
          </w:tcPr>
          <w:p w14:paraId="4D6C164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61923B5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0.54</w:t>
            </w:r>
          </w:p>
        </w:tc>
        <w:tc>
          <w:tcPr>
            <w:tcW w:w="1100" w:type="dxa"/>
            <w:tcBorders>
              <w:right w:val="nil"/>
            </w:tcBorders>
            <w:noWrap w:val="0"/>
            <w:vAlign w:val="top"/>
          </w:tcPr>
          <w:p w14:paraId="061C892D">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7.94</w:t>
            </w:r>
          </w:p>
        </w:tc>
      </w:tr>
      <w:tr w14:paraId="47636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3E0B681F">
            <w:pPr>
              <w:spacing w:before="55"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7</w:t>
            </w:r>
          </w:p>
        </w:tc>
        <w:tc>
          <w:tcPr>
            <w:tcW w:w="1309" w:type="dxa"/>
            <w:noWrap w:val="0"/>
            <w:vAlign w:val="top"/>
          </w:tcPr>
          <w:p w14:paraId="2C764013">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375</w:t>
            </w:r>
          </w:p>
        </w:tc>
        <w:tc>
          <w:tcPr>
            <w:tcW w:w="1159" w:type="dxa"/>
            <w:noWrap w:val="0"/>
            <w:vAlign w:val="top"/>
          </w:tcPr>
          <w:p w14:paraId="13267D33">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0.077777</w:t>
            </w:r>
          </w:p>
        </w:tc>
        <w:tc>
          <w:tcPr>
            <w:tcW w:w="1160" w:type="dxa"/>
            <w:noWrap w:val="0"/>
            <w:vAlign w:val="top"/>
          </w:tcPr>
          <w:p w14:paraId="7EE27AD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2.372857</w:t>
            </w:r>
          </w:p>
        </w:tc>
        <w:tc>
          <w:tcPr>
            <w:tcW w:w="1016" w:type="dxa"/>
            <w:noWrap w:val="0"/>
            <w:vAlign w:val="top"/>
          </w:tcPr>
          <w:p w14:paraId="361DC1E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19.37833</w:t>
            </w:r>
          </w:p>
        </w:tc>
        <w:tc>
          <w:tcPr>
            <w:tcW w:w="1016" w:type="dxa"/>
            <w:noWrap w:val="0"/>
            <w:vAlign w:val="top"/>
          </w:tcPr>
          <w:p w14:paraId="564AE88D">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6A8C619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0.53</w:t>
            </w:r>
          </w:p>
        </w:tc>
        <w:tc>
          <w:tcPr>
            <w:tcW w:w="1100" w:type="dxa"/>
            <w:tcBorders>
              <w:right w:val="nil"/>
            </w:tcBorders>
            <w:noWrap w:val="0"/>
            <w:vAlign w:val="top"/>
          </w:tcPr>
          <w:p w14:paraId="1846DD4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7.75</w:t>
            </w:r>
          </w:p>
        </w:tc>
      </w:tr>
      <w:tr w14:paraId="5920B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7717D575">
            <w:pPr>
              <w:spacing w:before="54" w:line="187" w:lineRule="auto"/>
              <w:ind w:left="292" w:leftChars="0"/>
              <w:jc w:val="left"/>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eastAsia="Times New Roman" w:cs="Times New Roman"/>
                <w:color w:val="auto"/>
                <w:spacing w:val="-6"/>
                <w:kern w:val="0"/>
                <w:sz w:val="21"/>
                <w:szCs w:val="21"/>
              </w:rPr>
              <w:t>1</w:t>
            </w:r>
            <w:r>
              <w:rPr>
                <w:rFonts w:hint="default" w:ascii="Times New Roman" w:hAnsi="Times New Roman" w:eastAsia="Times New Roman" w:cs="Times New Roman"/>
                <w:color w:val="auto"/>
                <w:spacing w:val="-5"/>
                <w:kern w:val="0"/>
                <w:sz w:val="21"/>
                <w:szCs w:val="21"/>
              </w:rPr>
              <w:t>8</w:t>
            </w:r>
          </w:p>
        </w:tc>
        <w:tc>
          <w:tcPr>
            <w:tcW w:w="1309" w:type="dxa"/>
            <w:noWrap w:val="0"/>
            <w:vAlign w:val="top"/>
          </w:tcPr>
          <w:p w14:paraId="2F876709">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400</w:t>
            </w:r>
          </w:p>
        </w:tc>
        <w:tc>
          <w:tcPr>
            <w:tcW w:w="1159" w:type="dxa"/>
            <w:noWrap w:val="0"/>
            <w:vAlign w:val="top"/>
          </w:tcPr>
          <w:p w14:paraId="787D5492">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0.075503</w:t>
            </w:r>
          </w:p>
        </w:tc>
        <w:tc>
          <w:tcPr>
            <w:tcW w:w="1160" w:type="dxa"/>
            <w:noWrap w:val="0"/>
            <w:vAlign w:val="top"/>
          </w:tcPr>
          <w:p w14:paraId="5F4C01D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2.303481</w:t>
            </w:r>
          </w:p>
        </w:tc>
        <w:tc>
          <w:tcPr>
            <w:tcW w:w="1016" w:type="dxa"/>
            <w:noWrap w:val="0"/>
            <w:vAlign w:val="top"/>
          </w:tcPr>
          <w:p w14:paraId="188C2BC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18.81176</w:t>
            </w:r>
          </w:p>
        </w:tc>
        <w:tc>
          <w:tcPr>
            <w:tcW w:w="1016" w:type="dxa"/>
            <w:noWrap w:val="0"/>
            <w:vAlign w:val="top"/>
          </w:tcPr>
          <w:p w14:paraId="2B87A09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460761C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0.51</w:t>
            </w:r>
          </w:p>
        </w:tc>
        <w:tc>
          <w:tcPr>
            <w:tcW w:w="1100" w:type="dxa"/>
            <w:tcBorders>
              <w:right w:val="nil"/>
            </w:tcBorders>
            <w:noWrap w:val="0"/>
            <w:vAlign w:val="top"/>
          </w:tcPr>
          <w:p w14:paraId="6C0269E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7.52</w:t>
            </w:r>
          </w:p>
        </w:tc>
      </w:tr>
      <w:tr w14:paraId="4472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740" w:type="dxa"/>
            <w:tcBorders>
              <w:left w:val="nil"/>
            </w:tcBorders>
            <w:noWrap w:val="0"/>
            <w:vAlign w:val="top"/>
          </w:tcPr>
          <w:p w14:paraId="7192CEB3">
            <w:pPr>
              <w:spacing w:before="54" w:line="187" w:lineRule="auto"/>
              <w:ind w:left="29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19</w:t>
            </w:r>
          </w:p>
        </w:tc>
        <w:tc>
          <w:tcPr>
            <w:tcW w:w="1309" w:type="dxa"/>
            <w:noWrap w:val="0"/>
            <w:vAlign w:val="top"/>
          </w:tcPr>
          <w:p w14:paraId="19F38677">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425</w:t>
            </w:r>
          </w:p>
        </w:tc>
        <w:tc>
          <w:tcPr>
            <w:tcW w:w="1159" w:type="dxa"/>
            <w:noWrap w:val="0"/>
            <w:vAlign w:val="top"/>
          </w:tcPr>
          <w:p w14:paraId="689A1BBC">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0.073007</w:t>
            </w:r>
          </w:p>
        </w:tc>
        <w:tc>
          <w:tcPr>
            <w:tcW w:w="1160" w:type="dxa"/>
            <w:noWrap w:val="0"/>
            <w:vAlign w:val="top"/>
          </w:tcPr>
          <w:p w14:paraId="60DA48C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2.227332</w:t>
            </w:r>
          </w:p>
        </w:tc>
        <w:tc>
          <w:tcPr>
            <w:tcW w:w="1016" w:type="dxa"/>
            <w:noWrap w:val="0"/>
            <w:vAlign w:val="top"/>
          </w:tcPr>
          <w:p w14:paraId="10A4595D">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18.18988</w:t>
            </w:r>
          </w:p>
        </w:tc>
        <w:tc>
          <w:tcPr>
            <w:tcW w:w="1016" w:type="dxa"/>
            <w:noWrap w:val="0"/>
            <w:vAlign w:val="top"/>
          </w:tcPr>
          <w:p w14:paraId="5982B89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0595C606">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0.49</w:t>
            </w:r>
          </w:p>
        </w:tc>
        <w:tc>
          <w:tcPr>
            <w:tcW w:w="1100" w:type="dxa"/>
            <w:tcBorders>
              <w:right w:val="nil"/>
            </w:tcBorders>
            <w:noWrap w:val="0"/>
            <w:vAlign w:val="top"/>
          </w:tcPr>
          <w:p w14:paraId="2A7DCF7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7.28</w:t>
            </w:r>
          </w:p>
        </w:tc>
      </w:tr>
      <w:tr w14:paraId="445AA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4138F4D8">
            <w:pPr>
              <w:spacing w:before="58" w:line="187" w:lineRule="auto"/>
              <w:ind w:left="29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6"/>
                <w:kern w:val="0"/>
                <w:sz w:val="21"/>
                <w:szCs w:val="21"/>
                <w:lang w:val="en-US" w:eastAsia="zh-CN"/>
              </w:rPr>
              <w:t>20</w:t>
            </w:r>
          </w:p>
        </w:tc>
        <w:tc>
          <w:tcPr>
            <w:tcW w:w="1309" w:type="dxa"/>
            <w:noWrap w:val="0"/>
            <w:vAlign w:val="top"/>
          </w:tcPr>
          <w:p w14:paraId="6B3BEDBE">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450</w:t>
            </w:r>
          </w:p>
        </w:tc>
        <w:tc>
          <w:tcPr>
            <w:tcW w:w="1159" w:type="dxa"/>
            <w:noWrap w:val="0"/>
            <w:vAlign w:val="top"/>
          </w:tcPr>
          <w:p w14:paraId="1AB74205">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0.071993</w:t>
            </w:r>
          </w:p>
        </w:tc>
        <w:tc>
          <w:tcPr>
            <w:tcW w:w="1160" w:type="dxa"/>
            <w:noWrap w:val="0"/>
            <w:vAlign w:val="top"/>
          </w:tcPr>
          <w:p w14:paraId="035CD8B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2.196397</w:t>
            </w:r>
          </w:p>
        </w:tc>
        <w:tc>
          <w:tcPr>
            <w:tcW w:w="1016" w:type="dxa"/>
            <w:noWrap w:val="0"/>
            <w:vAlign w:val="top"/>
          </w:tcPr>
          <w:p w14:paraId="532F411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17.93723</w:t>
            </w:r>
          </w:p>
        </w:tc>
        <w:tc>
          <w:tcPr>
            <w:tcW w:w="1016" w:type="dxa"/>
            <w:noWrap w:val="0"/>
            <w:vAlign w:val="top"/>
          </w:tcPr>
          <w:p w14:paraId="3ACAE39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3278F91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0.49</w:t>
            </w:r>
          </w:p>
        </w:tc>
        <w:tc>
          <w:tcPr>
            <w:tcW w:w="1100" w:type="dxa"/>
            <w:tcBorders>
              <w:right w:val="nil"/>
            </w:tcBorders>
            <w:noWrap w:val="0"/>
            <w:vAlign w:val="top"/>
          </w:tcPr>
          <w:p w14:paraId="4B3EA71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7.17</w:t>
            </w:r>
          </w:p>
        </w:tc>
      </w:tr>
      <w:tr w14:paraId="708D2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5781E7F3">
            <w:pPr>
              <w:spacing w:before="58" w:line="187" w:lineRule="auto"/>
              <w:ind w:left="27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Times New Roman" w:cs="Times New Roman"/>
                <w:color w:val="auto"/>
                <w:spacing w:val="-1"/>
                <w:kern w:val="0"/>
                <w:sz w:val="21"/>
                <w:szCs w:val="21"/>
              </w:rPr>
              <w:t>2</w:t>
            </w:r>
            <w:r>
              <w:rPr>
                <w:rFonts w:hint="default" w:ascii="Times New Roman" w:hAnsi="Times New Roman" w:eastAsia="宋体" w:cs="Times New Roman"/>
                <w:color w:val="auto"/>
                <w:spacing w:val="-1"/>
                <w:kern w:val="0"/>
                <w:sz w:val="21"/>
                <w:szCs w:val="21"/>
                <w:lang w:val="en-US" w:eastAsia="zh-CN"/>
              </w:rPr>
              <w:t>1</w:t>
            </w:r>
          </w:p>
        </w:tc>
        <w:tc>
          <w:tcPr>
            <w:tcW w:w="1309" w:type="dxa"/>
            <w:noWrap w:val="0"/>
            <w:vAlign w:val="top"/>
          </w:tcPr>
          <w:p w14:paraId="67C812E7">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475</w:t>
            </w:r>
          </w:p>
        </w:tc>
        <w:tc>
          <w:tcPr>
            <w:tcW w:w="1159" w:type="dxa"/>
            <w:noWrap w:val="0"/>
            <w:vAlign w:val="top"/>
          </w:tcPr>
          <w:p w14:paraId="74C1A409">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0.071267</w:t>
            </w:r>
          </w:p>
        </w:tc>
        <w:tc>
          <w:tcPr>
            <w:tcW w:w="1160" w:type="dxa"/>
            <w:noWrap w:val="0"/>
            <w:vAlign w:val="top"/>
          </w:tcPr>
          <w:p w14:paraId="799DB97D">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2.174247</w:t>
            </w:r>
          </w:p>
        </w:tc>
        <w:tc>
          <w:tcPr>
            <w:tcW w:w="1016" w:type="dxa"/>
            <w:noWrap w:val="0"/>
            <w:vAlign w:val="top"/>
          </w:tcPr>
          <w:p w14:paraId="6492D2D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17.75635</w:t>
            </w:r>
          </w:p>
        </w:tc>
        <w:tc>
          <w:tcPr>
            <w:tcW w:w="1016" w:type="dxa"/>
            <w:noWrap w:val="0"/>
            <w:vAlign w:val="top"/>
          </w:tcPr>
          <w:p w14:paraId="7172199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2D99849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0.48</w:t>
            </w:r>
          </w:p>
        </w:tc>
        <w:tc>
          <w:tcPr>
            <w:tcW w:w="1100" w:type="dxa"/>
            <w:tcBorders>
              <w:right w:val="nil"/>
            </w:tcBorders>
            <w:noWrap w:val="0"/>
            <w:vAlign w:val="top"/>
          </w:tcPr>
          <w:p w14:paraId="16E4BE4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7.10</w:t>
            </w:r>
          </w:p>
        </w:tc>
      </w:tr>
      <w:tr w14:paraId="54A3A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40" w:type="dxa"/>
            <w:tcBorders>
              <w:left w:val="nil"/>
            </w:tcBorders>
            <w:noWrap w:val="0"/>
            <w:vAlign w:val="top"/>
          </w:tcPr>
          <w:p w14:paraId="77DD37C2">
            <w:pPr>
              <w:spacing w:before="58" w:line="187" w:lineRule="auto"/>
              <w:ind w:left="27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Times New Roman" w:cs="Times New Roman"/>
                <w:color w:val="auto"/>
                <w:spacing w:val="-1"/>
                <w:kern w:val="0"/>
                <w:sz w:val="21"/>
                <w:szCs w:val="21"/>
              </w:rPr>
              <w:t>2</w:t>
            </w:r>
            <w:r>
              <w:rPr>
                <w:rFonts w:hint="default" w:ascii="Times New Roman" w:hAnsi="Times New Roman" w:eastAsia="宋体" w:cs="Times New Roman"/>
                <w:color w:val="auto"/>
                <w:spacing w:val="-1"/>
                <w:kern w:val="0"/>
                <w:sz w:val="21"/>
                <w:szCs w:val="21"/>
                <w:lang w:val="en-US" w:eastAsia="zh-CN"/>
              </w:rPr>
              <w:t>2</w:t>
            </w:r>
          </w:p>
        </w:tc>
        <w:tc>
          <w:tcPr>
            <w:tcW w:w="1309" w:type="dxa"/>
            <w:noWrap w:val="0"/>
            <w:vAlign w:val="top"/>
          </w:tcPr>
          <w:p w14:paraId="5BAEACFA">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500</w:t>
            </w:r>
          </w:p>
        </w:tc>
        <w:tc>
          <w:tcPr>
            <w:tcW w:w="1159" w:type="dxa"/>
            <w:noWrap w:val="0"/>
            <w:vAlign w:val="top"/>
          </w:tcPr>
          <w:p w14:paraId="41DE2BA2">
            <w:pPr>
              <w:spacing w:before="68" w:line="254" w:lineRule="auto"/>
              <w:ind w:left="52" w:right="9" w:hanging="20"/>
              <w:jc w:val="center"/>
              <w:rPr>
                <w:rFonts w:hint="default" w:ascii="Times New Roman" w:hAnsi="Times New Roman" w:eastAsia="宋体" w:cs="Times New Roman"/>
                <w:color w:val="auto"/>
                <w:spacing w:val="-3"/>
                <w:kern w:val="0"/>
                <w:sz w:val="21"/>
                <w:szCs w:val="21"/>
                <w:lang w:eastAsia="zh-CN"/>
              </w:rPr>
            </w:pPr>
            <w:r>
              <w:rPr>
                <w:rFonts w:hint="default" w:ascii="Times New Roman" w:hAnsi="Times New Roman" w:cs="Times New Roman"/>
                <w:color w:val="auto"/>
                <w:kern w:val="0"/>
                <w:sz w:val="21"/>
                <w:szCs w:val="21"/>
              </w:rPr>
              <w:t>0.070254</w:t>
            </w:r>
          </w:p>
        </w:tc>
        <w:tc>
          <w:tcPr>
            <w:tcW w:w="1160" w:type="dxa"/>
            <w:noWrap w:val="0"/>
            <w:vAlign w:val="top"/>
          </w:tcPr>
          <w:p w14:paraId="39AD9C0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2.143342</w:t>
            </w:r>
          </w:p>
        </w:tc>
        <w:tc>
          <w:tcPr>
            <w:tcW w:w="1016" w:type="dxa"/>
            <w:noWrap w:val="0"/>
            <w:vAlign w:val="top"/>
          </w:tcPr>
          <w:p w14:paraId="17327E7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17.50396</w:t>
            </w:r>
          </w:p>
        </w:tc>
        <w:tc>
          <w:tcPr>
            <w:tcW w:w="1016" w:type="dxa"/>
            <w:noWrap w:val="0"/>
            <w:vAlign w:val="top"/>
          </w:tcPr>
          <w:p w14:paraId="5CD478F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0.01</w:t>
            </w:r>
          </w:p>
        </w:tc>
        <w:tc>
          <w:tcPr>
            <w:tcW w:w="1016" w:type="dxa"/>
            <w:noWrap w:val="0"/>
            <w:vAlign w:val="top"/>
          </w:tcPr>
          <w:p w14:paraId="2427983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0.48</w:t>
            </w:r>
          </w:p>
        </w:tc>
        <w:tc>
          <w:tcPr>
            <w:tcW w:w="1100" w:type="dxa"/>
            <w:tcBorders>
              <w:right w:val="nil"/>
            </w:tcBorders>
            <w:noWrap w:val="0"/>
            <w:vAlign w:val="top"/>
          </w:tcPr>
          <w:p w14:paraId="39AA812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cs="Times New Roman"/>
                <w:color w:val="auto"/>
                <w:kern w:val="0"/>
                <w:sz w:val="21"/>
                <w:szCs w:val="21"/>
              </w:rPr>
              <w:t>7.00</w:t>
            </w:r>
          </w:p>
        </w:tc>
      </w:tr>
      <w:tr w14:paraId="1594C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049" w:type="dxa"/>
            <w:gridSpan w:val="2"/>
            <w:tcBorders>
              <w:left w:val="nil"/>
            </w:tcBorders>
            <w:noWrap w:val="0"/>
            <w:vAlign w:val="top"/>
          </w:tcPr>
          <w:p w14:paraId="1B2D1F3A">
            <w:pPr>
              <w:spacing w:before="32" w:line="239" w:lineRule="auto"/>
              <w:ind w:left="314" w:right="69" w:hanging="220"/>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9"/>
                <w:kern w:val="0"/>
                <w:sz w:val="20"/>
                <w:szCs w:val="20"/>
              </w:rPr>
              <w:t>下风向最大质量浓度</w:t>
            </w:r>
            <w:r>
              <w:rPr>
                <w:rFonts w:hint="default" w:ascii="Times New Roman" w:hAnsi="Times New Roman" w:eastAsia="宋体" w:cs="Times New Roman"/>
                <w:color w:val="auto"/>
                <w:spacing w:val="22"/>
                <w:kern w:val="0"/>
                <w:sz w:val="20"/>
                <w:szCs w:val="20"/>
              </w:rPr>
              <w:t>及占标率(</w:t>
            </w:r>
            <w:r>
              <w:rPr>
                <w:rFonts w:hint="default" w:ascii="Times New Roman" w:hAnsi="Times New Roman" w:eastAsia="Times New Roman" w:cs="Times New Roman"/>
                <w:color w:val="auto"/>
                <w:spacing w:val="22"/>
                <w:kern w:val="0"/>
                <w:sz w:val="20"/>
                <w:szCs w:val="20"/>
              </w:rPr>
              <w:t>%</w:t>
            </w:r>
            <w:r>
              <w:rPr>
                <w:rFonts w:hint="default" w:ascii="Times New Roman" w:hAnsi="Times New Roman" w:eastAsia="宋体" w:cs="Times New Roman"/>
                <w:color w:val="auto"/>
                <w:spacing w:val="22"/>
                <w:kern w:val="0"/>
                <w:sz w:val="20"/>
                <w:szCs w:val="20"/>
              </w:rPr>
              <w:t>)</w:t>
            </w:r>
          </w:p>
        </w:tc>
        <w:tc>
          <w:tcPr>
            <w:tcW w:w="1159" w:type="dxa"/>
            <w:noWrap w:val="0"/>
            <w:vAlign w:val="top"/>
          </w:tcPr>
          <w:p w14:paraId="76C58267">
            <w:pPr>
              <w:spacing w:before="68" w:line="254" w:lineRule="auto"/>
              <w:ind w:left="52" w:leftChars="0" w:right="9" w:rightChars="0" w:hanging="2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rPr>
              <w:t>0.086853</w:t>
            </w:r>
          </w:p>
        </w:tc>
        <w:tc>
          <w:tcPr>
            <w:tcW w:w="1160" w:type="dxa"/>
            <w:noWrap w:val="0"/>
            <w:vAlign w:val="top"/>
          </w:tcPr>
          <w:p w14:paraId="7E6ABE27">
            <w:pPr>
              <w:spacing w:before="68" w:line="254" w:lineRule="auto"/>
              <w:ind w:left="52" w:leftChars="0" w:right="9" w:rightChars="0" w:hanging="20" w:firstLineChars="0"/>
              <w:jc w:val="center"/>
              <w:rPr>
                <w:rFonts w:hint="default" w:ascii="Times New Roman" w:hAnsi="Times New Roman" w:eastAsia="Times New Roman" w:cs="Times New Roman"/>
                <w:color w:val="auto"/>
                <w:kern w:val="0"/>
                <w:sz w:val="21"/>
                <w:szCs w:val="21"/>
              </w:rPr>
            </w:pPr>
            <w:r>
              <w:rPr>
                <w:rFonts w:hint="default" w:ascii="Times New Roman" w:hAnsi="Times New Roman" w:cs="Times New Roman"/>
                <w:color w:val="auto"/>
                <w:kern w:val="0"/>
                <w:sz w:val="21"/>
                <w:szCs w:val="21"/>
              </w:rPr>
              <w:t>2.649752</w:t>
            </w:r>
          </w:p>
        </w:tc>
        <w:tc>
          <w:tcPr>
            <w:tcW w:w="1016" w:type="dxa"/>
            <w:noWrap w:val="0"/>
            <w:vAlign w:val="top"/>
          </w:tcPr>
          <w:p w14:paraId="24B92AE5">
            <w:pPr>
              <w:spacing w:before="68" w:line="254" w:lineRule="auto"/>
              <w:ind w:left="52" w:leftChars="0" w:right="9" w:rightChars="0" w:hanging="20" w:firstLineChars="0"/>
              <w:jc w:val="center"/>
              <w:rPr>
                <w:rFonts w:hint="default" w:ascii="Times New Roman" w:hAnsi="Times New Roman" w:eastAsia="Times New Roman" w:cs="Times New Roman"/>
                <w:color w:val="auto"/>
                <w:kern w:val="0"/>
                <w:sz w:val="21"/>
                <w:szCs w:val="21"/>
              </w:rPr>
            </w:pPr>
            <w:r>
              <w:rPr>
                <w:rFonts w:hint="default" w:ascii="Times New Roman" w:hAnsi="Times New Roman" w:cs="Times New Roman"/>
                <w:color w:val="auto"/>
                <w:kern w:val="0"/>
                <w:sz w:val="21"/>
                <w:szCs w:val="21"/>
              </w:rPr>
              <w:t>21.63964</w:t>
            </w:r>
          </w:p>
        </w:tc>
        <w:tc>
          <w:tcPr>
            <w:tcW w:w="1016" w:type="dxa"/>
            <w:noWrap w:val="0"/>
            <w:vAlign w:val="top"/>
          </w:tcPr>
          <w:p w14:paraId="46C957F7">
            <w:pPr>
              <w:spacing w:before="68" w:line="254" w:lineRule="auto"/>
              <w:ind w:left="52" w:leftChars="0" w:right="9" w:rightChars="0" w:hanging="20" w:firstLineChars="0"/>
              <w:jc w:val="center"/>
              <w:rPr>
                <w:rFonts w:hint="default" w:ascii="Times New Roman" w:hAnsi="Times New Roman" w:eastAsia="Times New Roman" w:cs="Times New Roman"/>
                <w:color w:val="auto"/>
                <w:kern w:val="0"/>
                <w:sz w:val="21"/>
                <w:szCs w:val="21"/>
              </w:rPr>
            </w:pPr>
            <w:r>
              <w:rPr>
                <w:rFonts w:hint="default" w:ascii="Times New Roman" w:hAnsi="Times New Roman" w:cs="Times New Roman"/>
                <w:color w:val="auto"/>
                <w:kern w:val="0"/>
                <w:sz w:val="21"/>
                <w:szCs w:val="21"/>
              </w:rPr>
              <w:t>0.02</w:t>
            </w:r>
          </w:p>
        </w:tc>
        <w:tc>
          <w:tcPr>
            <w:tcW w:w="1016" w:type="dxa"/>
            <w:noWrap w:val="0"/>
            <w:vAlign w:val="top"/>
          </w:tcPr>
          <w:p w14:paraId="2F5B0B0C">
            <w:pPr>
              <w:spacing w:before="68" w:line="254" w:lineRule="auto"/>
              <w:ind w:left="52" w:leftChars="0" w:right="9" w:rightChars="0" w:hanging="20" w:firstLineChars="0"/>
              <w:jc w:val="center"/>
              <w:rPr>
                <w:rFonts w:hint="default" w:ascii="Times New Roman" w:hAnsi="Times New Roman" w:eastAsia="Times New Roman" w:cs="Times New Roman"/>
                <w:color w:val="auto"/>
                <w:kern w:val="0"/>
                <w:sz w:val="21"/>
                <w:szCs w:val="21"/>
              </w:rPr>
            </w:pPr>
            <w:r>
              <w:rPr>
                <w:rFonts w:hint="default" w:ascii="Times New Roman" w:hAnsi="Times New Roman" w:cs="Times New Roman"/>
                <w:color w:val="auto"/>
                <w:kern w:val="0"/>
                <w:sz w:val="21"/>
                <w:szCs w:val="21"/>
              </w:rPr>
              <w:t>0.59</w:t>
            </w:r>
          </w:p>
        </w:tc>
        <w:tc>
          <w:tcPr>
            <w:tcW w:w="1100" w:type="dxa"/>
            <w:tcBorders>
              <w:right w:val="nil"/>
            </w:tcBorders>
            <w:noWrap w:val="0"/>
            <w:vAlign w:val="top"/>
          </w:tcPr>
          <w:p w14:paraId="0330C652">
            <w:pPr>
              <w:spacing w:before="68" w:line="254" w:lineRule="auto"/>
              <w:ind w:left="52" w:leftChars="0" w:right="9" w:rightChars="0" w:hanging="20" w:firstLineChars="0"/>
              <w:jc w:val="center"/>
              <w:rPr>
                <w:rFonts w:hint="default" w:ascii="Times New Roman" w:hAnsi="Times New Roman" w:eastAsia="Times New Roman" w:cs="Times New Roman"/>
                <w:color w:val="auto"/>
                <w:kern w:val="0"/>
                <w:sz w:val="21"/>
                <w:szCs w:val="21"/>
              </w:rPr>
            </w:pPr>
            <w:r>
              <w:rPr>
                <w:rFonts w:hint="default" w:ascii="Times New Roman" w:hAnsi="Times New Roman" w:cs="Times New Roman"/>
                <w:color w:val="auto"/>
                <w:kern w:val="0"/>
                <w:sz w:val="21"/>
                <w:szCs w:val="21"/>
              </w:rPr>
              <w:t>8.66</w:t>
            </w:r>
          </w:p>
        </w:tc>
      </w:tr>
      <w:tr w14:paraId="0BCC5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049" w:type="dxa"/>
            <w:gridSpan w:val="2"/>
            <w:tcBorders>
              <w:left w:val="nil"/>
            </w:tcBorders>
            <w:noWrap w:val="0"/>
            <w:vAlign w:val="top"/>
          </w:tcPr>
          <w:p w14:paraId="7EFE8507">
            <w:pPr>
              <w:spacing w:line="281" w:lineRule="exact"/>
              <w:ind w:left="86"/>
              <w:jc w:val="left"/>
              <w:rPr>
                <w:rFonts w:hint="default" w:ascii="Times New Roman" w:hAnsi="Times New Roman" w:eastAsia="Times New Roman" w:cs="Times New Roman"/>
                <w:color w:val="auto"/>
                <w:kern w:val="0"/>
                <w:sz w:val="20"/>
                <w:szCs w:val="20"/>
              </w:rPr>
            </w:pPr>
            <w:r>
              <w:rPr>
                <w:rFonts w:hint="default" w:ascii="Times New Roman" w:hAnsi="Times New Roman" w:eastAsia="宋体" w:cs="Times New Roman"/>
                <w:color w:val="auto"/>
                <w:spacing w:val="10"/>
                <w:kern w:val="0"/>
                <w:position w:val="1"/>
                <w:sz w:val="20"/>
                <w:szCs w:val="20"/>
              </w:rPr>
              <w:t>最</w:t>
            </w:r>
            <w:r>
              <w:rPr>
                <w:rFonts w:hint="default" w:ascii="Times New Roman" w:hAnsi="Times New Roman" w:eastAsia="宋体" w:cs="Times New Roman"/>
                <w:color w:val="auto"/>
                <w:spacing w:val="9"/>
                <w:kern w:val="0"/>
                <w:position w:val="1"/>
                <w:sz w:val="20"/>
                <w:szCs w:val="20"/>
              </w:rPr>
              <w:t>大浓度出现距离</w:t>
            </w:r>
            <w:r>
              <w:rPr>
                <w:rFonts w:hint="default" w:ascii="Times New Roman" w:hAnsi="Times New Roman" w:eastAsia="Times New Roman" w:cs="Times New Roman"/>
                <w:color w:val="auto"/>
                <w:spacing w:val="9"/>
                <w:kern w:val="0"/>
                <w:position w:val="1"/>
                <w:sz w:val="20"/>
                <w:szCs w:val="20"/>
              </w:rPr>
              <w:t>/</w:t>
            </w:r>
            <w:r>
              <w:rPr>
                <w:rFonts w:hint="default" w:ascii="Times New Roman" w:hAnsi="Times New Roman" w:eastAsia="Times New Roman" w:cs="Times New Roman"/>
                <w:color w:val="auto"/>
                <w:kern w:val="0"/>
                <w:position w:val="1"/>
                <w:sz w:val="20"/>
                <w:szCs w:val="20"/>
              </w:rPr>
              <w:t>m</w:t>
            </w:r>
          </w:p>
        </w:tc>
        <w:tc>
          <w:tcPr>
            <w:tcW w:w="6467" w:type="dxa"/>
            <w:gridSpan w:val="6"/>
            <w:tcBorders>
              <w:right w:val="nil"/>
            </w:tcBorders>
            <w:noWrap w:val="0"/>
            <w:vAlign w:val="top"/>
          </w:tcPr>
          <w:p w14:paraId="7CE08680">
            <w:pPr>
              <w:spacing w:before="73" w:line="187" w:lineRule="auto"/>
              <w:ind w:left="3102"/>
              <w:jc w:val="left"/>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9"/>
                <w:kern w:val="0"/>
                <w:sz w:val="21"/>
                <w:szCs w:val="21"/>
                <w:lang w:val="en-US" w:eastAsia="zh-CN"/>
              </w:rPr>
              <w:t>80</w:t>
            </w:r>
          </w:p>
        </w:tc>
      </w:tr>
    </w:tbl>
    <w:p w14:paraId="38626DE8">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p>
    <w:p w14:paraId="530F5926">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表4-2点源在评价范围内不同距离处的最大落地浓度表（</w:t>
      </w:r>
      <w:r>
        <w:rPr>
          <w:rFonts w:hint="eastAsia" w:ascii="Times New Roman" w:hAnsi="Times New Roman" w:eastAsia="黑体" w:cs="Times New Roman"/>
          <w:color w:val="auto"/>
          <w:kern w:val="0"/>
          <w:sz w:val="24"/>
          <w:szCs w:val="20"/>
          <w:lang w:val="en-US" w:eastAsia="zh-CN" w:bidi="ar-SA"/>
        </w:rPr>
        <w:t>DA004</w:t>
      </w:r>
      <w:r>
        <w:rPr>
          <w:rFonts w:hint="default" w:ascii="Times New Roman" w:hAnsi="Times New Roman" w:eastAsia="黑体" w:cs="Times New Roman"/>
          <w:color w:val="auto"/>
          <w:kern w:val="0"/>
          <w:sz w:val="24"/>
          <w:szCs w:val="20"/>
          <w:lang w:val="en-US" w:eastAsia="zh-CN" w:bidi="ar-SA"/>
        </w:rPr>
        <w:t>）</w:t>
      </w:r>
    </w:p>
    <w:tbl>
      <w:tblPr>
        <w:tblStyle w:val="144"/>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0"/>
        <w:gridCol w:w="931"/>
        <w:gridCol w:w="1027"/>
        <w:gridCol w:w="906"/>
        <w:gridCol w:w="1208"/>
        <w:gridCol w:w="1219"/>
        <w:gridCol w:w="910"/>
        <w:gridCol w:w="709"/>
        <w:gridCol w:w="754"/>
        <w:gridCol w:w="574"/>
      </w:tblGrid>
      <w:tr w14:paraId="22ABD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281" w:type="pct"/>
            <w:vMerge w:val="restart"/>
            <w:tcBorders>
              <w:left w:val="nil"/>
              <w:bottom w:val="nil"/>
            </w:tcBorders>
            <w:noWrap w:val="0"/>
            <w:vAlign w:val="top"/>
          </w:tcPr>
          <w:p w14:paraId="057B3EBC">
            <w:pPr>
              <w:spacing w:line="413" w:lineRule="auto"/>
              <w:jc w:val="left"/>
              <w:rPr>
                <w:rFonts w:hint="default" w:ascii="Times New Roman" w:hAnsi="Times New Roman" w:cs="Times New Roman"/>
                <w:color w:val="auto"/>
                <w:kern w:val="0"/>
                <w:sz w:val="21"/>
                <w:szCs w:val="20"/>
              </w:rPr>
            </w:pPr>
          </w:p>
          <w:p w14:paraId="5C535A4F">
            <w:pPr>
              <w:spacing w:before="69" w:line="223" w:lineRule="auto"/>
              <w:ind w:left="5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序号</w:t>
            </w:r>
          </w:p>
        </w:tc>
        <w:tc>
          <w:tcPr>
            <w:tcW w:w="533" w:type="pct"/>
            <w:vMerge w:val="restart"/>
            <w:tcBorders>
              <w:bottom w:val="nil"/>
            </w:tcBorders>
            <w:noWrap w:val="0"/>
            <w:vAlign w:val="top"/>
          </w:tcPr>
          <w:p w14:paraId="6FC369B5">
            <w:pPr>
              <w:spacing w:line="279" w:lineRule="auto"/>
              <w:jc w:val="left"/>
              <w:rPr>
                <w:rFonts w:hint="default" w:ascii="Times New Roman" w:hAnsi="Times New Roman" w:cs="Times New Roman"/>
                <w:color w:val="auto"/>
                <w:kern w:val="0"/>
                <w:sz w:val="21"/>
                <w:szCs w:val="20"/>
              </w:rPr>
            </w:pPr>
          </w:p>
          <w:p w14:paraId="3E710CD5">
            <w:pPr>
              <w:spacing w:before="68" w:line="254" w:lineRule="auto"/>
              <w:ind w:left="52" w:right="9" w:hanging="2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4"/>
                <w:kern w:val="0"/>
                <w:sz w:val="21"/>
                <w:szCs w:val="21"/>
              </w:rPr>
              <w:t>下</w:t>
            </w:r>
            <w:r>
              <w:rPr>
                <w:rFonts w:hint="default" w:ascii="Times New Roman" w:hAnsi="Times New Roman" w:eastAsia="宋体" w:cs="Times New Roman"/>
                <w:color w:val="auto"/>
                <w:spacing w:val="-3"/>
                <w:kern w:val="0"/>
                <w:sz w:val="21"/>
                <w:szCs w:val="21"/>
              </w:rPr>
              <w:t>风</w:t>
            </w:r>
            <w:r>
              <w:rPr>
                <w:rFonts w:hint="default" w:ascii="Times New Roman" w:hAnsi="Times New Roman" w:eastAsia="宋体" w:cs="Times New Roman"/>
                <w:color w:val="auto"/>
                <w:spacing w:val="-2"/>
                <w:kern w:val="0"/>
                <w:sz w:val="21"/>
                <w:szCs w:val="21"/>
              </w:rPr>
              <w:t>向距</w:t>
            </w:r>
            <w:r>
              <w:rPr>
                <w:rFonts w:hint="default" w:ascii="Times New Roman" w:hAnsi="Times New Roman" w:eastAsia="宋体" w:cs="Times New Roman"/>
                <w:color w:val="auto"/>
                <w:spacing w:val="-17"/>
                <w:kern w:val="0"/>
                <w:sz w:val="21"/>
                <w:szCs w:val="21"/>
              </w:rPr>
              <w:t>离</w:t>
            </w:r>
            <w:r>
              <w:rPr>
                <w:rFonts w:hint="default" w:ascii="Times New Roman" w:hAnsi="Times New Roman" w:eastAsia="宋体" w:cs="Times New Roman"/>
                <w:color w:val="auto"/>
                <w:spacing w:val="-12"/>
                <w:kern w:val="0"/>
                <w:sz w:val="21"/>
                <w:szCs w:val="21"/>
              </w:rPr>
              <w:t>(</w:t>
            </w:r>
            <w:r>
              <w:rPr>
                <w:rFonts w:hint="default" w:ascii="Times New Roman" w:hAnsi="Times New Roman" w:eastAsia="Times New Roman" w:cs="Times New Roman"/>
                <w:color w:val="auto"/>
                <w:spacing w:val="-12"/>
                <w:kern w:val="0"/>
                <w:sz w:val="21"/>
                <w:szCs w:val="21"/>
              </w:rPr>
              <w:t>m</w:t>
            </w:r>
            <w:r>
              <w:rPr>
                <w:rFonts w:hint="default" w:ascii="Times New Roman" w:hAnsi="Times New Roman" w:eastAsia="宋体" w:cs="Times New Roman"/>
                <w:color w:val="auto"/>
                <w:spacing w:val="-12"/>
                <w:kern w:val="0"/>
                <w:sz w:val="21"/>
                <w:szCs w:val="21"/>
              </w:rPr>
              <w:t>)</w:t>
            </w:r>
          </w:p>
        </w:tc>
        <w:tc>
          <w:tcPr>
            <w:tcW w:w="4185" w:type="pct"/>
            <w:gridSpan w:val="8"/>
            <w:tcBorders>
              <w:right w:val="nil"/>
            </w:tcBorders>
            <w:noWrap w:val="0"/>
            <w:vAlign w:val="top"/>
          </w:tcPr>
          <w:p w14:paraId="399F76F4">
            <w:pPr>
              <w:spacing w:before="60" w:line="219" w:lineRule="auto"/>
              <w:ind w:left="2692"/>
              <w:jc w:val="left"/>
              <w:rPr>
                <w:rFonts w:hint="default" w:ascii="Times New Roman" w:hAnsi="Times New Roman" w:eastAsia="宋体" w:cs="Times New Roman"/>
                <w:color w:val="auto"/>
                <w:spacing w:val="-8"/>
                <w:kern w:val="0"/>
                <w:sz w:val="21"/>
                <w:szCs w:val="21"/>
              </w:rPr>
            </w:pPr>
            <w:r>
              <w:rPr>
                <w:rFonts w:hint="default" w:ascii="Times New Roman" w:hAnsi="Times New Roman" w:eastAsia="宋体" w:cs="Times New Roman"/>
                <w:color w:val="auto"/>
                <w:spacing w:val="-8"/>
                <w:kern w:val="0"/>
                <w:sz w:val="21"/>
                <w:szCs w:val="21"/>
              </w:rPr>
              <w:t>废</w:t>
            </w:r>
            <w:r>
              <w:rPr>
                <w:rFonts w:hint="default" w:ascii="Times New Roman" w:hAnsi="Times New Roman" w:eastAsia="宋体" w:cs="Times New Roman"/>
                <w:color w:val="auto"/>
                <w:spacing w:val="-5"/>
                <w:kern w:val="0"/>
                <w:sz w:val="21"/>
                <w:szCs w:val="21"/>
              </w:rPr>
              <w:t>气排气筒</w:t>
            </w:r>
            <w:r>
              <w:rPr>
                <w:rFonts w:hint="eastAsia" w:ascii="Times New Roman" w:hAnsi="Times New Roman" w:cs="Times New Roman"/>
                <w:color w:val="auto"/>
                <w:kern w:val="0"/>
                <w:sz w:val="20"/>
                <w:szCs w:val="20"/>
                <w:lang w:val="en-US" w:eastAsia="zh-CN"/>
              </w:rPr>
              <w:t>DA004</w:t>
            </w:r>
          </w:p>
        </w:tc>
      </w:tr>
      <w:tr w14:paraId="0CC9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81" w:type="pct"/>
            <w:vMerge w:val="continue"/>
            <w:tcBorders>
              <w:top w:val="nil"/>
              <w:left w:val="nil"/>
              <w:bottom w:val="nil"/>
            </w:tcBorders>
            <w:noWrap w:val="0"/>
            <w:vAlign w:val="top"/>
          </w:tcPr>
          <w:p w14:paraId="12B18B50">
            <w:pPr>
              <w:jc w:val="left"/>
              <w:rPr>
                <w:rFonts w:hint="default" w:ascii="Times New Roman" w:hAnsi="Times New Roman" w:cs="Times New Roman"/>
                <w:color w:val="auto"/>
                <w:kern w:val="0"/>
                <w:sz w:val="21"/>
                <w:szCs w:val="20"/>
              </w:rPr>
            </w:pPr>
          </w:p>
        </w:tc>
        <w:tc>
          <w:tcPr>
            <w:tcW w:w="533" w:type="pct"/>
            <w:vMerge w:val="continue"/>
            <w:tcBorders>
              <w:top w:val="nil"/>
              <w:bottom w:val="nil"/>
            </w:tcBorders>
            <w:noWrap w:val="0"/>
            <w:vAlign w:val="top"/>
          </w:tcPr>
          <w:p w14:paraId="1DB9A4DA">
            <w:pPr>
              <w:jc w:val="left"/>
              <w:rPr>
                <w:rFonts w:hint="default" w:ascii="Times New Roman" w:hAnsi="Times New Roman" w:cs="Times New Roman"/>
                <w:color w:val="auto"/>
                <w:kern w:val="0"/>
                <w:sz w:val="21"/>
                <w:szCs w:val="20"/>
              </w:rPr>
            </w:pPr>
          </w:p>
        </w:tc>
        <w:tc>
          <w:tcPr>
            <w:tcW w:w="2497" w:type="pct"/>
            <w:gridSpan w:val="4"/>
            <w:noWrap w:val="0"/>
            <w:vAlign w:val="top"/>
          </w:tcPr>
          <w:p w14:paraId="202B9B06">
            <w:pPr>
              <w:spacing w:line="285" w:lineRule="exact"/>
              <w:ind w:left="1059"/>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0"/>
                <w:kern w:val="0"/>
                <w:position w:val="2"/>
                <w:sz w:val="21"/>
                <w:szCs w:val="21"/>
              </w:rPr>
              <w:t>预</w:t>
            </w:r>
            <w:r>
              <w:rPr>
                <w:rFonts w:hint="default" w:ascii="Times New Roman" w:hAnsi="Times New Roman" w:eastAsia="宋体" w:cs="Times New Roman"/>
                <w:color w:val="auto"/>
                <w:spacing w:val="8"/>
                <w:kern w:val="0"/>
                <w:position w:val="2"/>
                <w:sz w:val="21"/>
                <w:szCs w:val="21"/>
              </w:rPr>
              <w:t>测质量浓度(</w:t>
            </w:r>
            <w:r>
              <w:rPr>
                <w:rFonts w:hint="default" w:ascii="Times New Roman" w:hAnsi="Times New Roman" w:eastAsia="Times New Roman" w:cs="Times New Roman"/>
                <w:color w:val="auto"/>
                <w:spacing w:val="8"/>
                <w:kern w:val="0"/>
                <w:position w:val="2"/>
                <w:sz w:val="21"/>
                <w:szCs w:val="21"/>
              </w:rPr>
              <w:t>µ</w:t>
            </w:r>
            <w:r>
              <w:rPr>
                <w:rFonts w:hint="default" w:ascii="Times New Roman" w:hAnsi="Times New Roman" w:eastAsia="Times New Roman" w:cs="Times New Roman"/>
                <w:color w:val="auto"/>
                <w:kern w:val="0"/>
                <w:position w:val="2"/>
                <w:sz w:val="21"/>
                <w:szCs w:val="21"/>
              </w:rPr>
              <w:t>g</w:t>
            </w:r>
            <w:r>
              <w:rPr>
                <w:rFonts w:hint="default" w:ascii="Times New Roman" w:hAnsi="Times New Roman" w:eastAsia="Times New Roman" w:cs="Times New Roman"/>
                <w:color w:val="auto"/>
                <w:spacing w:val="8"/>
                <w:kern w:val="0"/>
                <w:position w:val="2"/>
                <w:sz w:val="21"/>
                <w:szCs w:val="21"/>
              </w:rPr>
              <w:t>/</w:t>
            </w:r>
            <w:r>
              <w:rPr>
                <w:rFonts w:hint="default" w:ascii="Times New Roman" w:hAnsi="Times New Roman" w:eastAsia="Times New Roman" w:cs="Times New Roman"/>
                <w:color w:val="auto"/>
                <w:kern w:val="0"/>
                <w:position w:val="2"/>
                <w:sz w:val="21"/>
                <w:szCs w:val="21"/>
              </w:rPr>
              <w:t>m</w:t>
            </w:r>
            <w:r>
              <w:rPr>
                <w:rFonts w:hint="default" w:ascii="Times New Roman" w:hAnsi="Times New Roman" w:eastAsia="Times New Roman" w:cs="Times New Roman"/>
                <w:color w:val="auto"/>
                <w:spacing w:val="8"/>
                <w:kern w:val="0"/>
                <w:position w:val="9"/>
                <w:sz w:val="13"/>
                <w:szCs w:val="13"/>
              </w:rPr>
              <w:t>3</w:t>
            </w:r>
            <w:r>
              <w:rPr>
                <w:rFonts w:hint="default" w:ascii="Times New Roman" w:hAnsi="Times New Roman" w:eastAsia="宋体" w:cs="Times New Roman"/>
                <w:color w:val="auto"/>
                <w:spacing w:val="8"/>
                <w:kern w:val="0"/>
                <w:position w:val="2"/>
                <w:sz w:val="21"/>
                <w:szCs w:val="21"/>
              </w:rPr>
              <w:t>)</w:t>
            </w:r>
          </w:p>
        </w:tc>
        <w:tc>
          <w:tcPr>
            <w:tcW w:w="1688" w:type="pct"/>
            <w:gridSpan w:val="4"/>
            <w:tcBorders>
              <w:right w:val="nil"/>
            </w:tcBorders>
            <w:noWrap w:val="0"/>
            <w:vAlign w:val="top"/>
          </w:tcPr>
          <w:p w14:paraId="3866CDD3">
            <w:pPr>
              <w:spacing w:line="285" w:lineRule="exact"/>
              <w:ind w:left="828"/>
              <w:jc w:val="left"/>
              <w:rPr>
                <w:rFonts w:hint="default" w:ascii="Times New Roman" w:hAnsi="Times New Roman" w:eastAsia="宋体" w:cs="Times New Roman"/>
                <w:color w:val="auto"/>
                <w:spacing w:val="12"/>
                <w:kern w:val="0"/>
                <w:position w:val="1"/>
                <w:sz w:val="21"/>
                <w:szCs w:val="21"/>
              </w:rPr>
            </w:pPr>
            <w:r>
              <w:rPr>
                <w:rFonts w:hint="default" w:ascii="Times New Roman" w:hAnsi="Times New Roman" w:eastAsia="宋体" w:cs="Times New Roman"/>
                <w:color w:val="auto"/>
                <w:spacing w:val="12"/>
                <w:kern w:val="0"/>
                <w:position w:val="1"/>
                <w:sz w:val="21"/>
                <w:szCs w:val="21"/>
              </w:rPr>
              <w:t>占</w:t>
            </w:r>
            <w:r>
              <w:rPr>
                <w:rFonts w:hint="default" w:ascii="Times New Roman" w:hAnsi="Times New Roman" w:eastAsia="宋体" w:cs="Times New Roman"/>
                <w:color w:val="auto"/>
                <w:spacing w:val="11"/>
                <w:kern w:val="0"/>
                <w:position w:val="1"/>
                <w:sz w:val="21"/>
                <w:szCs w:val="21"/>
              </w:rPr>
              <w:t>标率(</w:t>
            </w:r>
            <w:r>
              <w:rPr>
                <w:rFonts w:hint="default" w:ascii="Times New Roman" w:hAnsi="Times New Roman" w:eastAsia="Times New Roman" w:cs="Times New Roman"/>
                <w:color w:val="auto"/>
                <w:spacing w:val="11"/>
                <w:kern w:val="0"/>
                <w:position w:val="1"/>
                <w:sz w:val="21"/>
                <w:szCs w:val="21"/>
              </w:rPr>
              <w:t>%</w:t>
            </w:r>
            <w:r>
              <w:rPr>
                <w:rFonts w:hint="default" w:ascii="Times New Roman" w:hAnsi="Times New Roman" w:eastAsia="宋体" w:cs="Times New Roman"/>
                <w:color w:val="auto"/>
                <w:spacing w:val="11"/>
                <w:kern w:val="0"/>
                <w:position w:val="1"/>
                <w:sz w:val="21"/>
                <w:szCs w:val="21"/>
              </w:rPr>
              <w:t>)</w:t>
            </w:r>
          </w:p>
        </w:tc>
      </w:tr>
      <w:tr w14:paraId="09F18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281" w:type="pct"/>
            <w:vMerge w:val="continue"/>
            <w:tcBorders>
              <w:top w:val="nil"/>
              <w:left w:val="nil"/>
            </w:tcBorders>
            <w:noWrap w:val="0"/>
            <w:vAlign w:val="top"/>
          </w:tcPr>
          <w:p w14:paraId="7A888812">
            <w:pPr>
              <w:jc w:val="left"/>
              <w:rPr>
                <w:rFonts w:hint="default" w:ascii="Times New Roman" w:hAnsi="Times New Roman" w:cs="Times New Roman"/>
                <w:color w:val="auto"/>
                <w:kern w:val="0"/>
                <w:sz w:val="21"/>
                <w:szCs w:val="20"/>
              </w:rPr>
            </w:pPr>
          </w:p>
        </w:tc>
        <w:tc>
          <w:tcPr>
            <w:tcW w:w="533" w:type="pct"/>
            <w:vMerge w:val="continue"/>
            <w:tcBorders>
              <w:top w:val="nil"/>
            </w:tcBorders>
            <w:noWrap w:val="0"/>
            <w:vAlign w:val="top"/>
          </w:tcPr>
          <w:p w14:paraId="49AB8C28">
            <w:pPr>
              <w:jc w:val="left"/>
              <w:rPr>
                <w:rFonts w:hint="default" w:ascii="Times New Roman" w:hAnsi="Times New Roman" w:cs="Times New Roman"/>
                <w:color w:val="auto"/>
                <w:kern w:val="0"/>
                <w:sz w:val="21"/>
                <w:szCs w:val="20"/>
              </w:rPr>
            </w:pPr>
          </w:p>
        </w:tc>
        <w:tc>
          <w:tcPr>
            <w:tcW w:w="588" w:type="pct"/>
            <w:noWrap w:val="0"/>
            <w:vAlign w:val="top"/>
          </w:tcPr>
          <w:p w14:paraId="7EE9DF7C">
            <w:pPr>
              <w:spacing w:before="200" w:line="198" w:lineRule="auto"/>
              <w:ind w:left="266"/>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3"/>
                <w:kern w:val="0"/>
                <w:sz w:val="21"/>
                <w:szCs w:val="21"/>
              </w:rPr>
              <w:t>SO</w:t>
            </w:r>
            <w:r>
              <w:rPr>
                <w:rFonts w:hint="default" w:ascii="Times New Roman" w:hAnsi="Times New Roman" w:eastAsia="Times New Roman" w:cs="Times New Roman"/>
                <w:color w:val="auto"/>
                <w:spacing w:val="-3"/>
                <w:kern w:val="0"/>
                <w:position w:val="-1"/>
                <w:sz w:val="14"/>
                <w:szCs w:val="14"/>
              </w:rPr>
              <w:t>2</w:t>
            </w:r>
          </w:p>
        </w:tc>
        <w:tc>
          <w:tcPr>
            <w:tcW w:w="519" w:type="pct"/>
            <w:noWrap w:val="0"/>
            <w:vAlign w:val="top"/>
          </w:tcPr>
          <w:p w14:paraId="12C92884">
            <w:pPr>
              <w:spacing w:before="200" w:line="188" w:lineRule="auto"/>
              <w:ind w:left="255"/>
              <w:jc w:val="left"/>
              <w:rPr>
                <w:rFonts w:hint="default" w:ascii="Times New Roman" w:hAnsi="Times New Roman" w:eastAsia="宋体" w:cs="Times New Roman"/>
                <w:color w:val="auto"/>
                <w:kern w:val="0"/>
                <w:sz w:val="21"/>
                <w:szCs w:val="21"/>
                <w:vertAlign w:val="subscript"/>
                <w:lang w:val="en-US" w:eastAsia="zh-CN"/>
              </w:rPr>
            </w:pPr>
            <w:r>
              <w:rPr>
                <w:rFonts w:hint="default" w:ascii="Times New Roman" w:hAnsi="Times New Roman" w:eastAsia="宋体" w:cs="Times New Roman"/>
                <w:color w:val="auto"/>
                <w:spacing w:val="-2"/>
                <w:kern w:val="0"/>
                <w:sz w:val="21"/>
                <w:szCs w:val="21"/>
                <w:lang w:val="en-US" w:eastAsia="zh-CN"/>
              </w:rPr>
              <w:t>PM</w:t>
            </w:r>
            <w:r>
              <w:rPr>
                <w:rFonts w:hint="default" w:ascii="Times New Roman" w:hAnsi="Times New Roman" w:eastAsia="宋体" w:cs="Times New Roman"/>
                <w:color w:val="auto"/>
                <w:spacing w:val="-2"/>
                <w:kern w:val="0"/>
                <w:sz w:val="21"/>
                <w:szCs w:val="21"/>
                <w:vertAlign w:val="subscript"/>
                <w:lang w:val="en-US" w:eastAsia="zh-CN"/>
              </w:rPr>
              <w:t>10</w:t>
            </w:r>
          </w:p>
        </w:tc>
        <w:tc>
          <w:tcPr>
            <w:tcW w:w="692" w:type="pct"/>
            <w:noWrap w:val="0"/>
            <w:vAlign w:val="top"/>
          </w:tcPr>
          <w:p w14:paraId="3E219865">
            <w:pPr>
              <w:spacing w:before="26" w:line="227" w:lineRule="auto"/>
              <w:ind w:left="334" w:right="1" w:hanging="313"/>
              <w:jc w:val="left"/>
              <w:rPr>
                <w:rFonts w:hint="default" w:ascii="Times New Roman" w:hAnsi="Times New Roman" w:eastAsia="宋体" w:cs="Times New Roman"/>
                <w:color w:val="auto"/>
                <w:kern w:val="0"/>
                <w:sz w:val="21"/>
                <w:szCs w:val="21"/>
              </w:rPr>
            </w:pPr>
            <w:r>
              <w:rPr>
                <w:rFonts w:hint="default" w:ascii="Times New Roman" w:hAnsi="Times New Roman" w:eastAsia="Times New Roman" w:cs="Times New Roman"/>
                <w:color w:val="auto"/>
                <w:spacing w:val="2"/>
                <w:kern w:val="0"/>
                <w:sz w:val="21"/>
                <w:szCs w:val="21"/>
              </w:rPr>
              <w:t>N</w:t>
            </w:r>
            <w:r>
              <w:rPr>
                <w:rFonts w:hint="default" w:ascii="Times New Roman" w:hAnsi="Times New Roman" w:eastAsia="Times New Roman" w:cs="Times New Roman"/>
                <w:color w:val="auto"/>
                <w:spacing w:val="1"/>
                <w:kern w:val="0"/>
                <w:sz w:val="21"/>
                <w:szCs w:val="21"/>
              </w:rPr>
              <w:t>O</w:t>
            </w:r>
            <w:r>
              <w:rPr>
                <w:rFonts w:hint="default" w:ascii="Times New Roman" w:hAnsi="Times New Roman" w:eastAsia="Times New Roman" w:cs="Times New Roman"/>
                <w:color w:val="auto"/>
                <w:spacing w:val="1"/>
                <w:kern w:val="0"/>
                <w:position w:val="-1"/>
                <w:sz w:val="14"/>
                <w:szCs w:val="14"/>
              </w:rPr>
              <w:t>X</w:t>
            </w:r>
          </w:p>
        </w:tc>
        <w:tc>
          <w:tcPr>
            <w:tcW w:w="697" w:type="pct"/>
            <w:noWrap w:val="0"/>
            <w:vAlign w:val="top"/>
          </w:tcPr>
          <w:p w14:paraId="62AB9934">
            <w:pPr>
              <w:spacing w:before="1" w:line="250" w:lineRule="auto"/>
              <w:ind w:left="336" w:right="98" w:hanging="220"/>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6"/>
                <w:kern w:val="0"/>
                <w:sz w:val="20"/>
                <w:szCs w:val="20"/>
              </w:rPr>
              <w:t>苯</w:t>
            </w:r>
            <w:r>
              <w:rPr>
                <w:rFonts w:hint="default" w:ascii="Times New Roman" w:hAnsi="Times New Roman" w:eastAsia="宋体" w:cs="Times New Roman"/>
                <w:color w:val="auto"/>
                <w:spacing w:val="5"/>
                <w:kern w:val="0"/>
                <w:sz w:val="20"/>
                <w:szCs w:val="20"/>
              </w:rPr>
              <w:t>并</w:t>
            </w:r>
            <w:r>
              <w:rPr>
                <w:rFonts w:hint="default" w:ascii="Times New Roman" w:hAnsi="Times New Roman" w:eastAsia="Times New Roman" w:cs="Times New Roman"/>
                <w:color w:val="auto"/>
                <w:spacing w:val="5"/>
                <w:kern w:val="0"/>
                <w:sz w:val="20"/>
                <w:szCs w:val="20"/>
              </w:rPr>
              <w:t>[</w:t>
            </w:r>
            <w:r>
              <w:rPr>
                <w:rFonts w:hint="default" w:ascii="Times New Roman" w:hAnsi="Times New Roman" w:eastAsia="Times New Roman" w:cs="Times New Roman"/>
                <w:color w:val="auto"/>
                <w:kern w:val="0"/>
                <w:sz w:val="20"/>
                <w:szCs w:val="20"/>
              </w:rPr>
              <w:t>a</w:t>
            </w:r>
            <w:r>
              <w:rPr>
                <w:rFonts w:hint="default" w:ascii="Times New Roman" w:hAnsi="Times New Roman" w:eastAsia="Times New Roman" w:cs="Times New Roman"/>
                <w:color w:val="auto"/>
                <w:spacing w:val="5"/>
                <w:kern w:val="0"/>
                <w:sz w:val="20"/>
                <w:szCs w:val="20"/>
              </w:rPr>
              <w:t>]</w:t>
            </w:r>
            <w:r>
              <w:rPr>
                <w:rFonts w:hint="default" w:ascii="Times New Roman" w:hAnsi="Times New Roman" w:eastAsia="宋体" w:cs="Times New Roman"/>
                <w:color w:val="auto"/>
                <w:spacing w:val="1"/>
                <w:kern w:val="0"/>
                <w:sz w:val="20"/>
                <w:szCs w:val="20"/>
              </w:rPr>
              <w:t>芘</w:t>
            </w:r>
          </w:p>
        </w:tc>
        <w:tc>
          <w:tcPr>
            <w:tcW w:w="521" w:type="pct"/>
            <w:noWrap w:val="0"/>
            <w:vAlign w:val="top"/>
          </w:tcPr>
          <w:p w14:paraId="73133F1B">
            <w:pPr>
              <w:spacing w:before="200" w:line="198" w:lineRule="auto"/>
              <w:ind w:left="74"/>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3"/>
                <w:kern w:val="0"/>
                <w:sz w:val="21"/>
                <w:szCs w:val="21"/>
              </w:rPr>
              <w:t>SO</w:t>
            </w:r>
            <w:r>
              <w:rPr>
                <w:rFonts w:hint="default" w:ascii="Times New Roman" w:hAnsi="Times New Roman" w:eastAsia="Times New Roman" w:cs="Times New Roman"/>
                <w:color w:val="auto"/>
                <w:spacing w:val="-3"/>
                <w:kern w:val="0"/>
                <w:position w:val="-1"/>
                <w:sz w:val="14"/>
                <w:szCs w:val="14"/>
              </w:rPr>
              <w:t>2</w:t>
            </w:r>
          </w:p>
        </w:tc>
        <w:tc>
          <w:tcPr>
            <w:tcW w:w="406" w:type="pct"/>
            <w:noWrap w:val="0"/>
            <w:vAlign w:val="top"/>
          </w:tcPr>
          <w:p w14:paraId="07014ACD">
            <w:pPr>
              <w:spacing w:before="200" w:line="188" w:lineRule="auto"/>
              <w:ind w:left="79"/>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lang w:val="en-US" w:eastAsia="zh-CN"/>
              </w:rPr>
              <w:t>PM</w:t>
            </w:r>
            <w:r>
              <w:rPr>
                <w:rFonts w:hint="default" w:ascii="Times New Roman" w:hAnsi="Times New Roman" w:eastAsia="宋体" w:cs="Times New Roman"/>
                <w:color w:val="auto"/>
                <w:spacing w:val="-2"/>
                <w:kern w:val="0"/>
                <w:sz w:val="21"/>
                <w:szCs w:val="21"/>
                <w:vertAlign w:val="subscript"/>
                <w:lang w:val="en-US" w:eastAsia="zh-CN"/>
              </w:rPr>
              <w:t>10</w:t>
            </w:r>
          </w:p>
        </w:tc>
        <w:tc>
          <w:tcPr>
            <w:tcW w:w="432" w:type="pct"/>
            <w:noWrap w:val="0"/>
            <w:vAlign w:val="top"/>
          </w:tcPr>
          <w:p w14:paraId="5D59F014">
            <w:pPr>
              <w:spacing w:before="200" w:line="198" w:lineRule="auto"/>
              <w:ind w:left="46"/>
              <w:jc w:val="left"/>
              <w:rPr>
                <w:rFonts w:hint="default" w:ascii="Times New Roman" w:hAnsi="Times New Roman" w:eastAsia="Times New Roman" w:cs="Times New Roman"/>
                <w:color w:val="auto"/>
                <w:kern w:val="0"/>
                <w:sz w:val="14"/>
                <w:szCs w:val="14"/>
              </w:rPr>
            </w:pPr>
            <w:r>
              <w:rPr>
                <w:rFonts w:hint="default" w:ascii="Times New Roman" w:hAnsi="Times New Roman" w:eastAsia="Times New Roman" w:cs="Times New Roman"/>
                <w:color w:val="auto"/>
                <w:spacing w:val="2"/>
                <w:kern w:val="0"/>
                <w:sz w:val="21"/>
                <w:szCs w:val="21"/>
              </w:rPr>
              <w:t>N</w:t>
            </w:r>
            <w:r>
              <w:rPr>
                <w:rFonts w:hint="default" w:ascii="Times New Roman" w:hAnsi="Times New Roman" w:eastAsia="Times New Roman" w:cs="Times New Roman"/>
                <w:color w:val="auto"/>
                <w:spacing w:val="1"/>
                <w:kern w:val="0"/>
                <w:sz w:val="21"/>
                <w:szCs w:val="21"/>
              </w:rPr>
              <w:t>O</w:t>
            </w:r>
            <w:r>
              <w:rPr>
                <w:rFonts w:hint="default" w:ascii="Times New Roman" w:hAnsi="Times New Roman" w:eastAsia="Times New Roman" w:cs="Times New Roman"/>
                <w:color w:val="auto"/>
                <w:spacing w:val="1"/>
                <w:kern w:val="0"/>
                <w:position w:val="-1"/>
                <w:sz w:val="14"/>
                <w:szCs w:val="14"/>
              </w:rPr>
              <w:t>X</w:t>
            </w:r>
          </w:p>
        </w:tc>
        <w:tc>
          <w:tcPr>
            <w:tcW w:w="327" w:type="pct"/>
            <w:tcBorders>
              <w:right w:val="nil"/>
            </w:tcBorders>
            <w:noWrap w:val="0"/>
            <w:vAlign w:val="top"/>
          </w:tcPr>
          <w:p w14:paraId="041C8C61">
            <w:pPr>
              <w:spacing w:before="26" w:line="227" w:lineRule="auto"/>
              <w:ind w:left="70" w:right="43" w:firstLine="5"/>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4"/>
                <w:kern w:val="0"/>
                <w:sz w:val="21"/>
                <w:szCs w:val="21"/>
              </w:rPr>
              <w:t>苯</w:t>
            </w:r>
            <w:r>
              <w:rPr>
                <w:rFonts w:hint="default" w:ascii="Times New Roman" w:hAnsi="Times New Roman" w:eastAsia="宋体" w:cs="Times New Roman"/>
                <w:color w:val="auto"/>
                <w:spacing w:val="-3"/>
                <w:kern w:val="0"/>
                <w:sz w:val="21"/>
                <w:szCs w:val="21"/>
              </w:rPr>
              <w:t>并</w:t>
            </w:r>
            <w:r>
              <w:rPr>
                <w:rFonts w:hint="default" w:ascii="Times New Roman" w:hAnsi="Times New Roman" w:eastAsia="Times New Roman" w:cs="Times New Roman"/>
                <w:color w:val="auto"/>
                <w:spacing w:val="-4"/>
                <w:kern w:val="0"/>
                <w:sz w:val="21"/>
                <w:szCs w:val="21"/>
              </w:rPr>
              <w:t>[</w:t>
            </w:r>
            <w:r>
              <w:rPr>
                <w:rFonts w:hint="default" w:ascii="Times New Roman" w:hAnsi="Times New Roman" w:eastAsia="Times New Roman" w:cs="Times New Roman"/>
                <w:color w:val="auto"/>
                <w:spacing w:val="-3"/>
                <w:kern w:val="0"/>
                <w:sz w:val="21"/>
                <w:szCs w:val="21"/>
              </w:rPr>
              <w:t>a]</w:t>
            </w:r>
            <w:r>
              <w:rPr>
                <w:rFonts w:hint="default" w:ascii="Times New Roman" w:hAnsi="Times New Roman" w:eastAsia="宋体" w:cs="Times New Roman"/>
                <w:color w:val="auto"/>
                <w:spacing w:val="-3"/>
                <w:kern w:val="0"/>
                <w:sz w:val="21"/>
                <w:szCs w:val="21"/>
              </w:rPr>
              <w:t>芘</w:t>
            </w:r>
          </w:p>
        </w:tc>
      </w:tr>
      <w:tr w14:paraId="7AB24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281" w:type="pct"/>
            <w:tcBorders>
              <w:left w:val="nil"/>
            </w:tcBorders>
            <w:noWrap w:val="0"/>
            <w:vAlign w:val="top"/>
          </w:tcPr>
          <w:p w14:paraId="4E8A95D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w:t>
            </w:r>
          </w:p>
        </w:tc>
        <w:tc>
          <w:tcPr>
            <w:tcW w:w="533" w:type="pct"/>
            <w:noWrap w:val="0"/>
            <w:vAlign w:val="top"/>
          </w:tcPr>
          <w:p w14:paraId="5904F52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w:t>
            </w:r>
          </w:p>
        </w:tc>
        <w:tc>
          <w:tcPr>
            <w:tcW w:w="588" w:type="pct"/>
            <w:noWrap w:val="0"/>
            <w:vAlign w:val="top"/>
          </w:tcPr>
          <w:p w14:paraId="7B04B37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0.000125</w:t>
            </w:r>
          </w:p>
        </w:tc>
        <w:tc>
          <w:tcPr>
            <w:tcW w:w="519" w:type="pct"/>
            <w:noWrap w:val="0"/>
            <w:vAlign w:val="top"/>
          </w:tcPr>
          <w:p w14:paraId="150FD6C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0.000037</w:t>
            </w:r>
          </w:p>
        </w:tc>
        <w:tc>
          <w:tcPr>
            <w:tcW w:w="692" w:type="pct"/>
            <w:noWrap w:val="0"/>
            <w:vAlign w:val="top"/>
          </w:tcPr>
          <w:p w14:paraId="69791B2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0.000477</w:t>
            </w:r>
          </w:p>
        </w:tc>
        <w:tc>
          <w:tcPr>
            <w:tcW w:w="697" w:type="pct"/>
            <w:noWrap w:val="0"/>
            <w:vAlign w:val="top"/>
          </w:tcPr>
          <w:p w14:paraId="5072423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4.67E-10</w:t>
            </w:r>
          </w:p>
        </w:tc>
        <w:tc>
          <w:tcPr>
            <w:tcW w:w="521" w:type="pct"/>
            <w:noWrap w:val="0"/>
            <w:vAlign w:val="top"/>
          </w:tcPr>
          <w:p w14:paraId="0B81BA8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0.02</w:t>
            </w:r>
          </w:p>
        </w:tc>
        <w:tc>
          <w:tcPr>
            <w:tcW w:w="406" w:type="pct"/>
            <w:noWrap w:val="0"/>
            <w:vAlign w:val="top"/>
          </w:tcPr>
          <w:p w14:paraId="3D65734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w:t>
            </w:r>
          </w:p>
        </w:tc>
        <w:tc>
          <w:tcPr>
            <w:tcW w:w="432" w:type="pct"/>
            <w:noWrap w:val="0"/>
            <w:vAlign w:val="top"/>
          </w:tcPr>
          <w:p w14:paraId="5CDECCE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c>
          <w:tcPr>
            <w:tcW w:w="327" w:type="pct"/>
            <w:tcBorders>
              <w:right w:val="nil"/>
            </w:tcBorders>
            <w:noWrap w:val="0"/>
            <w:vAlign w:val="top"/>
          </w:tcPr>
          <w:p w14:paraId="6A2E082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w:t>
            </w:r>
          </w:p>
        </w:tc>
      </w:tr>
      <w:tr w14:paraId="49003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81" w:type="pct"/>
            <w:tcBorders>
              <w:left w:val="nil"/>
            </w:tcBorders>
            <w:noWrap w:val="0"/>
            <w:vAlign w:val="top"/>
          </w:tcPr>
          <w:p w14:paraId="3921B21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w:t>
            </w:r>
          </w:p>
        </w:tc>
        <w:tc>
          <w:tcPr>
            <w:tcW w:w="533" w:type="pct"/>
            <w:noWrap w:val="0"/>
            <w:vAlign w:val="top"/>
          </w:tcPr>
          <w:p w14:paraId="4B1EF19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25</w:t>
            </w:r>
          </w:p>
        </w:tc>
        <w:tc>
          <w:tcPr>
            <w:tcW w:w="588" w:type="pct"/>
            <w:noWrap w:val="0"/>
            <w:vAlign w:val="top"/>
          </w:tcPr>
          <w:p w14:paraId="1D9B6A6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0.003444</w:t>
            </w:r>
          </w:p>
        </w:tc>
        <w:tc>
          <w:tcPr>
            <w:tcW w:w="519" w:type="pct"/>
            <w:noWrap w:val="0"/>
            <w:vAlign w:val="top"/>
          </w:tcPr>
          <w:p w14:paraId="467A29F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0.001019</w:t>
            </w:r>
          </w:p>
        </w:tc>
        <w:tc>
          <w:tcPr>
            <w:tcW w:w="692" w:type="pct"/>
            <w:noWrap w:val="0"/>
            <w:vAlign w:val="top"/>
          </w:tcPr>
          <w:p w14:paraId="26BC7A1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0.013162</w:t>
            </w:r>
          </w:p>
        </w:tc>
        <w:tc>
          <w:tcPr>
            <w:tcW w:w="697" w:type="pct"/>
            <w:noWrap w:val="0"/>
            <w:vAlign w:val="top"/>
          </w:tcPr>
          <w:p w14:paraId="0B4910C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1.29E-08</w:t>
            </w:r>
          </w:p>
        </w:tc>
        <w:tc>
          <w:tcPr>
            <w:tcW w:w="521" w:type="pct"/>
            <w:noWrap w:val="0"/>
            <w:vAlign w:val="top"/>
          </w:tcPr>
          <w:p w14:paraId="55AC5F8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0.69</w:t>
            </w:r>
          </w:p>
        </w:tc>
        <w:tc>
          <w:tcPr>
            <w:tcW w:w="406" w:type="pct"/>
            <w:noWrap w:val="0"/>
            <w:vAlign w:val="top"/>
          </w:tcPr>
          <w:p w14:paraId="4E8A145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0.23</w:t>
            </w:r>
          </w:p>
        </w:tc>
        <w:tc>
          <w:tcPr>
            <w:tcW w:w="432" w:type="pct"/>
            <w:noWrap w:val="0"/>
            <w:vAlign w:val="top"/>
          </w:tcPr>
          <w:p w14:paraId="6757725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5.26</w:t>
            </w:r>
          </w:p>
        </w:tc>
        <w:tc>
          <w:tcPr>
            <w:tcW w:w="327" w:type="pct"/>
            <w:tcBorders>
              <w:right w:val="nil"/>
            </w:tcBorders>
            <w:noWrap w:val="0"/>
            <w:vAlign w:val="top"/>
          </w:tcPr>
          <w:p w14:paraId="1B77EB1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0.17</w:t>
            </w:r>
          </w:p>
        </w:tc>
      </w:tr>
      <w:tr w14:paraId="4916E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81" w:type="pct"/>
            <w:tcBorders>
              <w:left w:val="nil"/>
            </w:tcBorders>
            <w:noWrap w:val="0"/>
            <w:vAlign w:val="top"/>
          </w:tcPr>
          <w:p w14:paraId="64A2074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w:t>
            </w:r>
          </w:p>
        </w:tc>
        <w:tc>
          <w:tcPr>
            <w:tcW w:w="533" w:type="pct"/>
            <w:noWrap w:val="0"/>
            <w:vAlign w:val="top"/>
          </w:tcPr>
          <w:p w14:paraId="0DD6F27F">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50</w:t>
            </w:r>
          </w:p>
        </w:tc>
        <w:tc>
          <w:tcPr>
            <w:tcW w:w="588" w:type="pct"/>
            <w:noWrap w:val="0"/>
            <w:vAlign w:val="top"/>
          </w:tcPr>
          <w:p w14:paraId="05D803F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0.003817</w:t>
            </w:r>
          </w:p>
        </w:tc>
        <w:tc>
          <w:tcPr>
            <w:tcW w:w="519" w:type="pct"/>
            <w:noWrap w:val="0"/>
            <w:vAlign w:val="top"/>
          </w:tcPr>
          <w:p w14:paraId="622DABF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0.001129</w:t>
            </w:r>
          </w:p>
        </w:tc>
        <w:tc>
          <w:tcPr>
            <w:tcW w:w="692" w:type="pct"/>
            <w:noWrap w:val="0"/>
            <w:vAlign w:val="top"/>
          </w:tcPr>
          <w:p w14:paraId="2A59A57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0.014584</w:t>
            </w:r>
          </w:p>
        </w:tc>
        <w:tc>
          <w:tcPr>
            <w:tcW w:w="697" w:type="pct"/>
            <w:noWrap w:val="0"/>
            <w:vAlign w:val="top"/>
          </w:tcPr>
          <w:p w14:paraId="64F58DF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1.43E-08</w:t>
            </w:r>
          </w:p>
        </w:tc>
        <w:tc>
          <w:tcPr>
            <w:tcW w:w="521" w:type="pct"/>
            <w:noWrap w:val="0"/>
            <w:vAlign w:val="top"/>
          </w:tcPr>
          <w:p w14:paraId="73A4A26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0.76</w:t>
            </w:r>
          </w:p>
        </w:tc>
        <w:tc>
          <w:tcPr>
            <w:tcW w:w="406" w:type="pct"/>
            <w:noWrap w:val="0"/>
            <w:vAlign w:val="top"/>
          </w:tcPr>
          <w:p w14:paraId="02966DE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5BA93D6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5.83</w:t>
            </w:r>
          </w:p>
        </w:tc>
        <w:tc>
          <w:tcPr>
            <w:tcW w:w="327" w:type="pct"/>
            <w:tcBorders>
              <w:right w:val="nil"/>
            </w:tcBorders>
            <w:noWrap w:val="0"/>
            <w:vAlign w:val="top"/>
          </w:tcPr>
          <w:p w14:paraId="7F22D63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53E60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81" w:type="pct"/>
            <w:tcBorders>
              <w:left w:val="nil"/>
            </w:tcBorders>
            <w:noWrap w:val="0"/>
            <w:vAlign w:val="top"/>
          </w:tcPr>
          <w:p w14:paraId="71FA193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w:t>
            </w:r>
          </w:p>
        </w:tc>
        <w:tc>
          <w:tcPr>
            <w:tcW w:w="533" w:type="pct"/>
            <w:noWrap w:val="0"/>
            <w:vAlign w:val="top"/>
          </w:tcPr>
          <w:p w14:paraId="58890CB3">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75</w:t>
            </w:r>
          </w:p>
        </w:tc>
        <w:tc>
          <w:tcPr>
            <w:tcW w:w="588" w:type="pct"/>
            <w:noWrap w:val="0"/>
            <w:vAlign w:val="top"/>
          </w:tcPr>
          <w:p w14:paraId="6D630A2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0.004492</w:t>
            </w:r>
          </w:p>
        </w:tc>
        <w:tc>
          <w:tcPr>
            <w:tcW w:w="519" w:type="pct"/>
            <w:noWrap w:val="0"/>
            <w:vAlign w:val="top"/>
          </w:tcPr>
          <w:p w14:paraId="4D2DDC8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0.001329</w:t>
            </w:r>
          </w:p>
        </w:tc>
        <w:tc>
          <w:tcPr>
            <w:tcW w:w="692" w:type="pct"/>
            <w:noWrap w:val="0"/>
            <w:vAlign w:val="top"/>
          </w:tcPr>
          <w:p w14:paraId="10BFBFE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0.017165</w:t>
            </w:r>
          </w:p>
        </w:tc>
        <w:tc>
          <w:tcPr>
            <w:tcW w:w="697" w:type="pct"/>
            <w:noWrap w:val="0"/>
            <w:vAlign w:val="top"/>
          </w:tcPr>
          <w:p w14:paraId="6CDCAE4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1.68E-08</w:t>
            </w:r>
          </w:p>
        </w:tc>
        <w:tc>
          <w:tcPr>
            <w:tcW w:w="521" w:type="pct"/>
            <w:noWrap w:val="0"/>
            <w:vAlign w:val="top"/>
          </w:tcPr>
          <w:p w14:paraId="3284825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0.90</w:t>
            </w:r>
          </w:p>
        </w:tc>
        <w:tc>
          <w:tcPr>
            <w:tcW w:w="406" w:type="pct"/>
            <w:noWrap w:val="0"/>
            <w:vAlign w:val="top"/>
          </w:tcPr>
          <w:p w14:paraId="3A3C7E6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0.30</w:t>
            </w:r>
          </w:p>
        </w:tc>
        <w:tc>
          <w:tcPr>
            <w:tcW w:w="432" w:type="pct"/>
            <w:noWrap w:val="0"/>
            <w:vAlign w:val="top"/>
          </w:tcPr>
          <w:p w14:paraId="3F742AB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6.87</w:t>
            </w:r>
          </w:p>
        </w:tc>
        <w:tc>
          <w:tcPr>
            <w:tcW w:w="327" w:type="pct"/>
            <w:tcBorders>
              <w:right w:val="nil"/>
            </w:tcBorders>
            <w:noWrap w:val="0"/>
            <w:vAlign w:val="top"/>
          </w:tcPr>
          <w:p w14:paraId="0BA21F1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0.22</w:t>
            </w:r>
          </w:p>
        </w:tc>
      </w:tr>
      <w:tr w14:paraId="018BB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281" w:type="pct"/>
            <w:tcBorders>
              <w:left w:val="nil"/>
            </w:tcBorders>
            <w:noWrap w:val="0"/>
            <w:vAlign w:val="top"/>
          </w:tcPr>
          <w:p w14:paraId="5CE9F45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w:t>
            </w:r>
          </w:p>
        </w:tc>
        <w:tc>
          <w:tcPr>
            <w:tcW w:w="533" w:type="pct"/>
            <w:noWrap w:val="0"/>
            <w:vAlign w:val="top"/>
          </w:tcPr>
          <w:p w14:paraId="67AA5557">
            <w:pPr>
              <w:spacing w:before="68" w:line="254" w:lineRule="auto"/>
              <w:ind w:left="52" w:right="9" w:hanging="2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81</w:t>
            </w:r>
          </w:p>
        </w:tc>
        <w:tc>
          <w:tcPr>
            <w:tcW w:w="588" w:type="pct"/>
            <w:noWrap w:val="0"/>
            <w:vAlign w:val="top"/>
          </w:tcPr>
          <w:p w14:paraId="685897D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0.004544</w:t>
            </w:r>
          </w:p>
        </w:tc>
        <w:tc>
          <w:tcPr>
            <w:tcW w:w="519" w:type="pct"/>
            <w:noWrap w:val="0"/>
            <w:vAlign w:val="top"/>
          </w:tcPr>
          <w:p w14:paraId="0A46938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0.001345</w:t>
            </w:r>
          </w:p>
        </w:tc>
        <w:tc>
          <w:tcPr>
            <w:tcW w:w="692" w:type="pct"/>
            <w:noWrap w:val="0"/>
            <w:vAlign w:val="top"/>
          </w:tcPr>
          <w:p w14:paraId="128E3DC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0.017364</w:t>
            </w:r>
          </w:p>
        </w:tc>
        <w:tc>
          <w:tcPr>
            <w:tcW w:w="697" w:type="pct"/>
            <w:noWrap w:val="0"/>
            <w:vAlign w:val="top"/>
          </w:tcPr>
          <w:p w14:paraId="0CC34F1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1.70E-08</w:t>
            </w:r>
          </w:p>
        </w:tc>
        <w:tc>
          <w:tcPr>
            <w:tcW w:w="521" w:type="pct"/>
            <w:noWrap w:val="0"/>
            <w:vAlign w:val="top"/>
          </w:tcPr>
          <w:p w14:paraId="46E327A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0.91</w:t>
            </w:r>
          </w:p>
        </w:tc>
        <w:tc>
          <w:tcPr>
            <w:tcW w:w="406" w:type="pct"/>
            <w:noWrap w:val="0"/>
            <w:vAlign w:val="top"/>
          </w:tcPr>
          <w:p w14:paraId="71CDA0D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0.30</w:t>
            </w:r>
          </w:p>
        </w:tc>
        <w:tc>
          <w:tcPr>
            <w:tcW w:w="432" w:type="pct"/>
            <w:noWrap w:val="0"/>
            <w:vAlign w:val="top"/>
          </w:tcPr>
          <w:p w14:paraId="15987EF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6.95</w:t>
            </w:r>
          </w:p>
        </w:tc>
        <w:tc>
          <w:tcPr>
            <w:tcW w:w="327" w:type="pct"/>
            <w:tcBorders>
              <w:right w:val="nil"/>
            </w:tcBorders>
            <w:noWrap w:val="0"/>
            <w:vAlign w:val="top"/>
          </w:tcPr>
          <w:p w14:paraId="0082541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0.23</w:t>
            </w:r>
          </w:p>
        </w:tc>
      </w:tr>
      <w:tr w14:paraId="3F002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81" w:type="pct"/>
            <w:tcBorders>
              <w:left w:val="nil"/>
            </w:tcBorders>
            <w:noWrap w:val="0"/>
            <w:vAlign w:val="top"/>
          </w:tcPr>
          <w:p w14:paraId="4282B3A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w:t>
            </w:r>
          </w:p>
        </w:tc>
        <w:tc>
          <w:tcPr>
            <w:tcW w:w="533" w:type="pct"/>
            <w:noWrap w:val="0"/>
            <w:vAlign w:val="top"/>
          </w:tcPr>
          <w:p w14:paraId="6E3E3FE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100</w:t>
            </w:r>
          </w:p>
        </w:tc>
        <w:tc>
          <w:tcPr>
            <w:tcW w:w="588" w:type="pct"/>
            <w:noWrap w:val="0"/>
            <w:vAlign w:val="top"/>
          </w:tcPr>
          <w:p w14:paraId="3E5648B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0.004441</w:t>
            </w:r>
          </w:p>
        </w:tc>
        <w:tc>
          <w:tcPr>
            <w:tcW w:w="519" w:type="pct"/>
            <w:noWrap w:val="0"/>
            <w:vAlign w:val="top"/>
          </w:tcPr>
          <w:p w14:paraId="4F37C90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0.001314</w:t>
            </w:r>
          </w:p>
        </w:tc>
        <w:tc>
          <w:tcPr>
            <w:tcW w:w="692" w:type="pct"/>
            <w:noWrap w:val="0"/>
            <w:vAlign w:val="top"/>
          </w:tcPr>
          <w:p w14:paraId="29DCA7C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0.016968</w:t>
            </w:r>
          </w:p>
        </w:tc>
        <w:tc>
          <w:tcPr>
            <w:tcW w:w="697" w:type="pct"/>
            <w:noWrap w:val="0"/>
            <w:vAlign w:val="top"/>
          </w:tcPr>
          <w:p w14:paraId="3BC1654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1.66E-08</w:t>
            </w:r>
          </w:p>
        </w:tc>
        <w:tc>
          <w:tcPr>
            <w:tcW w:w="521" w:type="pct"/>
            <w:noWrap w:val="0"/>
            <w:vAlign w:val="top"/>
          </w:tcPr>
          <w:p w14:paraId="71239B5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0.89</w:t>
            </w:r>
          </w:p>
        </w:tc>
        <w:tc>
          <w:tcPr>
            <w:tcW w:w="406" w:type="pct"/>
            <w:noWrap w:val="0"/>
            <w:vAlign w:val="top"/>
          </w:tcPr>
          <w:p w14:paraId="143003D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0.29</w:t>
            </w:r>
          </w:p>
        </w:tc>
        <w:tc>
          <w:tcPr>
            <w:tcW w:w="432" w:type="pct"/>
            <w:noWrap w:val="0"/>
            <w:vAlign w:val="top"/>
          </w:tcPr>
          <w:p w14:paraId="6AC6DA4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6.79</w:t>
            </w:r>
          </w:p>
        </w:tc>
        <w:tc>
          <w:tcPr>
            <w:tcW w:w="327" w:type="pct"/>
            <w:tcBorders>
              <w:right w:val="nil"/>
            </w:tcBorders>
            <w:noWrap w:val="0"/>
            <w:vAlign w:val="top"/>
          </w:tcPr>
          <w:p w14:paraId="66A1EE8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0.22</w:t>
            </w:r>
          </w:p>
        </w:tc>
      </w:tr>
      <w:tr w14:paraId="3170C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281" w:type="pct"/>
            <w:tcBorders>
              <w:left w:val="nil"/>
            </w:tcBorders>
            <w:noWrap w:val="0"/>
            <w:vAlign w:val="top"/>
          </w:tcPr>
          <w:p w14:paraId="4C8A6A8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7</w:t>
            </w:r>
          </w:p>
        </w:tc>
        <w:tc>
          <w:tcPr>
            <w:tcW w:w="533" w:type="pct"/>
            <w:noWrap w:val="0"/>
            <w:vAlign w:val="top"/>
          </w:tcPr>
          <w:p w14:paraId="6DE9BEC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125</w:t>
            </w:r>
          </w:p>
        </w:tc>
        <w:tc>
          <w:tcPr>
            <w:tcW w:w="588" w:type="pct"/>
            <w:noWrap w:val="0"/>
            <w:vAlign w:val="top"/>
          </w:tcPr>
          <w:p w14:paraId="060071B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0.004215</w:t>
            </w:r>
          </w:p>
        </w:tc>
        <w:tc>
          <w:tcPr>
            <w:tcW w:w="519" w:type="pct"/>
            <w:noWrap w:val="0"/>
            <w:vAlign w:val="top"/>
          </w:tcPr>
          <w:p w14:paraId="7BFC83F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0.001247</w:t>
            </w:r>
          </w:p>
        </w:tc>
        <w:tc>
          <w:tcPr>
            <w:tcW w:w="692" w:type="pct"/>
            <w:noWrap w:val="0"/>
            <w:vAlign w:val="top"/>
          </w:tcPr>
          <w:p w14:paraId="11FA2CE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0.016106</w:t>
            </w:r>
          </w:p>
        </w:tc>
        <w:tc>
          <w:tcPr>
            <w:tcW w:w="697" w:type="pct"/>
            <w:noWrap w:val="0"/>
            <w:vAlign w:val="top"/>
          </w:tcPr>
          <w:p w14:paraId="5A94C15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1.58E-08</w:t>
            </w:r>
          </w:p>
        </w:tc>
        <w:tc>
          <w:tcPr>
            <w:tcW w:w="521" w:type="pct"/>
            <w:noWrap w:val="0"/>
            <w:vAlign w:val="top"/>
          </w:tcPr>
          <w:p w14:paraId="19D5F10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0.84</w:t>
            </w:r>
          </w:p>
        </w:tc>
        <w:tc>
          <w:tcPr>
            <w:tcW w:w="406" w:type="pct"/>
            <w:noWrap w:val="0"/>
            <w:vAlign w:val="top"/>
          </w:tcPr>
          <w:p w14:paraId="7282A68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0.28</w:t>
            </w:r>
          </w:p>
        </w:tc>
        <w:tc>
          <w:tcPr>
            <w:tcW w:w="432" w:type="pct"/>
            <w:noWrap w:val="0"/>
            <w:vAlign w:val="top"/>
          </w:tcPr>
          <w:p w14:paraId="2712E02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6.44</w:t>
            </w:r>
          </w:p>
        </w:tc>
        <w:tc>
          <w:tcPr>
            <w:tcW w:w="327" w:type="pct"/>
            <w:tcBorders>
              <w:right w:val="nil"/>
            </w:tcBorders>
            <w:noWrap w:val="0"/>
            <w:vAlign w:val="top"/>
          </w:tcPr>
          <w:p w14:paraId="6E99D44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0.21</w:t>
            </w:r>
          </w:p>
        </w:tc>
      </w:tr>
      <w:tr w14:paraId="035EC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281" w:type="pct"/>
            <w:tcBorders>
              <w:left w:val="nil"/>
            </w:tcBorders>
            <w:noWrap w:val="0"/>
            <w:vAlign w:val="top"/>
          </w:tcPr>
          <w:p w14:paraId="2B2FB54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8</w:t>
            </w:r>
          </w:p>
        </w:tc>
        <w:tc>
          <w:tcPr>
            <w:tcW w:w="533" w:type="pct"/>
            <w:noWrap w:val="0"/>
            <w:vAlign w:val="top"/>
          </w:tcPr>
          <w:p w14:paraId="5D15B8BB">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150</w:t>
            </w:r>
          </w:p>
        </w:tc>
        <w:tc>
          <w:tcPr>
            <w:tcW w:w="588" w:type="pct"/>
            <w:noWrap w:val="0"/>
            <w:vAlign w:val="top"/>
          </w:tcPr>
          <w:p w14:paraId="64F0380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0.003861</w:t>
            </w:r>
          </w:p>
        </w:tc>
        <w:tc>
          <w:tcPr>
            <w:tcW w:w="519" w:type="pct"/>
            <w:noWrap w:val="0"/>
            <w:vAlign w:val="top"/>
          </w:tcPr>
          <w:p w14:paraId="0F21A4D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0.001143</w:t>
            </w:r>
          </w:p>
        </w:tc>
        <w:tc>
          <w:tcPr>
            <w:tcW w:w="692" w:type="pct"/>
            <w:noWrap w:val="0"/>
            <w:vAlign w:val="top"/>
          </w:tcPr>
          <w:p w14:paraId="539D73E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0.014755</w:t>
            </w:r>
          </w:p>
        </w:tc>
        <w:tc>
          <w:tcPr>
            <w:tcW w:w="697" w:type="pct"/>
            <w:noWrap w:val="0"/>
            <w:vAlign w:val="top"/>
          </w:tcPr>
          <w:p w14:paraId="432201F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1.44E-08</w:t>
            </w:r>
          </w:p>
        </w:tc>
        <w:tc>
          <w:tcPr>
            <w:tcW w:w="521" w:type="pct"/>
            <w:noWrap w:val="0"/>
            <w:vAlign w:val="top"/>
          </w:tcPr>
          <w:p w14:paraId="5CDCC53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0.77</w:t>
            </w:r>
          </w:p>
        </w:tc>
        <w:tc>
          <w:tcPr>
            <w:tcW w:w="406" w:type="pct"/>
            <w:noWrap w:val="0"/>
            <w:vAlign w:val="top"/>
          </w:tcPr>
          <w:p w14:paraId="4065509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3014B08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5.90</w:t>
            </w:r>
          </w:p>
        </w:tc>
        <w:tc>
          <w:tcPr>
            <w:tcW w:w="327" w:type="pct"/>
            <w:tcBorders>
              <w:right w:val="nil"/>
            </w:tcBorders>
            <w:noWrap w:val="0"/>
            <w:vAlign w:val="top"/>
          </w:tcPr>
          <w:p w14:paraId="3CE9E52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4BF4B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4EDD2278">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9</w:t>
            </w:r>
          </w:p>
        </w:tc>
        <w:tc>
          <w:tcPr>
            <w:tcW w:w="533" w:type="pct"/>
            <w:noWrap w:val="0"/>
            <w:vAlign w:val="top"/>
          </w:tcPr>
          <w:p w14:paraId="5E6FEB0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175</w:t>
            </w:r>
          </w:p>
        </w:tc>
        <w:tc>
          <w:tcPr>
            <w:tcW w:w="588" w:type="pct"/>
            <w:noWrap w:val="0"/>
            <w:vAlign w:val="top"/>
          </w:tcPr>
          <w:p w14:paraId="68BF776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0.003785</w:t>
            </w:r>
          </w:p>
        </w:tc>
        <w:tc>
          <w:tcPr>
            <w:tcW w:w="519" w:type="pct"/>
            <w:noWrap w:val="0"/>
            <w:vAlign w:val="top"/>
          </w:tcPr>
          <w:p w14:paraId="0F04405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0.00112</w:t>
            </w:r>
          </w:p>
        </w:tc>
        <w:tc>
          <w:tcPr>
            <w:tcW w:w="692" w:type="pct"/>
            <w:noWrap w:val="0"/>
            <w:vAlign w:val="top"/>
          </w:tcPr>
          <w:p w14:paraId="1214C03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0.014462</w:t>
            </w:r>
          </w:p>
        </w:tc>
        <w:tc>
          <w:tcPr>
            <w:tcW w:w="697" w:type="pct"/>
            <w:noWrap w:val="0"/>
            <w:vAlign w:val="top"/>
          </w:tcPr>
          <w:p w14:paraId="3CE3BEF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1.42E-08</w:t>
            </w:r>
          </w:p>
        </w:tc>
        <w:tc>
          <w:tcPr>
            <w:tcW w:w="521" w:type="pct"/>
            <w:noWrap w:val="0"/>
            <w:vAlign w:val="top"/>
          </w:tcPr>
          <w:p w14:paraId="0FF79CF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0.76</w:t>
            </w:r>
          </w:p>
        </w:tc>
        <w:tc>
          <w:tcPr>
            <w:tcW w:w="406" w:type="pct"/>
            <w:noWrap w:val="0"/>
            <w:vAlign w:val="top"/>
          </w:tcPr>
          <w:p w14:paraId="262DD7B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55B191A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5.78</w:t>
            </w:r>
          </w:p>
        </w:tc>
        <w:tc>
          <w:tcPr>
            <w:tcW w:w="327" w:type="pct"/>
            <w:tcBorders>
              <w:right w:val="nil"/>
            </w:tcBorders>
            <w:noWrap w:val="0"/>
            <w:vAlign w:val="top"/>
          </w:tcPr>
          <w:p w14:paraId="33E9A5A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77B66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7CA10BB5">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10</w:t>
            </w:r>
          </w:p>
        </w:tc>
        <w:tc>
          <w:tcPr>
            <w:tcW w:w="533" w:type="pct"/>
            <w:noWrap w:val="0"/>
            <w:vAlign w:val="top"/>
          </w:tcPr>
          <w:p w14:paraId="7736729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200</w:t>
            </w:r>
          </w:p>
        </w:tc>
        <w:tc>
          <w:tcPr>
            <w:tcW w:w="588" w:type="pct"/>
            <w:noWrap w:val="0"/>
            <w:vAlign w:val="top"/>
          </w:tcPr>
          <w:p w14:paraId="19EC84A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0.003867</w:t>
            </w:r>
          </w:p>
        </w:tc>
        <w:tc>
          <w:tcPr>
            <w:tcW w:w="519" w:type="pct"/>
            <w:noWrap w:val="0"/>
            <w:vAlign w:val="top"/>
          </w:tcPr>
          <w:p w14:paraId="697B2B4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0.001144</w:t>
            </w:r>
          </w:p>
        </w:tc>
        <w:tc>
          <w:tcPr>
            <w:tcW w:w="692" w:type="pct"/>
            <w:noWrap w:val="0"/>
            <w:vAlign w:val="top"/>
          </w:tcPr>
          <w:p w14:paraId="1BA3102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0.014775</w:t>
            </w:r>
          </w:p>
        </w:tc>
        <w:tc>
          <w:tcPr>
            <w:tcW w:w="697" w:type="pct"/>
            <w:noWrap w:val="0"/>
            <w:vAlign w:val="top"/>
          </w:tcPr>
          <w:p w14:paraId="2453DE2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1.45E-08</w:t>
            </w:r>
          </w:p>
        </w:tc>
        <w:tc>
          <w:tcPr>
            <w:tcW w:w="521" w:type="pct"/>
            <w:noWrap w:val="0"/>
            <w:vAlign w:val="top"/>
          </w:tcPr>
          <w:p w14:paraId="02CD334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0.77</w:t>
            </w:r>
          </w:p>
        </w:tc>
        <w:tc>
          <w:tcPr>
            <w:tcW w:w="406" w:type="pct"/>
            <w:noWrap w:val="0"/>
            <w:vAlign w:val="top"/>
          </w:tcPr>
          <w:p w14:paraId="729615E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6104D77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5.91</w:t>
            </w:r>
          </w:p>
        </w:tc>
        <w:tc>
          <w:tcPr>
            <w:tcW w:w="327" w:type="pct"/>
            <w:tcBorders>
              <w:right w:val="nil"/>
            </w:tcBorders>
            <w:noWrap w:val="0"/>
            <w:vAlign w:val="top"/>
          </w:tcPr>
          <w:p w14:paraId="3B6DFA9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6B0D2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1F4C0AE5">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11</w:t>
            </w:r>
          </w:p>
        </w:tc>
        <w:tc>
          <w:tcPr>
            <w:tcW w:w="533" w:type="pct"/>
            <w:noWrap w:val="0"/>
            <w:vAlign w:val="top"/>
          </w:tcPr>
          <w:p w14:paraId="06C72E9E">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225</w:t>
            </w:r>
          </w:p>
        </w:tc>
        <w:tc>
          <w:tcPr>
            <w:tcW w:w="588" w:type="pct"/>
            <w:noWrap w:val="0"/>
            <w:vAlign w:val="top"/>
          </w:tcPr>
          <w:p w14:paraId="4ACCDCC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0.00388</w:t>
            </w:r>
          </w:p>
        </w:tc>
        <w:tc>
          <w:tcPr>
            <w:tcW w:w="519" w:type="pct"/>
            <w:noWrap w:val="0"/>
            <w:vAlign w:val="top"/>
          </w:tcPr>
          <w:p w14:paraId="750169D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0.001148</w:t>
            </w:r>
          </w:p>
        </w:tc>
        <w:tc>
          <w:tcPr>
            <w:tcW w:w="692" w:type="pct"/>
            <w:noWrap w:val="0"/>
            <w:vAlign w:val="top"/>
          </w:tcPr>
          <w:p w14:paraId="7D337A4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0.014827</w:t>
            </w:r>
          </w:p>
        </w:tc>
        <w:tc>
          <w:tcPr>
            <w:tcW w:w="697" w:type="pct"/>
            <w:noWrap w:val="0"/>
            <w:vAlign w:val="top"/>
          </w:tcPr>
          <w:p w14:paraId="37368F0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1.45E-08</w:t>
            </w:r>
          </w:p>
        </w:tc>
        <w:tc>
          <w:tcPr>
            <w:tcW w:w="521" w:type="pct"/>
            <w:noWrap w:val="0"/>
            <w:vAlign w:val="top"/>
          </w:tcPr>
          <w:p w14:paraId="693013A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0.78</w:t>
            </w:r>
          </w:p>
        </w:tc>
        <w:tc>
          <w:tcPr>
            <w:tcW w:w="406" w:type="pct"/>
            <w:noWrap w:val="0"/>
            <w:vAlign w:val="top"/>
          </w:tcPr>
          <w:p w14:paraId="6D1CC7D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0.26</w:t>
            </w:r>
          </w:p>
        </w:tc>
        <w:tc>
          <w:tcPr>
            <w:tcW w:w="432" w:type="pct"/>
            <w:noWrap w:val="0"/>
            <w:vAlign w:val="top"/>
          </w:tcPr>
          <w:p w14:paraId="412BFB6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5.93</w:t>
            </w:r>
          </w:p>
        </w:tc>
        <w:tc>
          <w:tcPr>
            <w:tcW w:w="327" w:type="pct"/>
            <w:tcBorders>
              <w:right w:val="nil"/>
            </w:tcBorders>
            <w:noWrap w:val="0"/>
            <w:vAlign w:val="top"/>
          </w:tcPr>
          <w:p w14:paraId="219428F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431D2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6F7443A2">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12</w:t>
            </w:r>
          </w:p>
        </w:tc>
        <w:tc>
          <w:tcPr>
            <w:tcW w:w="533" w:type="pct"/>
            <w:noWrap w:val="0"/>
            <w:vAlign w:val="top"/>
          </w:tcPr>
          <w:p w14:paraId="6AB94625">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250</w:t>
            </w:r>
          </w:p>
        </w:tc>
        <w:tc>
          <w:tcPr>
            <w:tcW w:w="588" w:type="pct"/>
            <w:noWrap w:val="0"/>
            <w:vAlign w:val="top"/>
          </w:tcPr>
          <w:p w14:paraId="4BF01E3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0.003882</w:t>
            </w:r>
          </w:p>
        </w:tc>
        <w:tc>
          <w:tcPr>
            <w:tcW w:w="519" w:type="pct"/>
            <w:noWrap w:val="0"/>
            <w:vAlign w:val="top"/>
          </w:tcPr>
          <w:p w14:paraId="40219A8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0.001149</w:t>
            </w:r>
          </w:p>
        </w:tc>
        <w:tc>
          <w:tcPr>
            <w:tcW w:w="692" w:type="pct"/>
            <w:noWrap w:val="0"/>
            <w:vAlign w:val="top"/>
          </w:tcPr>
          <w:p w14:paraId="5E46092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0.014833</w:t>
            </w:r>
          </w:p>
        </w:tc>
        <w:tc>
          <w:tcPr>
            <w:tcW w:w="697" w:type="pct"/>
            <w:noWrap w:val="0"/>
            <w:vAlign w:val="top"/>
          </w:tcPr>
          <w:p w14:paraId="0368065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1.45E-08</w:t>
            </w:r>
          </w:p>
        </w:tc>
        <w:tc>
          <w:tcPr>
            <w:tcW w:w="521" w:type="pct"/>
            <w:noWrap w:val="0"/>
            <w:vAlign w:val="top"/>
          </w:tcPr>
          <w:p w14:paraId="4254782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0.78</w:t>
            </w:r>
          </w:p>
        </w:tc>
        <w:tc>
          <w:tcPr>
            <w:tcW w:w="406" w:type="pct"/>
            <w:noWrap w:val="0"/>
            <w:vAlign w:val="top"/>
          </w:tcPr>
          <w:p w14:paraId="4A746CF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0.26</w:t>
            </w:r>
          </w:p>
        </w:tc>
        <w:tc>
          <w:tcPr>
            <w:tcW w:w="432" w:type="pct"/>
            <w:noWrap w:val="0"/>
            <w:vAlign w:val="top"/>
          </w:tcPr>
          <w:p w14:paraId="5DF30FA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5.93</w:t>
            </w:r>
          </w:p>
        </w:tc>
        <w:tc>
          <w:tcPr>
            <w:tcW w:w="327" w:type="pct"/>
            <w:tcBorders>
              <w:right w:val="nil"/>
            </w:tcBorders>
            <w:noWrap w:val="0"/>
            <w:vAlign w:val="top"/>
          </w:tcPr>
          <w:p w14:paraId="5E4570E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38DB4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03A08389">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13</w:t>
            </w:r>
          </w:p>
        </w:tc>
        <w:tc>
          <w:tcPr>
            <w:tcW w:w="533" w:type="pct"/>
            <w:noWrap w:val="0"/>
            <w:vAlign w:val="top"/>
          </w:tcPr>
          <w:p w14:paraId="2F427608">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275</w:t>
            </w:r>
          </w:p>
        </w:tc>
        <w:tc>
          <w:tcPr>
            <w:tcW w:w="588" w:type="pct"/>
            <w:noWrap w:val="0"/>
            <w:vAlign w:val="top"/>
          </w:tcPr>
          <w:p w14:paraId="4627CEB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0.004039</w:t>
            </w:r>
          </w:p>
        </w:tc>
        <w:tc>
          <w:tcPr>
            <w:tcW w:w="519" w:type="pct"/>
            <w:noWrap w:val="0"/>
            <w:vAlign w:val="top"/>
          </w:tcPr>
          <w:p w14:paraId="74492B0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0.001195</w:t>
            </w:r>
          </w:p>
        </w:tc>
        <w:tc>
          <w:tcPr>
            <w:tcW w:w="692" w:type="pct"/>
            <w:noWrap w:val="0"/>
            <w:vAlign w:val="top"/>
          </w:tcPr>
          <w:p w14:paraId="0ED35F3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0.015435</w:t>
            </w:r>
          </w:p>
        </w:tc>
        <w:tc>
          <w:tcPr>
            <w:tcW w:w="697" w:type="pct"/>
            <w:noWrap w:val="0"/>
            <w:vAlign w:val="top"/>
          </w:tcPr>
          <w:p w14:paraId="2E5E38F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1.51E-08</w:t>
            </w:r>
          </w:p>
        </w:tc>
        <w:tc>
          <w:tcPr>
            <w:tcW w:w="521" w:type="pct"/>
            <w:noWrap w:val="0"/>
            <w:vAlign w:val="top"/>
          </w:tcPr>
          <w:p w14:paraId="05721C8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0.81</w:t>
            </w:r>
          </w:p>
        </w:tc>
        <w:tc>
          <w:tcPr>
            <w:tcW w:w="406" w:type="pct"/>
            <w:noWrap w:val="0"/>
            <w:vAlign w:val="top"/>
          </w:tcPr>
          <w:p w14:paraId="00A1B4B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0.27</w:t>
            </w:r>
          </w:p>
        </w:tc>
        <w:tc>
          <w:tcPr>
            <w:tcW w:w="432" w:type="pct"/>
            <w:noWrap w:val="0"/>
            <w:vAlign w:val="top"/>
          </w:tcPr>
          <w:p w14:paraId="42DD8E4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6.17</w:t>
            </w:r>
          </w:p>
        </w:tc>
        <w:tc>
          <w:tcPr>
            <w:tcW w:w="327" w:type="pct"/>
            <w:tcBorders>
              <w:right w:val="nil"/>
            </w:tcBorders>
            <w:noWrap w:val="0"/>
            <w:vAlign w:val="top"/>
          </w:tcPr>
          <w:p w14:paraId="1E30C1C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0.20</w:t>
            </w:r>
          </w:p>
        </w:tc>
      </w:tr>
      <w:tr w14:paraId="0CB69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664BF50B">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14</w:t>
            </w:r>
          </w:p>
        </w:tc>
        <w:tc>
          <w:tcPr>
            <w:tcW w:w="533" w:type="pct"/>
            <w:noWrap w:val="0"/>
            <w:vAlign w:val="top"/>
          </w:tcPr>
          <w:p w14:paraId="7A7A3BF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300</w:t>
            </w:r>
          </w:p>
        </w:tc>
        <w:tc>
          <w:tcPr>
            <w:tcW w:w="588" w:type="pct"/>
            <w:noWrap w:val="0"/>
            <w:vAlign w:val="top"/>
          </w:tcPr>
          <w:p w14:paraId="7899EEE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0.004113</w:t>
            </w:r>
          </w:p>
        </w:tc>
        <w:tc>
          <w:tcPr>
            <w:tcW w:w="519" w:type="pct"/>
            <w:noWrap w:val="0"/>
            <w:vAlign w:val="top"/>
          </w:tcPr>
          <w:p w14:paraId="7311EE5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0.001217</w:t>
            </w:r>
          </w:p>
        </w:tc>
        <w:tc>
          <w:tcPr>
            <w:tcW w:w="692" w:type="pct"/>
            <w:noWrap w:val="0"/>
            <w:vAlign w:val="top"/>
          </w:tcPr>
          <w:p w14:paraId="36D467B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0.015716</w:t>
            </w:r>
          </w:p>
        </w:tc>
        <w:tc>
          <w:tcPr>
            <w:tcW w:w="697" w:type="pct"/>
            <w:noWrap w:val="0"/>
            <w:vAlign w:val="top"/>
          </w:tcPr>
          <w:p w14:paraId="2E78BD5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1.54E-08</w:t>
            </w:r>
          </w:p>
        </w:tc>
        <w:tc>
          <w:tcPr>
            <w:tcW w:w="521" w:type="pct"/>
            <w:noWrap w:val="0"/>
            <w:vAlign w:val="top"/>
          </w:tcPr>
          <w:p w14:paraId="657E1DB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0.82</w:t>
            </w:r>
          </w:p>
        </w:tc>
        <w:tc>
          <w:tcPr>
            <w:tcW w:w="406" w:type="pct"/>
            <w:noWrap w:val="0"/>
            <w:vAlign w:val="top"/>
          </w:tcPr>
          <w:p w14:paraId="2EE8EA9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0.27</w:t>
            </w:r>
          </w:p>
        </w:tc>
        <w:tc>
          <w:tcPr>
            <w:tcW w:w="432" w:type="pct"/>
            <w:noWrap w:val="0"/>
            <w:vAlign w:val="top"/>
          </w:tcPr>
          <w:p w14:paraId="3490926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6.29</w:t>
            </w:r>
          </w:p>
        </w:tc>
        <w:tc>
          <w:tcPr>
            <w:tcW w:w="327" w:type="pct"/>
            <w:tcBorders>
              <w:right w:val="nil"/>
            </w:tcBorders>
            <w:noWrap w:val="0"/>
            <w:vAlign w:val="top"/>
          </w:tcPr>
          <w:p w14:paraId="7C400DB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0.21</w:t>
            </w:r>
          </w:p>
        </w:tc>
      </w:tr>
      <w:tr w14:paraId="5380D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3D5BFCC4">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15</w:t>
            </w:r>
          </w:p>
        </w:tc>
        <w:tc>
          <w:tcPr>
            <w:tcW w:w="533" w:type="pct"/>
            <w:noWrap w:val="0"/>
            <w:vAlign w:val="top"/>
          </w:tcPr>
          <w:p w14:paraId="4271204C">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325</w:t>
            </w:r>
          </w:p>
        </w:tc>
        <w:tc>
          <w:tcPr>
            <w:tcW w:w="588" w:type="pct"/>
            <w:noWrap w:val="0"/>
            <w:vAlign w:val="top"/>
          </w:tcPr>
          <w:p w14:paraId="5F5CD35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0.004111</w:t>
            </w:r>
          </w:p>
        </w:tc>
        <w:tc>
          <w:tcPr>
            <w:tcW w:w="519" w:type="pct"/>
            <w:noWrap w:val="0"/>
            <w:vAlign w:val="top"/>
          </w:tcPr>
          <w:p w14:paraId="7A0FC04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0.001217</w:t>
            </w:r>
          </w:p>
        </w:tc>
        <w:tc>
          <w:tcPr>
            <w:tcW w:w="692" w:type="pct"/>
            <w:noWrap w:val="0"/>
            <w:vAlign w:val="top"/>
          </w:tcPr>
          <w:p w14:paraId="37F055A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0.01571</w:t>
            </w:r>
          </w:p>
        </w:tc>
        <w:tc>
          <w:tcPr>
            <w:tcW w:w="697" w:type="pct"/>
            <w:noWrap w:val="0"/>
            <w:vAlign w:val="top"/>
          </w:tcPr>
          <w:p w14:paraId="4DC2DD4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1.54E-08</w:t>
            </w:r>
          </w:p>
        </w:tc>
        <w:tc>
          <w:tcPr>
            <w:tcW w:w="521" w:type="pct"/>
            <w:noWrap w:val="0"/>
            <w:vAlign w:val="top"/>
          </w:tcPr>
          <w:p w14:paraId="5C9B4B7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0.82</w:t>
            </w:r>
          </w:p>
        </w:tc>
        <w:tc>
          <w:tcPr>
            <w:tcW w:w="406" w:type="pct"/>
            <w:noWrap w:val="0"/>
            <w:vAlign w:val="top"/>
          </w:tcPr>
          <w:p w14:paraId="6D8AFA1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0.27</w:t>
            </w:r>
          </w:p>
        </w:tc>
        <w:tc>
          <w:tcPr>
            <w:tcW w:w="432" w:type="pct"/>
            <w:noWrap w:val="0"/>
            <w:vAlign w:val="top"/>
          </w:tcPr>
          <w:p w14:paraId="0A60418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6.28</w:t>
            </w:r>
          </w:p>
        </w:tc>
        <w:tc>
          <w:tcPr>
            <w:tcW w:w="327" w:type="pct"/>
            <w:tcBorders>
              <w:right w:val="nil"/>
            </w:tcBorders>
            <w:noWrap w:val="0"/>
            <w:vAlign w:val="top"/>
          </w:tcPr>
          <w:p w14:paraId="240E8B1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0.21</w:t>
            </w:r>
          </w:p>
        </w:tc>
      </w:tr>
      <w:tr w14:paraId="539E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76211DD1">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16</w:t>
            </w:r>
          </w:p>
        </w:tc>
        <w:tc>
          <w:tcPr>
            <w:tcW w:w="533" w:type="pct"/>
            <w:noWrap w:val="0"/>
            <w:vAlign w:val="top"/>
          </w:tcPr>
          <w:p w14:paraId="2CF5711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350</w:t>
            </w:r>
          </w:p>
        </w:tc>
        <w:tc>
          <w:tcPr>
            <w:tcW w:w="588" w:type="pct"/>
            <w:noWrap w:val="0"/>
            <w:vAlign w:val="top"/>
          </w:tcPr>
          <w:p w14:paraId="3C07F5B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0.004058</w:t>
            </w:r>
          </w:p>
        </w:tc>
        <w:tc>
          <w:tcPr>
            <w:tcW w:w="519" w:type="pct"/>
            <w:noWrap w:val="0"/>
            <w:vAlign w:val="top"/>
          </w:tcPr>
          <w:p w14:paraId="1667AF9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0.001201</w:t>
            </w:r>
          </w:p>
        </w:tc>
        <w:tc>
          <w:tcPr>
            <w:tcW w:w="692" w:type="pct"/>
            <w:noWrap w:val="0"/>
            <w:vAlign w:val="top"/>
          </w:tcPr>
          <w:p w14:paraId="70CB6D4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0.015507</w:t>
            </w:r>
          </w:p>
        </w:tc>
        <w:tc>
          <w:tcPr>
            <w:tcW w:w="697" w:type="pct"/>
            <w:noWrap w:val="0"/>
            <w:vAlign w:val="top"/>
          </w:tcPr>
          <w:p w14:paraId="2AD2FF1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1.52E-08</w:t>
            </w:r>
          </w:p>
        </w:tc>
        <w:tc>
          <w:tcPr>
            <w:tcW w:w="521" w:type="pct"/>
            <w:noWrap w:val="0"/>
            <w:vAlign w:val="top"/>
          </w:tcPr>
          <w:p w14:paraId="1A6ADAE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0.81</w:t>
            </w:r>
          </w:p>
        </w:tc>
        <w:tc>
          <w:tcPr>
            <w:tcW w:w="406" w:type="pct"/>
            <w:noWrap w:val="0"/>
            <w:vAlign w:val="top"/>
          </w:tcPr>
          <w:p w14:paraId="755ADD1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0.27</w:t>
            </w:r>
          </w:p>
        </w:tc>
        <w:tc>
          <w:tcPr>
            <w:tcW w:w="432" w:type="pct"/>
            <w:noWrap w:val="0"/>
            <w:vAlign w:val="top"/>
          </w:tcPr>
          <w:p w14:paraId="0A4D441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6.20</w:t>
            </w:r>
          </w:p>
        </w:tc>
        <w:tc>
          <w:tcPr>
            <w:tcW w:w="327" w:type="pct"/>
            <w:tcBorders>
              <w:right w:val="nil"/>
            </w:tcBorders>
            <w:noWrap w:val="0"/>
            <w:vAlign w:val="top"/>
          </w:tcPr>
          <w:p w14:paraId="68F554B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0.20</w:t>
            </w:r>
          </w:p>
        </w:tc>
      </w:tr>
      <w:tr w14:paraId="2A94F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4A5A11D5">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17</w:t>
            </w:r>
          </w:p>
        </w:tc>
        <w:tc>
          <w:tcPr>
            <w:tcW w:w="533" w:type="pct"/>
            <w:noWrap w:val="0"/>
            <w:vAlign w:val="top"/>
          </w:tcPr>
          <w:p w14:paraId="0A9B557A">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375</w:t>
            </w:r>
          </w:p>
        </w:tc>
        <w:tc>
          <w:tcPr>
            <w:tcW w:w="588" w:type="pct"/>
            <w:noWrap w:val="0"/>
            <w:vAlign w:val="top"/>
          </w:tcPr>
          <w:p w14:paraId="2035D13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0.003971</w:t>
            </w:r>
          </w:p>
        </w:tc>
        <w:tc>
          <w:tcPr>
            <w:tcW w:w="519" w:type="pct"/>
            <w:noWrap w:val="0"/>
            <w:vAlign w:val="top"/>
          </w:tcPr>
          <w:p w14:paraId="0AD3216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0.001175</w:t>
            </w:r>
          </w:p>
        </w:tc>
        <w:tc>
          <w:tcPr>
            <w:tcW w:w="692" w:type="pct"/>
            <w:noWrap w:val="0"/>
            <w:vAlign w:val="top"/>
          </w:tcPr>
          <w:p w14:paraId="2659669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0.015173</w:t>
            </w:r>
          </w:p>
        </w:tc>
        <w:tc>
          <w:tcPr>
            <w:tcW w:w="697" w:type="pct"/>
            <w:noWrap w:val="0"/>
            <w:vAlign w:val="top"/>
          </w:tcPr>
          <w:p w14:paraId="26B945F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1.48E-08</w:t>
            </w:r>
          </w:p>
        </w:tc>
        <w:tc>
          <w:tcPr>
            <w:tcW w:w="521" w:type="pct"/>
            <w:noWrap w:val="0"/>
            <w:vAlign w:val="top"/>
          </w:tcPr>
          <w:p w14:paraId="5F01139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0.79</w:t>
            </w:r>
          </w:p>
        </w:tc>
        <w:tc>
          <w:tcPr>
            <w:tcW w:w="406" w:type="pct"/>
            <w:noWrap w:val="0"/>
            <w:vAlign w:val="top"/>
          </w:tcPr>
          <w:p w14:paraId="2C507EC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0.26</w:t>
            </w:r>
          </w:p>
        </w:tc>
        <w:tc>
          <w:tcPr>
            <w:tcW w:w="432" w:type="pct"/>
            <w:noWrap w:val="0"/>
            <w:vAlign w:val="top"/>
          </w:tcPr>
          <w:p w14:paraId="414CD70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6.07</w:t>
            </w:r>
          </w:p>
        </w:tc>
        <w:tc>
          <w:tcPr>
            <w:tcW w:w="327" w:type="pct"/>
            <w:tcBorders>
              <w:right w:val="nil"/>
            </w:tcBorders>
            <w:noWrap w:val="0"/>
            <w:vAlign w:val="top"/>
          </w:tcPr>
          <w:p w14:paraId="461C28D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0.20</w:t>
            </w:r>
          </w:p>
        </w:tc>
      </w:tr>
      <w:tr w14:paraId="25550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7C2950E2">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18</w:t>
            </w:r>
          </w:p>
        </w:tc>
        <w:tc>
          <w:tcPr>
            <w:tcW w:w="533" w:type="pct"/>
            <w:noWrap w:val="0"/>
            <w:vAlign w:val="top"/>
          </w:tcPr>
          <w:p w14:paraId="2A893031">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400</w:t>
            </w:r>
          </w:p>
        </w:tc>
        <w:tc>
          <w:tcPr>
            <w:tcW w:w="588" w:type="pct"/>
            <w:noWrap w:val="0"/>
            <w:vAlign w:val="top"/>
          </w:tcPr>
          <w:p w14:paraId="3BBF190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0.003862</w:t>
            </w:r>
          </w:p>
        </w:tc>
        <w:tc>
          <w:tcPr>
            <w:tcW w:w="519" w:type="pct"/>
            <w:noWrap w:val="0"/>
            <w:vAlign w:val="top"/>
          </w:tcPr>
          <w:p w14:paraId="04EAA14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0.001143</w:t>
            </w:r>
          </w:p>
        </w:tc>
        <w:tc>
          <w:tcPr>
            <w:tcW w:w="692" w:type="pct"/>
            <w:noWrap w:val="0"/>
            <w:vAlign w:val="top"/>
          </w:tcPr>
          <w:p w14:paraId="422AD22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0.014756</w:t>
            </w:r>
          </w:p>
        </w:tc>
        <w:tc>
          <w:tcPr>
            <w:tcW w:w="697" w:type="pct"/>
            <w:noWrap w:val="0"/>
            <w:vAlign w:val="top"/>
          </w:tcPr>
          <w:p w14:paraId="1732E79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1.44E-08</w:t>
            </w:r>
          </w:p>
        </w:tc>
        <w:tc>
          <w:tcPr>
            <w:tcW w:w="521" w:type="pct"/>
            <w:noWrap w:val="0"/>
            <w:vAlign w:val="top"/>
          </w:tcPr>
          <w:p w14:paraId="235F4B2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0.77</w:t>
            </w:r>
          </w:p>
        </w:tc>
        <w:tc>
          <w:tcPr>
            <w:tcW w:w="406" w:type="pct"/>
            <w:noWrap w:val="0"/>
            <w:vAlign w:val="top"/>
          </w:tcPr>
          <w:p w14:paraId="44D8A55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397A44F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5.90</w:t>
            </w:r>
          </w:p>
        </w:tc>
        <w:tc>
          <w:tcPr>
            <w:tcW w:w="327" w:type="pct"/>
            <w:tcBorders>
              <w:right w:val="nil"/>
            </w:tcBorders>
            <w:noWrap w:val="0"/>
            <w:vAlign w:val="top"/>
          </w:tcPr>
          <w:p w14:paraId="34E8D90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2415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72390098">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19</w:t>
            </w:r>
          </w:p>
        </w:tc>
        <w:tc>
          <w:tcPr>
            <w:tcW w:w="533" w:type="pct"/>
            <w:noWrap w:val="0"/>
            <w:vAlign w:val="top"/>
          </w:tcPr>
          <w:p w14:paraId="6B6592C9">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425</w:t>
            </w:r>
          </w:p>
        </w:tc>
        <w:tc>
          <w:tcPr>
            <w:tcW w:w="588" w:type="pct"/>
            <w:noWrap w:val="0"/>
            <w:vAlign w:val="top"/>
          </w:tcPr>
          <w:p w14:paraId="1F793B9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0.00374</w:t>
            </w:r>
          </w:p>
        </w:tc>
        <w:tc>
          <w:tcPr>
            <w:tcW w:w="519" w:type="pct"/>
            <w:noWrap w:val="0"/>
            <w:vAlign w:val="top"/>
          </w:tcPr>
          <w:p w14:paraId="18E8DED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0.001107</w:t>
            </w:r>
          </w:p>
        </w:tc>
        <w:tc>
          <w:tcPr>
            <w:tcW w:w="692" w:type="pct"/>
            <w:noWrap w:val="0"/>
            <w:vAlign w:val="top"/>
          </w:tcPr>
          <w:p w14:paraId="6959EB8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0.014291</w:t>
            </w:r>
          </w:p>
        </w:tc>
        <w:tc>
          <w:tcPr>
            <w:tcW w:w="697" w:type="pct"/>
            <w:noWrap w:val="0"/>
            <w:vAlign w:val="top"/>
          </w:tcPr>
          <w:p w14:paraId="6F25643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1.40E-08</w:t>
            </w:r>
          </w:p>
        </w:tc>
        <w:tc>
          <w:tcPr>
            <w:tcW w:w="521" w:type="pct"/>
            <w:noWrap w:val="0"/>
            <w:vAlign w:val="top"/>
          </w:tcPr>
          <w:p w14:paraId="720DA1F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0.75</w:t>
            </w:r>
          </w:p>
        </w:tc>
        <w:tc>
          <w:tcPr>
            <w:tcW w:w="406" w:type="pct"/>
            <w:noWrap w:val="0"/>
            <w:vAlign w:val="top"/>
          </w:tcPr>
          <w:p w14:paraId="2BB36FE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0.25</w:t>
            </w:r>
          </w:p>
        </w:tc>
        <w:tc>
          <w:tcPr>
            <w:tcW w:w="432" w:type="pct"/>
            <w:noWrap w:val="0"/>
            <w:vAlign w:val="top"/>
          </w:tcPr>
          <w:p w14:paraId="7210974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5.72</w:t>
            </w:r>
          </w:p>
        </w:tc>
        <w:tc>
          <w:tcPr>
            <w:tcW w:w="327" w:type="pct"/>
            <w:tcBorders>
              <w:right w:val="nil"/>
            </w:tcBorders>
            <w:noWrap w:val="0"/>
            <w:vAlign w:val="top"/>
          </w:tcPr>
          <w:p w14:paraId="373F24B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0.19</w:t>
            </w:r>
          </w:p>
        </w:tc>
      </w:tr>
      <w:tr w14:paraId="722DA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60459492">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20</w:t>
            </w:r>
          </w:p>
        </w:tc>
        <w:tc>
          <w:tcPr>
            <w:tcW w:w="533" w:type="pct"/>
            <w:noWrap w:val="0"/>
            <w:vAlign w:val="top"/>
          </w:tcPr>
          <w:p w14:paraId="740899D2">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450</w:t>
            </w:r>
          </w:p>
        </w:tc>
        <w:tc>
          <w:tcPr>
            <w:tcW w:w="588" w:type="pct"/>
            <w:noWrap w:val="0"/>
            <w:vAlign w:val="top"/>
          </w:tcPr>
          <w:p w14:paraId="6A26A3A1">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0.003657</w:t>
            </w:r>
          </w:p>
        </w:tc>
        <w:tc>
          <w:tcPr>
            <w:tcW w:w="519" w:type="pct"/>
            <w:noWrap w:val="0"/>
            <w:vAlign w:val="top"/>
          </w:tcPr>
          <w:p w14:paraId="3D7C131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0.001082</w:t>
            </w:r>
          </w:p>
        </w:tc>
        <w:tc>
          <w:tcPr>
            <w:tcW w:w="692" w:type="pct"/>
            <w:noWrap w:val="0"/>
            <w:vAlign w:val="top"/>
          </w:tcPr>
          <w:p w14:paraId="2B3459EA">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0.013974</w:t>
            </w:r>
          </w:p>
        </w:tc>
        <w:tc>
          <w:tcPr>
            <w:tcW w:w="697" w:type="pct"/>
            <w:noWrap w:val="0"/>
            <w:vAlign w:val="top"/>
          </w:tcPr>
          <w:p w14:paraId="2CA1015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1.37E-08</w:t>
            </w:r>
          </w:p>
        </w:tc>
        <w:tc>
          <w:tcPr>
            <w:tcW w:w="521" w:type="pct"/>
            <w:noWrap w:val="0"/>
            <w:vAlign w:val="top"/>
          </w:tcPr>
          <w:p w14:paraId="0FBB91E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0.73</w:t>
            </w:r>
          </w:p>
        </w:tc>
        <w:tc>
          <w:tcPr>
            <w:tcW w:w="406" w:type="pct"/>
            <w:noWrap w:val="0"/>
            <w:vAlign w:val="top"/>
          </w:tcPr>
          <w:p w14:paraId="5FA4CFB7">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0.24</w:t>
            </w:r>
          </w:p>
        </w:tc>
        <w:tc>
          <w:tcPr>
            <w:tcW w:w="432" w:type="pct"/>
            <w:noWrap w:val="0"/>
            <w:vAlign w:val="top"/>
          </w:tcPr>
          <w:p w14:paraId="25F5072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5.59</w:t>
            </w:r>
          </w:p>
        </w:tc>
        <w:tc>
          <w:tcPr>
            <w:tcW w:w="327" w:type="pct"/>
            <w:tcBorders>
              <w:right w:val="nil"/>
            </w:tcBorders>
            <w:noWrap w:val="0"/>
            <w:vAlign w:val="top"/>
          </w:tcPr>
          <w:p w14:paraId="0640B8E5">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0.18</w:t>
            </w:r>
          </w:p>
        </w:tc>
      </w:tr>
      <w:tr w14:paraId="5DA63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29643E30">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21</w:t>
            </w:r>
          </w:p>
        </w:tc>
        <w:tc>
          <w:tcPr>
            <w:tcW w:w="533" w:type="pct"/>
            <w:noWrap w:val="0"/>
            <w:vAlign w:val="top"/>
          </w:tcPr>
          <w:p w14:paraId="01C7822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475</w:t>
            </w:r>
          </w:p>
        </w:tc>
        <w:tc>
          <w:tcPr>
            <w:tcW w:w="588" w:type="pct"/>
            <w:noWrap w:val="0"/>
            <w:vAlign w:val="top"/>
          </w:tcPr>
          <w:p w14:paraId="3B396990">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0.003627</w:t>
            </w:r>
          </w:p>
        </w:tc>
        <w:tc>
          <w:tcPr>
            <w:tcW w:w="519" w:type="pct"/>
            <w:noWrap w:val="0"/>
            <w:vAlign w:val="top"/>
          </w:tcPr>
          <w:p w14:paraId="3A8D7AF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0.001073</w:t>
            </w:r>
          </w:p>
        </w:tc>
        <w:tc>
          <w:tcPr>
            <w:tcW w:w="692" w:type="pct"/>
            <w:noWrap w:val="0"/>
            <w:vAlign w:val="top"/>
          </w:tcPr>
          <w:p w14:paraId="2FD11D3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0.013857</w:t>
            </w:r>
          </w:p>
        </w:tc>
        <w:tc>
          <w:tcPr>
            <w:tcW w:w="697" w:type="pct"/>
            <w:noWrap w:val="0"/>
            <w:vAlign w:val="top"/>
          </w:tcPr>
          <w:p w14:paraId="2E916B2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1.36E-08</w:t>
            </w:r>
          </w:p>
        </w:tc>
        <w:tc>
          <w:tcPr>
            <w:tcW w:w="521" w:type="pct"/>
            <w:noWrap w:val="0"/>
            <w:vAlign w:val="top"/>
          </w:tcPr>
          <w:p w14:paraId="0268B61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0.73</w:t>
            </w:r>
          </w:p>
        </w:tc>
        <w:tc>
          <w:tcPr>
            <w:tcW w:w="406" w:type="pct"/>
            <w:noWrap w:val="0"/>
            <w:vAlign w:val="top"/>
          </w:tcPr>
          <w:p w14:paraId="4E457C53">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0.24</w:t>
            </w:r>
          </w:p>
        </w:tc>
        <w:tc>
          <w:tcPr>
            <w:tcW w:w="432" w:type="pct"/>
            <w:noWrap w:val="0"/>
            <w:vAlign w:val="top"/>
          </w:tcPr>
          <w:p w14:paraId="0F3D2338">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5.54</w:t>
            </w:r>
          </w:p>
        </w:tc>
        <w:tc>
          <w:tcPr>
            <w:tcW w:w="327" w:type="pct"/>
            <w:tcBorders>
              <w:right w:val="nil"/>
            </w:tcBorders>
            <w:noWrap w:val="0"/>
            <w:vAlign w:val="top"/>
          </w:tcPr>
          <w:p w14:paraId="74550A2B">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0.18</w:t>
            </w:r>
          </w:p>
        </w:tc>
      </w:tr>
      <w:tr w14:paraId="2C33D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1" w:type="pct"/>
            <w:tcBorders>
              <w:left w:val="nil"/>
            </w:tcBorders>
            <w:noWrap w:val="0"/>
            <w:vAlign w:val="top"/>
          </w:tcPr>
          <w:p w14:paraId="3DBAB28C">
            <w:pPr>
              <w:spacing w:before="68" w:line="254" w:lineRule="auto"/>
              <w:ind w:left="52" w:right="9" w:hanging="20"/>
              <w:jc w:val="left"/>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22</w:t>
            </w:r>
          </w:p>
        </w:tc>
        <w:tc>
          <w:tcPr>
            <w:tcW w:w="533" w:type="pct"/>
            <w:noWrap w:val="0"/>
            <w:vAlign w:val="top"/>
          </w:tcPr>
          <w:p w14:paraId="70B60570">
            <w:pPr>
              <w:spacing w:before="68" w:line="254" w:lineRule="auto"/>
              <w:ind w:left="52" w:right="9" w:hanging="2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500</w:t>
            </w:r>
          </w:p>
        </w:tc>
        <w:tc>
          <w:tcPr>
            <w:tcW w:w="588" w:type="pct"/>
            <w:noWrap w:val="0"/>
            <w:vAlign w:val="top"/>
          </w:tcPr>
          <w:p w14:paraId="4CF60C0D">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0.003581</w:t>
            </w:r>
          </w:p>
        </w:tc>
        <w:tc>
          <w:tcPr>
            <w:tcW w:w="519" w:type="pct"/>
            <w:noWrap w:val="0"/>
            <w:vAlign w:val="top"/>
          </w:tcPr>
          <w:p w14:paraId="6694B046">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0.00106</w:t>
            </w:r>
          </w:p>
        </w:tc>
        <w:tc>
          <w:tcPr>
            <w:tcW w:w="692" w:type="pct"/>
            <w:noWrap w:val="0"/>
            <w:vAlign w:val="top"/>
          </w:tcPr>
          <w:p w14:paraId="408A59C2">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0.013682</w:t>
            </w:r>
          </w:p>
        </w:tc>
        <w:tc>
          <w:tcPr>
            <w:tcW w:w="697" w:type="pct"/>
            <w:noWrap w:val="0"/>
            <w:vAlign w:val="top"/>
          </w:tcPr>
          <w:p w14:paraId="552634A9">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1.34E-08</w:t>
            </w:r>
          </w:p>
        </w:tc>
        <w:tc>
          <w:tcPr>
            <w:tcW w:w="521" w:type="pct"/>
            <w:noWrap w:val="0"/>
            <w:vAlign w:val="top"/>
          </w:tcPr>
          <w:p w14:paraId="48417944">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0.72</w:t>
            </w:r>
          </w:p>
        </w:tc>
        <w:tc>
          <w:tcPr>
            <w:tcW w:w="406" w:type="pct"/>
            <w:noWrap w:val="0"/>
            <w:vAlign w:val="top"/>
          </w:tcPr>
          <w:p w14:paraId="4D506F7E">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0.24</w:t>
            </w:r>
          </w:p>
        </w:tc>
        <w:tc>
          <w:tcPr>
            <w:tcW w:w="432" w:type="pct"/>
            <w:noWrap w:val="0"/>
            <w:vAlign w:val="top"/>
          </w:tcPr>
          <w:p w14:paraId="0FF647DC">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5.47</w:t>
            </w:r>
          </w:p>
        </w:tc>
        <w:tc>
          <w:tcPr>
            <w:tcW w:w="327" w:type="pct"/>
            <w:tcBorders>
              <w:right w:val="nil"/>
            </w:tcBorders>
            <w:noWrap w:val="0"/>
            <w:vAlign w:val="top"/>
          </w:tcPr>
          <w:p w14:paraId="16516A0F">
            <w:pPr>
              <w:spacing w:before="68" w:line="254" w:lineRule="auto"/>
              <w:ind w:left="52" w:right="9" w:hanging="20"/>
              <w:jc w:val="left"/>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0.18</w:t>
            </w:r>
          </w:p>
        </w:tc>
      </w:tr>
      <w:tr w14:paraId="1D9C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4" w:type="pct"/>
            <w:gridSpan w:val="2"/>
            <w:tcBorders>
              <w:left w:val="nil"/>
            </w:tcBorders>
            <w:noWrap w:val="0"/>
            <w:vAlign w:val="top"/>
          </w:tcPr>
          <w:p w14:paraId="5EAC1AD8">
            <w:pPr>
              <w:spacing w:before="36" w:line="221" w:lineRule="auto"/>
              <w:ind w:left="74"/>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下风向</w:t>
            </w:r>
            <w:r>
              <w:rPr>
                <w:rFonts w:hint="default" w:ascii="Times New Roman" w:hAnsi="Times New Roman" w:eastAsia="宋体" w:cs="Times New Roman"/>
                <w:color w:val="auto"/>
                <w:spacing w:val="-1"/>
                <w:kern w:val="0"/>
                <w:sz w:val="21"/>
                <w:szCs w:val="21"/>
              </w:rPr>
              <w:t>最大质</w:t>
            </w:r>
          </w:p>
          <w:p w14:paraId="62C02871">
            <w:pPr>
              <w:spacing w:before="19" w:line="237" w:lineRule="auto"/>
              <w:ind w:left="297" w:right="49" w:hanging="229"/>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10"/>
                <w:kern w:val="0"/>
                <w:sz w:val="20"/>
                <w:szCs w:val="20"/>
              </w:rPr>
              <w:t>量</w:t>
            </w:r>
            <w:r>
              <w:rPr>
                <w:rFonts w:hint="default" w:ascii="Times New Roman" w:hAnsi="Times New Roman" w:eastAsia="宋体" w:cs="Times New Roman"/>
                <w:color w:val="auto"/>
                <w:spacing w:val="9"/>
                <w:kern w:val="0"/>
                <w:sz w:val="20"/>
                <w:szCs w:val="20"/>
              </w:rPr>
              <w:t>浓度及占标</w:t>
            </w:r>
            <w:r>
              <w:rPr>
                <w:rFonts w:hint="default" w:ascii="Times New Roman" w:hAnsi="Times New Roman" w:eastAsia="宋体" w:cs="Times New Roman"/>
                <w:color w:val="auto"/>
                <w:spacing w:val="31"/>
                <w:kern w:val="0"/>
                <w:sz w:val="20"/>
                <w:szCs w:val="20"/>
              </w:rPr>
              <w:t>率(</w:t>
            </w:r>
            <w:r>
              <w:rPr>
                <w:rFonts w:hint="default" w:ascii="Times New Roman" w:hAnsi="Times New Roman" w:eastAsia="Times New Roman" w:cs="Times New Roman"/>
                <w:color w:val="auto"/>
                <w:spacing w:val="31"/>
                <w:kern w:val="0"/>
                <w:sz w:val="20"/>
                <w:szCs w:val="20"/>
              </w:rPr>
              <w:t>%</w:t>
            </w:r>
            <w:r>
              <w:rPr>
                <w:rFonts w:hint="default" w:ascii="Times New Roman" w:hAnsi="Times New Roman" w:eastAsia="宋体" w:cs="Times New Roman"/>
                <w:color w:val="auto"/>
                <w:spacing w:val="31"/>
                <w:kern w:val="0"/>
                <w:sz w:val="20"/>
                <w:szCs w:val="20"/>
              </w:rPr>
              <w:t>)</w:t>
            </w:r>
          </w:p>
        </w:tc>
        <w:tc>
          <w:tcPr>
            <w:tcW w:w="1027" w:type="dxa"/>
            <w:noWrap w:val="0"/>
            <w:vAlign w:val="top"/>
          </w:tcPr>
          <w:p w14:paraId="79FBCDC9">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0.004544</w:t>
            </w:r>
          </w:p>
        </w:tc>
        <w:tc>
          <w:tcPr>
            <w:tcW w:w="906" w:type="dxa"/>
            <w:noWrap w:val="0"/>
            <w:vAlign w:val="top"/>
          </w:tcPr>
          <w:p w14:paraId="64398666">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0.001345</w:t>
            </w:r>
          </w:p>
        </w:tc>
        <w:tc>
          <w:tcPr>
            <w:tcW w:w="1208" w:type="dxa"/>
            <w:noWrap w:val="0"/>
            <w:vAlign w:val="top"/>
          </w:tcPr>
          <w:p w14:paraId="57119C94">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0.017364</w:t>
            </w:r>
          </w:p>
        </w:tc>
        <w:tc>
          <w:tcPr>
            <w:tcW w:w="1219" w:type="dxa"/>
            <w:noWrap w:val="0"/>
            <w:vAlign w:val="top"/>
          </w:tcPr>
          <w:p w14:paraId="6D7ABABF">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1.70E-08</w:t>
            </w:r>
          </w:p>
        </w:tc>
        <w:tc>
          <w:tcPr>
            <w:tcW w:w="910" w:type="dxa"/>
            <w:noWrap w:val="0"/>
            <w:vAlign w:val="top"/>
          </w:tcPr>
          <w:p w14:paraId="776D8256">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0.91</w:t>
            </w:r>
          </w:p>
        </w:tc>
        <w:tc>
          <w:tcPr>
            <w:tcW w:w="709" w:type="dxa"/>
            <w:noWrap w:val="0"/>
            <w:vAlign w:val="top"/>
          </w:tcPr>
          <w:p w14:paraId="1EDEB9ED">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0.30</w:t>
            </w:r>
          </w:p>
        </w:tc>
        <w:tc>
          <w:tcPr>
            <w:tcW w:w="754" w:type="dxa"/>
            <w:noWrap w:val="0"/>
            <w:vAlign w:val="top"/>
          </w:tcPr>
          <w:p w14:paraId="0FEB132C">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6.95</w:t>
            </w:r>
          </w:p>
        </w:tc>
        <w:tc>
          <w:tcPr>
            <w:tcW w:w="574" w:type="dxa"/>
            <w:tcBorders>
              <w:right w:val="nil"/>
            </w:tcBorders>
            <w:noWrap w:val="0"/>
            <w:vAlign w:val="top"/>
          </w:tcPr>
          <w:p w14:paraId="328AAA76">
            <w:pPr>
              <w:spacing w:before="68" w:line="254" w:lineRule="auto"/>
              <w:ind w:left="52" w:leftChars="0" w:right="9" w:rightChars="0" w:hanging="20" w:firstLineChars="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3"/>
                <w:kern w:val="0"/>
                <w:sz w:val="21"/>
                <w:szCs w:val="21"/>
              </w:rPr>
              <w:t>0.23</w:t>
            </w:r>
          </w:p>
        </w:tc>
      </w:tr>
      <w:tr w14:paraId="00E59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4" w:type="pct"/>
            <w:gridSpan w:val="2"/>
            <w:tcBorders>
              <w:left w:val="nil"/>
            </w:tcBorders>
            <w:noWrap w:val="0"/>
            <w:vAlign w:val="top"/>
          </w:tcPr>
          <w:p w14:paraId="4B0C2358">
            <w:pPr>
              <w:spacing w:before="19" w:line="237" w:lineRule="auto"/>
              <w:ind w:left="297" w:right="49" w:hanging="229"/>
              <w:jc w:val="left"/>
              <w:rPr>
                <w:rFonts w:hint="default" w:ascii="Times New Roman" w:hAnsi="Times New Roman" w:eastAsia="宋体" w:cs="Times New Roman"/>
                <w:color w:val="auto"/>
                <w:spacing w:val="10"/>
                <w:kern w:val="0"/>
                <w:sz w:val="20"/>
                <w:szCs w:val="20"/>
              </w:rPr>
            </w:pPr>
            <w:r>
              <w:rPr>
                <w:rFonts w:hint="default" w:ascii="Times New Roman" w:hAnsi="Times New Roman" w:eastAsia="宋体" w:cs="Times New Roman"/>
                <w:color w:val="auto"/>
                <w:spacing w:val="-2"/>
                <w:kern w:val="0"/>
                <w:sz w:val="21"/>
                <w:szCs w:val="21"/>
              </w:rPr>
              <w:t>最</w:t>
            </w:r>
            <w:r>
              <w:rPr>
                <w:rFonts w:hint="default" w:ascii="Times New Roman" w:hAnsi="Times New Roman" w:eastAsia="宋体" w:cs="Times New Roman"/>
                <w:color w:val="auto"/>
                <w:spacing w:val="-1"/>
                <w:kern w:val="0"/>
                <w:sz w:val="21"/>
                <w:szCs w:val="21"/>
              </w:rPr>
              <w:t>大浓度出现距离</w:t>
            </w:r>
            <w:r>
              <w:rPr>
                <w:rFonts w:hint="default" w:ascii="Times New Roman" w:hAnsi="Times New Roman" w:eastAsia="Times New Roman" w:cs="Times New Roman"/>
                <w:color w:val="auto"/>
                <w:spacing w:val="-1"/>
                <w:kern w:val="0"/>
                <w:sz w:val="21"/>
                <w:szCs w:val="21"/>
              </w:rPr>
              <w:t>/m</w:t>
            </w:r>
          </w:p>
        </w:tc>
        <w:tc>
          <w:tcPr>
            <w:tcW w:w="4185" w:type="pct"/>
            <w:gridSpan w:val="8"/>
            <w:tcBorders>
              <w:right w:val="nil"/>
            </w:tcBorders>
            <w:noWrap w:val="0"/>
            <w:vAlign w:val="top"/>
          </w:tcPr>
          <w:p w14:paraId="6086E3ED">
            <w:pPr>
              <w:spacing w:before="60" w:line="187" w:lineRule="auto"/>
              <w:ind w:left="97"/>
              <w:jc w:val="center"/>
              <w:rPr>
                <w:rFonts w:hint="default" w:ascii="Times New Roman" w:hAnsi="Times New Roman" w:eastAsia="宋体" w:cs="Times New Roman"/>
                <w:color w:val="auto"/>
                <w:spacing w:val="-2"/>
                <w:kern w:val="0"/>
                <w:sz w:val="21"/>
                <w:szCs w:val="21"/>
                <w:lang w:val="en-US" w:eastAsia="zh-CN"/>
              </w:rPr>
            </w:pPr>
            <w:r>
              <w:rPr>
                <w:rFonts w:hint="default" w:ascii="Times New Roman" w:hAnsi="Times New Roman" w:eastAsia="宋体" w:cs="Times New Roman"/>
                <w:color w:val="auto"/>
                <w:spacing w:val="-2"/>
                <w:kern w:val="0"/>
                <w:sz w:val="21"/>
                <w:szCs w:val="21"/>
                <w:lang w:val="en-US" w:eastAsia="zh-CN"/>
              </w:rPr>
              <w:t>81m</w:t>
            </w:r>
          </w:p>
        </w:tc>
      </w:tr>
    </w:tbl>
    <w:p w14:paraId="2335768F">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p w14:paraId="3FBC0A9E">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表4-3无组织废气在评价范围内不同距离处的最大落地浓度表</w:t>
      </w:r>
    </w:p>
    <w:tbl>
      <w:tblPr>
        <w:tblStyle w:val="144"/>
        <w:tblW w:w="5000"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824"/>
        <w:gridCol w:w="1747"/>
        <w:gridCol w:w="1362"/>
        <w:gridCol w:w="1467"/>
        <w:gridCol w:w="1331"/>
      </w:tblGrid>
      <w:tr w14:paraId="4AA7EA8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17" w:type="pct"/>
            <w:vMerge w:val="restart"/>
            <w:tcBorders>
              <w:tl2br w:val="nil"/>
              <w:tr2bl w:val="nil"/>
            </w:tcBorders>
            <w:noWrap w:val="0"/>
            <w:vAlign w:val="top"/>
          </w:tcPr>
          <w:p w14:paraId="06C0BE31">
            <w:pPr>
              <w:spacing w:line="259" w:lineRule="auto"/>
              <w:jc w:val="center"/>
              <w:rPr>
                <w:rFonts w:hint="default" w:ascii="Times New Roman" w:hAnsi="Times New Roman" w:cs="Times New Roman"/>
                <w:color w:val="auto"/>
                <w:kern w:val="0"/>
                <w:sz w:val="21"/>
                <w:szCs w:val="20"/>
              </w:rPr>
            </w:pPr>
          </w:p>
          <w:p w14:paraId="6BBF8BCD">
            <w:pPr>
              <w:spacing w:before="68" w:line="191" w:lineRule="auto"/>
              <w:ind w:left="91"/>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距源</w:t>
            </w:r>
            <w:r>
              <w:rPr>
                <w:rFonts w:hint="default" w:ascii="Times New Roman" w:hAnsi="Times New Roman" w:eastAsia="宋体" w:cs="Times New Roman"/>
                <w:color w:val="auto"/>
                <w:kern w:val="0"/>
                <w:sz w:val="21"/>
                <w:szCs w:val="21"/>
              </w:rPr>
              <w:t>中心下风向距离</w:t>
            </w:r>
          </w:p>
          <w:p w14:paraId="13613E57">
            <w:pPr>
              <w:spacing w:line="285" w:lineRule="exact"/>
              <w:ind w:left="807"/>
              <w:jc w:val="center"/>
              <w:rPr>
                <w:rFonts w:hint="default" w:ascii="Times New Roman" w:hAnsi="Times New Roman" w:eastAsia="Times New Roman" w:cs="Times New Roman"/>
                <w:color w:val="auto"/>
                <w:kern w:val="0"/>
                <w:sz w:val="21"/>
                <w:szCs w:val="21"/>
              </w:rPr>
            </w:pPr>
            <w:r>
              <w:rPr>
                <w:rFonts w:hint="default" w:ascii="Times New Roman" w:hAnsi="Times New Roman" w:eastAsia="Times New Roman" w:cs="Times New Roman"/>
                <w:color w:val="auto"/>
                <w:kern w:val="0"/>
                <w:position w:val="4"/>
                <w:sz w:val="21"/>
                <w:szCs w:val="21"/>
              </w:rPr>
              <w:t>D(m)</w:t>
            </w:r>
          </w:p>
        </w:tc>
        <w:tc>
          <w:tcPr>
            <w:tcW w:w="1780" w:type="pct"/>
            <w:gridSpan w:val="2"/>
            <w:tcBorders>
              <w:tl2br w:val="nil"/>
              <w:tr2bl w:val="nil"/>
            </w:tcBorders>
            <w:noWrap w:val="0"/>
            <w:vAlign w:val="top"/>
          </w:tcPr>
          <w:p w14:paraId="23A620DA">
            <w:pPr>
              <w:spacing w:before="109" w:line="221" w:lineRule="auto"/>
              <w:ind w:left="82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颗</w:t>
            </w:r>
            <w:r>
              <w:rPr>
                <w:rFonts w:hint="default" w:ascii="Times New Roman" w:hAnsi="Times New Roman" w:eastAsia="宋体" w:cs="Times New Roman"/>
                <w:color w:val="auto"/>
                <w:kern w:val="0"/>
                <w:sz w:val="21"/>
                <w:szCs w:val="21"/>
              </w:rPr>
              <w:t>粒物</w:t>
            </w:r>
          </w:p>
        </w:tc>
        <w:tc>
          <w:tcPr>
            <w:tcW w:w="1602" w:type="pct"/>
            <w:gridSpan w:val="2"/>
            <w:tcBorders>
              <w:tl2br w:val="nil"/>
              <w:tr2bl w:val="nil"/>
            </w:tcBorders>
            <w:noWrap w:val="0"/>
            <w:vAlign w:val="top"/>
          </w:tcPr>
          <w:p w14:paraId="4464FE0A">
            <w:pPr>
              <w:spacing w:before="70" w:line="286" w:lineRule="exact"/>
              <w:ind w:left="597"/>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position w:val="2"/>
                <w:sz w:val="21"/>
                <w:szCs w:val="21"/>
              </w:rPr>
              <w:t>苯并</w:t>
            </w:r>
            <w:r>
              <w:rPr>
                <w:rFonts w:hint="default" w:ascii="Times New Roman" w:hAnsi="Times New Roman" w:eastAsia="Times New Roman" w:cs="Times New Roman"/>
                <w:color w:val="auto"/>
                <w:spacing w:val="-1"/>
                <w:kern w:val="0"/>
                <w:position w:val="2"/>
                <w:sz w:val="21"/>
                <w:szCs w:val="21"/>
              </w:rPr>
              <w:t>[a]</w:t>
            </w:r>
            <w:r>
              <w:rPr>
                <w:rFonts w:hint="default" w:ascii="Times New Roman" w:hAnsi="Times New Roman" w:eastAsia="宋体" w:cs="Times New Roman"/>
                <w:color w:val="auto"/>
                <w:spacing w:val="-1"/>
                <w:kern w:val="0"/>
                <w:position w:val="2"/>
                <w:sz w:val="21"/>
                <w:szCs w:val="21"/>
              </w:rPr>
              <w:t>芘</w:t>
            </w:r>
          </w:p>
        </w:tc>
      </w:tr>
      <w:tr w14:paraId="4126012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617" w:type="pct"/>
            <w:vMerge w:val="continue"/>
            <w:tcBorders>
              <w:tl2br w:val="nil"/>
              <w:tr2bl w:val="nil"/>
            </w:tcBorders>
            <w:noWrap w:val="0"/>
            <w:vAlign w:val="top"/>
          </w:tcPr>
          <w:p w14:paraId="30D4BE48">
            <w:pPr>
              <w:jc w:val="center"/>
              <w:rPr>
                <w:rFonts w:hint="default" w:ascii="Times New Roman" w:hAnsi="Times New Roman" w:cs="Times New Roman"/>
                <w:color w:val="auto"/>
                <w:kern w:val="0"/>
                <w:sz w:val="21"/>
                <w:szCs w:val="20"/>
              </w:rPr>
            </w:pPr>
          </w:p>
        </w:tc>
        <w:tc>
          <w:tcPr>
            <w:tcW w:w="1000" w:type="pct"/>
            <w:tcBorders>
              <w:tl2br w:val="nil"/>
              <w:tr2bl w:val="nil"/>
            </w:tcBorders>
            <w:noWrap w:val="0"/>
            <w:vAlign w:val="top"/>
          </w:tcPr>
          <w:p w14:paraId="2C9F7EE7">
            <w:pPr>
              <w:spacing w:before="108" w:line="235" w:lineRule="auto"/>
              <w:ind w:left="289" w:right="209" w:hanging="66"/>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预测</w:t>
            </w:r>
            <w:r>
              <w:rPr>
                <w:rFonts w:hint="default" w:ascii="Times New Roman" w:hAnsi="Times New Roman" w:eastAsia="宋体" w:cs="Times New Roman"/>
                <w:color w:val="auto"/>
                <w:spacing w:val="-1"/>
                <w:kern w:val="0"/>
                <w:sz w:val="21"/>
                <w:szCs w:val="21"/>
              </w:rPr>
              <w:t>浓度</w:t>
            </w:r>
            <w:r>
              <w:rPr>
                <w:rFonts w:hint="default" w:ascii="Times New Roman" w:hAnsi="Times New Roman" w:eastAsia="Times New Roman" w:cs="Times New Roman"/>
                <w:color w:val="auto"/>
                <w:spacing w:val="-1"/>
                <w:kern w:val="0"/>
                <w:sz w:val="21"/>
                <w:szCs w:val="21"/>
              </w:rPr>
              <w:t>(mg/</w:t>
            </w:r>
            <w:r>
              <w:rPr>
                <w:rFonts w:hint="default" w:ascii="Times New Roman" w:hAnsi="Times New Roman" w:eastAsia="Times New Roman" w:cs="Times New Roman"/>
                <w:color w:val="auto"/>
                <w:kern w:val="0"/>
                <w:sz w:val="21"/>
                <w:szCs w:val="21"/>
              </w:rPr>
              <w:t>m</w:t>
            </w:r>
            <w:r>
              <w:rPr>
                <w:rFonts w:hint="default" w:ascii="Times New Roman" w:hAnsi="Times New Roman" w:eastAsia="Times New Roman" w:cs="Times New Roman"/>
                <w:color w:val="auto"/>
                <w:spacing w:val="-1"/>
                <w:kern w:val="0"/>
                <w:position w:val="7"/>
                <w:sz w:val="14"/>
                <w:szCs w:val="14"/>
              </w:rPr>
              <w:t>3</w:t>
            </w:r>
            <w:r>
              <w:rPr>
                <w:rFonts w:hint="default" w:ascii="Times New Roman" w:hAnsi="Times New Roman" w:eastAsia="Times New Roman" w:cs="Times New Roman"/>
                <w:color w:val="auto"/>
                <w:spacing w:val="-1"/>
                <w:kern w:val="0"/>
                <w:sz w:val="21"/>
                <w:szCs w:val="21"/>
              </w:rPr>
              <w:t>)</w:t>
            </w:r>
          </w:p>
        </w:tc>
        <w:tc>
          <w:tcPr>
            <w:tcW w:w="779" w:type="pct"/>
            <w:tcBorders>
              <w:tl2br w:val="nil"/>
              <w:tr2bl w:val="nil"/>
            </w:tcBorders>
            <w:noWrap w:val="0"/>
            <w:vAlign w:val="top"/>
          </w:tcPr>
          <w:p w14:paraId="3604B69A">
            <w:pPr>
              <w:spacing w:before="92" w:line="244" w:lineRule="auto"/>
              <w:ind w:left="242" w:right="68" w:hanging="161"/>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浓</w:t>
            </w:r>
            <w:r>
              <w:rPr>
                <w:rFonts w:hint="default" w:ascii="Times New Roman" w:hAnsi="Times New Roman" w:eastAsia="宋体" w:cs="Times New Roman"/>
                <w:color w:val="auto"/>
                <w:spacing w:val="-1"/>
                <w:kern w:val="0"/>
                <w:sz w:val="21"/>
                <w:szCs w:val="21"/>
              </w:rPr>
              <w:t>度占标</w:t>
            </w:r>
            <w:r>
              <w:rPr>
                <w:rFonts w:hint="default" w:ascii="Times New Roman" w:hAnsi="Times New Roman" w:eastAsia="宋体" w:cs="Times New Roman"/>
                <w:color w:val="auto"/>
                <w:spacing w:val="-2"/>
                <w:kern w:val="0"/>
                <w:sz w:val="21"/>
                <w:szCs w:val="21"/>
              </w:rPr>
              <w:t>率</w:t>
            </w:r>
            <w:r>
              <w:rPr>
                <w:rFonts w:hint="default" w:ascii="Times New Roman" w:hAnsi="Times New Roman" w:eastAsia="Times New Roman" w:cs="Times New Roman"/>
                <w:color w:val="auto"/>
                <w:spacing w:val="-1"/>
                <w:kern w:val="0"/>
                <w:sz w:val="21"/>
                <w:szCs w:val="21"/>
              </w:rPr>
              <w:t>(%)</w:t>
            </w:r>
          </w:p>
        </w:tc>
        <w:tc>
          <w:tcPr>
            <w:tcW w:w="840" w:type="pct"/>
            <w:tcBorders>
              <w:tl2br w:val="nil"/>
              <w:tr2bl w:val="nil"/>
            </w:tcBorders>
            <w:noWrap w:val="0"/>
            <w:vAlign w:val="top"/>
          </w:tcPr>
          <w:p w14:paraId="197B65F7">
            <w:pPr>
              <w:spacing w:before="108" w:line="235" w:lineRule="auto"/>
              <w:ind w:left="194" w:right="104" w:hanging="70"/>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预测</w:t>
            </w:r>
            <w:r>
              <w:rPr>
                <w:rFonts w:hint="default" w:ascii="Times New Roman" w:hAnsi="Times New Roman" w:eastAsia="宋体" w:cs="Times New Roman"/>
                <w:color w:val="auto"/>
                <w:spacing w:val="-1"/>
                <w:kern w:val="0"/>
                <w:sz w:val="21"/>
                <w:szCs w:val="21"/>
              </w:rPr>
              <w:t>浓度</w:t>
            </w:r>
            <w:r>
              <w:rPr>
                <w:rFonts w:hint="default" w:ascii="Times New Roman" w:hAnsi="Times New Roman" w:eastAsia="Times New Roman" w:cs="Times New Roman"/>
                <w:color w:val="auto"/>
                <w:spacing w:val="-1"/>
                <w:kern w:val="0"/>
                <w:sz w:val="21"/>
                <w:szCs w:val="21"/>
              </w:rPr>
              <w:t>(mg/</w:t>
            </w:r>
            <w:r>
              <w:rPr>
                <w:rFonts w:hint="default" w:ascii="Times New Roman" w:hAnsi="Times New Roman" w:eastAsia="Times New Roman" w:cs="Times New Roman"/>
                <w:color w:val="auto"/>
                <w:kern w:val="0"/>
                <w:sz w:val="21"/>
                <w:szCs w:val="21"/>
              </w:rPr>
              <w:t>m</w:t>
            </w:r>
            <w:r>
              <w:rPr>
                <w:rFonts w:hint="default" w:ascii="Times New Roman" w:hAnsi="Times New Roman" w:eastAsia="Times New Roman" w:cs="Times New Roman"/>
                <w:color w:val="auto"/>
                <w:spacing w:val="-1"/>
                <w:kern w:val="0"/>
                <w:position w:val="7"/>
                <w:sz w:val="14"/>
                <w:szCs w:val="14"/>
              </w:rPr>
              <w:t>3</w:t>
            </w:r>
            <w:r>
              <w:rPr>
                <w:rFonts w:hint="default" w:ascii="Times New Roman" w:hAnsi="Times New Roman" w:eastAsia="Times New Roman" w:cs="Times New Roman"/>
                <w:color w:val="auto"/>
                <w:spacing w:val="-1"/>
                <w:kern w:val="0"/>
                <w:sz w:val="21"/>
                <w:szCs w:val="21"/>
              </w:rPr>
              <w:t>)</w:t>
            </w:r>
          </w:p>
        </w:tc>
        <w:tc>
          <w:tcPr>
            <w:tcW w:w="762" w:type="pct"/>
            <w:tcBorders>
              <w:tl2br w:val="nil"/>
              <w:tr2bl w:val="nil"/>
            </w:tcBorders>
            <w:noWrap w:val="0"/>
            <w:vAlign w:val="top"/>
          </w:tcPr>
          <w:p w14:paraId="5E37708A">
            <w:pPr>
              <w:spacing w:before="92" w:line="244" w:lineRule="auto"/>
              <w:ind w:left="231" w:right="56" w:hanging="161"/>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浓</w:t>
            </w:r>
            <w:r>
              <w:rPr>
                <w:rFonts w:hint="default" w:ascii="Times New Roman" w:hAnsi="Times New Roman" w:eastAsia="宋体" w:cs="Times New Roman"/>
                <w:color w:val="auto"/>
                <w:spacing w:val="-1"/>
                <w:kern w:val="0"/>
                <w:sz w:val="21"/>
                <w:szCs w:val="21"/>
              </w:rPr>
              <w:t>度占标</w:t>
            </w:r>
            <w:r>
              <w:rPr>
                <w:rFonts w:hint="default" w:ascii="Times New Roman" w:hAnsi="Times New Roman" w:eastAsia="宋体" w:cs="Times New Roman"/>
                <w:color w:val="auto"/>
                <w:spacing w:val="-2"/>
                <w:kern w:val="0"/>
                <w:sz w:val="21"/>
                <w:szCs w:val="21"/>
              </w:rPr>
              <w:t>率</w:t>
            </w:r>
            <w:r>
              <w:rPr>
                <w:rFonts w:hint="default" w:ascii="Times New Roman" w:hAnsi="Times New Roman" w:eastAsia="Times New Roman" w:cs="Times New Roman"/>
                <w:color w:val="auto"/>
                <w:spacing w:val="-1"/>
                <w:kern w:val="0"/>
                <w:sz w:val="21"/>
                <w:szCs w:val="21"/>
              </w:rPr>
              <w:t>(%)</w:t>
            </w:r>
          </w:p>
        </w:tc>
      </w:tr>
      <w:tr w14:paraId="63EF6AC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617" w:type="pct"/>
            <w:tcBorders>
              <w:tl2br w:val="nil"/>
              <w:tr2bl w:val="nil"/>
            </w:tcBorders>
            <w:noWrap w:val="0"/>
            <w:vAlign w:val="top"/>
          </w:tcPr>
          <w:p w14:paraId="74C0CFEC">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w:t>
            </w:r>
          </w:p>
        </w:tc>
        <w:tc>
          <w:tcPr>
            <w:tcW w:w="1000" w:type="pct"/>
            <w:tcBorders>
              <w:tl2br w:val="nil"/>
              <w:tr2bl w:val="nil"/>
            </w:tcBorders>
            <w:noWrap w:val="0"/>
            <w:vAlign w:val="top"/>
          </w:tcPr>
          <w:p w14:paraId="5B0B2E3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1.95E-03</w:t>
            </w:r>
          </w:p>
        </w:tc>
        <w:tc>
          <w:tcPr>
            <w:tcW w:w="779" w:type="pct"/>
            <w:tcBorders>
              <w:tl2br w:val="nil"/>
              <w:tr2bl w:val="nil"/>
            </w:tcBorders>
            <w:noWrap w:val="0"/>
            <w:vAlign w:val="top"/>
          </w:tcPr>
          <w:p w14:paraId="0679490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0.43</w:t>
            </w:r>
          </w:p>
        </w:tc>
        <w:tc>
          <w:tcPr>
            <w:tcW w:w="840" w:type="pct"/>
            <w:tcBorders>
              <w:tl2br w:val="nil"/>
              <w:tr2bl w:val="nil"/>
            </w:tcBorders>
            <w:noWrap w:val="0"/>
            <w:vAlign w:val="top"/>
          </w:tcPr>
          <w:p w14:paraId="0395BFA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2.12E-07</w:t>
            </w:r>
          </w:p>
        </w:tc>
        <w:tc>
          <w:tcPr>
            <w:tcW w:w="762" w:type="pct"/>
            <w:tcBorders>
              <w:tl2br w:val="nil"/>
              <w:tr2bl w:val="nil"/>
            </w:tcBorders>
            <w:noWrap w:val="0"/>
            <w:vAlign w:val="top"/>
          </w:tcPr>
          <w:p w14:paraId="129FF60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2.83</w:t>
            </w:r>
          </w:p>
        </w:tc>
      </w:tr>
      <w:tr w14:paraId="594438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617" w:type="pct"/>
            <w:tcBorders>
              <w:tl2br w:val="nil"/>
              <w:tr2bl w:val="nil"/>
            </w:tcBorders>
            <w:noWrap w:val="0"/>
            <w:vAlign w:val="top"/>
          </w:tcPr>
          <w:p w14:paraId="16ED117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25</w:t>
            </w:r>
          </w:p>
        </w:tc>
        <w:tc>
          <w:tcPr>
            <w:tcW w:w="1000" w:type="pct"/>
            <w:tcBorders>
              <w:tl2br w:val="nil"/>
              <w:tr2bl w:val="nil"/>
            </w:tcBorders>
            <w:noWrap w:val="0"/>
            <w:vAlign w:val="top"/>
          </w:tcPr>
          <w:p w14:paraId="4881156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2.21E-03</w:t>
            </w:r>
          </w:p>
        </w:tc>
        <w:tc>
          <w:tcPr>
            <w:tcW w:w="779" w:type="pct"/>
            <w:tcBorders>
              <w:tl2br w:val="nil"/>
              <w:tr2bl w:val="nil"/>
            </w:tcBorders>
            <w:noWrap w:val="0"/>
            <w:vAlign w:val="top"/>
          </w:tcPr>
          <w:p w14:paraId="6774AF22">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0.49</w:t>
            </w:r>
          </w:p>
        </w:tc>
        <w:tc>
          <w:tcPr>
            <w:tcW w:w="840" w:type="pct"/>
            <w:tcBorders>
              <w:tl2br w:val="nil"/>
              <w:tr2bl w:val="nil"/>
            </w:tcBorders>
            <w:noWrap w:val="0"/>
            <w:vAlign w:val="top"/>
          </w:tcPr>
          <w:p w14:paraId="275CD65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2.40E-07</w:t>
            </w:r>
          </w:p>
        </w:tc>
        <w:tc>
          <w:tcPr>
            <w:tcW w:w="762" w:type="pct"/>
            <w:tcBorders>
              <w:tl2br w:val="nil"/>
              <w:tr2bl w:val="nil"/>
            </w:tcBorders>
            <w:noWrap w:val="0"/>
            <w:vAlign w:val="top"/>
          </w:tcPr>
          <w:p w14:paraId="4C83706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3.20</w:t>
            </w:r>
          </w:p>
        </w:tc>
      </w:tr>
      <w:tr w14:paraId="2152C9A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617" w:type="pct"/>
            <w:tcBorders>
              <w:tl2br w:val="nil"/>
              <w:tr2bl w:val="nil"/>
            </w:tcBorders>
            <w:noWrap w:val="0"/>
            <w:vAlign w:val="top"/>
          </w:tcPr>
          <w:p w14:paraId="405EB41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50</w:t>
            </w:r>
          </w:p>
        </w:tc>
        <w:tc>
          <w:tcPr>
            <w:tcW w:w="1000" w:type="pct"/>
            <w:tcBorders>
              <w:tl2br w:val="nil"/>
              <w:tr2bl w:val="nil"/>
            </w:tcBorders>
            <w:noWrap w:val="0"/>
            <w:vAlign w:val="top"/>
          </w:tcPr>
          <w:p w14:paraId="651A4A84">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2.65E-03</w:t>
            </w:r>
          </w:p>
        </w:tc>
        <w:tc>
          <w:tcPr>
            <w:tcW w:w="779" w:type="pct"/>
            <w:tcBorders>
              <w:tl2br w:val="nil"/>
              <w:tr2bl w:val="nil"/>
            </w:tcBorders>
            <w:noWrap w:val="0"/>
            <w:vAlign w:val="top"/>
          </w:tcPr>
          <w:p w14:paraId="68FEEF04">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0.59</w:t>
            </w:r>
          </w:p>
        </w:tc>
        <w:tc>
          <w:tcPr>
            <w:tcW w:w="840" w:type="pct"/>
            <w:tcBorders>
              <w:tl2br w:val="nil"/>
              <w:tr2bl w:val="nil"/>
            </w:tcBorders>
            <w:noWrap w:val="0"/>
            <w:vAlign w:val="top"/>
          </w:tcPr>
          <w:p w14:paraId="032C710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2.89E-07</w:t>
            </w:r>
          </w:p>
        </w:tc>
        <w:tc>
          <w:tcPr>
            <w:tcW w:w="762" w:type="pct"/>
            <w:tcBorders>
              <w:tl2br w:val="nil"/>
              <w:tr2bl w:val="nil"/>
            </w:tcBorders>
            <w:noWrap w:val="0"/>
            <w:vAlign w:val="top"/>
          </w:tcPr>
          <w:p w14:paraId="09FDE8F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3.85</w:t>
            </w:r>
          </w:p>
        </w:tc>
      </w:tr>
      <w:tr w14:paraId="00C5C57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617" w:type="pct"/>
            <w:tcBorders>
              <w:tl2br w:val="nil"/>
              <w:tr2bl w:val="nil"/>
            </w:tcBorders>
            <w:noWrap w:val="0"/>
            <w:vAlign w:val="top"/>
          </w:tcPr>
          <w:p w14:paraId="039A7000">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75</w:t>
            </w:r>
          </w:p>
        </w:tc>
        <w:tc>
          <w:tcPr>
            <w:tcW w:w="1000" w:type="pct"/>
            <w:tcBorders>
              <w:tl2br w:val="nil"/>
              <w:tr2bl w:val="nil"/>
            </w:tcBorders>
            <w:noWrap w:val="0"/>
            <w:vAlign w:val="top"/>
          </w:tcPr>
          <w:p w14:paraId="346050E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3.09E-03</w:t>
            </w:r>
          </w:p>
        </w:tc>
        <w:tc>
          <w:tcPr>
            <w:tcW w:w="779" w:type="pct"/>
            <w:tcBorders>
              <w:tl2br w:val="nil"/>
              <w:tr2bl w:val="nil"/>
            </w:tcBorders>
            <w:noWrap w:val="0"/>
            <w:vAlign w:val="top"/>
          </w:tcPr>
          <w:p w14:paraId="0FCB7CB9">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0.69</w:t>
            </w:r>
          </w:p>
        </w:tc>
        <w:tc>
          <w:tcPr>
            <w:tcW w:w="840" w:type="pct"/>
            <w:tcBorders>
              <w:tl2br w:val="nil"/>
              <w:tr2bl w:val="nil"/>
            </w:tcBorders>
            <w:noWrap w:val="0"/>
            <w:vAlign w:val="top"/>
          </w:tcPr>
          <w:p w14:paraId="222C337A">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3.36E-07</w:t>
            </w:r>
          </w:p>
        </w:tc>
        <w:tc>
          <w:tcPr>
            <w:tcW w:w="762" w:type="pct"/>
            <w:tcBorders>
              <w:tl2br w:val="nil"/>
              <w:tr2bl w:val="nil"/>
            </w:tcBorders>
            <w:noWrap w:val="0"/>
            <w:vAlign w:val="top"/>
          </w:tcPr>
          <w:p w14:paraId="58C2D1E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4.48</w:t>
            </w:r>
          </w:p>
        </w:tc>
      </w:tr>
      <w:tr w14:paraId="7E1BB1E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5099DBF9">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100</w:t>
            </w:r>
          </w:p>
        </w:tc>
        <w:tc>
          <w:tcPr>
            <w:tcW w:w="1000" w:type="pct"/>
            <w:tcBorders>
              <w:tl2br w:val="nil"/>
              <w:tr2bl w:val="nil"/>
            </w:tcBorders>
            <w:noWrap w:val="0"/>
            <w:vAlign w:val="top"/>
          </w:tcPr>
          <w:p w14:paraId="2114F3A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3.52E-03</w:t>
            </w:r>
          </w:p>
        </w:tc>
        <w:tc>
          <w:tcPr>
            <w:tcW w:w="779" w:type="pct"/>
            <w:tcBorders>
              <w:tl2br w:val="nil"/>
              <w:tr2bl w:val="nil"/>
            </w:tcBorders>
            <w:noWrap w:val="0"/>
            <w:vAlign w:val="top"/>
          </w:tcPr>
          <w:p w14:paraId="14B48E3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0.78</w:t>
            </w:r>
          </w:p>
        </w:tc>
        <w:tc>
          <w:tcPr>
            <w:tcW w:w="840" w:type="pct"/>
            <w:tcBorders>
              <w:tl2br w:val="nil"/>
              <w:tr2bl w:val="nil"/>
            </w:tcBorders>
            <w:noWrap w:val="0"/>
            <w:vAlign w:val="top"/>
          </w:tcPr>
          <w:p w14:paraId="25816CC6">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3.83E-07</w:t>
            </w:r>
          </w:p>
        </w:tc>
        <w:tc>
          <w:tcPr>
            <w:tcW w:w="762" w:type="pct"/>
            <w:tcBorders>
              <w:tl2br w:val="nil"/>
              <w:tr2bl w:val="nil"/>
            </w:tcBorders>
            <w:noWrap w:val="0"/>
            <w:vAlign w:val="top"/>
          </w:tcPr>
          <w:p w14:paraId="7A513B1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5.10</w:t>
            </w:r>
          </w:p>
        </w:tc>
      </w:tr>
      <w:tr w14:paraId="49B5856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617" w:type="pct"/>
            <w:tcBorders>
              <w:tl2br w:val="nil"/>
              <w:tr2bl w:val="nil"/>
            </w:tcBorders>
            <w:noWrap w:val="0"/>
            <w:vAlign w:val="top"/>
          </w:tcPr>
          <w:p w14:paraId="71361C1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125</w:t>
            </w:r>
          </w:p>
        </w:tc>
        <w:tc>
          <w:tcPr>
            <w:tcW w:w="1000" w:type="pct"/>
            <w:tcBorders>
              <w:tl2br w:val="nil"/>
              <w:tr2bl w:val="nil"/>
            </w:tcBorders>
            <w:noWrap w:val="0"/>
            <w:vAlign w:val="top"/>
          </w:tcPr>
          <w:p w14:paraId="43BFF8D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3.94E-03</w:t>
            </w:r>
          </w:p>
        </w:tc>
        <w:tc>
          <w:tcPr>
            <w:tcW w:w="779" w:type="pct"/>
            <w:tcBorders>
              <w:tl2br w:val="nil"/>
              <w:tr2bl w:val="nil"/>
            </w:tcBorders>
            <w:noWrap w:val="0"/>
            <w:vAlign w:val="top"/>
          </w:tcPr>
          <w:p w14:paraId="0A6FD100">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0.88</w:t>
            </w:r>
          </w:p>
        </w:tc>
        <w:tc>
          <w:tcPr>
            <w:tcW w:w="840" w:type="pct"/>
            <w:tcBorders>
              <w:tl2br w:val="nil"/>
              <w:tr2bl w:val="nil"/>
            </w:tcBorders>
            <w:noWrap w:val="0"/>
            <w:vAlign w:val="top"/>
          </w:tcPr>
          <w:p w14:paraId="24D5F42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4.28E-07</w:t>
            </w:r>
          </w:p>
        </w:tc>
        <w:tc>
          <w:tcPr>
            <w:tcW w:w="762" w:type="pct"/>
            <w:tcBorders>
              <w:tl2br w:val="nil"/>
              <w:tr2bl w:val="nil"/>
            </w:tcBorders>
            <w:noWrap w:val="0"/>
            <w:vAlign w:val="top"/>
          </w:tcPr>
          <w:p w14:paraId="5CC5365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5.71</w:t>
            </w:r>
          </w:p>
        </w:tc>
      </w:tr>
      <w:tr w14:paraId="052C642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489EEEA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150</w:t>
            </w:r>
          </w:p>
        </w:tc>
        <w:tc>
          <w:tcPr>
            <w:tcW w:w="1000" w:type="pct"/>
            <w:tcBorders>
              <w:tl2br w:val="nil"/>
              <w:tr2bl w:val="nil"/>
            </w:tcBorders>
            <w:noWrap w:val="0"/>
            <w:vAlign w:val="top"/>
          </w:tcPr>
          <w:p w14:paraId="4B27E458">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4.28E-03</w:t>
            </w:r>
          </w:p>
        </w:tc>
        <w:tc>
          <w:tcPr>
            <w:tcW w:w="779" w:type="pct"/>
            <w:tcBorders>
              <w:tl2br w:val="nil"/>
              <w:tr2bl w:val="nil"/>
            </w:tcBorders>
            <w:noWrap w:val="0"/>
            <w:vAlign w:val="top"/>
          </w:tcPr>
          <w:p w14:paraId="3F479D80">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0.95</w:t>
            </w:r>
          </w:p>
        </w:tc>
        <w:tc>
          <w:tcPr>
            <w:tcW w:w="840" w:type="pct"/>
            <w:tcBorders>
              <w:tl2br w:val="nil"/>
              <w:tr2bl w:val="nil"/>
            </w:tcBorders>
            <w:noWrap w:val="0"/>
            <w:vAlign w:val="top"/>
          </w:tcPr>
          <w:p w14:paraId="17D9CF19">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4.65E-07</w:t>
            </w:r>
          </w:p>
        </w:tc>
        <w:tc>
          <w:tcPr>
            <w:tcW w:w="762" w:type="pct"/>
            <w:tcBorders>
              <w:tl2br w:val="nil"/>
              <w:tr2bl w:val="nil"/>
            </w:tcBorders>
            <w:noWrap w:val="0"/>
            <w:vAlign w:val="top"/>
          </w:tcPr>
          <w:p w14:paraId="2022D11C">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6.20</w:t>
            </w:r>
          </w:p>
        </w:tc>
      </w:tr>
      <w:tr w14:paraId="6B21C52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34A712A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rPr>
              <w:t>175</w:t>
            </w:r>
          </w:p>
        </w:tc>
        <w:tc>
          <w:tcPr>
            <w:tcW w:w="1000" w:type="pct"/>
            <w:tcBorders>
              <w:tl2br w:val="nil"/>
              <w:tr2bl w:val="nil"/>
            </w:tcBorders>
            <w:noWrap w:val="0"/>
            <w:vAlign w:val="top"/>
          </w:tcPr>
          <w:p w14:paraId="17E3D246">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4.50E-03</w:t>
            </w:r>
          </w:p>
        </w:tc>
        <w:tc>
          <w:tcPr>
            <w:tcW w:w="779" w:type="pct"/>
            <w:tcBorders>
              <w:tl2br w:val="nil"/>
              <w:tr2bl w:val="nil"/>
            </w:tcBorders>
            <w:noWrap w:val="0"/>
            <w:vAlign w:val="top"/>
          </w:tcPr>
          <w:p w14:paraId="4CBDE048">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1.00</w:t>
            </w:r>
          </w:p>
        </w:tc>
        <w:tc>
          <w:tcPr>
            <w:tcW w:w="840" w:type="pct"/>
            <w:tcBorders>
              <w:tl2br w:val="nil"/>
              <w:tr2bl w:val="nil"/>
            </w:tcBorders>
            <w:noWrap w:val="0"/>
            <w:vAlign w:val="top"/>
          </w:tcPr>
          <w:p w14:paraId="38DD44D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4.89E-07</w:t>
            </w:r>
          </w:p>
        </w:tc>
        <w:tc>
          <w:tcPr>
            <w:tcW w:w="762" w:type="pct"/>
            <w:tcBorders>
              <w:tl2br w:val="nil"/>
              <w:tr2bl w:val="nil"/>
            </w:tcBorders>
            <w:noWrap w:val="0"/>
            <w:vAlign w:val="top"/>
          </w:tcPr>
          <w:p w14:paraId="6357A78B">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6.52</w:t>
            </w:r>
          </w:p>
        </w:tc>
      </w:tr>
      <w:tr w14:paraId="090E68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42172186">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lang w:val="en-US" w:eastAsia="zh-CN"/>
              </w:rPr>
            </w:pPr>
            <w:r>
              <w:rPr>
                <w:rFonts w:hint="default" w:ascii="Times New Roman" w:hAnsi="Times New Roman" w:eastAsia="宋体" w:cs="Times New Roman"/>
                <w:color w:val="auto"/>
                <w:spacing w:val="-3"/>
                <w:kern w:val="0"/>
                <w:sz w:val="21"/>
                <w:szCs w:val="21"/>
                <w:lang w:val="en-US" w:eastAsia="zh-CN"/>
              </w:rPr>
              <w:t>199</w:t>
            </w:r>
          </w:p>
        </w:tc>
        <w:tc>
          <w:tcPr>
            <w:tcW w:w="1000" w:type="pct"/>
            <w:tcBorders>
              <w:tl2br w:val="nil"/>
              <w:tr2bl w:val="nil"/>
            </w:tcBorders>
            <w:noWrap w:val="0"/>
            <w:vAlign w:val="top"/>
          </w:tcPr>
          <w:p w14:paraId="55FF1D9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4.56E-03</w:t>
            </w:r>
          </w:p>
        </w:tc>
        <w:tc>
          <w:tcPr>
            <w:tcW w:w="779" w:type="pct"/>
            <w:tcBorders>
              <w:tl2br w:val="nil"/>
              <w:tr2bl w:val="nil"/>
            </w:tcBorders>
            <w:noWrap w:val="0"/>
            <w:vAlign w:val="top"/>
          </w:tcPr>
          <w:p w14:paraId="383D0CE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1.01</w:t>
            </w:r>
          </w:p>
        </w:tc>
        <w:tc>
          <w:tcPr>
            <w:tcW w:w="840" w:type="pct"/>
            <w:tcBorders>
              <w:tl2br w:val="nil"/>
              <w:tr2bl w:val="nil"/>
            </w:tcBorders>
            <w:noWrap w:val="0"/>
            <w:vAlign w:val="top"/>
          </w:tcPr>
          <w:p w14:paraId="5D8801E1">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4.96E-07</w:t>
            </w:r>
          </w:p>
        </w:tc>
        <w:tc>
          <w:tcPr>
            <w:tcW w:w="762" w:type="pct"/>
            <w:tcBorders>
              <w:tl2br w:val="nil"/>
              <w:tr2bl w:val="nil"/>
            </w:tcBorders>
            <w:noWrap w:val="0"/>
            <w:vAlign w:val="top"/>
          </w:tcPr>
          <w:p w14:paraId="74DFFD6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6.61</w:t>
            </w:r>
          </w:p>
        </w:tc>
      </w:tr>
      <w:tr w14:paraId="7334DBD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1DD38D0A">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200</w:t>
            </w:r>
          </w:p>
        </w:tc>
        <w:tc>
          <w:tcPr>
            <w:tcW w:w="1000" w:type="pct"/>
            <w:tcBorders>
              <w:tl2br w:val="nil"/>
              <w:tr2bl w:val="nil"/>
            </w:tcBorders>
            <w:noWrap w:val="0"/>
            <w:vAlign w:val="top"/>
          </w:tcPr>
          <w:p w14:paraId="3DA3A7E1">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4.56E-03</w:t>
            </w:r>
          </w:p>
        </w:tc>
        <w:tc>
          <w:tcPr>
            <w:tcW w:w="779" w:type="pct"/>
            <w:tcBorders>
              <w:tl2br w:val="nil"/>
              <w:tr2bl w:val="nil"/>
            </w:tcBorders>
            <w:noWrap w:val="0"/>
            <w:vAlign w:val="top"/>
          </w:tcPr>
          <w:p w14:paraId="0208D20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1.01</w:t>
            </w:r>
          </w:p>
        </w:tc>
        <w:tc>
          <w:tcPr>
            <w:tcW w:w="840" w:type="pct"/>
            <w:tcBorders>
              <w:tl2br w:val="nil"/>
              <w:tr2bl w:val="nil"/>
            </w:tcBorders>
            <w:noWrap w:val="0"/>
            <w:vAlign w:val="top"/>
          </w:tcPr>
          <w:p w14:paraId="3919A93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4.96E-07</w:t>
            </w:r>
          </w:p>
        </w:tc>
        <w:tc>
          <w:tcPr>
            <w:tcW w:w="762" w:type="pct"/>
            <w:tcBorders>
              <w:tl2br w:val="nil"/>
              <w:tr2bl w:val="nil"/>
            </w:tcBorders>
            <w:noWrap w:val="0"/>
            <w:vAlign w:val="top"/>
          </w:tcPr>
          <w:p w14:paraId="2BDBE983">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6.61</w:t>
            </w:r>
          </w:p>
        </w:tc>
      </w:tr>
      <w:tr w14:paraId="5A7944F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3843C90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225</w:t>
            </w:r>
          </w:p>
        </w:tc>
        <w:tc>
          <w:tcPr>
            <w:tcW w:w="1000" w:type="pct"/>
            <w:tcBorders>
              <w:tl2br w:val="nil"/>
              <w:tr2bl w:val="nil"/>
            </w:tcBorders>
            <w:noWrap w:val="0"/>
            <w:vAlign w:val="top"/>
          </w:tcPr>
          <w:p w14:paraId="4980DC2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4.50E-03</w:t>
            </w:r>
          </w:p>
        </w:tc>
        <w:tc>
          <w:tcPr>
            <w:tcW w:w="779" w:type="pct"/>
            <w:tcBorders>
              <w:tl2br w:val="nil"/>
              <w:tr2bl w:val="nil"/>
            </w:tcBorders>
            <w:noWrap w:val="0"/>
            <w:vAlign w:val="top"/>
          </w:tcPr>
          <w:p w14:paraId="705C081E">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1.00</w:t>
            </w:r>
          </w:p>
        </w:tc>
        <w:tc>
          <w:tcPr>
            <w:tcW w:w="840" w:type="pct"/>
            <w:tcBorders>
              <w:tl2br w:val="nil"/>
              <w:tr2bl w:val="nil"/>
            </w:tcBorders>
            <w:noWrap w:val="0"/>
            <w:vAlign w:val="top"/>
          </w:tcPr>
          <w:p w14:paraId="3E03F8B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4.89E-07</w:t>
            </w:r>
          </w:p>
        </w:tc>
        <w:tc>
          <w:tcPr>
            <w:tcW w:w="762" w:type="pct"/>
            <w:tcBorders>
              <w:tl2br w:val="nil"/>
              <w:tr2bl w:val="nil"/>
            </w:tcBorders>
            <w:noWrap w:val="0"/>
            <w:vAlign w:val="top"/>
          </w:tcPr>
          <w:p w14:paraId="2E41AB6B">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6.52</w:t>
            </w:r>
          </w:p>
        </w:tc>
      </w:tr>
      <w:tr w14:paraId="661EB8D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617" w:type="pct"/>
            <w:tcBorders>
              <w:tl2br w:val="nil"/>
              <w:tr2bl w:val="nil"/>
            </w:tcBorders>
            <w:noWrap w:val="0"/>
            <w:vAlign w:val="top"/>
          </w:tcPr>
          <w:p w14:paraId="33FD122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250</w:t>
            </w:r>
          </w:p>
        </w:tc>
        <w:tc>
          <w:tcPr>
            <w:tcW w:w="1000" w:type="pct"/>
            <w:tcBorders>
              <w:tl2br w:val="nil"/>
              <w:tr2bl w:val="nil"/>
            </w:tcBorders>
            <w:noWrap w:val="0"/>
            <w:vAlign w:val="top"/>
          </w:tcPr>
          <w:p w14:paraId="3E3AB562">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4.40E-03</w:t>
            </w:r>
          </w:p>
        </w:tc>
        <w:tc>
          <w:tcPr>
            <w:tcW w:w="779" w:type="pct"/>
            <w:tcBorders>
              <w:tl2br w:val="nil"/>
              <w:tr2bl w:val="nil"/>
            </w:tcBorders>
            <w:noWrap w:val="0"/>
            <w:vAlign w:val="top"/>
          </w:tcPr>
          <w:p w14:paraId="31F53DBD">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0.98</w:t>
            </w:r>
          </w:p>
        </w:tc>
        <w:tc>
          <w:tcPr>
            <w:tcW w:w="840" w:type="pct"/>
            <w:tcBorders>
              <w:tl2br w:val="nil"/>
              <w:tr2bl w:val="nil"/>
            </w:tcBorders>
            <w:noWrap w:val="0"/>
            <w:vAlign w:val="top"/>
          </w:tcPr>
          <w:p w14:paraId="3200F006">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4.78E-07</w:t>
            </w:r>
          </w:p>
        </w:tc>
        <w:tc>
          <w:tcPr>
            <w:tcW w:w="762" w:type="pct"/>
            <w:tcBorders>
              <w:tl2br w:val="nil"/>
              <w:tr2bl w:val="nil"/>
            </w:tcBorders>
            <w:noWrap w:val="0"/>
            <w:vAlign w:val="top"/>
          </w:tcPr>
          <w:p w14:paraId="4FBC8EC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6.37</w:t>
            </w:r>
          </w:p>
        </w:tc>
      </w:tr>
      <w:tr w14:paraId="69D037F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617" w:type="pct"/>
            <w:tcBorders>
              <w:tl2br w:val="nil"/>
              <w:tr2bl w:val="nil"/>
            </w:tcBorders>
            <w:noWrap w:val="0"/>
            <w:vAlign w:val="top"/>
          </w:tcPr>
          <w:p w14:paraId="409D6958">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下风向最大质量浓度及占标率/%</w:t>
            </w:r>
          </w:p>
        </w:tc>
        <w:tc>
          <w:tcPr>
            <w:tcW w:w="1747" w:type="dxa"/>
            <w:tcBorders>
              <w:tl2br w:val="nil"/>
              <w:tr2bl w:val="nil"/>
            </w:tcBorders>
            <w:noWrap w:val="0"/>
            <w:vAlign w:val="top"/>
          </w:tcPr>
          <w:p w14:paraId="6592C647">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4.56E-03</w:t>
            </w:r>
          </w:p>
        </w:tc>
        <w:tc>
          <w:tcPr>
            <w:tcW w:w="1362" w:type="dxa"/>
            <w:tcBorders>
              <w:tl2br w:val="nil"/>
              <w:tr2bl w:val="nil"/>
            </w:tcBorders>
            <w:noWrap w:val="0"/>
            <w:vAlign w:val="top"/>
          </w:tcPr>
          <w:p w14:paraId="72558090">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1.01</w:t>
            </w:r>
          </w:p>
        </w:tc>
        <w:tc>
          <w:tcPr>
            <w:tcW w:w="1467" w:type="dxa"/>
            <w:tcBorders>
              <w:tl2br w:val="nil"/>
              <w:tr2bl w:val="nil"/>
            </w:tcBorders>
            <w:noWrap w:val="0"/>
            <w:vAlign w:val="top"/>
          </w:tcPr>
          <w:p w14:paraId="5CAC2705">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4.96E-07</w:t>
            </w:r>
          </w:p>
        </w:tc>
        <w:tc>
          <w:tcPr>
            <w:tcW w:w="1331" w:type="dxa"/>
            <w:tcBorders>
              <w:tl2br w:val="nil"/>
              <w:tr2bl w:val="nil"/>
            </w:tcBorders>
            <w:noWrap w:val="0"/>
            <w:vAlign w:val="top"/>
          </w:tcPr>
          <w:p w14:paraId="04C774C1">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6.61</w:t>
            </w:r>
          </w:p>
        </w:tc>
      </w:tr>
      <w:tr w14:paraId="2F4214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617" w:type="pct"/>
            <w:tcBorders>
              <w:tl2br w:val="nil"/>
              <w:tr2bl w:val="nil"/>
            </w:tcBorders>
            <w:noWrap w:val="0"/>
            <w:vAlign w:val="top"/>
          </w:tcPr>
          <w:p w14:paraId="401FACE9">
            <w:pPr>
              <w:spacing w:before="94" w:line="253" w:lineRule="auto"/>
              <w:ind w:left="502" w:right="73" w:hanging="404"/>
              <w:jc w:val="left"/>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position w:val="1"/>
                <w:sz w:val="21"/>
                <w:szCs w:val="21"/>
              </w:rPr>
              <w:t>最大浓度出现距离</w:t>
            </w:r>
            <w:r>
              <w:rPr>
                <w:rFonts w:hint="default" w:ascii="Times New Roman" w:hAnsi="Times New Roman" w:eastAsia="Times New Roman" w:cs="Times New Roman"/>
                <w:color w:val="auto"/>
                <w:kern w:val="0"/>
                <w:position w:val="1"/>
                <w:sz w:val="21"/>
                <w:szCs w:val="21"/>
              </w:rPr>
              <w:t>/m</w:t>
            </w:r>
          </w:p>
        </w:tc>
        <w:tc>
          <w:tcPr>
            <w:tcW w:w="3382" w:type="pct"/>
            <w:gridSpan w:val="4"/>
            <w:tcBorders>
              <w:tl2br w:val="nil"/>
              <w:tr2bl w:val="nil"/>
            </w:tcBorders>
            <w:noWrap w:val="0"/>
            <w:vAlign w:val="top"/>
          </w:tcPr>
          <w:p w14:paraId="01C6954C">
            <w:pPr>
              <w:spacing w:before="269" w:line="187" w:lineRule="auto"/>
              <w:ind w:left="305"/>
              <w:jc w:val="center"/>
              <w:rPr>
                <w:rFonts w:hint="default" w:ascii="Times New Roman" w:hAnsi="Times New Roman" w:eastAsia="Times New Roman" w:cs="Times New Roman"/>
                <w:color w:val="auto"/>
                <w:spacing w:val="-2"/>
                <w:kern w:val="0"/>
                <w:sz w:val="21"/>
                <w:szCs w:val="21"/>
                <w:lang w:val="en-US"/>
              </w:rPr>
            </w:pPr>
            <w:r>
              <w:rPr>
                <w:rFonts w:hint="default" w:ascii="Times New Roman" w:hAnsi="Times New Roman" w:eastAsia="宋体" w:cs="Times New Roman"/>
                <w:color w:val="auto"/>
                <w:spacing w:val="-1"/>
                <w:kern w:val="0"/>
                <w:sz w:val="21"/>
                <w:szCs w:val="21"/>
                <w:lang w:val="en-US" w:eastAsia="zh-CN"/>
              </w:rPr>
              <w:t>199</w:t>
            </w:r>
          </w:p>
        </w:tc>
      </w:tr>
    </w:tbl>
    <w:p w14:paraId="322B0AB6">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表4-</w:t>
      </w:r>
      <w:r>
        <w:rPr>
          <w:rFonts w:hint="eastAsia" w:ascii="Times New Roman" w:hAnsi="Times New Roman" w:eastAsia="黑体" w:cs="Times New Roman"/>
          <w:color w:val="auto"/>
          <w:kern w:val="0"/>
          <w:sz w:val="24"/>
          <w:szCs w:val="20"/>
          <w:lang w:val="en-US" w:eastAsia="zh-CN" w:bidi="ar-SA"/>
        </w:rPr>
        <w:t>4非甲烷总烃</w:t>
      </w:r>
      <w:r>
        <w:rPr>
          <w:rFonts w:hint="default" w:ascii="Times New Roman" w:hAnsi="Times New Roman" w:eastAsia="黑体" w:cs="Times New Roman"/>
          <w:color w:val="auto"/>
          <w:kern w:val="0"/>
          <w:sz w:val="24"/>
          <w:szCs w:val="20"/>
          <w:lang w:val="en-US" w:eastAsia="zh-CN" w:bidi="ar-SA"/>
        </w:rPr>
        <w:t>无组织废气在评价范围内不同距离处的最大落地浓度表</w:t>
      </w:r>
    </w:p>
    <w:p w14:paraId="7F987ABD">
      <w:pPr>
        <w:spacing w:line="132" w:lineRule="exact"/>
        <w:jc w:val="left"/>
        <w:rPr>
          <w:rFonts w:hint="default" w:ascii="Times New Roman" w:hAnsi="Times New Roman" w:cs="Times New Roman"/>
          <w:color w:val="auto"/>
          <w:kern w:val="0"/>
          <w:sz w:val="24"/>
          <w:szCs w:val="20"/>
        </w:rPr>
      </w:pPr>
    </w:p>
    <w:tbl>
      <w:tblPr>
        <w:tblStyle w:val="144"/>
        <w:tblW w:w="4999"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4154"/>
        <w:gridCol w:w="2570"/>
        <w:gridCol w:w="2005"/>
      </w:tblGrid>
      <w:tr w14:paraId="0539788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379" w:type="pct"/>
            <w:vMerge w:val="restart"/>
            <w:tcBorders>
              <w:tl2br w:val="nil"/>
              <w:tr2bl w:val="nil"/>
            </w:tcBorders>
            <w:noWrap w:val="0"/>
            <w:vAlign w:val="top"/>
          </w:tcPr>
          <w:p w14:paraId="547D45B8">
            <w:pPr>
              <w:spacing w:line="259" w:lineRule="auto"/>
              <w:jc w:val="center"/>
              <w:rPr>
                <w:rFonts w:hint="default" w:ascii="Times New Roman" w:hAnsi="Times New Roman" w:cs="Times New Roman"/>
                <w:color w:val="auto"/>
                <w:kern w:val="0"/>
                <w:sz w:val="21"/>
                <w:szCs w:val="20"/>
              </w:rPr>
            </w:pPr>
          </w:p>
          <w:p w14:paraId="40662D2F">
            <w:pPr>
              <w:spacing w:line="285" w:lineRule="exact"/>
              <w:ind w:left="807"/>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项目</w:t>
            </w:r>
          </w:p>
        </w:tc>
        <w:tc>
          <w:tcPr>
            <w:tcW w:w="2620" w:type="pct"/>
            <w:gridSpan w:val="2"/>
            <w:tcBorders>
              <w:tl2br w:val="nil"/>
              <w:tr2bl w:val="nil"/>
            </w:tcBorders>
            <w:noWrap w:val="0"/>
            <w:vAlign w:val="top"/>
          </w:tcPr>
          <w:p w14:paraId="6A6B6E03">
            <w:pPr>
              <w:spacing w:before="109" w:line="221" w:lineRule="auto"/>
              <w:ind w:left="82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颗</w:t>
            </w:r>
            <w:r>
              <w:rPr>
                <w:rFonts w:hint="default" w:ascii="Times New Roman" w:hAnsi="Times New Roman" w:eastAsia="宋体" w:cs="Times New Roman"/>
                <w:color w:val="auto"/>
                <w:kern w:val="0"/>
                <w:sz w:val="21"/>
                <w:szCs w:val="21"/>
              </w:rPr>
              <w:t>粒物</w:t>
            </w:r>
          </w:p>
        </w:tc>
      </w:tr>
      <w:tr w14:paraId="1CA84A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2379" w:type="pct"/>
            <w:vMerge w:val="continue"/>
            <w:tcBorders>
              <w:tl2br w:val="nil"/>
              <w:tr2bl w:val="nil"/>
            </w:tcBorders>
            <w:noWrap w:val="0"/>
            <w:vAlign w:val="top"/>
          </w:tcPr>
          <w:p w14:paraId="3633655F">
            <w:pPr>
              <w:jc w:val="center"/>
              <w:rPr>
                <w:rFonts w:hint="default" w:ascii="Times New Roman" w:hAnsi="Times New Roman" w:cs="Times New Roman"/>
                <w:color w:val="auto"/>
                <w:kern w:val="0"/>
                <w:sz w:val="21"/>
                <w:szCs w:val="20"/>
              </w:rPr>
            </w:pPr>
          </w:p>
        </w:tc>
        <w:tc>
          <w:tcPr>
            <w:tcW w:w="1472" w:type="pct"/>
            <w:tcBorders>
              <w:tl2br w:val="nil"/>
              <w:tr2bl w:val="nil"/>
            </w:tcBorders>
            <w:noWrap w:val="0"/>
            <w:vAlign w:val="top"/>
          </w:tcPr>
          <w:p w14:paraId="18E8D42B">
            <w:pPr>
              <w:spacing w:before="108" w:line="235" w:lineRule="auto"/>
              <w:ind w:left="289" w:right="209" w:hanging="66"/>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预测</w:t>
            </w:r>
            <w:r>
              <w:rPr>
                <w:rFonts w:hint="default" w:ascii="Times New Roman" w:hAnsi="Times New Roman" w:eastAsia="宋体" w:cs="Times New Roman"/>
                <w:color w:val="auto"/>
                <w:spacing w:val="-1"/>
                <w:kern w:val="0"/>
                <w:sz w:val="21"/>
                <w:szCs w:val="21"/>
              </w:rPr>
              <w:t>浓度</w:t>
            </w:r>
            <w:r>
              <w:rPr>
                <w:rFonts w:hint="default" w:ascii="Times New Roman" w:hAnsi="Times New Roman" w:eastAsia="Times New Roman" w:cs="Times New Roman"/>
                <w:color w:val="auto"/>
                <w:spacing w:val="-1"/>
                <w:kern w:val="0"/>
                <w:sz w:val="21"/>
                <w:szCs w:val="21"/>
              </w:rPr>
              <w:t>(mg/</w:t>
            </w:r>
            <w:r>
              <w:rPr>
                <w:rFonts w:hint="default" w:ascii="Times New Roman" w:hAnsi="Times New Roman" w:eastAsia="Times New Roman" w:cs="Times New Roman"/>
                <w:color w:val="auto"/>
                <w:kern w:val="0"/>
                <w:sz w:val="21"/>
                <w:szCs w:val="21"/>
              </w:rPr>
              <w:t>m</w:t>
            </w:r>
            <w:r>
              <w:rPr>
                <w:rFonts w:hint="default" w:ascii="Times New Roman" w:hAnsi="Times New Roman" w:eastAsia="Times New Roman" w:cs="Times New Roman"/>
                <w:color w:val="auto"/>
                <w:spacing w:val="-1"/>
                <w:kern w:val="0"/>
                <w:position w:val="7"/>
                <w:sz w:val="14"/>
                <w:szCs w:val="14"/>
              </w:rPr>
              <w:t>3</w:t>
            </w:r>
            <w:r>
              <w:rPr>
                <w:rFonts w:hint="default" w:ascii="Times New Roman" w:hAnsi="Times New Roman" w:eastAsia="Times New Roman" w:cs="Times New Roman"/>
                <w:color w:val="auto"/>
                <w:spacing w:val="-1"/>
                <w:kern w:val="0"/>
                <w:sz w:val="21"/>
                <w:szCs w:val="21"/>
              </w:rPr>
              <w:t>)</w:t>
            </w:r>
          </w:p>
        </w:tc>
        <w:tc>
          <w:tcPr>
            <w:tcW w:w="1147" w:type="pct"/>
            <w:tcBorders>
              <w:tl2br w:val="nil"/>
              <w:tr2bl w:val="nil"/>
            </w:tcBorders>
            <w:noWrap w:val="0"/>
            <w:vAlign w:val="top"/>
          </w:tcPr>
          <w:p w14:paraId="4C4CE15A">
            <w:pPr>
              <w:spacing w:before="92" w:line="244" w:lineRule="auto"/>
              <w:ind w:left="242" w:right="68" w:hanging="161"/>
              <w:jc w:val="center"/>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2"/>
                <w:kern w:val="0"/>
                <w:sz w:val="21"/>
                <w:szCs w:val="21"/>
              </w:rPr>
              <w:t>浓</w:t>
            </w:r>
            <w:r>
              <w:rPr>
                <w:rFonts w:hint="default" w:ascii="Times New Roman" w:hAnsi="Times New Roman" w:eastAsia="宋体" w:cs="Times New Roman"/>
                <w:color w:val="auto"/>
                <w:spacing w:val="-1"/>
                <w:kern w:val="0"/>
                <w:sz w:val="21"/>
                <w:szCs w:val="21"/>
              </w:rPr>
              <w:t>度占标</w:t>
            </w:r>
            <w:r>
              <w:rPr>
                <w:rFonts w:hint="default" w:ascii="Times New Roman" w:hAnsi="Times New Roman" w:eastAsia="宋体" w:cs="Times New Roman"/>
                <w:color w:val="auto"/>
                <w:spacing w:val="-2"/>
                <w:kern w:val="0"/>
                <w:sz w:val="21"/>
                <w:szCs w:val="21"/>
              </w:rPr>
              <w:t>率</w:t>
            </w:r>
            <w:r>
              <w:rPr>
                <w:rFonts w:hint="default" w:ascii="Times New Roman" w:hAnsi="Times New Roman" w:eastAsia="Times New Roman" w:cs="Times New Roman"/>
                <w:color w:val="auto"/>
                <w:spacing w:val="-1"/>
                <w:kern w:val="0"/>
                <w:sz w:val="21"/>
                <w:szCs w:val="21"/>
              </w:rPr>
              <w:t>(%)</w:t>
            </w:r>
          </w:p>
        </w:tc>
      </w:tr>
      <w:tr w14:paraId="6585526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2379" w:type="pct"/>
            <w:tcBorders>
              <w:tl2br w:val="nil"/>
              <w:tr2bl w:val="nil"/>
            </w:tcBorders>
            <w:noWrap w:val="0"/>
            <w:vAlign w:val="top"/>
          </w:tcPr>
          <w:p w14:paraId="284CE63F">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3"/>
                <w:kern w:val="0"/>
                <w:sz w:val="21"/>
                <w:szCs w:val="21"/>
              </w:rPr>
              <w:t>下风向最大质量浓度及占标率/%</w:t>
            </w:r>
          </w:p>
        </w:tc>
        <w:tc>
          <w:tcPr>
            <w:tcW w:w="1472" w:type="pct"/>
            <w:tcBorders>
              <w:tl2br w:val="nil"/>
              <w:tr2bl w:val="nil"/>
            </w:tcBorders>
            <w:noWrap w:val="0"/>
            <w:vAlign w:val="top"/>
          </w:tcPr>
          <w:p w14:paraId="01080D81">
            <w:pPr>
              <w:spacing w:before="68" w:line="254" w:lineRule="auto"/>
              <w:ind w:left="52" w:leftChars="0" w:right="9" w:rightChars="0" w:hanging="20" w:firstLineChars="0"/>
              <w:jc w:val="center"/>
              <w:rPr>
                <w:rFonts w:hint="default" w:ascii="Times New Roman" w:hAnsi="Times New Roman" w:eastAsia="宋体" w:cs="Times New Roman"/>
                <w:color w:val="auto"/>
                <w:spacing w:val="-3"/>
                <w:kern w:val="0"/>
                <w:sz w:val="21"/>
                <w:szCs w:val="21"/>
              </w:rPr>
            </w:pPr>
            <w:r>
              <w:rPr>
                <w:rFonts w:hint="default" w:ascii="Times New Roman" w:hAnsi="Times New Roman" w:eastAsia="宋体" w:cs="Times New Roman"/>
                <w:color w:val="auto"/>
                <w:spacing w:val="-2"/>
                <w:kern w:val="0"/>
                <w:sz w:val="21"/>
                <w:szCs w:val="21"/>
              </w:rPr>
              <w:t>7.5</w:t>
            </w:r>
            <w:r>
              <w:rPr>
                <w:rFonts w:hint="eastAsia" w:ascii="Times New Roman" w:hAnsi="Times New Roman" w:eastAsia="宋体" w:cs="Times New Roman"/>
                <w:color w:val="auto"/>
                <w:spacing w:val="-2"/>
                <w:kern w:val="0"/>
                <w:sz w:val="21"/>
                <w:szCs w:val="21"/>
                <w:lang w:val="en-US" w:eastAsia="zh-CN"/>
              </w:rPr>
              <w:t>9</w:t>
            </w:r>
            <w:r>
              <w:rPr>
                <w:rFonts w:hint="default" w:ascii="Times New Roman" w:hAnsi="Times New Roman" w:eastAsia="宋体" w:cs="Times New Roman"/>
                <w:color w:val="auto"/>
                <w:spacing w:val="-2"/>
                <w:kern w:val="0"/>
                <w:sz w:val="21"/>
                <w:szCs w:val="21"/>
              </w:rPr>
              <w:t>E-03</w:t>
            </w:r>
          </w:p>
        </w:tc>
        <w:tc>
          <w:tcPr>
            <w:tcW w:w="1147" w:type="pct"/>
            <w:tcBorders>
              <w:tl2br w:val="nil"/>
              <w:tr2bl w:val="nil"/>
            </w:tcBorders>
            <w:noWrap w:val="0"/>
            <w:vAlign w:val="top"/>
          </w:tcPr>
          <w:p w14:paraId="0D413032">
            <w:pPr>
              <w:spacing w:before="68" w:line="254" w:lineRule="auto"/>
              <w:ind w:left="52" w:leftChars="0" w:right="9" w:rightChars="0" w:hanging="20" w:firstLineChars="0"/>
              <w:jc w:val="center"/>
              <w:rPr>
                <w:rFonts w:hint="eastAsia" w:ascii="Times New Roman" w:hAnsi="Times New Roman" w:eastAsia="宋体" w:cs="Times New Roman"/>
                <w:color w:val="auto"/>
                <w:spacing w:val="-3"/>
                <w:kern w:val="0"/>
                <w:sz w:val="21"/>
                <w:szCs w:val="21"/>
                <w:lang w:eastAsia="zh-CN"/>
              </w:rPr>
            </w:pPr>
            <w:r>
              <w:rPr>
                <w:rFonts w:hint="eastAsia" w:ascii="Times New Roman" w:hAnsi="Times New Roman" w:eastAsia="宋体" w:cs="Times New Roman"/>
                <w:color w:val="auto"/>
                <w:spacing w:val="-3"/>
                <w:kern w:val="0"/>
                <w:sz w:val="21"/>
                <w:szCs w:val="21"/>
                <w:lang w:val="en-US" w:eastAsia="zh-CN"/>
              </w:rPr>
              <w:t>0</w:t>
            </w:r>
          </w:p>
        </w:tc>
      </w:tr>
      <w:tr w14:paraId="70D9B7B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2379" w:type="pct"/>
            <w:tcBorders>
              <w:tl2br w:val="nil"/>
              <w:tr2bl w:val="nil"/>
            </w:tcBorders>
            <w:noWrap w:val="0"/>
            <w:vAlign w:val="top"/>
          </w:tcPr>
          <w:p w14:paraId="7879B342">
            <w:pPr>
              <w:spacing w:before="94" w:line="253" w:lineRule="auto"/>
              <w:ind w:left="502" w:right="73" w:hanging="404"/>
              <w:jc w:val="center"/>
              <w:rPr>
                <w:rFonts w:hint="default" w:ascii="Times New Roman" w:hAnsi="Times New Roman" w:eastAsia="宋体" w:cs="Times New Roman"/>
                <w:color w:val="auto"/>
                <w:spacing w:val="-1"/>
                <w:kern w:val="0"/>
                <w:sz w:val="21"/>
                <w:szCs w:val="21"/>
              </w:rPr>
            </w:pPr>
            <w:r>
              <w:rPr>
                <w:rFonts w:hint="default" w:ascii="Times New Roman" w:hAnsi="Times New Roman" w:eastAsia="宋体" w:cs="Times New Roman"/>
                <w:color w:val="auto"/>
                <w:spacing w:val="-1"/>
                <w:kern w:val="0"/>
                <w:position w:val="1"/>
                <w:sz w:val="21"/>
                <w:szCs w:val="21"/>
              </w:rPr>
              <w:t>最大浓度出现距离</w:t>
            </w:r>
            <w:r>
              <w:rPr>
                <w:rFonts w:hint="default" w:ascii="Times New Roman" w:hAnsi="Times New Roman" w:eastAsia="Times New Roman" w:cs="Times New Roman"/>
                <w:color w:val="auto"/>
                <w:kern w:val="0"/>
                <w:position w:val="1"/>
                <w:sz w:val="21"/>
                <w:szCs w:val="21"/>
              </w:rPr>
              <w:t>/m</w:t>
            </w:r>
          </w:p>
        </w:tc>
        <w:tc>
          <w:tcPr>
            <w:tcW w:w="2620" w:type="pct"/>
            <w:gridSpan w:val="2"/>
            <w:tcBorders>
              <w:tl2br w:val="nil"/>
              <w:tr2bl w:val="nil"/>
            </w:tcBorders>
            <w:noWrap w:val="0"/>
            <w:vAlign w:val="top"/>
          </w:tcPr>
          <w:p w14:paraId="7F229CB5">
            <w:pPr>
              <w:spacing w:before="269" w:line="187" w:lineRule="auto"/>
              <w:ind w:left="305"/>
              <w:jc w:val="center"/>
              <w:rPr>
                <w:rFonts w:hint="default" w:ascii="Times New Roman" w:hAnsi="Times New Roman" w:eastAsia="Times New Roman" w:cs="Times New Roman"/>
                <w:color w:val="auto"/>
                <w:spacing w:val="-2"/>
                <w:kern w:val="0"/>
                <w:sz w:val="21"/>
                <w:szCs w:val="21"/>
                <w:lang w:val="en-US"/>
              </w:rPr>
            </w:pPr>
            <w:r>
              <w:rPr>
                <w:rFonts w:hint="default" w:ascii="Times New Roman" w:hAnsi="Times New Roman" w:eastAsia="宋体" w:cs="Times New Roman"/>
                <w:color w:val="auto"/>
                <w:spacing w:val="-1"/>
                <w:kern w:val="0"/>
                <w:sz w:val="21"/>
                <w:szCs w:val="21"/>
                <w:lang w:val="en-US" w:eastAsia="zh-CN"/>
              </w:rPr>
              <w:t>199</w:t>
            </w:r>
          </w:p>
        </w:tc>
      </w:tr>
    </w:tbl>
    <w:p w14:paraId="2DA0D26D">
      <w:pPr>
        <w:spacing w:before="37" w:line="219" w:lineRule="auto"/>
        <w:ind w:left="597"/>
        <w:jc w:val="left"/>
        <w:rPr>
          <w:rFonts w:hint="default" w:ascii="Times New Roman" w:hAnsi="Times New Roman" w:eastAsia="宋体" w:cs="Times New Roman"/>
          <w:color w:val="auto"/>
          <w:spacing w:val="-1"/>
          <w:kern w:val="0"/>
          <w:sz w:val="24"/>
          <w:szCs w:val="24"/>
        </w:rPr>
      </w:pPr>
    </w:p>
    <w:p w14:paraId="403BEC46">
      <w:pPr>
        <w:spacing w:before="37" w:line="219" w:lineRule="auto"/>
        <w:ind w:left="597"/>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pacing w:val="-1"/>
          <w:kern w:val="0"/>
          <w:sz w:val="24"/>
          <w:szCs w:val="24"/>
        </w:rPr>
        <w:t>根据计算结果，本项目</w:t>
      </w:r>
      <w:r>
        <w:rPr>
          <w:rFonts w:hint="default" w:ascii="Times New Roman" w:hAnsi="Times New Roman" w:eastAsia="宋体" w:cs="Times New Roman"/>
          <w:color w:val="auto"/>
          <w:kern w:val="0"/>
          <w:sz w:val="24"/>
          <w:szCs w:val="24"/>
        </w:rPr>
        <w:t>有组织、无组织排放的污染物最大落地浓度小于环境</w:t>
      </w:r>
    </w:p>
    <w:p w14:paraId="06F0B652">
      <w:pPr>
        <w:spacing w:before="183" w:line="219" w:lineRule="auto"/>
        <w:ind w:left="118"/>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pacing w:val="-4"/>
          <w:kern w:val="0"/>
          <w:sz w:val="24"/>
          <w:szCs w:val="24"/>
        </w:rPr>
        <w:t>质</w:t>
      </w:r>
      <w:r>
        <w:rPr>
          <w:rFonts w:hint="default" w:ascii="Times New Roman" w:hAnsi="Times New Roman" w:eastAsia="宋体" w:cs="Times New Roman"/>
          <w:color w:val="auto"/>
          <w:spacing w:val="-2"/>
          <w:kern w:val="0"/>
          <w:sz w:val="24"/>
          <w:szCs w:val="24"/>
        </w:rPr>
        <w:t>量标准值，对环境空气影响不大。</w:t>
      </w:r>
    </w:p>
    <w:p w14:paraId="3D4CDA8A">
      <w:pPr>
        <w:spacing w:before="139" w:line="368" w:lineRule="auto"/>
        <w:ind w:left="120" w:right="328" w:firstLine="478"/>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pacing w:val="-8"/>
          <w:kern w:val="0"/>
          <w:sz w:val="24"/>
          <w:szCs w:val="24"/>
        </w:rPr>
        <w:t>本项目最大占标</w:t>
      </w:r>
      <w:r>
        <w:rPr>
          <w:rFonts w:hint="default" w:ascii="Times New Roman" w:hAnsi="Times New Roman" w:eastAsia="宋体" w:cs="Times New Roman"/>
          <w:color w:val="auto"/>
          <w:spacing w:val="-5"/>
          <w:kern w:val="0"/>
          <w:sz w:val="24"/>
          <w:szCs w:val="24"/>
        </w:rPr>
        <w:t>率</w:t>
      </w:r>
      <w:r>
        <w:rPr>
          <w:rFonts w:hint="default" w:ascii="Times New Roman" w:hAnsi="Times New Roman" w:eastAsia="Times New Roman" w:cs="Times New Roman"/>
          <w:color w:val="auto"/>
          <w:spacing w:val="-4"/>
          <w:kern w:val="0"/>
          <w:sz w:val="24"/>
          <w:szCs w:val="24"/>
        </w:rPr>
        <w:t>P</w:t>
      </w:r>
      <w:r>
        <w:rPr>
          <w:rFonts w:hint="default" w:ascii="Times New Roman" w:hAnsi="Times New Roman" w:eastAsia="Times New Roman" w:cs="Times New Roman"/>
          <w:color w:val="auto"/>
          <w:spacing w:val="-4"/>
          <w:kern w:val="0"/>
          <w:position w:val="-1"/>
          <w:sz w:val="16"/>
          <w:szCs w:val="16"/>
        </w:rPr>
        <w:t>Max</w:t>
      </w:r>
      <w:r>
        <w:rPr>
          <w:rFonts w:hint="default" w:ascii="Times New Roman" w:hAnsi="Times New Roman" w:eastAsia="宋体" w:cs="Times New Roman"/>
          <w:color w:val="auto"/>
          <w:spacing w:val="-4"/>
          <w:kern w:val="0"/>
          <w:position w:val="-1"/>
          <w:sz w:val="16"/>
          <w:szCs w:val="16"/>
          <w:lang w:eastAsia="zh-CN"/>
        </w:rPr>
        <w:t>氮氧化物</w:t>
      </w:r>
      <w:r>
        <w:rPr>
          <w:rFonts w:hint="default" w:ascii="Times New Roman" w:hAnsi="Times New Roman" w:eastAsia="Times New Roman" w:cs="Times New Roman"/>
          <w:color w:val="auto"/>
          <w:spacing w:val="-4"/>
          <w:kern w:val="0"/>
          <w:sz w:val="24"/>
          <w:szCs w:val="24"/>
        </w:rPr>
        <w:t>=</w:t>
      </w:r>
      <w:r>
        <w:rPr>
          <w:rFonts w:hint="default" w:ascii="Times New Roman" w:hAnsi="Times New Roman" w:eastAsia="宋体" w:cs="Times New Roman"/>
          <w:color w:val="auto"/>
          <w:spacing w:val="-4"/>
          <w:kern w:val="0"/>
          <w:sz w:val="24"/>
          <w:szCs w:val="24"/>
          <w:lang w:val="en-US" w:eastAsia="zh-CN"/>
        </w:rPr>
        <w:t>8.66</w:t>
      </w:r>
      <w:r>
        <w:rPr>
          <w:rFonts w:hint="default" w:ascii="Times New Roman" w:hAnsi="Times New Roman" w:eastAsia="Times New Roman" w:cs="Times New Roman"/>
          <w:color w:val="auto"/>
          <w:spacing w:val="-4"/>
          <w:kern w:val="0"/>
          <w:sz w:val="24"/>
          <w:szCs w:val="24"/>
        </w:rPr>
        <w:t>%</w:t>
      </w:r>
      <w:r>
        <w:rPr>
          <w:rFonts w:hint="default" w:ascii="Times New Roman" w:hAnsi="Times New Roman" w:eastAsia="宋体" w:cs="Times New Roman"/>
          <w:color w:val="auto"/>
          <w:spacing w:val="-4"/>
          <w:kern w:val="0"/>
          <w:sz w:val="24"/>
          <w:szCs w:val="24"/>
        </w:rPr>
        <w:t>，大于</w:t>
      </w:r>
      <w:r>
        <w:rPr>
          <w:rFonts w:hint="default" w:ascii="Times New Roman" w:hAnsi="Times New Roman" w:eastAsia="Times New Roman" w:cs="Times New Roman"/>
          <w:color w:val="auto"/>
          <w:spacing w:val="-4"/>
          <w:kern w:val="0"/>
          <w:sz w:val="24"/>
          <w:szCs w:val="24"/>
        </w:rPr>
        <w:t>1%</w:t>
      </w:r>
      <w:r>
        <w:rPr>
          <w:rFonts w:hint="default" w:ascii="Times New Roman" w:hAnsi="Times New Roman" w:eastAsia="宋体" w:cs="Times New Roman"/>
          <w:color w:val="auto"/>
          <w:spacing w:val="-4"/>
          <w:kern w:val="0"/>
          <w:sz w:val="24"/>
          <w:szCs w:val="24"/>
        </w:rPr>
        <w:t>小于</w:t>
      </w:r>
      <w:r>
        <w:rPr>
          <w:rFonts w:hint="default" w:ascii="Times New Roman" w:hAnsi="Times New Roman" w:eastAsia="Times New Roman" w:cs="Times New Roman"/>
          <w:color w:val="auto"/>
          <w:spacing w:val="-4"/>
          <w:kern w:val="0"/>
          <w:sz w:val="24"/>
          <w:szCs w:val="24"/>
        </w:rPr>
        <w:t>10%</w:t>
      </w:r>
      <w:r>
        <w:rPr>
          <w:rFonts w:hint="default" w:ascii="Times New Roman" w:hAnsi="Times New Roman" w:eastAsia="宋体" w:cs="Times New Roman"/>
          <w:color w:val="auto"/>
          <w:spacing w:val="-4"/>
          <w:kern w:val="0"/>
          <w:sz w:val="24"/>
          <w:szCs w:val="24"/>
        </w:rPr>
        <w:t>，故本项目的评价等级为二级评价。结合《环境影响评价技</w:t>
      </w:r>
      <w:r>
        <w:rPr>
          <w:rFonts w:hint="default" w:ascii="Times New Roman" w:hAnsi="Times New Roman" w:eastAsia="宋体" w:cs="Times New Roman"/>
          <w:color w:val="auto"/>
          <w:spacing w:val="-2"/>
          <w:kern w:val="0"/>
          <w:sz w:val="24"/>
          <w:szCs w:val="24"/>
        </w:rPr>
        <w:t>术导则大气环境》</w:t>
      </w:r>
      <w:r>
        <w:rPr>
          <w:rFonts w:hint="default" w:ascii="Times New Roman" w:hAnsi="Times New Roman" w:eastAsia="Times New Roman" w:cs="Times New Roman"/>
          <w:color w:val="auto"/>
          <w:spacing w:val="-2"/>
          <w:kern w:val="0"/>
          <w:sz w:val="24"/>
          <w:szCs w:val="24"/>
        </w:rPr>
        <w:t>(HJ2.2-2018)</w:t>
      </w:r>
      <w:r>
        <w:rPr>
          <w:rFonts w:hint="default" w:ascii="Times New Roman" w:hAnsi="Times New Roman" w:eastAsia="宋体" w:cs="Times New Roman"/>
          <w:color w:val="auto"/>
          <w:spacing w:val="-2"/>
          <w:kern w:val="0"/>
          <w:sz w:val="24"/>
          <w:szCs w:val="24"/>
        </w:rPr>
        <w:t>有关规定。二</w:t>
      </w:r>
      <w:r>
        <w:rPr>
          <w:rFonts w:hint="default" w:ascii="Times New Roman" w:hAnsi="Times New Roman" w:eastAsia="宋体" w:cs="Times New Roman"/>
          <w:color w:val="auto"/>
          <w:spacing w:val="-1"/>
          <w:kern w:val="0"/>
          <w:sz w:val="24"/>
          <w:szCs w:val="24"/>
        </w:rPr>
        <w:t>级评价项目不进行进一步预测和</w:t>
      </w:r>
      <w:r>
        <w:rPr>
          <w:rFonts w:hint="default" w:ascii="Times New Roman" w:hAnsi="Times New Roman" w:eastAsia="宋体" w:cs="Times New Roman"/>
          <w:color w:val="auto"/>
          <w:kern w:val="0"/>
          <w:sz w:val="24"/>
          <w:szCs w:val="24"/>
        </w:rPr>
        <w:t>评价，只对污染物排放量进行核算。</w:t>
      </w:r>
    </w:p>
    <w:p w14:paraId="3B944C42">
      <w:pPr>
        <w:widowControl w:val="0"/>
        <w:rPr>
          <w:rFonts w:hint="default" w:ascii="Times New Roman" w:hAnsi="Times New Roman" w:eastAsia="宋体" w:cs="Times New Roman"/>
          <w:color w:val="auto"/>
          <w:sz w:val="21"/>
          <w:lang w:val="en-US" w:eastAsia="zh-CN" w:bidi="ar-SA"/>
        </w:rPr>
      </w:pPr>
    </w:p>
    <w:p w14:paraId="6E56A570">
      <w:pPr>
        <w:widowControl w:val="0"/>
        <w:numPr>
          <w:ilvl w:val="1"/>
          <w:numId w:val="1"/>
        </w:numPr>
        <w:bidi w:val="0"/>
        <w:spacing w:line="360" w:lineRule="auto"/>
        <w:jc w:val="both"/>
        <w:outlineLvl w:val="1"/>
        <w:rPr>
          <w:rFonts w:hint="default" w:ascii="Times New Roman" w:hAnsi="Times New Roman" w:eastAsia="黑体" w:cs="Times New Roman"/>
          <w:color w:val="auto"/>
          <w:sz w:val="28"/>
          <w:szCs w:val="20"/>
          <w:lang w:val="zh-CN" w:eastAsia="zh-CN" w:bidi="ar-SA"/>
        </w:rPr>
      </w:pPr>
      <w:bookmarkStart w:id="283" w:name="_Toc17981"/>
      <w:r>
        <w:rPr>
          <w:rFonts w:hint="default" w:ascii="Times New Roman" w:hAnsi="Times New Roman" w:eastAsia="黑体" w:cs="Times New Roman"/>
          <w:color w:val="auto"/>
          <w:sz w:val="28"/>
          <w:szCs w:val="20"/>
          <w:lang w:val="zh-CN" w:eastAsia="zh-CN" w:bidi="ar-SA"/>
        </w:rPr>
        <w:t>大气环境防护距离</w:t>
      </w:r>
      <w:bookmarkEnd w:id="283"/>
    </w:p>
    <w:p w14:paraId="4819F2B7">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《环境影响评价技术导则大气环境》（HJ2.2-2018）中规定“为保护人群健康，减少正常排放条件下大气污染物对居住区的环境影响，在项目厂界以外设置大气环境防护距离。”</w:t>
      </w:r>
    </w:p>
    <w:p w14:paraId="711F7426">
      <w:pPr>
        <w:widowControl w:val="0"/>
        <w:spacing w:line="360" w:lineRule="auto"/>
        <w:ind w:firstLine="480" w:firstLineChars="200"/>
        <w:jc w:val="both"/>
        <w:rPr>
          <w:rFonts w:hint="default" w:ascii="Times New Roman" w:hAnsi="Times New Roman" w:eastAsia="宋体" w:cs="Times New Roman"/>
          <w:color w:val="auto"/>
          <w:kern w:val="2"/>
          <w:sz w:val="24"/>
          <w:szCs w:val="24"/>
          <w:lang w:val="zh-CN" w:eastAsia="zh-CN" w:bidi="ar-SA"/>
        </w:rPr>
      </w:pPr>
      <w:r>
        <w:rPr>
          <w:rFonts w:hint="default" w:ascii="Times New Roman" w:hAnsi="Times New Roman" w:eastAsia="宋体" w:cs="Times New Roman"/>
          <w:color w:val="auto"/>
          <w:kern w:val="2"/>
          <w:sz w:val="24"/>
          <w:szCs w:val="24"/>
          <w:lang w:val="en-US" w:eastAsia="zh-CN" w:bidi="ar-SA"/>
        </w:rPr>
        <w:t>根据导则规定，依据大气环境防护距离计算模式(估算模式)对无组织排放的污染源进行计算，本报告计算无组织排放的颗粒物、苯并[a]芘大气防护距离。污染源强计算结果显示无超标点。</w:t>
      </w:r>
    </w:p>
    <w:p w14:paraId="0CA82724">
      <w:pPr>
        <w:widowControl w:val="0"/>
        <w:numPr>
          <w:ilvl w:val="1"/>
          <w:numId w:val="1"/>
        </w:numPr>
        <w:bidi w:val="0"/>
        <w:spacing w:line="360" w:lineRule="auto"/>
        <w:jc w:val="both"/>
        <w:outlineLvl w:val="1"/>
        <w:rPr>
          <w:rFonts w:hint="default" w:ascii="Times New Roman" w:hAnsi="Times New Roman" w:eastAsia="黑体" w:cs="Times New Roman"/>
          <w:color w:val="auto"/>
          <w:sz w:val="28"/>
          <w:szCs w:val="20"/>
          <w:lang w:val="zh-CN" w:eastAsia="zh-CN" w:bidi="ar-SA"/>
        </w:rPr>
      </w:pPr>
      <w:bookmarkStart w:id="284" w:name="_Toc9463"/>
      <w:r>
        <w:rPr>
          <w:rFonts w:hint="default" w:ascii="Times New Roman" w:hAnsi="Times New Roman" w:eastAsia="黑体" w:cs="Times New Roman"/>
          <w:color w:val="auto"/>
          <w:sz w:val="28"/>
          <w:szCs w:val="20"/>
          <w:lang w:val="zh-CN" w:eastAsia="zh-CN" w:bidi="ar-SA"/>
        </w:rPr>
        <w:t>大气污染物排放量核算</w:t>
      </w:r>
      <w:bookmarkEnd w:id="284"/>
    </w:p>
    <w:p w14:paraId="659A5C7E">
      <w:pPr>
        <w:widowControl w:val="0"/>
        <w:bidi w:val="0"/>
        <w:adjustRightInd/>
        <w:snapToGrid/>
        <w:jc w:val="center"/>
        <w:rPr>
          <w:rFonts w:hint="default" w:ascii="Times New Roman" w:hAnsi="Times New Roman" w:eastAsia="黑体" w:cs="Times New Roman"/>
          <w:bCs/>
          <w:color w:val="auto"/>
          <w:kern w:val="2"/>
          <w:sz w:val="24"/>
          <w:szCs w:val="18"/>
          <w:highlight w:val="none"/>
          <w:lang w:val="en-US" w:eastAsia="zh-CN" w:bidi="ar-SA"/>
        </w:rPr>
      </w:pPr>
      <w:r>
        <w:rPr>
          <w:rFonts w:hint="default" w:ascii="Times New Roman" w:hAnsi="Times New Roman" w:eastAsia="黑体" w:cs="Times New Roman"/>
          <w:bCs/>
          <w:color w:val="auto"/>
          <w:kern w:val="2"/>
          <w:sz w:val="24"/>
          <w:szCs w:val="18"/>
          <w:highlight w:val="none"/>
          <w:lang w:val="en-US" w:eastAsia="zh-CN" w:bidi="ar-SA"/>
        </w:rPr>
        <w:t>表4-</w:t>
      </w:r>
      <w:r>
        <w:rPr>
          <w:rFonts w:hint="eastAsia" w:ascii="Times New Roman" w:hAnsi="Times New Roman" w:eastAsia="黑体" w:cs="Times New Roman"/>
          <w:bCs/>
          <w:color w:val="auto"/>
          <w:kern w:val="2"/>
          <w:sz w:val="24"/>
          <w:szCs w:val="18"/>
          <w:highlight w:val="none"/>
          <w:lang w:val="en-US" w:eastAsia="zh-CN" w:bidi="ar-SA"/>
        </w:rPr>
        <w:t>5</w:t>
      </w:r>
      <w:r>
        <w:rPr>
          <w:rFonts w:hint="default" w:ascii="Times New Roman" w:hAnsi="Times New Roman" w:eastAsia="黑体" w:cs="Times New Roman"/>
          <w:bCs/>
          <w:color w:val="auto"/>
          <w:kern w:val="2"/>
          <w:sz w:val="24"/>
          <w:szCs w:val="18"/>
          <w:highlight w:val="none"/>
          <w:lang w:val="en-US" w:eastAsia="zh-CN" w:bidi="ar-SA"/>
        </w:rPr>
        <w:t>有组织排放量核算</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295"/>
        <w:gridCol w:w="955"/>
        <w:gridCol w:w="2414"/>
        <w:gridCol w:w="1650"/>
        <w:gridCol w:w="1566"/>
      </w:tblGrid>
      <w:tr w14:paraId="60DA2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699427C3">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1295" w:type="dxa"/>
            <w:noWrap w:val="0"/>
            <w:vAlign w:val="center"/>
          </w:tcPr>
          <w:p w14:paraId="38338908">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排放口编号</w:t>
            </w:r>
          </w:p>
        </w:tc>
        <w:tc>
          <w:tcPr>
            <w:tcW w:w="955" w:type="dxa"/>
            <w:noWrap w:val="0"/>
            <w:vAlign w:val="center"/>
          </w:tcPr>
          <w:p w14:paraId="01487FE0">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w:t>
            </w:r>
          </w:p>
        </w:tc>
        <w:tc>
          <w:tcPr>
            <w:tcW w:w="2414" w:type="dxa"/>
            <w:noWrap w:val="0"/>
            <w:vAlign w:val="center"/>
          </w:tcPr>
          <w:p w14:paraId="4146F916">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核算排放浓度/（</w:t>
            </w:r>
            <w:r>
              <w:rPr>
                <w:rFonts w:hint="default" w:ascii="Times New Roman" w:hAnsi="Times New Roman" w:cs="Times New Roman"/>
                <w:color w:val="auto"/>
                <w:kern w:val="0"/>
                <w:sz w:val="21"/>
                <w:szCs w:val="21"/>
                <w:highlight w:val="none"/>
                <w:lang w:val="en-US" w:eastAsia="zh-CN"/>
              </w:rPr>
              <w:t>mg</w:t>
            </w:r>
            <w:r>
              <w:rPr>
                <w:rFonts w:hint="default" w:ascii="Times New Roman" w:hAnsi="Times New Roman" w:cs="Times New Roman"/>
                <w:color w:val="auto"/>
                <w:kern w:val="0"/>
                <w:sz w:val="21"/>
                <w:szCs w:val="21"/>
                <w:highlight w:val="none"/>
              </w:rPr>
              <w:t>/m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1650" w:type="dxa"/>
            <w:noWrap w:val="0"/>
            <w:vAlign w:val="center"/>
          </w:tcPr>
          <w:p w14:paraId="6565A257">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核算排放速率/（kg/h）</w:t>
            </w:r>
          </w:p>
        </w:tc>
        <w:tc>
          <w:tcPr>
            <w:tcW w:w="1566" w:type="dxa"/>
            <w:noWrap w:val="0"/>
            <w:vAlign w:val="center"/>
          </w:tcPr>
          <w:p w14:paraId="2950633E">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核算年排放量/（t/a）</w:t>
            </w:r>
          </w:p>
        </w:tc>
      </w:tr>
      <w:tr w14:paraId="3C8B3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616" w:type="dxa"/>
            <w:gridSpan w:val="6"/>
            <w:noWrap w:val="0"/>
            <w:vAlign w:val="center"/>
          </w:tcPr>
          <w:p w14:paraId="17736615">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一般</w:t>
            </w:r>
            <w:r>
              <w:rPr>
                <w:rFonts w:hint="default" w:ascii="Times New Roman" w:hAnsi="Times New Roman" w:cs="Times New Roman"/>
                <w:color w:val="auto"/>
                <w:kern w:val="0"/>
                <w:sz w:val="21"/>
                <w:szCs w:val="21"/>
                <w:highlight w:val="none"/>
              </w:rPr>
              <w:t>排放口</w:t>
            </w:r>
          </w:p>
        </w:tc>
      </w:tr>
      <w:tr w14:paraId="2D5E6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2593C17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w:t>
            </w:r>
          </w:p>
        </w:tc>
        <w:tc>
          <w:tcPr>
            <w:tcW w:w="1295" w:type="dxa"/>
            <w:vMerge w:val="restart"/>
            <w:noWrap w:val="0"/>
            <w:vAlign w:val="center"/>
          </w:tcPr>
          <w:p w14:paraId="1CD7148A">
            <w:pPr>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导热油炉（</w:t>
            </w:r>
            <w:r>
              <w:rPr>
                <w:rFonts w:hint="eastAsia" w:ascii="Times New Roman" w:hAnsi="Times New Roman" w:cs="Times New Roman"/>
                <w:color w:val="auto"/>
                <w:kern w:val="0"/>
                <w:sz w:val="21"/>
                <w:szCs w:val="21"/>
                <w:highlight w:val="none"/>
                <w:lang w:val="en-US" w:eastAsia="zh-CN"/>
              </w:rPr>
              <w:t>DA003</w:t>
            </w:r>
            <w:r>
              <w:rPr>
                <w:rFonts w:hint="default" w:ascii="Times New Roman" w:hAnsi="Times New Roman" w:cs="Times New Roman"/>
                <w:color w:val="auto"/>
                <w:kern w:val="0"/>
                <w:sz w:val="21"/>
                <w:szCs w:val="21"/>
                <w:highlight w:val="none"/>
                <w:lang w:val="en-US" w:eastAsia="zh-CN"/>
              </w:rPr>
              <w:t>）</w:t>
            </w:r>
          </w:p>
        </w:tc>
        <w:tc>
          <w:tcPr>
            <w:tcW w:w="955" w:type="dxa"/>
            <w:noWrap w:val="0"/>
            <w:vAlign w:val="center"/>
          </w:tcPr>
          <w:p w14:paraId="275A96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bidi="ar"/>
              </w:rPr>
              <w:t>颗粒物</w:t>
            </w:r>
          </w:p>
        </w:tc>
        <w:tc>
          <w:tcPr>
            <w:tcW w:w="2414" w:type="dxa"/>
            <w:noWrap w:val="0"/>
            <w:vAlign w:val="center"/>
          </w:tcPr>
          <w:p w14:paraId="2D2DAE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20.1</w:t>
            </w:r>
          </w:p>
        </w:tc>
        <w:tc>
          <w:tcPr>
            <w:tcW w:w="1650" w:type="dxa"/>
            <w:noWrap w:val="0"/>
            <w:vAlign w:val="center"/>
          </w:tcPr>
          <w:p w14:paraId="4832CB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0.0239</w:t>
            </w:r>
          </w:p>
        </w:tc>
        <w:tc>
          <w:tcPr>
            <w:tcW w:w="1566" w:type="dxa"/>
            <w:noWrap w:val="0"/>
            <w:vAlign w:val="center"/>
          </w:tcPr>
          <w:p w14:paraId="4D457B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0.069</w:t>
            </w:r>
          </w:p>
        </w:tc>
      </w:tr>
      <w:tr w14:paraId="70D0D1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3718C4C6">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6D29BC0E">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4BA6A7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2414" w:type="dxa"/>
            <w:noWrap w:val="0"/>
            <w:vAlign w:val="center"/>
          </w:tcPr>
          <w:p w14:paraId="646BB1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0.64</w:t>
            </w:r>
          </w:p>
        </w:tc>
        <w:tc>
          <w:tcPr>
            <w:tcW w:w="1650" w:type="dxa"/>
            <w:noWrap w:val="0"/>
            <w:vAlign w:val="center"/>
          </w:tcPr>
          <w:p w14:paraId="760C65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0.0008</w:t>
            </w:r>
          </w:p>
        </w:tc>
        <w:tc>
          <w:tcPr>
            <w:tcW w:w="1566" w:type="dxa"/>
            <w:noWrap w:val="0"/>
            <w:vAlign w:val="center"/>
          </w:tcPr>
          <w:p w14:paraId="4B4F7F7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0.0022</w:t>
            </w:r>
          </w:p>
        </w:tc>
      </w:tr>
      <w:tr w14:paraId="11A177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5CCF7F75">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5E5A45B6">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74358E1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2414" w:type="dxa"/>
            <w:noWrap w:val="0"/>
            <w:vAlign w:val="center"/>
          </w:tcPr>
          <w:p w14:paraId="041C02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235.98</w:t>
            </w:r>
          </w:p>
        </w:tc>
        <w:tc>
          <w:tcPr>
            <w:tcW w:w="1650" w:type="dxa"/>
            <w:noWrap w:val="0"/>
            <w:vAlign w:val="center"/>
          </w:tcPr>
          <w:p w14:paraId="352ED49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0.281</w:t>
            </w:r>
          </w:p>
        </w:tc>
        <w:tc>
          <w:tcPr>
            <w:tcW w:w="1566" w:type="dxa"/>
            <w:noWrap w:val="0"/>
            <w:vAlign w:val="center"/>
          </w:tcPr>
          <w:p w14:paraId="2DAD5A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0.808</w:t>
            </w:r>
          </w:p>
        </w:tc>
      </w:tr>
      <w:tr w14:paraId="22543E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63B03D8A">
            <w:pPr>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p>
        </w:tc>
        <w:tc>
          <w:tcPr>
            <w:tcW w:w="1295" w:type="dxa"/>
            <w:vMerge w:val="restart"/>
            <w:noWrap w:val="0"/>
            <w:vAlign w:val="center"/>
          </w:tcPr>
          <w:p w14:paraId="2F40BFE1">
            <w:pPr>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骨料烘干、燃烧器（DA00</w:t>
            </w:r>
            <w:r>
              <w:rPr>
                <w:rFonts w:hint="eastAsia" w:ascii="Times New Roman" w:hAnsi="Times New Roman" w:cs="Times New Roman"/>
                <w:color w:val="auto"/>
                <w:kern w:val="0"/>
                <w:sz w:val="21"/>
                <w:szCs w:val="21"/>
                <w:highlight w:val="none"/>
                <w:lang w:val="en-US" w:eastAsia="zh-CN"/>
              </w:rPr>
              <w:t>4</w:t>
            </w:r>
            <w:r>
              <w:rPr>
                <w:rFonts w:hint="default" w:ascii="Times New Roman" w:hAnsi="Times New Roman" w:cs="Times New Roman"/>
                <w:color w:val="auto"/>
                <w:kern w:val="0"/>
                <w:sz w:val="21"/>
                <w:szCs w:val="21"/>
                <w:highlight w:val="none"/>
                <w:lang w:val="en-US" w:eastAsia="zh-CN"/>
              </w:rPr>
              <w:t>）</w:t>
            </w:r>
          </w:p>
        </w:tc>
        <w:tc>
          <w:tcPr>
            <w:tcW w:w="955" w:type="dxa"/>
            <w:noWrap w:val="0"/>
            <w:vAlign w:val="center"/>
          </w:tcPr>
          <w:p w14:paraId="1613507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0"/>
                <w:sz w:val="21"/>
                <w:szCs w:val="21"/>
                <w:highlight w:val="none"/>
                <w:lang w:eastAsia="zh-CN" w:bidi="ar"/>
              </w:rPr>
              <w:t>颗粒物</w:t>
            </w:r>
          </w:p>
        </w:tc>
        <w:tc>
          <w:tcPr>
            <w:tcW w:w="2414" w:type="dxa"/>
            <w:noWrap w:val="0"/>
            <w:vAlign w:val="center"/>
          </w:tcPr>
          <w:p w14:paraId="4472B7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2.13</w:t>
            </w:r>
          </w:p>
        </w:tc>
        <w:tc>
          <w:tcPr>
            <w:tcW w:w="1650" w:type="dxa"/>
            <w:noWrap w:val="0"/>
            <w:vAlign w:val="center"/>
          </w:tcPr>
          <w:p w14:paraId="49ABDB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0.6073</w:t>
            </w:r>
          </w:p>
        </w:tc>
        <w:tc>
          <w:tcPr>
            <w:tcW w:w="1566" w:type="dxa"/>
            <w:noWrap w:val="0"/>
            <w:vAlign w:val="center"/>
          </w:tcPr>
          <w:p w14:paraId="55C9F67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1.749</w:t>
            </w:r>
          </w:p>
        </w:tc>
      </w:tr>
      <w:tr w14:paraId="64CEC5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0361A6B">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0A2E9386">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52C069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2414" w:type="dxa"/>
            <w:noWrap w:val="0"/>
            <w:vAlign w:val="center"/>
          </w:tcPr>
          <w:p w14:paraId="354A87E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43.3</w:t>
            </w:r>
          </w:p>
        </w:tc>
        <w:tc>
          <w:tcPr>
            <w:tcW w:w="1650" w:type="dxa"/>
            <w:noWrap w:val="0"/>
            <w:vAlign w:val="center"/>
          </w:tcPr>
          <w:p w14:paraId="58D607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0.1233</w:t>
            </w:r>
          </w:p>
        </w:tc>
        <w:tc>
          <w:tcPr>
            <w:tcW w:w="1566" w:type="dxa"/>
            <w:noWrap w:val="0"/>
            <w:vAlign w:val="center"/>
          </w:tcPr>
          <w:p w14:paraId="4A132C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0.355</w:t>
            </w:r>
          </w:p>
        </w:tc>
      </w:tr>
      <w:tr w14:paraId="37AEC7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93FB4B7">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39D6B2A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02853E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2414" w:type="dxa"/>
            <w:noWrap w:val="0"/>
            <w:vAlign w:val="center"/>
          </w:tcPr>
          <w:p w14:paraId="5DB6736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163.99</w:t>
            </w:r>
          </w:p>
        </w:tc>
        <w:tc>
          <w:tcPr>
            <w:tcW w:w="1650" w:type="dxa"/>
            <w:noWrap w:val="0"/>
            <w:vAlign w:val="center"/>
          </w:tcPr>
          <w:p w14:paraId="54FD8F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0.6667</w:t>
            </w:r>
          </w:p>
        </w:tc>
        <w:tc>
          <w:tcPr>
            <w:tcW w:w="1566" w:type="dxa"/>
            <w:noWrap w:val="0"/>
            <w:vAlign w:val="center"/>
          </w:tcPr>
          <w:p w14:paraId="315CCB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1.92</w:t>
            </w:r>
          </w:p>
        </w:tc>
      </w:tr>
      <w:tr w14:paraId="61572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0BACFE9D">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1D21423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607D200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eastAsia="zh-CN"/>
              </w:rPr>
            </w:pPr>
            <w:r>
              <w:rPr>
                <w:rFonts w:hint="default" w:ascii="Times New Roman" w:hAnsi="Times New Roman" w:cs="Times New Roman"/>
                <w:color w:val="auto"/>
                <w:kern w:val="0"/>
                <w:sz w:val="21"/>
                <w:szCs w:val="21"/>
                <w:highlight w:val="none"/>
                <w:lang w:eastAsia="zh-CN" w:bidi="ar"/>
              </w:rPr>
              <w:t>沥青烟</w:t>
            </w:r>
          </w:p>
        </w:tc>
        <w:tc>
          <w:tcPr>
            <w:tcW w:w="2414" w:type="dxa"/>
            <w:noWrap w:val="0"/>
            <w:vAlign w:val="center"/>
          </w:tcPr>
          <w:p w14:paraId="0C3DBBC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0.1982</w:t>
            </w:r>
          </w:p>
        </w:tc>
        <w:tc>
          <w:tcPr>
            <w:tcW w:w="1650" w:type="dxa"/>
            <w:noWrap w:val="0"/>
            <w:vAlign w:val="center"/>
          </w:tcPr>
          <w:p w14:paraId="790FE4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0.0006</w:t>
            </w:r>
          </w:p>
        </w:tc>
        <w:tc>
          <w:tcPr>
            <w:tcW w:w="1566" w:type="dxa"/>
            <w:noWrap w:val="0"/>
            <w:vAlign w:val="center"/>
          </w:tcPr>
          <w:p w14:paraId="1157898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0.0016</w:t>
            </w:r>
          </w:p>
        </w:tc>
      </w:tr>
      <w:tr w14:paraId="064A2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717EE6CE">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295" w:type="dxa"/>
            <w:vMerge w:val="continue"/>
            <w:noWrap w:val="0"/>
            <w:vAlign w:val="center"/>
          </w:tcPr>
          <w:p w14:paraId="683DB704">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955" w:type="dxa"/>
            <w:noWrap w:val="0"/>
            <w:vAlign w:val="center"/>
          </w:tcPr>
          <w:p w14:paraId="0A23D95C">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eastAsia="zh-CN" w:bidi="ar"/>
              </w:rPr>
              <w:t>苯并</w:t>
            </w:r>
            <w:r>
              <w:rPr>
                <w:rFonts w:hint="default" w:ascii="Times New Roman" w:hAnsi="Times New Roman" w:cs="Times New Roman"/>
                <w:color w:val="auto"/>
                <w:kern w:val="0"/>
                <w:sz w:val="21"/>
                <w:szCs w:val="21"/>
                <w:highlight w:val="none"/>
                <w:lang w:val="en-US" w:eastAsia="zh-CN" w:bidi="ar"/>
              </w:rPr>
              <w:t>[a]</w:t>
            </w:r>
            <w:r>
              <w:rPr>
                <w:rFonts w:hint="default" w:ascii="Times New Roman" w:hAnsi="Times New Roman" w:cs="Times New Roman"/>
                <w:color w:val="auto"/>
                <w:kern w:val="0"/>
                <w:sz w:val="21"/>
                <w:szCs w:val="21"/>
                <w:highlight w:val="none"/>
                <w:lang w:eastAsia="zh-CN" w:bidi="ar"/>
              </w:rPr>
              <w:t>芘</w:t>
            </w:r>
          </w:p>
        </w:tc>
        <w:tc>
          <w:tcPr>
            <w:tcW w:w="2414" w:type="dxa"/>
            <w:noWrap w:val="0"/>
            <w:vAlign w:val="center"/>
          </w:tcPr>
          <w:p w14:paraId="3BEDBA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
              </w:rPr>
              <w:t>0.00016</w:t>
            </w:r>
          </w:p>
        </w:tc>
        <w:tc>
          <w:tcPr>
            <w:tcW w:w="1650" w:type="dxa"/>
            <w:noWrap w:val="0"/>
            <w:vAlign w:val="center"/>
          </w:tcPr>
          <w:p w14:paraId="3F48C7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0.00000006</w:t>
            </w:r>
          </w:p>
        </w:tc>
        <w:tc>
          <w:tcPr>
            <w:tcW w:w="1566" w:type="dxa"/>
            <w:noWrap w:val="0"/>
            <w:vAlign w:val="center"/>
          </w:tcPr>
          <w:p w14:paraId="60A667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0.0012kg</w:t>
            </w:r>
            <w:r>
              <w:rPr>
                <w:rFonts w:hint="default" w:ascii="Times New Roman" w:hAnsi="Times New Roman" w:eastAsia="宋体" w:cs="Times New Roman"/>
                <w:color w:val="auto"/>
                <w:kern w:val="0"/>
                <w:sz w:val="21"/>
                <w:szCs w:val="21"/>
                <w:highlight w:val="none"/>
                <w:lang w:val="en-US" w:eastAsia="zh-CN"/>
              </w:rPr>
              <w:t>/a</w:t>
            </w:r>
          </w:p>
        </w:tc>
      </w:tr>
      <w:tr w14:paraId="41388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restart"/>
            <w:noWrap w:val="0"/>
            <w:vAlign w:val="center"/>
          </w:tcPr>
          <w:p w14:paraId="5D0BC0A0">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一般</w:t>
            </w:r>
            <w:r>
              <w:rPr>
                <w:rFonts w:hint="default" w:ascii="Times New Roman" w:hAnsi="Times New Roman" w:cs="Times New Roman"/>
                <w:color w:val="auto"/>
                <w:kern w:val="0"/>
                <w:sz w:val="21"/>
                <w:szCs w:val="21"/>
                <w:highlight w:val="none"/>
              </w:rPr>
              <w:t>排放口合计</w:t>
            </w:r>
          </w:p>
        </w:tc>
        <w:tc>
          <w:tcPr>
            <w:tcW w:w="5019" w:type="dxa"/>
            <w:gridSpan w:val="3"/>
            <w:noWrap w:val="0"/>
            <w:vAlign w:val="center"/>
          </w:tcPr>
          <w:p w14:paraId="0CE985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颗粒物</w:t>
            </w:r>
          </w:p>
        </w:tc>
        <w:tc>
          <w:tcPr>
            <w:tcW w:w="1566" w:type="dxa"/>
            <w:noWrap w:val="0"/>
            <w:vAlign w:val="center"/>
          </w:tcPr>
          <w:p w14:paraId="214C7B1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1.818</w:t>
            </w:r>
          </w:p>
        </w:tc>
      </w:tr>
      <w:tr w14:paraId="18C0B1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1DAF17C3">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6446D1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1566" w:type="dxa"/>
            <w:noWrap w:val="0"/>
            <w:vAlign w:val="center"/>
          </w:tcPr>
          <w:p w14:paraId="090901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0.3572</w:t>
            </w:r>
          </w:p>
        </w:tc>
      </w:tr>
      <w:tr w14:paraId="5C2FC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5983E94B">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60F8E1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1566" w:type="dxa"/>
            <w:noWrap w:val="0"/>
            <w:vAlign w:val="center"/>
          </w:tcPr>
          <w:p w14:paraId="1B41A8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2.728</w:t>
            </w:r>
          </w:p>
        </w:tc>
      </w:tr>
      <w:tr w14:paraId="482FA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2031" w:type="dxa"/>
            <w:gridSpan w:val="2"/>
            <w:vMerge w:val="continue"/>
            <w:noWrap w:val="0"/>
            <w:vAlign w:val="center"/>
          </w:tcPr>
          <w:p w14:paraId="1FC5F36F">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6BC1FD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沥青烟</w:t>
            </w:r>
          </w:p>
        </w:tc>
        <w:tc>
          <w:tcPr>
            <w:tcW w:w="1566" w:type="dxa"/>
            <w:noWrap w:val="0"/>
            <w:vAlign w:val="center"/>
          </w:tcPr>
          <w:p w14:paraId="1688DF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0.0016</w:t>
            </w:r>
          </w:p>
        </w:tc>
      </w:tr>
      <w:tr w14:paraId="2632AB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5F6205F2">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76E49CF0">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苯并</w:t>
            </w:r>
            <w:r>
              <w:rPr>
                <w:rFonts w:hint="default" w:ascii="Times New Roman" w:hAnsi="Times New Roman" w:cs="Times New Roman"/>
                <w:color w:val="auto"/>
                <w:kern w:val="0"/>
                <w:sz w:val="21"/>
                <w:szCs w:val="21"/>
                <w:highlight w:val="none"/>
                <w:lang w:val="en-US" w:eastAsia="zh-CN" w:bidi="ar"/>
              </w:rPr>
              <w:t>[a]</w:t>
            </w:r>
            <w:r>
              <w:rPr>
                <w:rFonts w:hint="default" w:ascii="Times New Roman" w:hAnsi="Times New Roman" w:cs="Times New Roman"/>
                <w:color w:val="auto"/>
                <w:kern w:val="0"/>
                <w:sz w:val="21"/>
                <w:szCs w:val="21"/>
                <w:highlight w:val="none"/>
                <w:lang w:eastAsia="zh-CN" w:bidi="ar"/>
              </w:rPr>
              <w:t>芘</w:t>
            </w:r>
          </w:p>
        </w:tc>
        <w:tc>
          <w:tcPr>
            <w:tcW w:w="1566" w:type="dxa"/>
            <w:noWrap w:val="0"/>
            <w:vAlign w:val="center"/>
          </w:tcPr>
          <w:p w14:paraId="0D128C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0.0012kg</w:t>
            </w:r>
            <w:r>
              <w:rPr>
                <w:rFonts w:hint="default" w:ascii="Times New Roman" w:hAnsi="Times New Roman" w:eastAsia="宋体" w:cs="Times New Roman"/>
                <w:color w:val="auto"/>
                <w:kern w:val="0"/>
                <w:sz w:val="21"/>
                <w:szCs w:val="21"/>
                <w:highlight w:val="none"/>
                <w:lang w:val="en-US" w:eastAsia="zh-CN"/>
              </w:rPr>
              <w:t>/a</w:t>
            </w:r>
          </w:p>
        </w:tc>
      </w:tr>
      <w:tr w14:paraId="60F971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restart"/>
            <w:noWrap w:val="0"/>
            <w:vAlign w:val="center"/>
          </w:tcPr>
          <w:p w14:paraId="294D50A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有组织排放合计</w:t>
            </w:r>
          </w:p>
        </w:tc>
        <w:tc>
          <w:tcPr>
            <w:tcW w:w="5019" w:type="dxa"/>
            <w:gridSpan w:val="3"/>
            <w:noWrap w:val="0"/>
            <w:vAlign w:val="center"/>
          </w:tcPr>
          <w:p w14:paraId="658FC3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颗粒物</w:t>
            </w:r>
          </w:p>
        </w:tc>
        <w:tc>
          <w:tcPr>
            <w:tcW w:w="1566" w:type="dxa"/>
            <w:noWrap w:val="0"/>
            <w:vAlign w:val="center"/>
          </w:tcPr>
          <w:p w14:paraId="602D16C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1.818</w:t>
            </w:r>
          </w:p>
        </w:tc>
      </w:tr>
      <w:tr w14:paraId="55D445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6ED415A2">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5007AF2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bidi="ar"/>
              </w:rPr>
              <w:t>SO</w:t>
            </w:r>
            <w:r>
              <w:rPr>
                <w:rStyle w:val="185"/>
                <w:rFonts w:hint="default" w:ascii="Times New Roman" w:hAnsi="Times New Roman" w:cs="Times New Roman"/>
                <w:color w:val="auto"/>
                <w:highlight w:val="none"/>
                <w:vertAlign w:val="subscript"/>
                <w:lang w:bidi="ar"/>
              </w:rPr>
              <w:t>2</w:t>
            </w:r>
          </w:p>
        </w:tc>
        <w:tc>
          <w:tcPr>
            <w:tcW w:w="1566" w:type="dxa"/>
            <w:noWrap w:val="0"/>
            <w:vAlign w:val="center"/>
          </w:tcPr>
          <w:p w14:paraId="22D4192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0.3572</w:t>
            </w:r>
          </w:p>
        </w:tc>
      </w:tr>
      <w:tr w14:paraId="7F9143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03971ABE">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24323E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bidi="ar"/>
              </w:rPr>
              <w:t>NO</w:t>
            </w:r>
            <w:r>
              <w:rPr>
                <w:rStyle w:val="185"/>
                <w:rFonts w:hint="default" w:ascii="Times New Roman" w:hAnsi="Times New Roman" w:cs="Times New Roman"/>
                <w:color w:val="auto"/>
                <w:highlight w:val="none"/>
                <w:vertAlign w:val="subscript"/>
                <w:lang w:bidi="ar"/>
              </w:rPr>
              <w:t>X</w:t>
            </w:r>
          </w:p>
        </w:tc>
        <w:tc>
          <w:tcPr>
            <w:tcW w:w="1566" w:type="dxa"/>
            <w:noWrap w:val="0"/>
            <w:vAlign w:val="center"/>
          </w:tcPr>
          <w:p w14:paraId="34196C4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2.728</w:t>
            </w:r>
          </w:p>
        </w:tc>
      </w:tr>
      <w:tr w14:paraId="6E5EA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0E2AFD90">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56627A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沥青烟</w:t>
            </w:r>
          </w:p>
        </w:tc>
        <w:tc>
          <w:tcPr>
            <w:tcW w:w="1566" w:type="dxa"/>
            <w:noWrap w:val="0"/>
            <w:vAlign w:val="center"/>
          </w:tcPr>
          <w:p w14:paraId="1C123D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0.0016</w:t>
            </w:r>
          </w:p>
        </w:tc>
      </w:tr>
      <w:tr w14:paraId="74AB1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31" w:type="dxa"/>
            <w:gridSpan w:val="2"/>
            <w:vMerge w:val="continue"/>
            <w:noWrap w:val="0"/>
            <w:vAlign w:val="center"/>
          </w:tcPr>
          <w:p w14:paraId="6F0A8BEF">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5019" w:type="dxa"/>
            <w:gridSpan w:val="3"/>
            <w:noWrap w:val="0"/>
            <w:vAlign w:val="center"/>
          </w:tcPr>
          <w:p w14:paraId="49DDE89C">
            <w:pPr>
              <w:keepNext w:val="0"/>
              <w:keepLines w:val="0"/>
              <w:widowControl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bidi="ar"/>
              </w:rPr>
              <w:t>苯并</w:t>
            </w:r>
            <w:r>
              <w:rPr>
                <w:rFonts w:hint="default" w:ascii="Times New Roman" w:hAnsi="Times New Roman" w:cs="Times New Roman"/>
                <w:color w:val="auto"/>
                <w:kern w:val="0"/>
                <w:sz w:val="21"/>
                <w:szCs w:val="21"/>
                <w:highlight w:val="none"/>
                <w:lang w:val="en-US" w:eastAsia="zh-CN" w:bidi="ar"/>
              </w:rPr>
              <w:t>[a]</w:t>
            </w:r>
            <w:r>
              <w:rPr>
                <w:rFonts w:hint="default" w:ascii="Times New Roman" w:hAnsi="Times New Roman" w:cs="Times New Roman"/>
                <w:color w:val="auto"/>
                <w:kern w:val="0"/>
                <w:sz w:val="21"/>
                <w:szCs w:val="21"/>
                <w:highlight w:val="none"/>
                <w:lang w:eastAsia="zh-CN" w:bidi="ar"/>
              </w:rPr>
              <w:t>芘</w:t>
            </w:r>
          </w:p>
        </w:tc>
        <w:tc>
          <w:tcPr>
            <w:tcW w:w="1566" w:type="dxa"/>
            <w:noWrap w:val="0"/>
            <w:vAlign w:val="center"/>
          </w:tcPr>
          <w:p w14:paraId="7C0F83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0.0012kg</w:t>
            </w:r>
            <w:r>
              <w:rPr>
                <w:rFonts w:hint="default" w:ascii="Times New Roman" w:hAnsi="Times New Roman" w:eastAsia="宋体" w:cs="Times New Roman"/>
                <w:color w:val="auto"/>
                <w:kern w:val="0"/>
                <w:sz w:val="21"/>
                <w:szCs w:val="21"/>
                <w:highlight w:val="none"/>
                <w:lang w:val="en-US" w:eastAsia="zh-CN"/>
              </w:rPr>
              <w:t>/a</w:t>
            </w:r>
          </w:p>
        </w:tc>
      </w:tr>
    </w:tbl>
    <w:p w14:paraId="64B7E110">
      <w:pPr>
        <w:widowControl w:val="0"/>
        <w:bidi w:val="0"/>
        <w:adjustRightInd/>
        <w:snapToGrid/>
        <w:jc w:val="center"/>
        <w:rPr>
          <w:rFonts w:hint="default" w:ascii="Times New Roman" w:hAnsi="Times New Roman" w:eastAsia="黑体" w:cs="Times New Roman"/>
          <w:bCs/>
          <w:color w:val="auto"/>
          <w:kern w:val="2"/>
          <w:sz w:val="24"/>
          <w:szCs w:val="18"/>
          <w:highlight w:val="none"/>
          <w:lang w:val="en-US" w:eastAsia="zh-CN" w:bidi="ar-SA"/>
        </w:rPr>
      </w:pPr>
      <w:r>
        <w:rPr>
          <w:rFonts w:hint="default" w:ascii="Times New Roman" w:hAnsi="Times New Roman" w:eastAsia="黑体" w:cs="Times New Roman"/>
          <w:bCs/>
          <w:color w:val="auto"/>
          <w:kern w:val="2"/>
          <w:sz w:val="24"/>
          <w:szCs w:val="18"/>
          <w:highlight w:val="none"/>
          <w:lang w:val="en-US" w:eastAsia="zh-CN" w:bidi="ar-SA"/>
        </w:rPr>
        <w:t>表</w:t>
      </w:r>
      <w:r>
        <w:rPr>
          <w:rFonts w:hint="eastAsia" w:ascii="Times New Roman" w:hAnsi="Times New Roman" w:eastAsia="黑体" w:cs="Times New Roman"/>
          <w:bCs/>
          <w:color w:val="auto"/>
          <w:kern w:val="2"/>
          <w:sz w:val="24"/>
          <w:szCs w:val="18"/>
          <w:highlight w:val="none"/>
          <w:lang w:val="en-US" w:eastAsia="zh-CN" w:bidi="ar-SA"/>
        </w:rPr>
        <w:t>4-6</w:t>
      </w:r>
      <w:r>
        <w:rPr>
          <w:rFonts w:hint="default" w:ascii="Times New Roman" w:hAnsi="Times New Roman" w:eastAsia="黑体" w:cs="Times New Roman"/>
          <w:bCs/>
          <w:color w:val="auto"/>
          <w:kern w:val="2"/>
          <w:sz w:val="24"/>
          <w:szCs w:val="18"/>
          <w:highlight w:val="none"/>
          <w:lang w:val="en-US" w:eastAsia="zh-CN" w:bidi="ar-SA"/>
        </w:rPr>
        <w:t>无组织排放量核算</w:t>
      </w:r>
    </w:p>
    <w:tbl>
      <w:tblPr>
        <w:tblStyle w:val="3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0"/>
        <w:gridCol w:w="861"/>
        <w:gridCol w:w="750"/>
        <w:gridCol w:w="887"/>
        <w:gridCol w:w="1568"/>
        <w:gridCol w:w="1623"/>
        <w:gridCol w:w="1149"/>
        <w:gridCol w:w="1213"/>
      </w:tblGrid>
      <w:tr w14:paraId="5FFA4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70" w:type="dxa"/>
            <w:vMerge w:val="restart"/>
            <w:noWrap w:val="0"/>
            <w:vAlign w:val="center"/>
          </w:tcPr>
          <w:p w14:paraId="5837E4C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861" w:type="dxa"/>
            <w:vMerge w:val="restart"/>
            <w:noWrap w:val="0"/>
            <w:vAlign w:val="center"/>
          </w:tcPr>
          <w:p w14:paraId="3366344D">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排放口编号</w:t>
            </w:r>
          </w:p>
        </w:tc>
        <w:tc>
          <w:tcPr>
            <w:tcW w:w="750" w:type="dxa"/>
            <w:vMerge w:val="restart"/>
            <w:noWrap w:val="0"/>
            <w:vAlign w:val="center"/>
          </w:tcPr>
          <w:p w14:paraId="28564C15">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产污环节</w:t>
            </w:r>
          </w:p>
        </w:tc>
        <w:tc>
          <w:tcPr>
            <w:tcW w:w="887" w:type="dxa"/>
            <w:vMerge w:val="restart"/>
            <w:noWrap w:val="0"/>
            <w:vAlign w:val="center"/>
          </w:tcPr>
          <w:p w14:paraId="29A2657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污染物</w:t>
            </w:r>
          </w:p>
        </w:tc>
        <w:tc>
          <w:tcPr>
            <w:tcW w:w="1568" w:type="dxa"/>
            <w:vMerge w:val="restart"/>
            <w:noWrap w:val="0"/>
            <w:vAlign w:val="center"/>
          </w:tcPr>
          <w:p w14:paraId="6790658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主要污染防治措施</w:t>
            </w:r>
          </w:p>
        </w:tc>
        <w:tc>
          <w:tcPr>
            <w:tcW w:w="2772" w:type="dxa"/>
            <w:gridSpan w:val="2"/>
            <w:noWrap w:val="0"/>
            <w:vAlign w:val="center"/>
          </w:tcPr>
          <w:p w14:paraId="530F6452">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国家或地方污染物排放标准</w:t>
            </w:r>
          </w:p>
        </w:tc>
        <w:tc>
          <w:tcPr>
            <w:tcW w:w="1213" w:type="dxa"/>
            <w:vMerge w:val="restart"/>
            <w:noWrap w:val="0"/>
            <w:vAlign w:val="center"/>
          </w:tcPr>
          <w:p w14:paraId="439C5C74">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年排放量/（t/a）</w:t>
            </w:r>
          </w:p>
        </w:tc>
      </w:tr>
      <w:tr w14:paraId="2E8A20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70" w:type="dxa"/>
            <w:vMerge w:val="continue"/>
            <w:noWrap w:val="0"/>
            <w:vAlign w:val="center"/>
          </w:tcPr>
          <w:p w14:paraId="14ADB7F0">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4"/>
                <w:szCs w:val="20"/>
                <w:highlight w:val="none"/>
              </w:rPr>
            </w:pPr>
          </w:p>
        </w:tc>
        <w:tc>
          <w:tcPr>
            <w:tcW w:w="861" w:type="dxa"/>
            <w:vMerge w:val="continue"/>
            <w:noWrap w:val="0"/>
            <w:vAlign w:val="center"/>
          </w:tcPr>
          <w:p w14:paraId="0E555F1C">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4"/>
                <w:szCs w:val="20"/>
                <w:highlight w:val="none"/>
              </w:rPr>
            </w:pPr>
          </w:p>
        </w:tc>
        <w:tc>
          <w:tcPr>
            <w:tcW w:w="750" w:type="dxa"/>
            <w:vMerge w:val="continue"/>
            <w:noWrap w:val="0"/>
            <w:vAlign w:val="center"/>
          </w:tcPr>
          <w:p w14:paraId="6317131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4"/>
                <w:szCs w:val="20"/>
                <w:highlight w:val="none"/>
              </w:rPr>
            </w:pPr>
          </w:p>
        </w:tc>
        <w:tc>
          <w:tcPr>
            <w:tcW w:w="887" w:type="dxa"/>
            <w:vMerge w:val="continue"/>
            <w:noWrap w:val="0"/>
            <w:vAlign w:val="center"/>
          </w:tcPr>
          <w:p w14:paraId="25C17887">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4"/>
                <w:szCs w:val="20"/>
                <w:highlight w:val="none"/>
              </w:rPr>
            </w:pPr>
          </w:p>
        </w:tc>
        <w:tc>
          <w:tcPr>
            <w:tcW w:w="1568" w:type="dxa"/>
            <w:vMerge w:val="continue"/>
            <w:noWrap w:val="0"/>
            <w:vAlign w:val="center"/>
          </w:tcPr>
          <w:p w14:paraId="09A3F13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4"/>
                <w:szCs w:val="20"/>
                <w:highlight w:val="none"/>
              </w:rPr>
            </w:pPr>
          </w:p>
        </w:tc>
        <w:tc>
          <w:tcPr>
            <w:tcW w:w="1623" w:type="dxa"/>
            <w:noWrap w:val="0"/>
            <w:vAlign w:val="center"/>
          </w:tcPr>
          <w:p w14:paraId="318252D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标准名称</w:t>
            </w:r>
          </w:p>
        </w:tc>
        <w:tc>
          <w:tcPr>
            <w:tcW w:w="1149" w:type="dxa"/>
            <w:noWrap w:val="0"/>
            <w:vAlign w:val="center"/>
          </w:tcPr>
          <w:p w14:paraId="5E9C141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浓度限值/（</w:t>
            </w:r>
            <w:r>
              <w:rPr>
                <w:rFonts w:hint="default" w:ascii="Times New Roman" w:hAnsi="Times New Roman" w:cs="Times New Roman"/>
                <w:color w:val="auto"/>
                <w:kern w:val="0"/>
                <w:sz w:val="21"/>
                <w:szCs w:val="21"/>
                <w:highlight w:val="none"/>
                <w:lang w:val="en-US" w:eastAsia="zh-CN"/>
              </w:rPr>
              <w:t>mg</w:t>
            </w:r>
            <w:r>
              <w:rPr>
                <w:rFonts w:hint="default" w:ascii="Times New Roman" w:hAnsi="Times New Roman" w:cs="Times New Roman"/>
                <w:color w:val="auto"/>
                <w:kern w:val="0"/>
                <w:sz w:val="21"/>
                <w:szCs w:val="21"/>
                <w:highlight w:val="none"/>
              </w:rPr>
              <w:t>/m</w:t>
            </w:r>
            <w:r>
              <w:rPr>
                <w:rFonts w:hint="default" w:ascii="Times New Roman" w:hAnsi="Times New Roman" w:cs="Times New Roman"/>
                <w:color w:val="auto"/>
                <w:kern w:val="0"/>
                <w:sz w:val="21"/>
                <w:szCs w:val="21"/>
                <w:highlight w:val="none"/>
                <w:vertAlign w:val="superscript"/>
              </w:rPr>
              <w:t>3</w:t>
            </w:r>
            <w:r>
              <w:rPr>
                <w:rFonts w:hint="default" w:ascii="Times New Roman" w:hAnsi="Times New Roman" w:cs="Times New Roman"/>
                <w:color w:val="auto"/>
                <w:kern w:val="0"/>
                <w:sz w:val="21"/>
                <w:szCs w:val="21"/>
                <w:highlight w:val="none"/>
              </w:rPr>
              <w:t>）</w:t>
            </w:r>
          </w:p>
        </w:tc>
        <w:tc>
          <w:tcPr>
            <w:tcW w:w="1213" w:type="dxa"/>
            <w:vMerge w:val="continue"/>
            <w:noWrap w:val="0"/>
            <w:vAlign w:val="center"/>
          </w:tcPr>
          <w:p w14:paraId="237F24AC">
            <w:pPr>
              <w:keepNext w:val="0"/>
              <w:keepLines w:val="0"/>
              <w:suppressLineNumbers w:val="0"/>
              <w:spacing w:before="0" w:beforeAutospacing="0" w:after="0" w:afterAutospacing="0"/>
              <w:ind w:left="0" w:right="0" w:firstLine="420"/>
              <w:jc w:val="center"/>
              <w:rPr>
                <w:rFonts w:hint="default" w:ascii="Times New Roman" w:hAnsi="Times New Roman" w:cs="Times New Roman"/>
                <w:color w:val="auto"/>
                <w:kern w:val="0"/>
                <w:sz w:val="21"/>
                <w:szCs w:val="21"/>
                <w:highlight w:val="none"/>
              </w:rPr>
            </w:pPr>
          </w:p>
        </w:tc>
      </w:tr>
      <w:tr w14:paraId="16278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0" w:type="dxa"/>
            <w:noWrap w:val="0"/>
            <w:vAlign w:val="center"/>
          </w:tcPr>
          <w:p w14:paraId="1C69F85B">
            <w:pPr>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val="en-US" w:eastAsia="zh-CN"/>
              </w:rPr>
              <w:t>1</w:t>
            </w:r>
          </w:p>
        </w:tc>
        <w:tc>
          <w:tcPr>
            <w:tcW w:w="861" w:type="dxa"/>
            <w:noWrap w:val="0"/>
            <w:vAlign w:val="center"/>
          </w:tcPr>
          <w:p w14:paraId="355A5BA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w:t>
            </w:r>
          </w:p>
        </w:tc>
        <w:tc>
          <w:tcPr>
            <w:tcW w:w="750" w:type="dxa"/>
            <w:noWrap w:val="0"/>
            <w:vAlign w:val="center"/>
          </w:tcPr>
          <w:p w14:paraId="3872CAEA">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rPr>
              <w:t>运输</w:t>
            </w:r>
            <w:r>
              <w:rPr>
                <w:rFonts w:hint="default" w:ascii="Times New Roman" w:hAnsi="Times New Roman" w:cs="Times New Roman"/>
                <w:color w:val="auto"/>
                <w:kern w:val="2"/>
                <w:sz w:val="21"/>
                <w:szCs w:val="21"/>
                <w:highlight w:val="none"/>
              </w:rPr>
              <w:t>储存</w:t>
            </w:r>
          </w:p>
        </w:tc>
        <w:tc>
          <w:tcPr>
            <w:tcW w:w="887" w:type="dxa"/>
            <w:noWrap w:val="0"/>
            <w:vAlign w:val="center"/>
          </w:tcPr>
          <w:p w14:paraId="044752E4">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2"/>
                <w:sz w:val="21"/>
                <w:szCs w:val="21"/>
                <w:highlight w:val="none"/>
              </w:rPr>
              <w:t>颗粒物</w:t>
            </w:r>
          </w:p>
        </w:tc>
        <w:tc>
          <w:tcPr>
            <w:tcW w:w="1568" w:type="dxa"/>
            <w:noWrap w:val="0"/>
            <w:vAlign w:val="center"/>
          </w:tcPr>
          <w:p w14:paraId="557C388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2"/>
                <w:sz w:val="21"/>
                <w:szCs w:val="21"/>
                <w:highlight w:val="none"/>
                <w:lang w:eastAsia="zh-CN"/>
              </w:rPr>
              <w:t>防风抑尘网</w:t>
            </w:r>
            <w:r>
              <w:rPr>
                <w:rFonts w:hint="default" w:ascii="Times New Roman" w:hAnsi="Times New Roman" w:cs="Times New Roman"/>
                <w:color w:val="auto"/>
                <w:kern w:val="2"/>
                <w:sz w:val="21"/>
                <w:szCs w:val="21"/>
                <w:highlight w:val="none"/>
              </w:rPr>
              <w:t>，洒水降尘</w:t>
            </w:r>
          </w:p>
        </w:tc>
        <w:tc>
          <w:tcPr>
            <w:tcW w:w="1623" w:type="dxa"/>
            <w:vMerge w:val="restart"/>
            <w:noWrap w:val="0"/>
            <w:vAlign w:val="center"/>
          </w:tcPr>
          <w:p w14:paraId="7DC44998">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《大气污染物综合排放标准》</w:t>
            </w:r>
          </w:p>
        </w:tc>
        <w:tc>
          <w:tcPr>
            <w:tcW w:w="1149" w:type="dxa"/>
            <w:noWrap w:val="0"/>
            <w:vAlign w:val="center"/>
          </w:tcPr>
          <w:p w14:paraId="49E95485">
            <w:pPr>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1.0</w:t>
            </w:r>
          </w:p>
        </w:tc>
        <w:tc>
          <w:tcPr>
            <w:tcW w:w="1213" w:type="dxa"/>
            <w:noWrap w:val="0"/>
            <w:vAlign w:val="center"/>
          </w:tcPr>
          <w:p w14:paraId="5C75895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0.123</w:t>
            </w:r>
          </w:p>
        </w:tc>
      </w:tr>
      <w:tr w14:paraId="08339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0" w:type="dxa"/>
            <w:noWrap w:val="0"/>
            <w:vAlign w:val="center"/>
          </w:tcPr>
          <w:p w14:paraId="47E76E89">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w:t>
            </w:r>
          </w:p>
        </w:tc>
        <w:tc>
          <w:tcPr>
            <w:tcW w:w="861" w:type="dxa"/>
            <w:noWrap w:val="0"/>
            <w:vAlign w:val="center"/>
          </w:tcPr>
          <w:p w14:paraId="595F535E">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w:t>
            </w:r>
          </w:p>
        </w:tc>
        <w:tc>
          <w:tcPr>
            <w:tcW w:w="750" w:type="dxa"/>
            <w:noWrap w:val="0"/>
            <w:vAlign w:val="center"/>
          </w:tcPr>
          <w:p w14:paraId="553FC28D">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lang w:val="en-US" w:eastAsia="zh-CN"/>
              </w:rPr>
            </w:pPr>
            <w:r>
              <w:rPr>
                <w:rFonts w:hint="eastAsia"/>
                <w:color w:val="auto"/>
                <w:lang w:val="en-US" w:eastAsia="zh-CN"/>
              </w:rPr>
              <w:t>柴油储罐</w:t>
            </w:r>
          </w:p>
        </w:tc>
        <w:tc>
          <w:tcPr>
            <w:tcW w:w="887" w:type="dxa"/>
            <w:noWrap w:val="0"/>
            <w:vAlign w:val="center"/>
          </w:tcPr>
          <w:p w14:paraId="523F030D">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2"/>
                <w:sz w:val="21"/>
                <w:szCs w:val="21"/>
                <w:highlight w:val="none"/>
              </w:rPr>
            </w:pPr>
            <w:r>
              <w:rPr>
                <w:rFonts w:hint="eastAsia" w:ascii="宋体" w:hAnsi="宋体"/>
                <w:color w:val="auto"/>
                <w:kern w:val="0"/>
                <w:sz w:val="18"/>
                <w:szCs w:val="18"/>
              </w:rPr>
              <w:t>非甲烷总烃</w:t>
            </w:r>
          </w:p>
        </w:tc>
        <w:tc>
          <w:tcPr>
            <w:tcW w:w="1568" w:type="dxa"/>
            <w:noWrap w:val="0"/>
            <w:vAlign w:val="center"/>
          </w:tcPr>
          <w:p w14:paraId="28526943">
            <w:pPr>
              <w:keepNext w:val="0"/>
              <w:keepLines w:val="0"/>
              <w:suppressLineNumbers w:val="0"/>
              <w:bidi w:val="0"/>
              <w:spacing w:before="0" w:beforeAutospacing="0" w:after="0" w:afterAutospacing="0"/>
              <w:ind w:left="0" w:right="0"/>
              <w:jc w:val="center"/>
              <w:rPr>
                <w:rFonts w:hint="default" w:ascii="Times New Roman" w:hAnsi="Times New Roman" w:cs="Times New Roman"/>
                <w:color w:val="auto"/>
                <w:kern w:val="2"/>
                <w:sz w:val="21"/>
                <w:szCs w:val="21"/>
                <w:highlight w:val="none"/>
                <w:lang w:eastAsia="zh-CN"/>
              </w:rPr>
            </w:pPr>
            <w:r>
              <w:rPr>
                <w:rFonts w:hint="eastAsia" w:ascii="宋体" w:hAnsi="Calibri" w:cs="Times New Roman"/>
                <w:snapToGrid w:val="0"/>
                <w:color w:val="auto"/>
                <w:kern w:val="0"/>
                <w:sz w:val="18"/>
                <w:szCs w:val="18"/>
                <w:lang w:val="en-US" w:eastAsia="zh-CN" w:bidi="ar-SA"/>
              </w:rPr>
              <w:t>/</w:t>
            </w:r>
          </w:p>
        </w:tc>
        <w:tc>
          <w:tcPr>
            <w:tcW w:w="1623" w:type="dxa"/>
            <w:vMerge w:val="continue"/>
            <w:noWrap w:val="0"/>
            <w:vAlign w:val="center"/>
          </w:tcPr>
          <w:p w14:paraId="0574D04B">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149" w:type="dxa"/>
            <w:noWrap w:val="0"/>
            <w:vAlign w:val="center"/>
          </w:tcPr>
          <w:p w14:paraId="458F3A33">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highlight w:val="none"/>
                <w:lang w:val="en-US" w:eastAsia="zh-CN"/>
              </w:rPr>
            </w:pPr>
            <w:r>
              <w:rPr>
                <w:rFonts w:hint="eastAsia"/>
                <w:color w:val="auto"/>
                <w:lang w:val="en-US" w:eastAsia="zh-CN"/>
              </w:rPr>
              <w:t>4.0</w:t>
            </w:r>
          </w:p>
        </w:tc>
        <w:tc>
          <w:tcPr>
            <w:tcW w:w="1213" w:type="dxa"/>
            <w:noWrap w:val="0"/>
            <w:vAlign w:val="center"/>
          </w:tcPr>
          <w:p w14:paraId="6AA860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0.4</w:t>
            </w:r>
          </w:p>
        </w:tc>
      </w:tr>
      <w:tr w14:paraId="65310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0" w:type="dxa"/>
            <w:vMerge w:val="restart"/>
            <w:noWrap w:val="0"/>
            <w:vAlign w:val="center"/>
          </w:tcPr>
          <w:p w14:paraId="4522DFAB">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3</w:t>
            </w:r>
          </w:p>
        </w:tc>
        <w:tc>
          <w:tcPr>
            <w:tcW w:w="861" w:type="dxa"/>
            <w:vMerge w:val="restart"/>
            <w:noWrap w:val="0"/>
            <w:vAlign w:val="center"/>
          </w:tcPr>
          <w:p w14:paraId="197F077C">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w:t>
            </w:r>
          </w:p>
        </w:tc>
        <w:tc>
          <w:tcPr>
            <w:tcW w:w="750" w:type="dxa"/>
            <w:vMerge w:val="restart"/>
            <w:noWrap w:val="0"/>
            <w:vAlign w:val="center"/>
          </w:tcPr>
          <w:p w14:paraId="3D1AB95F">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lang w:val="en-US" w:eastAsia="zh-CN"/>
              </w:rPr>
            </w:pPr>
            <w:r>
              <w:rPr>
                <w:rFonts w:hint="eastAsia"/>
                <w:bCs/>
                <w:color w:val="auto"/>
                <w:sz w:val="18"/>
                <w:szCs w:val="18"/>
                <w:lang w:val="en-US" w:eastAsia="zh-CN"/>
              </w:rPr>
              <w:t>沥青预处理系统、拌合系统</w:t>
            </w:r>
          </w:p>
        </w:tc>
        <w:tc>
          <w:tcPr>
            <w:tcW w:w="887" w:type="dxa"/>
            <w:noWrap w:val="0"/>
            <w:vAlign w:val="center"/>
          </w:tcPr>
          <w:p w14:paraId="4718DA9D">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rPr>
            </w:pPr>
            <w:r>
              <w:rPr>
                <w:rFonts w:hint="eastAsia"/>
                <w:color w:val="auto"/>
              </w:rPr>
              <w:t>沥青烟</w:t>
            </w:r>
          </w:p>
        </w:tc>
        <w:tc>
          <w:tcPr>
            <w:tcW w:w="1568" w:type="dxa"/>
            <w:noWrap w:val="0"/>
            <w:vAlign w:val="center"/>
          </w:tcPr>
          <w:p w14:paraId="5019E3F4">
            <w:pPr>
              <w:keepNext w:val="0"/>
              <w:keepLines w:val="0"/>
              <w:suppressLineNumbers w:val="0"/>
              <w:bidi w:val="0"/>
              <w:spacing w:before="0" w:beforeAutospacing="0" w:after="0" w:afterAutospacing="0"/>
              <w:ind w:left="0" w:right="0"/>
              <w:jc w:val="center"/>
              <w:rPr>
                <w:rFonts w:hint="default" w:ascii="Times New Roman" w:hAnsi="Times New Roman" w:cs="Times New Roman"/>
                <w:color w:val="auto"/>
                <w:kern w:val="2"/>
                <w:sz w:val="21"/>
                <w:szCs w:val="21"/>
                <w:highlight w:val="none"/>
                <w:lang w:eastAsia="zh-CN"/>
              </w:rPr>
            </w:pPr>
            <w:r>
              <w:rPr>
                <w:rFonts w:hint="eastAsia" w:ascii="宋体" w:hAnsi="Calibri" w:cs="Times New Roman"/>
                <w:snapToGrid w:val="0"/>
                <w:color w:val="auto"/>
                <w:kern w:val="0"/>
                <w:sz w:val="18"/>
                <w:szCs w:val="18"/>
                <w:lang w:val="en-US" w:eastAsia="zh-CN" w:bidi="ar-SA"/>
              </w:rPr>
              <w:t>/</w:t>
            </w:r>
          </w:p>
        </w:tc>
        <w:tc>
          <w:tcPr>
            <w:tcW w:w="1623" w:type="dxa"/>
            <w:vMerge w:val="continue"/>
            <w:noWrap w:val="0"/>
            <w:vAlign w:val="center"/>
          </w:tcPr>
          <w:p w14:paraId="780460D3">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149" w:type="dxa"/>
            <w:noWrap w:val="0"/>
            <w:vAlign w:val="center"/>
          </w:tcPr>
          <w:p w14:paraId="22BD88F4">
            <w:pPr>
              <w:pStyle w:val="186"/>
              <w:keepNext w:val="0"/>
              <w:keepLines w:val="0"/>
              <w:widowControl/>
              <w:suppressLineNumbers w:val="0"/>
              <w:spacing w:before="0" w:beforeAutospacing="0" w:after="0" w:afterAutospacing="0"/>
              <w:ind w:left="0" w:right="0"/>
              <w:rPr>
                <w:rFonts w:hint="default" w:ascii="Times New Roman" w:hAnsi="Times New Roman" w:cs="Times New Roman"/>
                <w:color w:val="auto"/>
                <w:sz w:val="21"/>
                <w:szCs w:val="21"/>
                <w:highlight w:val="none"/>
                <w:lang w:val="en-US" w:eastAsia="zh-CN"/>
              </w:rPr>
            </w:pPr>
            <w:r>
              <w:rPr>
                <w:rFonts w:hint="default" w:eastAsia="宋体"/>
                <w:color w:val="auto"/>
                <w:sz w:val="18"/>
                <w:szCs w:val="18"/>
              </w:rPr>
              <w:t>生产设备不得有明显无组织排放存在</w:t>
            </w:r>
          </w:p>
        </w:tc>
        <w:tc>
          <w:tcPr>
            <w:tcW w:w="1213" w:type="dxa"/>
            <w:noWrap w:val="0"/>
            <w:vAlign w:val="center"/>
          </w:tcPr>
          <w:p w14:paraId="70FED9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0.00</w:t>
            </w:r>
            <w:r>
              <w:rPr>
                <w:rFonts w:hint="eastAsia" w:ascii="Times New Roman" w:hAnsi="Times New Roman" w:eastAsia="宋体" w:cs="Times New Roman"/>
                <w:color w:val="auto"/>
                <w:kern w:val="0"/>
                <w:sz w:val="21"/>
                <w:szCs w:val="21"/>
                <w:highlight w:val="none"/>
                <w:lang w:val="en-US" w:eastAsia="zh-CN"/>
              </w:rPr>
              <w:t>92</w:t>
            </w:r>
          </w:p>
        </w:tc>
      </w:tr>
      <w:tr w14:paraId="149F7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0" w:type="dxa"/>
            <w:vMerge w:val="continue"/>
            <w:noWrap w:val="0"/>
            <w:vAlign w:val="center"/>
          </w:tcPr>
          <w:p w14:paraId="496A984A">
            <w:pPr>
              <w:keepNext w:val="0"/>
              <w:keepLines w:val="0"/>
              <w:suppressLineNumbers w:val="0"/>
              <w:spacing w:before="0" w:beforeAutospacing="0" w:after="0" w:afterAutospacing="0"/>
              <w:ind w:left="0" w:right="0" w:firstLine="0" w:firstLineChars="0"/>
              <w:jc w:val="center"/>
              <w:rPr>
                <w:rFonts w:hint="eastAsia" w:ascii="Times New Roman" w:hAnsi="Times New Roman" w:cs="Times New Roman"/>
                <w:color w:val="auto"/>
                <w:kern w:val="0"/>
                <w:sz w:val="21"/>
                <w:szCs w:val="21"/>
                <w:highlight w:val="none"/>
                <w:lang w:val="en-US" w:eastAsia="zh-CN"/>
              </w:rPr>
            </w:pPr>
          </w:p>
        </w:tc>
        <w:tc>
          <w:tcPr>
            <w:tcW w:w="861" w:type="dxa"/>
            <w:vMerge w:val="continue"/>
            <w:noWrap w:val="0"/>
            <w:vAlign w:val="center"/>
          </w:tcPr>
          <w:p w14:paraId="013314E2">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lang w:val="en-US" w:eastAsia="zh-CN"/>
              </w:rPr>
            </w:pPr>
          </w:p>
        </w:tc>
        <w:tc>
          <w:tcPr>
            <w:tcW w:w="750" w:type="dxa"/>
            <w:vMerge w:val="continue"/>
            <w:noWrap w:val="0"/>
            <w:vAlign w:val="center"/>
          </w:tcPr>
          <w:p w14:paraId="67A27CF6">
            <w:pPr>
              <w:pStyle w:val="183"/>
              <w:keepNext w:val="0"/>
              <w:keepLines w:val="0"/>
              <w:suppressLineNumbers w:val="0"/>
              <w:bidi w:val="0"/>
              <w:spacing w:before="0" w:beforeAutospacing="0" w:after="0" w:afterAutospacing="0"/>
              <w:ind w:left="0" w:leftChars="0" w:right="0" w:firstLine="0" w:firstLineChars="0"/>
              <w:rPr>
                <w:rFonts w:hint="eastAsia"/>
                <w:bCs/>
                <w:color w:val="auto"/>
                <w:sz w:val="18"/>
                <w:szCs w:val="18"/>
                <w:lang w:val="en-US" w:eastAsia="zh-CN"/>
              </w:rPr>
            </w:pPr>
          </w:p>
        </w:tc>
        <w:tc>
          <w:tcPr>
            <w:tcW w:w="887" w:type="dxa"/>
            <w:noWrap w:val="0"/>
            <w:vAlign w:val="center"/>
          </w:tcPr>
          <w:p w14:paraId="5A8EBDB8">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rPr>
            </w:pPr>
            <w:r>
              <w:rPr>
                <w:rFonts w:hint="default"/>
                <w:color w:val="auto"/>
              </w:rPr>
              <w:t>苯并</w:t>
            </w:r>
            <w:r>
              <w:rPr>
                <w:rFonts w:hint="eastAsia"/>
                <w:color w:val="auto"/>
              </w:rPr>
              <w:t>[a]</w:t>
            </w:r>
            <w:r>
              <w:rPr>
                <w:rFonts w:hint="default"/>
                <w:color w:val="auto"/>
              </w:rPr>
              <w:t>芘</w:t>
            </w:r>
          </w:p>
        </w:tc>
        <w:tc>
          <w:tcPr>
            <w:tcW w:w="1568" w:type="dxa"/>
            <w:noWrap w:val="0"/>
            <w:vAlign w:val="center"/>
          </w:tcPr>
          <w:p w14:paraId="09558DD8">
            <w:pPr>
              <w:keepNext w:val="0"/>
              <w:keepLines w:val="0"/>
              <w:suppressLineNumbers w:val="0"/>
              <w:bidi w:val="0"/>
              <w:spacing w:before="0" w:beforeAutospacing="0" w:after="0" w:afterAutospacing="0"/>
              <w:ind w:left="0" w:right="0"/>
              <w:jc w:val="center"/>
              <w:rPr>
                <w:rFonts w:hint="default" w:ascii="Times New Roman" w:hAnsi="Times New Roman" w:cs="Times New Roman"/>
                <w:color w:val="auto"/>
                <w:kern w:val="2"/>
                <w:sz w:val="21"/>
                <w:szCs w:val="21"/>
                <w:highlight w:val="none"/>
                <w:lang w:eastAsia="zh-CN"/>
              </w:rPr>
            </w:pPr>
            <w:r>
              <w:rPr>
                <w:rFonts w:hint="eastAsia" w:ascii="宋体" w:hAnsi="Calibri" w:cs="Times New Roman"/>
                <w:snapToGrid w:val="0"/>
                <w:color w:val="auto"/>
                <w:kern w:val="0"/>
                <w:sz w:val="18"/>
                <w:szCs w:val="18"/>
                <w:lang w:val="en-US" w:eastAsia="zh-CN" w:bidi="ar-SA"/>
              </w:rPr>
              <w:t>/</w:t>
            </w:r>
          </w:p>
        </w:tc>
        <w:tc>
          <w:tcPr>
            <w:tcW w:w="1623" w:type="dxa"/>
            <w:vMerge w:val="continue"/>
            <w:noWrap w:val="0"/>
            <w:vAlign w:val="center"/>
          </w:tcPr>
          <w:p w14:paraId="313A0D7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p>
        </w:tc>
        <w:tc>
          <w:tcPr>
            <w:tcW w:w="1149" w:type="dxa"/>
            <w:noWrap w:val="0"/>
            <w:vAlign w:val="center"/>
          </w:tcPr>
          <w:p w14:paraId="12DB610C">
            <w:pPr>
              <w:pStyle w:val="186"/>
              <w:keepNext w:val="0"/>
              <w:keepLines w:val="0"/>
              <w:widowControl/>
              <w:suppressLineNumbers w:val="0"/>
              <w:spacing w:before="0" w:beforeAutospacing="0" w:after="0" w:afterAutospacing="0"/>
              <w:ind w:left="0" w:right="0"/>
              <w:rPr>
                <w:rFonts w:hint="default" w:ascii="Times New Roman" w:hAnsi="Times New Roman" w:cs="Times New Roman"/>
                <w:color w:val="auto"/>
                <w:sz w:val="21"/>
                <w:szCs w:val="21"/>
                <w:highlight w:val="none"/>
                <w:lang w:val="en-US" w:eastAsia="zh-CN"/>
              </w:rPr>
            </w:pPr>
            <w:r>
              <w:rPr>
                <w:rFonts w:hint="default" w:eastAsia="宋体"/>
                <w:color w:val="auto"/>
                <w:sz w:val="18"/>
                <w:szCs w:val="18"/>
              </w:rPr>
              <w:t>0.008μg/m</w:t>
            </w:r>
            <w:r>
              <w:rPr>
                <w:rFonts w:hint="default" w:eastAsia="宋体"/>
                <w:color w:val="auto"/>
                <w:sz w:val="18"/>
                <w:szCs w:val="18"/>
                <w:vertAlign w:val="superscript"/>
              </w:rPr>
              <w:t>3</w:t>
            </w:r>
          </w:p>
        </w:tc>
        <w:tc>
          <w:tcPr>
            <w:tcW w:w="1213" w:type="dxa"/>
            <w:noWrap w:val="0"/>
            <w:vAlign w:val="center"/>
          </w:tcPr>
          <w:p w14:paraId="60E1E9D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0076kg</w:t>
            </w:r>
            <w:r>
              <w:rPr>
                <w:rFonts w:hint="default" w:ascii="Times New Roman" w:hAnsi="Times New Roman" w:eastAsia="宋体" w:cs="Times New Roman"/>
                <w:color w:val="auto"/>
                <w:kern w:val="0"/>
                <w:sz w:val="21"/>
                <w:szCs w:val="21"/>
                <w:highlight w:val="none"/>
                <w:lang w:val="en-US" w:eastAsia="zh-CN"/>
              </w:rPr>
              <w:t>/a</w:t>
            </w:r>
          </w:p>
        </w:tc>
      </w:tr>
      <w:tr w14:paraId="0D21C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621" w:type="dxa"/>
            <w:gridSpan w:val="8"/>
            <w:noWrap w:val="0"/>
            <w:vAlign w:val="center"/>
          </w:tcPr>
          <w:p w14:paraId="20005278">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无组织排放总计</w:t>
            </w:r>
          </w:p>
        </w:tc>
      </w:tr>
      <w:tr w14:paraId="061C5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68" w:type="dxa"/>
            <w:gridSpan w:val="4"/>
            <w:noWrap w:val="0"/>
            <w:vAlign w:val="center"/>
          </w:tcPr>
          <w:p w14:paraId="13A0B49D">
            <w:pPr>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1</w:t>
            </w:r>
          </w:p>
        </w:tc>
        <w:tc>
          <w:tcPr>
            <w:tcW w:w="3191" w:type="dxa"/>
            <w:gridSpan w:val="2"/>
            <w:noWrap w:val="0"/>
            <w:vAlign w:val="center"/>
          </w:tcPr>
          <w:p w14:paraId="35C61770">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2"/>
                <w:sz w:val="21"/>
                <w:szCs w:val="21"/>
                <w:highlight w:val="none"/>
              </w:rPr>
              <w:t>颗粒物</w:t>
            </w:r>
          </w:p>
        </w:tc>
        <w:tc>
          <w:tcPr>
            <w:tcW w:w="2362" w:type="dxa"/>
            <w:gridSpan w:val="2"/>
            <w:noWrap w:val="0"/>
            <w:vAlign w:val="center"/>
          </w:tcPr>
          <w:p w14:paraId="23BC2C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0.123</w:t>
            </w:r>
          </w:p>
        </w:tc>
      </w:tr>
      <w:tr w14:paraId="12F76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68" w:type="dxa"/>
            <w:gridSpan w:val="4"/>
            <w:noWrap w:val="0"/>
            <w:vAlign w:val="center"/>
          </w:tcPr>
          <w:p w14:paraId="4BBE3279">
            <w:pPr>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2</w:t>
            </w:r>
          </w:p>
        </w:tc>
        <w:tc>
          <w:tcPr>
            <w:tcW w:w="3191" w:type="dxa"/>
            <w:gridSpan w:val="2"/>
            <w:noWrap w:val="0"/>
            <w:vAlign w:val="center"/>
          </w:tcPr>
          <w:p w14:paraId="4F0679F0">
            <w:pPr>
              <w:keepNext w:val="0"/>
              <w:keepLines w:val="0"/>
              <w:suppressLineNumbers w:val="0"/>
              <w:spacing w:before="0" w:beforeAutospacing="0" w:after="0" w:afterAutospacing="0"/>
              <w:ind w:left="0" w:right="0"/>
              <w:contextualSpacing/>
              <w:jc w:val="center"/>
              <w:rPr>
                <w:rFonts w:hint="default" w:ascii="Times New Roman" w:hAnsi="Times New Roman" w:cs="Times New Roman"/>
                <w:color w:val="auto"/>
                <w:kern w:val="2"/>
                <w:sz w:val="21"/>
                <w:szCs w:val="21"/>
                <w:highlight w:val="none"/>
              </w:rPr>
            </w:pPr>
            <w:r>
              <w:rPr>
                <w:rFonts w:hint="eastAsia" w:ascii="宋体" w:hAnsi="宋体"/>
                <w:color w:val="auto"/>
                <w:kern w:val="0"/>
                <w:sz w:val="18"/>
                <w:szCs w:val="18"/>
              </w:rPr>
              <w:t>非甲烷总烃</w:t>
            </w:r>
          </w:p>
        </w:tc>
        <w:tc>
          <w:tcPr>
            <w:tcW w:w="2362" w:type="dxa"/>
            <w:gridSpan w:val="2"/>
            <w:noWrap w:val="0"/>
            <w:vAlign w:val="center"/>
          </w:tcPr>
          <w:p w14:paraId="06884D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0.4</w:t>
            </w:r>
          </w:p>
        </w:tc>
      </w:tr>
      <w:tr w14:paraId="1AE21B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68" w:type="dxa"/>
            <w:gridSpan w:val="4"/>
            <w:noWrap w:val="0"/>
            <w:vAlign w:val="center"/>
          </w:tcPr>
          <w:p w14:paraId="3E1845CB">
            <w:pPr>
              <w:keepNext w:val="0"/>
              <w:keepLines w:val="0"/>
              <w:suppressLineNumbers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3</w:t>
            </w:r>
          </w:p>
        </w:tc>
        <w:tc>
          <w:tcPr>
            <w:tcW w:w="3191" w:type="dxa"/>
            <w:gridSpan w:val="2"/>
            <w:noWrap w:val="0"/>
            <w:vAlign w:val="center"/>
          </w:tcPr>
          <w:p w14:paraId="20BC30DD">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rPr>
            </w:pPr>
            <w:r>
              <w:rPr>
                <w:rFonts w:hint="eastAsia"/>
                <w:color w:val="auto"/>
              </w:rPr>
              <w:t>沥青烟</w:t>
            </w:r>
          </w:p>
        </w:tc>
        <w:tc>
          <w:tcPr>
            <w:tcW w:w="2362" w:type="dxa"/>
            <w:gridSpan w:val="2"/>
            <w:noWrap w:val="0"/>
            <w:vAlign w:val="center"/>
          </w:tcPr>
          <w:p w14:paraId="28FAC66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0.00</w:t>
            </w:r>
            <w:r>
              <w:rPr>
                <w:rFonts w:hint="eastAsia" w:ascii="Times New Roman" w:hAnsi="Times New Roman" w:eastAsia="宋体" w:cs="Times New Roman"/>
                <w:color w:val="auto"/>
                <w:kern w:val="0"/>
                <w:sz w:val="21"/>
                <w:szCs w:val="21"/>
                <w:highlight w:val="none"/>
                <w:lang w:val="en-US" w:eastAsia="zh-CN"/>
              </w:rPr>
              <w:t>92</w:t>
            </w:r>
          </w:p>
        </w:tc>
      </w:tr>
      <w:tr w14:paraId="5968A2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68" w:type="dxa"/>
            <w:gridSpan w:val="4"/>
            <w:noWrap w:val="0"/>
            <w:vAlign w:val="center"/>
          </w:tcPr>
          <w:p w14:paraId="53AAEDB1">
            <w:pPr>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4</w:t>
            </w:r>
          </w:p>
        </w:tc>
        <w:tc>
          <w:tcPr>
            <w:tcW w:w="3191" w:type="dxa"/>
            <w:gridSpan w:val="2"/>
            <w:noWrap w:val="0"/>
            <w:vAlign w:val="center"/>
          </w:tcPr>
          <w:p w14:paraId="3FC593CA">
            <w:pPr>
              <w:pStyle w:val="183"/>
              <w:keepNext w:val="0"/>
              <w:keepLines w:val="0"/>
              <w:suppressLineNumbers w:val="0"/>
              <w:bidi w:val="0"/>
              <w:spacing w:before="0" w:beforeAutospacing="0" w:after="0" w:afterAutospacing="0"/>
              <w:ind w:left="0" w:leftChars="0" w:right="0" w:firstLine="0" w:firstLineChars="0"/>
              <w:rPr>
                <w:rFonts w:hint="default" w:ascii="Times New Roman" w:hAnsi="Times New Roman" w:cs="Times New Roman"/>
                <w:color w:val="auto"/>
                <w:kern w:val="2"/>
                <w:sz w:val="21"/>
                <w:szCs w:val="21"/>
                <w:highlight w:val="none"/>
              </w:rPr>
            </w:pPr>
            <w:r>
              <w:rPr>
                <w:rFonts w:hint="default"/>
                <w:color w:val="auto"/>
              </w:rPr>
              <w:t>苯并</w:t>
            </w:r>
            <w:r>
              <w:rPr>
                <w:rFonts w:hint="eastAsia"/>
                <w:color w:val="auto"/>
              </w:rPr>
              <w:t>[a]</w:t>
            </w:r>
            <w:r>
              <w:rPr>
                <w:rFonts w:hint="default"/>
                <w:color w:val="auto"/>
              </w:rPr>
              <w:t>芘</w:t>
            </w:r>
          </w:p>
        </w:tc>
        <w:tc>
          <w:tcPr>
            <w:tcW w:w="2362" w:type="dxa"/>
            <w:gridSpan w:val="2"/>
            <w:noWrap w:val="0"/>
            <w:vAlign w:val="center"/>
          </w:tcPr>
          <w:p w14:paraId="3C5FC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w:t>
            </w:r>
            <w:r>
              <w:rPr>
                <w:rFonts w:hint="eastAsia" w:ascii="Times New Roman" w:hAnsi="Times New Roman" w:eastAsia="宋体" w:cs="Times New Roman"/>
                <w:color w:val="auto"/>
                <w:kern w:val="0"/>
                <w:sz w:val="21"/>
                <w:szCs w:val="21"/>
                <w:highlight w:val="none"/>
                <w:lang w:val="en-US" w:eastAsia="zh-CN"/>
              </w:rPr>
              <w:t>0076kg</w:t>
            </w:r>
            <w:r>
              <w:rPr>
                <w:rFonts w:hint="default" w:ascii="Times New Roman" w:hAnsi="Times New Roman" w:eastAsia="宋体" w:cs="Times New Roman"/>
                <w:color w:val="auto"/>
                <w:kern w:val="0"/>
                <w:sz w:val="21"/>
                <w:szCs w:val="21"/>
                <w:highlight w:val="none"/>
                <w:lang w:val="en-US" w:eastAsia="zh-CN"/>
              </w:rPr>
              <w:t>/a</w:t>
            </w:r>
          </w:p>
        </w:tc>
      </w:tr>
    </w:tbl>
    <w:p w14:paraId="10583B8E">
      <w:pPr>
        <w:widowControl w:val="0"/>
        <w:spacing w:line="360" w:lineRule="auto"/>
        <w:ind w:firstLine="480" w:firstLineChars="200"/>
        <w:jc w:val="both"/>
        <w:rPr>
          <w:rFonts w:hint="default" w:ascii="Times New Roman" w:hAnsi="Times New Roman" w:eastAsia="宋体" w:cs="Times New Roman"/>
          <w:color w:val="auto"/>
          <w:kern w:val="2"/>
          <w:sz w:val="24"/>
          <w:szCs w:val="24"/>
          <w:lang w:val="zh-CN" w:eastAsia="zh-CN" w:bidi="ar-SA"/>
        </w:rPr>
      </w:pPr>
    </w:p>
    <w:p w14:paraId="39B13073">
      <w:pPr>
        <w:widowControl w:val="0"/>
        <w:spacing w:line="360" w:lineRule="auto"/>
        <w:ind w:firstLine="480" w:firstLineChars="200"/>
        <w:jc w:val="both"/>
        <w:rPr>
          <w:rFonts w:hint="default" w:ascii="Times New Roman" w:hAnsi="Times New Roman" w:eastAsia="宋体" w:cs="Times New Roman"/>
          <w:color w:val="auto"/>
          <w:kern w:val="2"/>
          <w:sz w:val="24"/>
          <w:szCs w:val="28"/>
          <w:lang w:val="en-US" w:eastAsia="zh-CN" w:bidi="ar-SA"/>
        </w:rPr>
      </w:pPr>
      <w:bookmarkStart w:id="285" w:name="_Toc307947630"/>
      <w:bookmarkStart w:id="286" w:name="_Toc307229572"/>
      <w:bookmarkStart w:id="287" w:name="_Toc247644679"/>
      <w:bookmarkStart w:id="288" w:name="_Toc272339031"/>
    </w:p>
    <w:p w14:paraId="1901500A">
      <w:pPr>
        <w:rPr>
          <w:rFonts w:hint="default" w:ascii="Times New Roman" w:hAnsi="Times New Roman" w:cs="Times New Roman"/>
          <w:color w:val="auto"/>
        </w:rPr>
        <w:sectPr>
          <w:headerReference r:id="rId16" w:type="default"/>
          <w:footerReference r:id="rId17" w:type="default"/>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bookmarkStart w:id="289" w:name="_Toc353554889"/>
      <w:bookmarkStart w:id="290" w:name="_Toc344060697"/>
    </w:p>
    <w:p w14:paraId="50EA09D2">
      <w:pPr>
        <w:widowControl w:val="0"/>
        <w:numPr>
          <w:ilvl w:val="0"/>
          <w:numId w:val="1"/>
        </w:numPr>
        <w:spacing w:before="240" w:beforeLines="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291" w:name="_Toc16233"/>
      <w:r>
        <w:rPr>
          <w:rFonts w:hint="default" w:ascii="Times New Roman" w:hAnsi="Times New Roman" w:eastAsia="黑体" w:cs="Times New Roman"/>
          <w:color w:val="auto"/>
          <w:kern w:val="2"/>
          <w:sz w:val="36"/>
          <w:szCs w:val="24"/>
          <w:lang w:val="en-US" w:eastAsia="zh-CN" w:bidi="ar-SA"/>
        </w:rPr>
        <w:t>污染</w:t>
      </w:r>
      <w:bookmarkEnd w:id="289"/>
      <w:bookmarkEnd w:id="290"/>
      <w:r>
        <w:rPr>
          <w:rFonts w:hint="default" w:ascii="Times New Roman" w:hAnsi="Times New Roman" w:eastAsia="黑体" w:cs="Times New Roman"/>
          <w:color w:val="auto"/>
          <w:kern w:val="2"/>
          <w:sz w:val="36"/>
          <w:szCs w:val="24"/>
          <w:lang w:val="en-US" w:eastAsia="zh-CN" w:bidi="ar-SA"/>
        </w:rPr>
        <w:t>保护措施及可行性论证</w:t>
      </w:r>
      <w:bookmarkEnd w:id="291"/>
    </w:p>
    <w:p w14:paraId="0DD9D8AA">
      <w:pPr>
        <w:widowControl w:val="0"/>
        <w:jc w:val="both"/>
        <w:rPr>
          <w:rFonts w:hint="default" w:ascii="Times New Roman" w:hAnsi="Times New Roman" w:eastAsia="宋体" w:cs="Times New Roman"/>
          <w:color w:val="auto"/>
          <w:sz w:val="24"/>
          <w:lang w:val="en-US" w:eastAsia="zh-CN" w:bidi="ar-SA"/>
        </w:rPr>
      </w:pPr>
    </w:p>
    <w:p w14:paraId="1F73E0EB">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92" w:name="_Toc7460"/>
      <w:r>
        <w:rPr>
          <w:rFonts w:hint="default" w:ascii="Times New Roman" w:hAnsi="Times New Roman" w:eastAsia="黑体" w:cs="Times New Roman"/>
          <w:color w:val="auto"/>
          <w:sz w:val="28"/>
          <w:szCs w:val="20"/>
          <w:lang w:val="en-US" w:eastAsia="zh-CN" w:bidi="ar-SA"/>
        </w:rPr>
        <w:t>导热油炉废气</w:t>
      </w:r>
      <w:bookmarkEnd w:id="292"/>
    </w:p>
    <w:p w14:paraId="188D4709">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设置一台导热油炉，采用柴油作为燃料，根据《排污许可证申请与核发技术规范锅炉》（HJ933-2018），燃用低硫油、低氮燃烧属于可行性技术，根据燃料分析报告，本项目燃油为低硫油，且本项目建设低氮燃烧器，本项目属于可行性技术。</w:t>
      </w:r>
    </w:p>
    <w:p w14:paraId="66F4B9FA">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经核算，导热油炉烟气经15m高烟囱排放，颗粒物、SO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和NO</w:t>
      </w:r>
      <w:r>
        <w:rPr>
          <w:rFonts w:hint="default" w:ascii="Times New Roman" w:hAnsi="Times New Roman" w:eastAsia="宋体" w:cs="Times New Roman"/>
          <w:color w:val="auto"/>
          <w:kern w:val="2"/>
          <w:sz w:val="24"/>
          <w:szCs w:val="24"/>
          <w:vertAlign w:val="subscript"/>
          <w:lang w:val="en-US" w:eastAsia="zh-CN" w:bidi="ar-SA"/>
        </w:rPr>
        <w:t>x</w:t>
      </w:r>
      <w:r>
        <w:rPr>
          <w:rFonts w:hint="default" w:ascii="Times New Roman" w:hAnsi="Times New Roman" w:eastAsia="宋体" w:cs="Times New Roman"/>
          <w:color w:val="auto"/>
          <w:kern w:val="2"/>
          <w:sz w:val="24"/>
          <w:szCs w:val="24"/>
          <w:lang w:val="en-US" w:eastAsia="zh-CN" w:bidi="ar-SA"/>
        </w:rPr>
        <w:t>排放浓度满足《锅炉大气污染物排放标准》（GB13271-2014）表2燃油锅炉限值要求（颗粒物30mg/m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200mg/m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、NOx250mg/m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w:t>
      </w:r>
    </w:p>
    <w:p w14:paraId="15FFA4DF">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93" w:name="_Toc18926"/>
      <w:r>
        <w:rPr>
          <w:rFonts w:hint="default" w:ascii="Times New Roman" w:hAnsi="Times New Roman" w:eastAsia="黑体" w:cs="Times New Roman"/>
          <w:color w:val="auto"/>
          <w:sz w:val="28"/>
          <w:szCs w:val="20"/>
          <w:lang w:val="en-US" w:eastAsia="zh-CN" w:bidi="ar-SA"/>
        </w:rPr>
        <w:t>骨料加热烘干废气</w:t>
      </w:r>
      <w:bookmarkEnd w:id="293"/>
    </w:p>
    <w:p w14:paraId="57427391">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项目烘干滚筒为密闭形式，本项目产生的混合气体通过引风机引入二级除尘系统（重力除尘+布袋除尘器，本项目二级除尘器除尘效率按99%计，重力、布袋除尘器均对SO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、NOx没有去除效率）后通过排气筒高空排放。</w:t>
      </w:r>
    </w:p>
    <w:p w14:paraId="6CC39F09">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颗粒物、SO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、NOx排放浓度均可以满足《大气污染物综合排放标准》（GB16297-1996）中表2中的标准（颗粒物120mg/m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550mg/m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、NOx240mg/m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w:t>
      </w:r>
    </w:p>
    <w:p w14:paraId="54163132">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94" w:name="_Toc18958"/>
      <w:r>
        <w:rPr>
          <w:rFonts w:hint="default" w:ascii="Times New Roman" w:hAnsi="Times New Roman" w:eastAsia="黑体" w:cs="Times New Roman"/>
          <w:color w:val="auto"/>
          <w:sz w:val="28"/>
          <w:szCs w:val="20"/>
          <w:lang w:val="en-US" w:eastAsia="zh-CN" w:bidi="ar-SA"/>
        </w:rPr>
        <w:t>沥青烟及苯并芘</w:t>
      </w:r>
      <w:bookmarkEnd w:id="294"/>
    </w:p>
    <w:p w14:paraId="07D2312C">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沥青油烟是指石油沥青及沥青制品生产中排放的液态烃类有机颗粒物质和少量在常温下的气态烃类物质，它是含多种化学物质的混合烟气，以烃类混合物为主要成分，其中含多环芳烃类物质尤多，以苯并[a]芘为代表的多环芳烃类物质是强致癌物。大气中多环芳烃类物质的存在，是引起呼吸道癌症上升的一个重要原因。纯苯并[a]芘为黄色针状晶体，熔点179℃，沸点310℃左右能溶于苯，稍溶于醇，不溶于水，是石油沥青中的强致癌物，可引起皮肤癌症，在沥青油烟中，其通常附在沥青烟中直径小于8.0μm的颗粒上。</w:t>
      </w:r>
    </w:p>
    <w:p w14:paraId="688AF9FD">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本项目生产所需沥青先通过导热油炉加热，再由沥青泵送入搅拌缸中，成品沥青在出料时也会产生沥青烟气，因此在沥青加热和混合搅拌工序及陈品料出口均会产生沥青烟气。</w:t>
      </w:r>
    </w:p>
    <w:p w14:paraId="010C140E">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成品沥青出料时，仓底部设有密封的装料车道，两侧增加电动卷帘门装置，可自动开合，装料时，卷帘门自动关闭，车道完全密封，出料过程中产生的沥青烟气经集气罩收集后经密封风管进入燃烧器。搅拌机产生的沥青烟气通过管道收集后利用负压风机引至燃烧器与成品料出口的沥青烟气一同在搅拌机中进行二次燃烧，燃烧后的废气引入二级除尘系统，末端设置1套电捕焦油器+活性炭吸附处理后，由15m排气筒排放（P2）。</w:t>
      </w:r>
    </w:p>
    <w:p w14:paraId="166D10C3">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沥青烟气燃烧处理技术》刘江雁，石油与天然气化工，第29卷，第4期，关于在实验室模拟现场沥青熬制工艺流程，增设沥青烟气回收处理系统。用引风机将融化罐中的沥青烟气抽出并与天然气混合进入燃烧炉中燃烧。根据相关实验测定沥青烟气中各组分含量可知，沥青烟气中除了含有水蒸气外，还含有大量的烷烃和苯系物，这些有机物均可燃烧。引用其实验结果知：当燃烧炉内的温度达到510℃时，燃烧后烟气中的有机物含量已不能检出，而且随着燃烧反应的进行，燃烧炉中温度会不断升高，其燃烧效果更为明显。本项目柴油燃烧器燃烧室内燃烧温度在800-1000℃，可以有效处理沥青储罐产生的沥青烟气中的各类有机污染物。</w:t>
      </w:r>
    </w:p>
    <w:p w14:paraId="4E27CF7A">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活性炭吸附为《排污许可申请与核发技术规范石墨及其他非金属矿物制品制造》（HJ1119-2020）沥青混合料生产中沥青罐呼吸废气、成品出料废气的可行治理技术，活性炭是一种多孔性的含炭物质,它具有高度发达的孔隙构造,活性炭的多孔结构为其提供了大量的表面积，能与气体（杂质）充分接触，从而赋予了活性炭所特有的吸附性能，使其非常容易达到吸收收集杂质的目的，活性炭对于低浓度有机物具有较高的吸附效率。经采取上述废气净化措施后，沥青烟及苯并[a]芘的排放可满足《大气污染物综合排放标准》（GB16297-1996）排放标准，措施可行。</w:t>
      </w:r>
    </w:p>
    <w:p w14:paraId="4E257658">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295" w:name="_Toc27875"/>
      <w:r>
        <w:rPr>
          <w:rFonts w:hint="default" w:ascii="Times New Roman" w:hAnsi="Times New Roman" w:eastAsia="黑体" w:cs="Times New Roman"/>
          <w:color w:val="auto"/>
          <w:sz w:val="28"/>
          <w:szCs w:val="20"/>
          <w:lang w:val="en-US" w:eastAsia="zh-CN" w:bidi="ar-SA"/>
        </w:rPr>
        <w:t>无组织排放措施</w:t>
      </w:r>
      <w:bookmarkEnd w:id="295"/>
    </w:p>
    <w:p w14:paraId="687203EC">
      <w:pPr>
        <w:widowControl w:val="0"/>
        <w:bidi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拟建项目碎石卸料、运输、堆放过程产生无组织排放粉尘。项目砂石料在封闭式原料库内储存，库房具有防风、防雨、防渗等相关功能，不利条件下仅会产生少量的扬尘。企业在料场设置围挡，采用苫布遮盖，并定时在厂区洒水，增加湿度，可较好的防治扬尘扩散，减少粉尘的排放量。无组织排放的粉尘厂界外满足《大气污染物综合排放标准》(GB16297-1996)中无组织排放监控浓度限值标准。装卸沥青过程中，尽管运输车辆与厂区内的装卸装置连接处，设有相应的密封装置，如密封法兰等，但在实际操作过程中仍会有沥青烟气挥发，建议在装卸过程中应保证相应连接装置的封密性，确保装卸现场无明显的沥青烟气挥发。</w:t>
      </w:r>
    </w:p>
    <w:bookmarkEnd w:id="285"/>
    <w:bookmarkEnd w:id="286"/>
    <w:bookmarkEnd w:id="287"/>
    <w:bookmarkEnd w:id="288"/>
    <w:p w14:paraId="187E92A3">
      <w:pPr>
        <w:numPr>
          <w:ilvl w:val="0"/>
          <w:numId w:val="0"/>
        </w:numPr>
        <w:spacing w:before="240" w:beforeLines="0"/>
        <w:rPr>
          <w:rFonts w:hint="default" w:ascii="Times New Roman" w:hAnsi="Times New Roman" w:cs="Times New Roman"/>
          <w:color w:val="auto"/>
        </w:rPr>
        <w:sectPr>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bookmarkStart w:id="296" w:name="_Toc353554923"/>
      <w:bookmarkStart w:id="297" w:name="_Toc245605583"/>
    </w:p>
    <w:bookmarkEnd w:id="296"/>
    <w:bookmarkEnd w:id="297"/>
    <w:p w14:paraId="3DB565F2">
      <w:pPr>
        <w:widowControl w:val="0"/>
        <w:numPr>
          <w:ilvl w:val="0"/>
          <w:numId w:val="1"/>
        </w:numPr>
        <w:spacing w:before="240" w:beforeLines="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298" w:name="_Toc14002"/>
      <w:bookmarkStart w:id="299" w:name="_Toc353554928"/>
      <w:bookmarkStart w:id="300" w:name="_Toc307229636"/>
      <w:bookmarkStart w:id="301" w:name="_Toc245605586"/>
      <w:bookmarkStart w:id="302" w:name="_Toc307947666"/>
      <w:bookmarkStart w:id="303" w:name="_Toc344060739"/>
      <w:r>
        <w:rPr>
          <w:rFonts w:hint="default" w:ascii="Times New Roman" w:hAnsi="Times New Roman" w:eastAsia="黑体" w:cs="Times New Roman"/>
          <w:color w:val="auto"/>
          <w:kern w:val="2"/>
          <w:sz w:val="36"/>
          <w:szCs w:val="24"/>
          <w:lang w:val="en-US" w:eastAsia="zh-CN" w:bidi="ar-SA"/>
        </w:rPr>
        <w:t>环境监测计划</w:t>
      </w:r>
      <w:bookmarkEnd w:id="298"/>
      <w:bookmarkEnd w:id="299"/>
    </w:p>
    <w:p w14:paraId="337AFCEE">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304" w:name="_Toc11917"/>
      <w:bookmarkStart w:id="305" w:name="_Toc30735"/>
      <w:r>
        <w:rPr>
          <w:rFonts w:hint="default" w:ascii="Times New Roman" w:hAnsi="Times New Roman" w:eastAsia="黑体" w:cs="Times New Roman"/>
          <w:color w:val="auto"/>
          <w:sz w:val="28"/>
          <w:szCs w:val="20"/>
          <w:lang w:val="en-US" w:eastAsia="zh-CN" w:bidi="ar-SA"/>
        </w:rPr>
        <w:t>环境监测计划</w:t>
      </w:r>
      <w:bookmarkEnd w:id="304"/>
      <w:bookmarkEnd w:id="305"/>
    </w:p>
    <w:p w14:paraId="04E8011B">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环境监测目的及职责</w:t>
      </w:r>
    </w:p>
    <w:p w14:paraId="081098DB">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（1）根据各项有关环境质量标准、污染物排放标准，制定本项目的环境监测计划工作方案，建立与完善各项检测规章制度。</w:t>
      </w:r>
    </w:p>
    <w:p w14:paraId="2C83857D">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（2）按时完成监测计划和各项检测任务。</w:t>
      </w:r>
    </w:p>
    <w:p w14:paraId="2F43016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（3）做好各项环保设备运行的例行检测工作，发现问题及时报告，以便迅速解决，保证环保设备正常运行，确保达标排放。</w:t>
      </w:r>
    </w:p>
    <w:p w14:paraId="50B6EC2A">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4）环保监测人员要培训合格后才能上岗，并定期参加有关技术培训，不断提高业务水平，并参加主管部门的组织的技术考核。为了监督检查本单位的各类污染治理措施是否达到预定的处理效果并达标排放，是否符合当地环境管理部门所规定的总量控制要求，必须进行环境监测。</w:t>
      </w:r>
    </w:p>
    <w:p w14:paraId="12FCE880">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环境监测计划</w:t>
      </w:r>
    </w:p>
    <w:p w14:paraId="0E325086">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参照依据</w:t>
      </w:r>
      <w:r>
        <w:rPr>
          <w:rFonts w:hint="default" w:ascii="Times New Roman" w:hAnsi="Times New Roman" w:eastAsia="宋体" w:cs="Times New Roman"/>
          <w:color w:val="auto"/>
          <w:kern w:val="2"/>
          <w:sz w:val="24"/>
          <w:szCs w:val="24"/>
          <w:highlight w:val="none"/>
          <w:lang w:val="en-US" w:eastAsia="zh-CN" w:bidi="ar-SA"/>
        </w:rPr>
        <w:t>《排污单位自行监测技术指南总则》（HJ819-2017）</w:t>
      </w:r>
      <w:r>
        <w:rPr>
          <w:rFonts w:hint="default" w:ascii="Times New Roman" w:hAnsi="Times New Roman" w:eastAsia="宋体" w:cs="Times New Roman"/>
          <w:color w:val="auto"/>
          <w:kern w:val="2"/>
          <w:sz w:val="24"/>
          <w:szCs w:val="24"/>
          <w:lang w:val="en-US" w:eastAsia="zh-CN" w:bidi="ar-SA"/>
        </w:rPr>
        <w:t>，本项目监测计划如下：</w:t>
      </w:r>
    </w:p>
    <w:p w14:paraId="34386BF0">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监测项目：颗粒物、SO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、NOx、苯并[a]芘；</w:t>
      </w:r>
    </w:p>
    <w:p w14:paraId="3DA71813">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监测点：各个排气简出口处，下风向厂界处；</w:t>
      </w:r>
    </w:p>
    <w:p w14:paraId="4E15FC6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监测频次：建议每年监测一次；</w:t>
      </w:r>
    </w:p>
    <w:p w14:paraId="52666119">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委托单位：第三方检测公司。</w:t>
      </w:r>
    </w:p>
    <w:p w14:paraId="59E94C19">
      <w:pPr>
        <w:spacing w:before="187" w:line="211" w:lineRule="auto"/>
        <w:ind w:left="31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pacing w:val="-6"/>
          <w:kern w:val="0"/>
          <w:sz w:val="24"/>
          <w:szCs w:val="24"/>
        </w:rPr>
        <w:t>表</w:t>
      </w:r>
      <w:r>
        <w:rPr>
          <w:rFonts w:hint="default" w:ascii="Times New Roman" w:hAnsi="Times New Roman" w:eastAsia="Times New Roman" w:cs="Times New Roman"/>
          <w:b/>
          <w:bCs/>
          <w:color w:val="auto"/>
          <w:spacing w:val="-3"/>
          <w:kern w:val="0"/>
          <w:sz w:val="24"/>
          <w:szCs w:val="24"/>
        </w:rPr>
        <w:t>6-1</w:t>
      </w:r>
      <w:r>
        <w:rPr>
          <w:rFonts w:hint="default" w:ascii="Times New Roman" w:hAnsi="Times New Roman" w:eastAsia="宋体" w:cs="Times New Roman"/>
          <w:color w:val="auto"/>
          <w:spacing w:val="-3"/>
          <w:kern w:val="0"/>
          <w:sz w:val="24"/>
          <w:szCs w:val="24"/>
        </w:rPr>
        <w:t>废气监测要求</w:t>
      </w:r>
    </w:p>
    <w:tbl>
      <w:tblPr>
        <w:tblStyle w:val="144"/>
        <w:tblW w:w="87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17"/>
        <w:gridCol w:w="4312"/>
        <w:gridCol w:w="1420"/>
        <w:gridCol w:w="1375"/>
      </w:tblGrid>
      <w:tr w14:paraId="67374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617" w:type="dxa"/>
            <w:tcBorders>
              <w:top w:val="single" w:color="000000" w:sz="12" w:space="0"/>
              <w:left w:val="nil"/>
              <w:bottom w:val="single" w:color="000000" w:sz="2" w:space="0"/>
            </w:tcBorders>
            <w:noWrap w:val="0"/>
            <w:vAlign w:val="top"/>
          </w:tcPr>
          <w:p w14:paraId="600AA593">
            <w:pPr>
              <w:spacing w:before="53" w:line="215" w:lineRule="auto"/>
              <w:ind w:left="40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监测项目</w:t>
            </w:r>
          </w:p>
        </w:tc>
        <w:tc>
          <w:tcPr>
            <w:tcW w:w="4312" w:type="dxa"/>
            <w:tcBorders>
              <w:top w:val="single" w:color="000000" w:sz="12" w:space="0"/>
              <w:bottom w:val="single" w:color="000000" w:sz="2" w:space="0"/>
            </w:tcBorders>
            <w:noWrap w:val="0"/>
            <w:vAlign w:val="top"/>
          </w:tcPr>
          <w:p w14:paraId="7AE26173">
            <w:pPr>
              <w:spacing w:before="53" w:line="215" w:lineRule="auto"/>
              <w:ind w:left="1741"/>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监测因子</w:t>
            </w:r>
          </w:p>
        </w:tc>
        <w:tc>
          <w:tcPr>
            <w:tcW w:w="1420" w:type="dxa"/>
            <w:tcBorders>
              <w:top w:val="single" w:color="000000" w:sz="12" w:space="0"/>
              <w:bottom w:val="single" w:color="000000" w:sz="2" w:space="0"/>
            </w:tcBorders>
            <w:noWrap w:val="0"/>
            <w:vAlign w:val="top"/>
          </w:tcPr>
          <w:p w14:paraId="40DF5470">
            <w:pPr>
              <w:spacing w:before="53" w:line="215" w:lineRule="auto"/>
              <w:ind w:left="29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监测点位</w:t>
            </w:r>
          </w:p>
        </w:tc>
        <w:tc>
          <w:tcPr>
            <w:tcW w:w="1375" w:type="dxa"/>
            <w:tcBorders>
              <w:top w:val="single" w:color="000000" w:sz="12" w:space="0"/>
              <w:bottom w:val="single" w:color="000000" w:sz="2" w:space="0"/>
              <w:right w:val="nil"/>
            </w:tcBorders>
            <w:noWrap w:val="0"/>
            <w:vAlign w:val="top"/>
          </w:tcPr>
          <w:p w14:paraId="051329D4">
            <w:pPr>
              <w:spacing w:before="53" w:line="215" w:lineRule="auto"/>
              <w:ind w:left="273"/>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监测频次</w:t>
            </w:r>
          </w:p>
        </w:tc>
      </w:tr>
      <w:tr w14:paraId="5BD04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17" w:type="dxa"/>
            <w:vMerge w:val="restart"/>
            <w:tcBorders>
              <w:top w:val="single" w:color="000000" w:sz="2" w:space="0"/>
              <w:left w:val="nil"/>
              <w:bottom w:val="single" w:color="000000" w:sz="2" w:space="0"/>
            </w:tcBorders>
            <w:noWrap w:val="0"/>
            <w:vAlign w:val="top"/>
          </w:tcPr>
          <w:p w14:paraId="4CDFF618">
            <w:pPr>
              <w:spacing w:line="243" w:lineRule="auto"/>
              <w:jc w:val="left"/>
              <w:rPr>
                <w:rFonts w:hint="default" w:ascii="Times New Roman" w:hAnsi="Times New Roman" w:cs="Times New Roman"/>
                <w:color w:val="auto"/>
                <w:kern w:val="0"/>
                <w:sz w:val="21"/>
                <w:szCs w:val="20"/>
              </w:rPr>
            </w:pPr>
          </w:p>
          <w:p w14:paraId="05F831F2">
            <w:pPr>
              <w:spacing w:before="68" w:line="221" w:lineRule="auto"/>
              <w:ind w:left="297"/>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有组织废</w:t>
            </w:r>
            <w:r>
              <w:rPr>
                <w:rFonts w:hint="default" w:ascii="Times New Roman" w:hAnsi="Times New Roman" w:eastAsia="宋体" w:cs="Times New Roman"/>
                <w:color w:val="auto"/>
                <w:kern w:val="0"/>
                <w:sz w:val="21"/>
                <w:szCs w:val="21"/>
              </w:rPr>
              <w:t>气</w:t>
            </w:r>
          </w:p>
        </w:tc>
        <w:tc>
          <w:tcPr>
            <w:tcW w:w="4312" w:type="dxa"/>
            <w:tcBorders>
              <w:top w:val="single" w:color="000000" w:sz="2" w:space="0"/>
              <w:bottom w:val="single" w:color="000000" w:sz="2" w:space="0"/>
            </w:tcBorders>
            <w:noWrap w:val="0"/>
            <w:vAlign w:val="top"/>
          </w:tcPr>
          <w:p w14:paraId="0C64B584">
            <w:pPr>
              <w:spacing w:line="277" w:lineRule="exact"/>
              <w:ind w:left="260"/>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spacing w:val="-13"/>
                <w:kern w:val="0"/>
                <w:sz w:val="21"/>
                <w:szCs w:val="21"/>
              </w:rPr>
              <w:t>颗</w:t>
            </w:r>
            <w:r>
              <w:rPr>
                <w:rFonts w:hint="default" w:ascii="Times New Roman" w:hAnsi="Times New Roman" w:eastAsia="宋体" w:cs="Times New Roman"/>
                <w:color w:val="auto"/>
                <w:spacing w:val="-11"/>
                <w:kern w:val="0"/>
                <w:sz w:val="21"/>
                <w:szCs w:val="21"/>
              </w:rPr>
              <w:t>粒物、</w:t>
            </w:r>
            <w:r>
              <w:rPr>
                <w:rFonts w:hint="default" w:ascii="Times New Roman" w:hAnsi="Times New Roman" w:eastAsia="Times New Roman" w:cs="Times New Roman"/>
                <w:color w:val="auto"/>
                <w:spacing w:val="-11"/>
                <w:kern w:val="0"/>
                <w:sz w:val="21"/>
                <w:szCs w:val="21"/>
              </w:rPr>
              <w:t>SO</w:t>
            </w:r>
            <w:r>
              <w:rPr>
                <w:rFonts w:hint="default" w:ascii="Times New Roman" w:hAnsi="Times New Roman" w:eastAsia="Times New Roman" w:cs="Times New Roman"/>
                <w:color w:val="auto"/>
                <w:spacing w:val="-11"/>
                <w:kern w:val="0"/>
                <w:position w:val="-1"/>
                <w:sz w:val="14"/>
                <w:szCs w:val="14"/>
              </w:rPr>
              <w:t>2</w:t>
            </w:r>
            <w:r>
              <w:rPr>
                <w:rFonts w:hint="default" w:ascii="Times New Roman" w:hAnsi="Times New Roman" w:eastAsia="宋体" w:cs="Times New Roman"/>
                <w:color w:val="auto"/>
                <w:spacing w:val="-11"/>
                <w:kern w:val="0"/>
                <w:sz w:val="21"/>
                <w:szCs w:val="21"/>
              </w:rPr>
              <w:t>、</w:t>
            </w:r>
            <w:r>
              <w:rPr>
                <w:rFonts w:hint="default" w:ascii="Times New Roman" w:hAnsi="Times New Roman" w:eastAsia="Times New Roman" w:cs="Times New Roman"/>
                <w:color w:val="auto"/>
                <w:spacing w:val="-11"/>
                <w:kern w:val="0"/>
                <w:sz w:val="21"/>
                <w:szCs w:val="21"/>
              </w:rPr>
              <w:t>NOx</w:t>
            </w:r>
          </w:p>
        </w:tc>
        <w:tc>
          <w:tcPr>
            <w:tcW w:w="1420" w:type="dxa"/>
            <w:tcBorders>
              <w:top w:val="single" w:color="000000" w:sz="2" w:space="0"/>
              <w:bottom w:val="single" w:color="000000" w:sz="2" w:space="0"/>
            </w:tcBorders>
            <w:noWrap w:val="0"/>
            <w:vAlign w:val="top"/>
          </w:tcPr>
          <w:p w14:paraId="0BCC9483">
            <w:pPr>
              <w:spacing w:before="68" w:line="188" w:lineRule="auto"/>
              <w:ind w:left="400"/>
              <w:jc w:val="left"/>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DA003</w:t>
            </w:r>
          </w:p>
        </w:tc>
        <w:tc>
          <w:tcPr>
            <w:tcW w:w="1375" w:type="dxa"/>
            <w:tcBorders>
              <w:top w:val="single" w:color="000000" w:sz="2" w:space="0"/>
              <w:bottom w:val="single" w:color="000000" w:sz="2" w:space="0"/>
              <w:right w:val="nil"/>
            </w:tcBorders>
            <w:noWrap w:val="0"/>
            <w:vAlign w:val="top"/>
          </w:tcPr>
          <w:p w14:paraId="3B3948E7">
            <w:pPr>
              <w:spacing w:line="277" w:lineRule="exact"/>
              <w:ind w:left="285"/>
              <w:jc w:val="left"/>
              <w:rPr>
                <w:rFonts w:hint="default" w:ascii="Times New Roman" w:hAnsi="Times New Roman" w:eastAsia="宋体" w:cs="Times New Roman"/>
                <w:color w:val="auto"/>
                <w:kern w:val="0"/>
                <w:sz w:val="20"/>
                <w:szCs w:val="20"/>
                <w:lang w:eastAsia="zh-CN"/>
              </w:rPr>
            </w:pPr>
            <w:r>
              <w:rPr>
                <w:rFonts w:hint="default" w:ascii="Times New Roman" w:hAnsi="Times New Roman" w:eastAsia="Times New Roman" w:cs="Times New Roman"/>
                <w:color w:val="auto"/>
                <w:spacing w:val="3"/>
                <w:kern w:val="0"/>
                <w:position w:val="1"/>
                <w:sz w:val="20"/>
                <w:szCs w:val="20"/>
              </w:rPr>
              <w:t>1</w:t>
            </w:r>
            <w:r>
              <w:rPr>
                <w:rFonts w:hint="default" w:ascii="Times New Roman" w:hAnsi="Times New Roman" w:eastAsia="宋体" w:cs="Times New Roman"/>
                <w:color w:val="auto"/>
                <w:spacing w:val="3"/>
                <w:kern w:val="0"/>
                <w:position w:val="1"/>
                <w:sz w:val="20"/>
                <w:szCs w:val="20"/>
              </w:rPr>
              <w:t>次</w:t>
            </w:r>
            <w:r>
              <w:rPr>
                <w:rFonts w:hint="default" w:ascii="Times New Roman" w:hAnsi="Times New Roman" w:eastAsia="Times New Roman" w:cs="Times New Roman"/>
                <w:color w:val="auto"/>
                <w:spacing w:val="3"/>
                <w:kern w:val="0"/>
                <w:position w:val="1"/>
                <w:sz w:val="20"/>
                <w:szCs w:val="20"/>
              </w:rPr>
              <w:t>/</w:t>
            </w:r>
            <w:r>
              <w:rPr>
                <w:rFonts w:hint="default" w:ascii="Times New Roman" w:hAnsi="Times New Roman" w:eastAsia="宋体" w:cs="Times New Roman"/>
                <w:color w:val="auto"/>
                <w:spacing w:val="3"/>
                <w:kern w:val="0"/>
                <w:position w:val="1"/>
                <w:sz w:val="20"/>
                <w:szCs w:val="20"/>
                <w:lang w:eastAsia="zh-CN"/>
              </w:rPr>
              <w:t>半年</w:t>
            </w:r>
          </w:p>
        </w:tc>
      </w:tr>
      <w:tr w14:paraId="43BF3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617" w:type="dxa"/>
            <w:vMerge w:val="continue"/>
            <w:tcBorders>
              <w:top w:val="single" w:color="000000" w:sz="2" w:space="0"/>
              <w:left w:val="nil"/>
              <w:bottom w:val="single" w:color="000000" w:sz="2" w:space="0"/>
            </w:tcBorders>
            <w:noWrap w:val="0"/>
            <w:vAlign w:val="top"/>
          </w:tcPr>
          <w:p w14:paraId="2A19253F">
            <w:pPr>
              <w:jc w:val="left"/>
              <w:rPr>
                <w:rFonts w:hint="default" w:ascii="Times New Roman" w:hAnsi="Times New Roman" w:cs="Times New Roman"/>
                <w:color w:val="auto"/>
                <w:kern w:val="0"/>
                <w:sz w:val="21"/>
                <w:szCs w:val="20"/>
              </w:rPr>
            </w:pPr>
          </w:p>
        </w:tc>
        <w:tc>
          <w:tcPr>
            <w:tcW w:w="4312" w:type="dxa"/>
            <w:tcBorders>
              <w:top w:val="single" w:color="000000" w:sz="2" w:space="0"/>
              <w:bottom w:val="single" w:color="000000" w:sz="2" w:space="0"/>
            </w:tcBorders>
            <w:noWrap w:val="0"/>
            <w:vAlign w:val="top"/>
          </w:tcPr>
          <w:p w14:paraId="29FCCF3B">
            <w:pPr>
              <w:spacing w:before="30" w:line="214" w:lineRule="auto"/>
              <w:ind w:firstLine="184" w:firstLineChars="100"/>
              <w:jc w:val="left"/>
              <w:rPr>
                <w:rFonts w:hint="default" w:ascii="Times New Roman" w:hAnsi="Times New Roman" w:eastAsia="Times New Roman" w:cs="Times New Roman"/>
                <w:color w:val="auto"/>
                <w:kern w:val="0"/>
                <w:sz w:val="21"/>
                <w:szCs w:val="21"/>
              </w:rPr>
            </w:pPr>
            <w:r>
              <w:rPr>
                <w:rFonts w:hint="default" w:ascii="Times New Roman" w:hAnsi="Times New Roman" w:eastAsia="宋体" w:cs="Times New Roman"/>
                <w:color w:val="auto"/>
                <w:spacing w:val="-13"/>
                <w:kern w:val="0"/>
                <w:sz w:val="21"/>
                <w:szCs w:val="21"/>
              </w:rPr>
              <w:t>颗</w:t>
            </w:r>
            <w:r>
              <w:rPr>
                <w:rFonts w:hint="default" w:ascii="Times New Roman" w:hAnsi="Times New Roman" w:eastAsia="宋体" w:cs="Times New Roman"/>
                <w:color w:val="auto"/>
                <w:spacing w:val="-11"/>
                <w:kern w:val="0"/>
                <w:sz w:val="21"/>
                <w:szCs w:val="21"/>
              </w:rPr>
              <w:t>粒物、</w:t>
            </w:r>
            <w:r>
              <w:rPr>
                <w:rFonts w:hint="default" w:ascii="Times New Roman" w:hAnsi="Times New Roman" w:eastAsia="Times New Roman" w:cs="Times New Roman"/>
                <w:color w:val="auto"/>
                <w:spacing w:val="-11"/>
                <w:kern w:val="0"/>
                <w:sz w:val="21"/>
                <w:szCs w:val="21"/>
              </w:rPr>
              <w:t>SO</w:t>
            </w:r>
            <w:r>
              <w:rPr>
                <w:rFonts w:hint="default" w:ascii="Times New Roman" w:hAnsi="Times New Roman" w:eastAsia="Times New Roman" w:cs="Times New Roman"/>
                <w:color w:val="auto"/>
                <w:spacing w:val="-11"/>
                <w:kern w:val="0"/>
                <w:position w:val="-1"/>
                <w:sz w:val="14"/>
                <w:szCs w:val="14"/>
              </w:rPr>
              <w:t>2</w:t>
            </w:r>
            <w:r>
              <w:rPr>
                <w:rFonts w:hint="default" w:ascii="Times New Roman" w:hAnsi="Times New Roman" w:eastAsia="宋体" w:cs="Times New Roman"/>
                <w:color w:val="auto"/>
                <w:spacing w:val="-11"/>
                <w:kern w:val="0"/>
                <w:sz w:val="21"/>
                <w:szCs w:val="21"/>
              </w:rPr>
              <w:t>、</w:t>
            </w:r>
            <w:r>
              <w:rPr>
                <w:rFonts w:hint="default" w:ascii="Times New Roman" w:hAnsi="Times New Roman" w:eastAsia="Times New Roman" w:cs="Times New Roman"/>
                <w:color w:val="auto"/>
                <w:spacing w:val="-11"/>
                <w:kern w:val="0"/>
                <w:sz w:val="21"/>
                <w:szCs w:val="21"/>
              </w:rPr>
              <w:t>NOx</w:t>
            </w:r>
            <w:r>
              <w:rPr>
                <w:rFonts w:hint="default" w:ascii="Times New Roman" w:hAnsi="Times New Roman" w:eastAsia="宋体" w:cs="Times New Roman"/>
                <w:color w:val="auto"/>
                <w:spacing w:val="-11"/>
                <w:kern w:val="0"/>
                <w:sz w:val="21"/>
                <w:szCs w:val="21"/>
                <w:lang w:eastAsia="zh-CN"/>
              </w:rPr>
              <w:t>、</w:t>
            </w:r>
            <w:r>
              <w:rPr>
                <w:rFonts w:hint="default" w:ascii="Times New Roman" w:hAnsi="Times New Roman" w:eastAsia="宋体" w:cs="Times New Roman"/>
                <w:color w:val="auto"/>
                <w:spacing w:val="3"/>
                <w:kern w:val="0"/>
                <w:position w:val="2"/>
                <w:sz w:val="20"/>
                <w:szCs w:val="20"/>
              </w:rPr>
              <w:t>沥青烟、苯并</w:t>
            </w:r>
            <w:r>
              <w:rPr>
                <w:rFonts w:hint="default" w:ascii="Times New Roman" w:hAnsi="Times New Roman" w:eastAsia="Times New Roman" w:cs="Times New Roman"/>
                <w:color w:val="auto"/>
                <w:spacing w:val="3"/>
                <w:kern w:val="0"/>
                <w:position w:val="2"/>
                <w:sz w:val="20"/>
                <w:szCs w:val="20"/>
              </w:rPr>
              <w:t>[</w:t>
            </w:r>
            <w:r>
              <w:rPr>
                <w:rFonts w:hint="default" w:ascii="Times New Roman" w:hAnsi="Times New Roman" w:eastAsia="Times New Roman" w:cs="Times New Roman"/>
                <w:color w:val="auto"/>
                <w:kern w:val="0"/>
                <w:position w:val="2"/>
                <w:sz w:val="20"/>
                <w:szCs w:val="20"/>
              </w:rPr>
              <w:t>a</w:t>
            </w:r>
            <w:r>
              <w:rPr>
                <w:rFonts w:hint="default" w:ascii="Times New Roman" w:hAnsi="Times New Roman" w:eastAsia="Times New Roman" w:cs="Times New Roman"/>
                <w:color w:val="auto"/>
                <w:spacing w:val="3"/>
                <w:kern w:val="0"/>
                <w:position w:val="2"/>
                <w:sz w:val="20"/>
                <w:szCs w:val="20"/>
              </w:rPr>
              <w:t>]</w:t>
            </w:r>
            <w:r>
              <w:rPr>
                <w:rFonts w:hint="default" w:ascii="Times New Roman" w:hAnsi="Times New Roman" w:eastAsia="宋体" w:cs="Times New Roman"/>
                <w:color w:val="auto"/>
                <w:spacing w:val="3"/>
                <w:kern w:val="0"/>
                <w:position w:val="2"/>
                <w:sz w:val="20"/>
                <w:szCs w:val="20"/>
              </w:rPr>
              <w:t>芘</w:t>
            </w:r>
          </w:p>
        </w:tc>
        <w:tc>
          <w:tcPr>
            <w:tcW w:w="1420" w:type="dxa"/>
            <w:tcBorders>
              <w:top w:val="single" w:color="000000" w:sz="2" w:space="0"/>
              <w:bottom w:val="single" w:color="000000" w:sz="2" w:space="0"/>
            </w:tcBorders>
            <w:noWrap w:val="0"/>
            <w:vAlign w:val="top"/>
          </w:tcPr>
          <w:p w14:paraId="557A88F2">
            <w:pPr>
              <w:spacing w:before="69" w:line="188" w:lineRule="auto"/>
              <w:ind w:left="400"/>
              <w:jc w:val="left"/>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DA004</w:t>
            </w:r>
          </w:p>
        </w:tc>
        <w:tc>
          <w:tcPr>
            <w:tcW w:w="1375" w:type="dxa"/>
            <w:tcBorders>
              <w:top w:val="single" w:color="000000" w:sz="2" w:space="0"/>
              <w:bottom w:val="single" w:color="000000" w:sz="2" w:space="0"/>
              <w:right w:val="nil"/>
            </w:tcBorders>
            <w:noWrap w:val="0"/>
            <w:vAlign w:val="top"/>
          </w:tcPr>
          <w:p w14:paraId="25E95102">
            <w:pPr>
              <w:spacing w:line="273" w:lineRule="exact"/>
              <w:ind w:left="285"/>
              <w:jc w:val="left"/>
              <w:rPr>
                <w:rFonts w:hint="default" w:ascii="Times New Roman" w:hAnsi="Times New Roman" w:eastAsia="宋体" w:cs="Times New Roman"/>
                <w:color w:val="auto"/>
                <w:kern w:val="0"/>
                <w:sz w:val="20"/>
                <w:szCs w:val="20"/>
              </w:rPr>
            </w:pPr>
            <w:r>
              <w:rPr>
                <w:rFonts w:hint="default" w:ascii="Times New Roman" w:hAnsi="Times New Roman" w:eastAsia="Times New Roman" w:cs="Times New Roman"/>
                <w:color w:val="auto"/>
                <w:spacing w:val="3"/>
                <w:kern w:val="0"/>
                <w:position w:val="1"/>
                <w:sz w:val="20"/>
                <w:szCs w:val="20"/>
              </w:rPr>
              <w:t>1</w:t>
            </w:r>
            <w:r>
              <w:rPr>
                <w:rFonts w:hint="default" w:ascii="Times New Roman" w:hAnsi="Times New Roman" w:eastAsia="宋体" w:cs="Times New Roman"/>
                <w:color w:val="auto"/>
                <w:spacing w:val="3"/>
                <w:kern w:val="0"/>
                <w:position w:val="1"/>
                <w:sz w:val="20"/>
                <w:szCs w:val="20"/>
              </w:rPr>
              <w:t>次</w:t>
            </w:r>
            <w:r>
              <w:rPr>
                <w:rFonts w:hint="default" w:ascii="Times New Roman" w:hAnsi="Times New Roman" w:eastAsia="Times New Roman" w:cs="Times New Roman"/>
                <w:color w:val="auto"/>
                <w:spacing w:val="3"/>
                <w:kern w:val="0"/>
                <w:position w:val="1"/>
                <w:sz w:val="20"/>
                <w:szCs w:val="20"/>
              </w:rPr>
              <w:t>/</w:t>
            </w:r>
            <w:r>
              <w:rPr>
                <w:rFonts w:hint="default" w:ascii="Times New Roman" w:hAnsi="Times New Roman" w:eastAsia="宋体" w:cs="Times New Roman"/>
                <w:color w:val="auto"/>
                <w:spacing w:val="3"/>
                <w:kern w:val="0"/>
                <w:position w:val="1"/>
                <w:sz w:val="20"/>
                <w:szCs w:val="20"/>
                <w:lang w:eastAsia="zh-CN"/>
              </w:rPr>
              <w:t>半年</w:t>
            </w:r>
          </w:p>
        </w:tc>
      </w:tr>
      <w:tr w14:paraId="450E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617" w:type="dxa"/>
            <w:tcBorders>
              <w:top w:val="single" w:color="000000" w:sz="2" w:space="0"/>
              <w:left w:val="nil"/>
              <w:bottom w:val="single" w:color="000000" w:sz="12" w:space="0"/>
            </w:tcBorders>
            <w:noWrap w:val="0"/>
            <w:vAlign w:val="top"/>
          </w:tcPr>
          <w:p w14:paraId="6E798591">
            <w:pPr>
              <w:spacing w:before="32" w:line="221" w:lineRule="auto"/>
              <w:ind w:left="297"/>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1"/>
                <w:kern w:val="0"/>
                <w:sz w:val="21"/>
                <w:szCs w:val="21"/>
              </w:rPr>
              <w:t>无组织废</w:t>
            </w:r>
            <w:r>
              <w:rPr>
                <w:rFonts w:hint="default" w:ascii="Times New Roman" w:hAnsi="Times New Roman" w:eastAsia="宋体" w:cs="Times New Roman"/>
                <w:color w:val="auto"/>
                <w:kern w:val="0"/>
                <w:sz w:val="21"/>
                <w:szCs w:val="21"/>
              </w:rPr>
              <w:t>气</w:t>
            </w:r>
          </w:p>
        </w:tc>
        <w:tc>
          <w:tcPr>
            <w:tcW w:w="4312" w:type="dxa"/>
            <w:tcBorders>
              <w:top w:val="single" w:color="000000" w:sz="2" w:space="0"/>
              <w:bottom w:val="single" w:color="000000" w:sz="12" w:space="0"/>
            </w:tcBorders>
            <w:noWrap w:val="0"/>
            <w:vAlign w:val="top"/>
          </w:tcPr>
          <w:p w14:paraId="7777AFA7">
            <w:pPr>
              <w:spacing w:line="280" w:lineRule="exact"/>
              <w:ind w:left="680"/>
              <w:jc w:val="left"/>
              <w:rPr>
                <w:rFonts w:hint="default" w:ascii="Times New Roman" w:hAnsi="Times New Roman" w:eastAsia="宋体" w:cs="Times New Roman"/>
                <w:color w:val="auto"/>
                <w:kern w:val="0"/>
                <w:sz w:val="20"/>
                <w:szCs w:val="20"/>
                <w:lang w:val="en-US" w:eastAsia="zh-CN"/>
              </w:rPr>
            </w:pPr>
            <w:r>
              <w:rPr>
                <w:rFonts w:hint="default" w:ascii="Times New Roman" w:hAnsi="Times New Roman" w:eastAsia="宋体" w:cs="Times New Roman"/>
                <w:color w:val="auto"/>
                <w:spacing w:val="9"/>
                <w:kern w:val="0"/>
                <w:position w:val="2"/>
                <w:sz w:val="20"/>
                <w:szCs w:val="20"/>
              </w:rPr>
              <w:t>苯并</w:t>
            </w:r>
            <w:r>
              <w:rPr>
                <w:rFonts w:hint="default" w:ascii="Times New Roman" w:hAnsi="Times New Roman" w:eastAsia="Times New Roman" w:cs="Times New Roman"/>
                <w:color w:val="auto"/>
                <w:spacing w:val="9"/>
                <w:kern w:val="0"/>
                <w:position w:val="2"/>
                <w:sz w:val="20"/>
                <w:szCs w:val="20"/>
              </w:rPr>
              <w:t>[</w:t>
            </w:r>
            <w:r>
              <w:rPr>
                <w:rFonts w:hint="default" w:ascii="Times New Roman" w:hAnsi="Times New Roman" w:eastAsia="Times New Roman" w:cs="Times New Roman"/>
                <w:color w:val="auto"/>
                <w:kern w:val="0"/>
                <w:position w:val="2"/>
                <w:sz w:val="20"/>
                <w:szCs w:val="20"/>
              </w:rPr>
              <w:t>a</w:t>
            </w:r>
            <w:r>
              <w:rPr>
                <w:rFonts w:hint="default" w:ascii="Times New Roman" w:hAnsi="Times New Roman" w:eastAsia="Times New Roman" w:cs="Times New Roman"/>
                <w:color w:val="auto"/>
                <w:spacing w:val="9"/>
                <w:kern w:val="0"/>
                <w:position w:val="2"/>
                <w:sz w:val="20"/>
                <w:szCs w:val="20"/>
              </w:rPr>
              <w:t>]</w:t>
            </w:r>
            <w:r>
              <w:rPr>
                <w:rFonts w:hint="default" w:ascii="Times New Roman" w:hAnsi="Times New Roman" w:eastAsia="宋体" w:cs="Times New Roman"/>
                <w:color w:val="auto"/>
                <w:spacing w:val="9"/>
                <w:kern w:val="0"/>
                <w:position w:val="2"/>
                <w:sz w:val="20"/>
                <w:szCs w:val="20"/>
              </w:rPr>
              <w:t>芘、颗粒</w:t>
            </w:r>
            <w:r>
              <w:rPr>
                <w:rFonts w:hint="default" w:ascii="Times New Roman" w:hAnsi="Times New Roman" w:eastAsia="宋体" w:cs="Times New Roman"/>
                <w:color w:val="auto"/>
                <w:spacing w:val="8"/>
                <w:kern w:val="0"/>
                <w:position w:val="2"/>
                <w:sz w:val="20"/>
                <w:szCs w:val="20"/>
              </w:rPr>
              <w:t>物</w:t>
            </w:r>
            <w:r>
              <w:rPr>
                <w:rFonts w:hint="eastAsia" w:ascii="Times New Roman" w:hAnsi="Times New Roman" w:eastAsia="宋体" w:cs="Times New Roman"/>
                <w:color w:val="auto"/>
                <w:spacing w:val="8"/>
                <w:kern w:val="0"/>
                <w:position w:val="2"/>
                <w:sz w:val="20"/>
                <w:szCs w:val="20"/>
                <w:lang w:eastAsia="zh-CN"/>
              </w:rPr>
              <w:t>、</w:t>
            </w:r>
            <w:r>
              <w:rPr>
                <w:rFonts w:hint="eastAsia" w:ascii="Times New Roman" w:hAnsi="Times New Roman" w:eastAsia="宋体" w:cs="Times New Roman"/>
                <w:color w:val="auto"/>
                <w:spacing w:val="8"/>
                <w:kern w:val="0"/>
                <w:position w:val="2"/>
                <w:sz w:val="20"/>
                <w:szCs w:val="20"/>
                <w:lang w:val="en-US" w:eastAsia="zh-CN"/>
              </w:rPr>
              <w:t>非甲烷总烃</w:t>
            </w:r>
          </w:p>
        </w:tc>
        <w:tc>
          <w:tcPr>
            <w:tcW w:w="1420" w:type="dxa"/>
            <w:tcBorders>
              <w:top w:val="single" w:color="000000" w:sz="2" w:space="0"/>
              <w:bottom w:val="single" w:color="000000" w:sz="12" w:space="0"/>
            </w:tcBorders>
            <w:noWrap w:val="0"/>
            <w:vAlign w:val="top"/>
          </w:tcPr>
          <w:p w14:paraId="14B46894">
            <w:pPr>
              <w:spacing w:before="32" w:line="222" w:lineRule="auto"/>
              <w:ind w:left="295"/>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pacing w:val="-2"/>
                <w:kern w:val="0"/>
                <w:sz w:val="21"/>
                <w:szCs w:val="21"/>
              </w:rPr>
              <w:t>厂</w:t>
            </w:r>
            <w:r>
              <w:rPr>
                <w:rFonts w:hint="default" w:ascii="Times New Roman" w:hAnsi="Times New Roman" w:eastAsia="宋体" w:cs="Times New Roman"/>
                <w:color w:val="auto"/>
                <w:spacing w:val="-1"/>
                <w:kern w:val="0"/>
                <w:sz w:val="21"/>
                <w:szCs w:val="21"/>
              </w:rPr>
              <w:t>区四周</w:t>
            </w:r>
          </w:p>
        </w:tc>
        <w:tc>
          <w:tcPr>
            <w:tcW w:w="1375" w:type="dxa"/>
            <w:tcBorders>
              <w:top w:val="single" w:color="000000" w:sz="2" w:space="0"/>
              <w:bottom w:val="single" w:color="000000" w:sz="12" w:space="0"/>
              <w:right w:val="nil"/>
            </w:tcBorders>
            <w:noWrap w:val="0"/>
            <w:vAlign w:val="top"/>
          </w:tcPr>
          <w:p w14:paraId="7E23CBB0">
            <w:pPr>
              <w:spacing w:line="280" w:lineRule="exact"/>
              <w:ind w:left="285"/>
              <w:jc w:val="left"/>
              <w:rPr>
                <w:rFonts w:hint="default" w:ascii="Times New Roman" w:hAnsi="Times New Roman" w:eastAsia="宋体" w:cs="Times New Roman"/>
                <w:color w:val="auto"/>
                <w:kern w:val="0"/>
                <w:sz w:val="20"/>
                <w:szCs w:val="20"/>
              </w:rPr>
            </w:pPr>
            <w:r>
              <w:rPr>
                <w:rFonts w:hint="default" w:ascii="Times New Roman" w:hAnsi="Times New Roman" w:eastAsia="Times New Roman" w:cs="Times New Roman"/>
                <w:color w:val="auto"/>
                <w:spacing w:val="3"/>
                <w:kern w:val="0"/>
                <w:position w:val="1"/>
                <w:sz w:val="20"/>
                <w:szCs w:val="20"/>
              </w:rPr>
              <w:t>1</w:t>
            </w:r>
            <w:r>
              <w:rPr>
                <w:rFonts w:hint="default" w:ascii="Times New Roman" w:hAnsi="Times New Roman" w:eastAsia="宋体" w:cs="Times New Roman"/>
                <w:color w:val="auto"/>
                <w:spacing w:val="3"/>
                <w:kern w:val="0"/>
                <w:position w:val="1"/>
                <w:sz w:val="20"/>
                <w:szCs w:val="20"/>
              </w:rPr>
              <w:t>次</w:t>
            </w:r>
            <w:r>
              <w:rPr>
                <w:rFonts w:hint="default" w:ascii="Times New Roman" w:hAnsi="Times New Roman" w:eastAsia="Times New Roman" w:cs="Times New Roman"/>
                <w:color w:val="auto"/>
                <w:spacing w:val="3"/>
                <w:kern w:val="0"/>
                <w:position w:val="1"/>
                <w:sz w:val="20"/>
                <w:szCs w:val="20"/>
              </w:rPr>
              <w:t>/</w:t>
            </w:r>
            <w:r>
              <w:rPr>
                <w:rFonts w:hint="default" w:ascii="Times New Roman" w:hAnsi="Times New Roman" w:eastAsia="宋体" w:cs="Times New Roman"/>
                <w:color w:val="auto"/>
                <w:spacing w:val="3"/>
                <w:kern w:val="0"/>
                <w:position w:val="1"/>
                <w:sz w:val="20"/>
                <w:szCs w:val="20"/>
                <w:lang w:eastAsia="zh-CN"/>
              </w:rPr>
              <w:t>年</w:t>
            </w:r>
          </w:p>
        </w:tc>
      </w:tr>
    </w:tbl>
    <w:p w14:paraId="017772D8">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p>
    <w:p w14:paraId="6171CF4F">
      <w:pPr>
        <w:widowControl w:val="0"/>
        <w:numPr>
          <w:ilvl w:val="2"/>
          <w:numId w:val="1"/>
        </w:numPr>
        <w:spacing w:line="360" w:lineRule="auto"/>
        <w:jc w:val="both"/>
        <w:outlineLvl w:val="2"/>
        <w:rPr>
          <w:rFonts w:hint="default" w:ascii="Times New Roman" w:hAnsi="Times New Roman" w:eastAsia="黑体" w:cs="Times New Roman"/>
          <w:color w:val="auto"/>
          <w:sz w:val="24"/>
          <w:szCs w:val="24"/>
          <w:lang w:val="en-US" w:eastAsia="zh-CN" w:bidi="ar-SA"/>
        </w:rPr>
      </w:pPr>
      <w:bookmarkStart w:id="306" w:name="_Toc25764"/>
      <w:r>
        <w:rPr>
          <w:rFonts w:hint="default" w:ascii="Times New Roman" w:hAnsi="Times New Roman" w:eastAsia="黑体" w:cs="Times New Roman"/>
          <w:color w:val="auto"/>
          <w:sz w:val="24"/>
          <w:szCs w:val="24"/>
          <w:lang w:val="en-US" w:eastAsia="zh-CN" w:bidi="ar-SA"/>
        </w:rPr>
        <w:t>污染物排放口（源）挂牌标识</w:t>
      </w:r>
      <w:bookmarkEnd w:id="306"/>
    </w:p>
    <w:p w14:paraId="7C9424D2">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拟建工程应按《环境保护图形标志—排放口（源）》（GB15562.1-1995）规定的图形，在各气、水、声排污口（源）挂牌标识，做到各排污口（源）的环保标志明显，标志牌设置高度为其上缘距地面2m，便于企业管理和公众监督，环境保护图形标志牌示例见表6-2。</w:t>
      </w:r>
    </w:p>
    <w:p w14:paraId="37D40C12">
      <w:pPr>
        <w:widowControl w:val="0"/>
        <w:bidi w:val="0"/>
        <w:adjustRightInd w:val="0"/>
        <w:spacing w:line="360" w:lineRule="auto"/>
        <w:jc w:val="center"/>
        <w:textAlignment w:val="baseline"/>
        <w:rPr>
          <w:rFonts w:hint="default" w:ascii="Times New Roman" w:hAnsi="Times New Roman" w:eastAsia="黑体" w:cs="Times New Roman"/>
          <w:color w:val="auto"/>
          <w:kern w:val="0"/>
          <w:sz w:val="24"/>
          <w:szCs w:val="20"/>
          <w:lang w:val="en-US" w:eastAsia="zh-CN" w:bidi="ar-SA"/>
        </w:rPr>
      </w:pPr>
      <w:r>
        <w:rPr>
          <w:rFonts w:hint="default" w:ascii="Times New Roman" w:hAnsi="Times New Roman" w:eastAsia="黑体" w:cs="Times New Roman"/>
          <w:color w:val="auto"/>
          <w:kern w:val="0"/>
          <w:sz w:val="24"/>
          <w:szCs w:val="20"/>
          <w:lang w:val="en-US" w:eastAsia="zh-CN" w:bidi="ar-SA"/>
        </w:rPr>
        <w:t>表6-2排污口图形标志示例</w:t>
      </w:r>
    </w:p>
    <w:tbl>
      <w:tblPr>
        <w:tblStyle w:val="3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755"/>
        <w:gridCol w:w="2070"/>
        <w:gridCol w:w="1950"/>
        <w:gridCol w:w="1649"/>
      </w:tblGrid>
      <w:tr w14:paraId="1FA74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96" w:type="dxa"/>
            <w:noWrap w:val="0"/>
            <w:vAlign w:val="center"/>
          </w:tcPr>
          <w:p w14:paraId="30263A6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1755" w:type="dxa"/>
            <w:noWrap w:val="0"/>
            <w:vAlign w:val="center"/>
          </w:tcPr>
          <w:p w14:paraId="6C23EF7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提示图像符号</w:t>
            </w:r>
          </w:p>
        </w:tc>
        <w:tc>
          <w:tcPr>
            <w:tcW w:w="2070" w:type="dxa"/>
            <w:noWrap w:val="0"/>
            <w:vAlign w:val="center"/>
          </w:tcPr>
          <w:p w14:paraId="5147846F">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警告图像符号</w:t>
            </w:r>
          </w:p>
        </w:tc>
        <w:tc>
          <w:tcPr>
            <w:tcW w:w="1950" w:type="dxa"/>
            <w:noWrap w:val="0"/>
            <w:vAlign w:val="center"/>
          </w:tcPr>
          <w:p w14:paraId="4B5C88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名称</w:t>
            </w:r>
          </w:p>
        </w:tc>
        <w:tc>
          <w:tcPr>
            <w:tcW w:w="1649" w:type="dxa"/>
            <w:noWrap w:val="0"/>
            <w:vAlign w:val="center"/>
          </w:tcPr>
          <w:p w14:paraId="20ABE78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功能及作用</w:t>
            </w:r>
          </w:p>
        </w:tc>
      </w:tr>
      <w:tr w14:paraId="2D7F3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96" w:type="dxa"/>
            <w:noWrap w:val="0"/>
            <w:vAlign w:val="center"/>
          </w:tcPr>
          <w:p w14:paraId="4487567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w:t>
            </w:r>
          </w:p>
        </w:tc>
        <w:tc>
          <w:tcPr>
            <w:tcW w:w="1755" w:type="dxa"/>
            <w:noWrap w:val="0"/>
            <w:vAlign w:val="center"/>
          </w:tcPr>
          <w:p w14:paraId="72C6DD84">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fldChar w:fldCharType="begin"/>
            </w:r>
            <w:r>
              <w:rPr>
                <w:rFonts w:hint="default" w:ascii="Times New Roman" w:hAnsi="Times New Roman" w:cs="Times New Roman"/>
                <w:color w:val="auto"/>
                <w:kern w:val="0"/>
                <w:sz w:val="24"/>
                <w:szCs w:val="20"/>
                <w:highlight w:val="none"/>
              </w:rPr>
              <w:instrText xml:space="preserve"> INCLUDEPICTURE "I:\\审查\\2021\\Administrator\\AppData\\Roaming\\Tencent\\Users\\15509006\\QQ\\WinTemp\\RichOle\\6)6%25UP)GMKY8%5b%25E8AI)DI(3.png" \* MERGEFORMAT \d </w:instrText>
            </w:r>
            <w:r>
              <w:rPr>
                <w:rFonts w:hint="default" w:ascii="Times New Roman" w:hAnsi="Times New Roman" w:cs="Times New Roman"/>
                <w:color w:val="auto"/>
                <w:kern w:val="0"/>
                <w:sz w:val="21"/>
                <w:szCs w:val="21"/>
                <w:highlight w:val="none"/>
                <w:lang w:bidi="ar"/>
              </w:rPr>
              <w:fldChar w:fldCharType="separate"/>
            </w:r>
            <w:r>
              <w:rPr>
                <w:rFonts w:hint="default" w:ascii="Times New Roman" w:hAnsi="Times New Roman" w:cs="Times New Roman"/>
                <w:color w:val="auto"/>
                <w:kern w:val="0"/>
                <w:sz w:val="21"/>
                <w:szCs w:val="21"/>
                <w:highlight w:val="none"/>
                <w:lang w:bidi="ar"/>
              </w:rPr>
              <w:drawing>
                <wp:inline distT="0" distB="0" distL="114300" distR="114300">
                  <wp:extent cx="992505" cy="1261745"/>
                  <wp:effectExtent l="0" t="0" r="17145" b="14605"/>
                  <wp:docPr id="9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 descr="IMG_256"/>
                          <pic:cNvPicPr>
                            <a:picLocks noChangeAspect="1"/>
                          </pic:cNvPicPr>
                        </pic:nvPicPr>
                        <pic:blipFill>
                          <a:blip r:embed="rId84"/>
                          <a:stretch>
                            <a:fillRect/>
                          </a:stretch>
                        </pic:blipFill>
                        <pic:spPr>
                          <a:xfrm>
                            <a:off x="0" y="0"/>
                            <a:ext cx="992505" cy="1261745"/>
                          </a:xfrm>
                          <a:prstGeom prst="rect">
                            <a:avLst/>
                          </a:prstGeom>
                          <a:noFill/>
                          <a:ln>
                            <a:noFill/>
                          </a:ln>
                        </pic:spPr>
                      </pic:pic>
                    </a:graphicData>
                  </a:graphic>
                </wp:inline>
              </w:drawing>
            </w:r>
            <w:r>
              <w:rPr>
                <w:rFonts w:hint="default" w:ascii="Times New Roman" w:hAnsi="Times New Roman" w:cs="Times New Roman"/>
                <w:color w:val="auto"/>
                <w:kern w:val="0"/>
                <w:sz w:val="21"/>
                <w:szCs w:val="21"/>
                <w:highlight w:val="none"/>
                <w:lang w:bidi="ar"/>
              </w:rPr>
              <w:fldChar w:fldCharType="end"/>
            </w:r>
          </w:p>
        </w:tc>
        <w:tc>
          <w:tcPr>
            <w:tcW w:w="2070" w:type="dxa"/>
            <w:noWrap w:val="0"/>
            <w:vAlign w:val="center"/>
          </w:tcPr>
          <w:p w14:paraId="4021F37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drawing>
                <wp:inline distT="0" distB="0" distL="114300" distR="114300">
                  <wp:extent cx="1002030" cy="1261745"/>
                  <wp:effectExtent l="0" t="0" r="7620" b="14605"/>
                  <wp:docPr id="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0"/>
                          <pic:cNvPicPr>
                            <a:picLocks noChangeAspect="1"/>
                          </pic:cNvPicPr>
                        </pic:nvPicPr>
                        <pic:blipFill>
                          <a:blip r:embed="rId85"/>
                          <a:stretch>
                            <a:fillRect/>
                          </a:stretch>
                        </pic:blipFill>
                        <pic:spPr>
                          <a:xfrm>
                            <a:off x="0" y="0"/>
                            <a:ext cx="1002030" cy="1261745"/>
                          </a:xfrm>
                          <a:prstGeom prst="rect">
                            <a:avLst/>
                          </a:prstGeom>
                          <a:noFill/>
                          <a:ln>
                            <a:noFill/>
                          </a:ln>
                        </pic:spPr>
                      </pic:pic>
                    </a:graphicData>
                  </a:graphic>
                </wp:inline>
              </w:drawing>
            </w:r>
          </w:p>
        </w:tc>
        <w:tc>
          <w:tcPr>
            <w:tcW w:w="1950" w:type="dxa"/>
            <w:noWrap w:val="0"/>
            <w:vAlign w:val="center"/>
          </w:tcPr>
          <w:p w14:paraId="4EE77B4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废气排放口</w:t>
            </w:r>
          </w:p>
        </w:tc>
        <w:tc>
          <w:tcPr>
            <w:tcW w:w="1649" w:type="dxa"/>
            <w:noWrap w:val="0"/>
            <w:vAlign w:val="center"/>
          </w:tcPr>
          <w:p w14:paraId="1963347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表示废气向大气排放</w:t>
            </w:r>
          </w:p>
        </w:tc>
      </w:tr>
      <w:tr w14:paraId="137FE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96" w:type="dxa"/>
            <w:noWrap w:val="0"/>
            <w:vAlign w:val="center"/>
          </w:tcPr>
          <w:p w14:paraId="2EA9AB8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w:t>
            </w:r>
          </w:p>
        </w:tc>
        <w:tc>
          <w:tcPr>
            <w:tcW w:w="1755" w:type="dxa"/>
            <w:noWrap w:val="0"/>
            <w:vAlign w:val="center"/>
          </w:tcPr>
          <w:p w14:paraId="3D9F151D">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fldChar w:fldCharType="begin"/>
            </w:r>
            <w:r>
              <w:rPr>
                <w:rFonts w:hint="default" w:ascii="Times New Roman" w:hAnsi="Times New Roman" w:cs="Times New Roman"/>
                <w:color w:val="auto"/>
                <w:kern w:val="0"/>
                <w:sz w:val="24"/>
                <w:szCs w:val="20"/>
                <w:highlight w:val="none"/>
              </w:rPr>
              <w:instrText xml:space="preserve"> INCLUDEPICTURE "I:\\审查\\2021\\Administrator\\AppData\\Roaming\\Tencent\\Users\\15509006\\QQ\\WinTemp\\RichOle\\B5%5dC%7d1%25)Z5UTK82BF1LX9A4.png" \* MERGEFORMAT \d </w:instrText>
            </w:r>
            <w:r>
              <w:rPr>
                <w:rFonts w:hint="default" w:ascii="Times New Roman" w:hAnsi="Times New Roman" w:cs="Times New Roman"/>
                <w:color w:val="auto"/>
                <w:kern w:val="0"/>
                <w:sz w:val="21"/>
                <w:szCs w:val="21"/>
                <w:highlight w:val="none"/>
                <w:lang w:bidi="ar"/>
              </w:rPr>
              <w:fldChar w:fldCharType="separate"/>
            </w:r>
            <w:r>
              <w:rPr>
                <w:rFonts w:hint="default" w:ascii="Times New Roman" w:hAnsi="Times New Roman" w:cs="Times New Roman"/>
                <w:color w:val="auto"/>
                <w:kern w:val="0"/>
                <w:sz w:val="21"/>
                <w:szCs w:val="21"/>
                <w:highlight w:val="none"/>
                <w:lang w:bidi="ar"/>
              </w:rPr>
              <w:drawing>
                <wp:inline distT="0" distB="0" distL="114300" distR="114300">
                  <wp:extent cx="932180" cy="1261745"/>
                  <wp:effectExtent l="0" t="0" r="1270" b="14605"/>
                  <wp:docPr id="7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1" descr="IMG_256"/>
                          <pic:cNvPicPr>
                            <a:picLocks noChangeAspect="1"/>
                          </pic:cNvPicPr>
                        </pic:nvPicPr>
                        <pic:blipFill>
                          <a:blip r:embed="rId86"/>
                          <a:stretch>
                            <a:fillRect/>
                          </a:stretch>
                        </pic:blipFill>
                        <pic:spPr>
                          <a:xfrm>
                            <a:off x="0" y="0"/>
                            <a:ext cx="932180" cy="1261745"/>
                          </a:xfrm>
                          <a:prstGeom prst="rect">
                            <a:avLst/>
                          </a:prstGeom>
                          <a:noFill/>
                          <a:ln>
                            <a:noFill/>
                          </a:ln>
                        </pic:spPr>
                      </pic:pic>
                    </a:graphicData>
                  </a:graphic>
                </wp:inline>
              </w:drawing>
            </w:r>
            <w:r>
              <w:rPr>
                <w:rFonts w:hint="default" w:ascii="Times New Roman" w:hAnsi="Times New Roman" w:cs="Times New Roman"/>
                <w:color w:val="auto"/>
                <w:kern w:val="0"/>
                <w:sz w:val="21"/>
                <w:szCs w:val="21"/>
                <w:highlight w:val="none"/>
                <w:lang w:bidi="ar"/>
              </w:rPr>
              <w:fldChar w:fldCharType="end"/>
            </w:r>
          </w:p>
        </w:tc>
        <w:tc>
          <w:tcPr>
            <w:tcW w:w="2070" w:type="dxa"/>
            <w:noWrap w:val="0"/>
            <w:vAlign w:val="center"/>
          </w:tcPr>
          <w:p w14:paraId="7ECC687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drawing>
                <wp:inline distT="0" distB="0" distL="114300" distR="114300">
                  <wp:extent cx="989965" cy="1261745"/>
                  <wp:effectExtent l="0" t="0" r="635" b="14605"/>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87"/>
                          <a:stretch>
                            <a:fillRect/>
                          </a:stretch>
                        </pic:blipFill>
                        <pic:spPr>
                          <a:xfrm>
                            <a:off x="0" y="0"/>
                            <a:ext cx="989965" cy="1261745"/>
                          </a:xfrm>
                          <a:prstGeom prst="rect">
                            <a:avLst/>
                          </a:prstGeom>
                          <a:noFill/>
                          <a:ln>
                            <a:noFill/>
                          </a:ln>
                        </pic:spPr>
                      </pic:pic>
                    </a:graphicData>
                  </a:graphic>
                </wp:inline>
              </w:drawing>
            </w:r>
          </w:p>
        </w:tc>
        <w:tc>
          <w:tcPr>
            <w:tcW w:w="1950" w:type="dxa"/>
            <w:noWrap w:val="0"/>
            <w:vAlign w:val="center"/>
          </w:tcPr>
          <w:p w14:paraId="3A85EE6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一般工图废物储存</w:t>
            </w:r>
          </w:p>
        </w:tc>
        <w:tc>
          <w:tcPr>
            <w:tcW w:w="1649" w:type="dxa"/>
            <w:noWrap w:val="0"/>
            <w:vAlign w:val="center"/>
          </w:tcPr>
          <w:p w14:paraId="3E15E48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表示固废储存处置场所</w:t>
            </w:r>
          </w:p>
        </w:tc>
      </w:tr>
      <w:tr w14:paraId="3A70F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96" w:type="dxa"/>
            <w:noWrap w:val="0"/>
            <w:vAlign w:val="center"/>
          </w:tcPr>
          <w:p w14:paraId="33B30B9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3</w:t>
            </w:r>
          </w:p>
        </w:tc>
        <w:tc>
          <w:tcPr>
            <w:tcW w:w="1755" w:type="dxa"/>
            <w:noWrap w:val="0"/>
            <w:vAlign w:val="center"/>
          </w:tcPr>
          <w:p w14:paraId="799B8553">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bidi="ar"/>
              </w:rPr>
              <w:fldChar w:fldCharType="begin"/>
            </w:r>
            <w:r>
              <w:rPr>
                <w:rFonts w:hint="default" w:ascii="Times New Roman" w:hAnsi="Times New Roman" w:cs="Times New Roman"/>
                <w:color w:val="auto"/>
                <w:kern w:val="0"/>
                <w:sz w:val="24"/>
                <w:szCs w:val="20"/>
                <w:highlight w:val="none"/>
              </w:rPr>
              <w:instrText xml:space="preserve"> INCLUDEPICTURE "I:\\审查\\2021\\Administrator\\AppData\\Roaming\\Tencent\\Users\\15509006\\QQ\\WinTemp\\RichOle\\$$RQXZCA%7b%5dFJM~W_1%5bZFM$W.png" \* MERGEFORMAT \d </w:instrText>
            </w:r>
            <w:r>
              <w:rPr>
                <w:rFonts w:hint="default" w:ascii="Times New Roman" w:hAnsi="Times New Roman" w:cs="Times New Roman"/>
                <w:color w:val="auto"/>
                <w:kern w:val="0"/>
                <w:sz w:val="21"/>
                <w:szCs w:val="21"/>
                <w:highlight w:val="none"/>
                <w:lang w:bidi="ar"/>
              </w:rPr>
              <w:fldChar w:fldCharType="separate"/>
            </w:r>
            <w:r>
              <w:rPr>
                <w:rFonts w:hint="default" w:ascii="Times New Roman" w:hAnsi="Times New Roman" w:cs="Times New Roman"/>
                <w:color w:val="auto"/>
                <w:kern w:val="0"/>
                <w:sz w:val="21"/>
                <w:szCs w:val="21"/>
                <w:highlight w:val="none"/>
                <w:lang w:bidi="ar"/>
              </w:rPr>
              <w:drawing>
                <wp:inline distT="0" distB="0" distL="114300" distR="114300">
                  <wp:extent cx="939165" cy="1261745"/>
                  <wp:effectExtent l="0" t="0" r="13335" b="14605"/>
                  <wp:docPr id="9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3" descr="IMG_256"/>
                          <pic:cNvPicPr>
                            <a:picLocks noChangeAspect="1"/>
                          </pic:cNvPicPr>
                        </pic:nvPicPr>
                        <pic:blipFill>
                          <a:blip r:embed="rId88"/>
                          <a:stretch>
                            <a:fillRect/>
                          </a:stretch>
                        </pic:blipFill>
                        <pic:spPr>
                          <a:xfrm>
                            <a:off x="0" y="0"/>
                            <a:ext cx="939165" cy="1261745"/>
                          </a:xfrm>
                          <a:prstGeom prst="rect">
                            <a:avLst/>
                          </a:prstGeom>
                          <a:noFill/>
                          <a:ln>
                            <a:noFill/>
                          </a:ln>
                        </pic:spPr>
                      </pic:pic>
                    </a:graphicData>
                  </a:graphic>
                </wp:inline>
              </w:drawing>
            </w:r>
            <w:r>
              <w:rPr>
                <w:rFonts w:hint="default" w:ascii="Times New Roman" w:hAnsi="Times New Roman" w:cs="Times New Roman"/>
                <w:color w:val="auto"/>
                <w:kern w:val="0"/>
                <w:sz w:val="21"/>
                <w:szCs w:val="21"/>
                <w:highlight w:val="none"/>
                <w:lang w:bidi="ar"/>
              </w:rPr>
              <w:fldChar w:fldCharType="end"/>
            </w:r>
          </w:p>
        </w:tc>
        <w:tc>
          <w:tcPr>
            <w:tcW w:w="2070" w:type="dxa"/>
            <w:noWrap w:val="0"/>
            <w:vAlign w:val="center"/>
          </w:tcPr>
          <w:p w14:paraId="05B160D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drawing>
                <wp:inline distT="0" distB="0" distL="114300" distR="114300">
                  <wp:extent cx="1033145" cy="1261745"/>
                  <wp:effectExtent l="0" t="0" r="14605" b="14605"/>
                  <wp:docPr id="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4"/>
                          <pic:cNvPicPr>
                            <a:picLocks noChangeAspect="1"/>
                          </pic:cNvPicPr>
                        </pic:nvPicPr>
                        <pic:blipFill>
                          <a:blip r:embed="rId89"/>
                          <a:stretch>
                            <a:fillRect/>
                          </a:stretch>
                        </pic:blipFill>
                        <pic:spPr>
                          <a:xfrm>
                            <a:off x="0" y="0"/>
                            <a:ext cx="1033145" cy="1261745"/>
                          </a:xfrm>
                          <a:prstGeom prst="rect">
                            <a:avLst/>
                          </a:prstGeom>
                          <a:noFill/>
                          <a:ln>
                            <a:noFill/>
                          </a:ln>
                        </pic:spPr>
                      </pic:pic>
                    </a:graphicData>
                  </a:graphic>
                </wp:inline>
              </w:drawing>
            </w:r>
          </w:p>
        </w:tc>
        <w:tc>
          <w:tcPr>
            <w:tcW w:w="1950" w:type="dxa"/>
            <w:noWrap w:val="0"/>
            <w:vAlign w:val="center"/>
          </w:tcPr>
          <w:p w14:paraId="3C40BB5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噪声源</w:t>
            </w:r>
          </w:p>
        </w:tc>
        <w:tc>
          <w:tcPr>
            <w:tcW w:w="1649" w:type="dxa"/>
            <w:noWrap w:val="0"/>
            <w:vAlign w:val="center"/>
          </w:tcPr>
          <w:p w14:paraId="1677D6C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表示噪声向外环境排放</w:t>
            </w:r>
          </w:p>
        </w:tc>
      </w:tr>
    </w:tbl>
    <w:p w14:paraId="4C5947EC">
      <w:pPr>
        <w:widowControl w:val="0"/>
        <w:numPr>
          <w:ilvl w:val="2"/>
          <w:numId w:val="1"/>
        </w:numPr>
        <w:bidi w:val="0"/>
        <w:spacing w:line="360" w:lineRule="auto"/>
        <w:jc w:val="both"/>
        <w:outlineLvl w:val="2"/>
        <w:rPr>
          <w:rFonts w:hint="default" w:ascii="Times New Roman" w:hAnsi="Times New Roman" w:eastAsia="黑体" w:cs="Times New Roman"/>
          <w:color w:val="auto"/>
          <w:sz w:val="24"/>
          <w:szCs w:val="24"/>
          <w:lang w:val="en-US" w:eastAsia="zh-CN" w:bidi="ar-SA"/>
        </w:rPr>
      </w:pPr>
      <w:r>
        <w:rPr>
          <w:rFonts w:hint="default" w:ascii="Times New Roman" w:hAnsi="Times New Roman" w:eastAsia="黑体" w:cs="Times New Roman"/>
          <w:color w:val="auto"/>
          <w:sz w:val="24"/>
          <w:szCs w:val="24"/>
          <w:lang w:val="en-US" w:eastAsia="zh-CN" w:bidi="ar-SA"/>
        </w:rPr>
        <w:t>排污口建档管理</w:t>
      </w:r>
    </w:p>
    <w:p w14:paraId="2941C68A">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1、要求使用国家环境保护行政主管部门统一印刷的《中华人民共和国规范化排污口标志登记证》，并按要求填写有关内容。</w:t>
      </w:r>
    </w:p>
    <w:p w14:paraId="438DE376">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2、根据排污口管理档案内容要求，本项目建成后，应将主要污染物种类、数量、浓度、排放去向、达标情况及设施运行情况记录于档案。</w:t>
      </w:r>
    </w:p>
    <w:p w14:paraId="6D0B5971">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307" w:name="_Toc31158"/>
      <w:bookmarkEnd w:id="307"/>
      <w:bookmarkStart w:id="308" w:name="_Toc496083701"/>
      <w:bookmarkStart w:id="309" w:name="_Toc17044"/>
      <w:r>
        <w:rPr>
          <w:rFonts w:hint="default" w:ascii="Times New Roman" w:hAnsi="Times New Roman" w:eastAsia="黑体" w:cs="Times New Roman"/>
          <w:color w:val="auto"/>
          <w:sz w:val="28"/>
          <w:szCs w:val="20"/>
          <w:lang w:val="en-US" w:eastAsia="zh-CN" w:bidi="ar-SA"/>
        </w:rPr>
        <w:t>“三同时”竣工验收内容</w:t>
      </w:r>
      <w:bookmarkEnd w:id="308"/>
      <w:bookmarkEnd w:id="309"/>
    </w:p>
    <w:p w14:paraId="090FC47E">
      <w:pPr>
        <w:widowControl w:val="0"/>
        <w:spacing w:line="360" w:lineRule="auto"/>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验收内容见表6-3。</w:t>
      </w:r>
    </w:p>
    <w:p w14:paraId="2B92D2BF">
      <w:pPr>
        <w:adjustRightInd/>
        <w:snapToGrid/>
        <w:ind w:firstLine="0" w:firstLineChars="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表</w:t>
      </w:r>
      <w:r>
        <w:rPr>
          <w:rFonts w:hint="default" w:ascii="Times New Roman" w:hAnsi="Times New Roman" w:cs="Times New Roman"/>
          <w:b/>
          <w:bCs/>
          <w:color w:val="auto"/>
          <w:kern w:val="0"/>
          <w:sz w:val="24"/>
          <w:szCs w:val="24"/>
          <w:lang w:val="en-US" w:eastAsia="zh-CN"/>
        </w:rPr>
        <w:t>6</w:t>
      </w:r>
      <w:r>
        <w:rPr>
          <w:rFonts w:hint="default" w:ascii="Times New Roman" w:hAnsi="Times New Roman" w:cs="Times New Roman"/>
          <w:b/>
          <w:bCs/>
          <w:color w:val="auto"/>
          <w:kern w:val="0"/>
          <w:sz w:val="24"/>
          <w:szCs w:val="24"/>
        </w:rPr>
        <w:noBreakHyphen/>
      </w:r>
      <w:r>
        <w:rPr>
          <w:rFonts w:hint="default" w:ascii="Times New Roman" w:hAnsi="Times New Roman" w:cs="Times New Roman"/>
          <w:b/>
          <w:bCs/>
          <w:color w:val="auto"/>
          <w:kern w:val="0"/>
          <w:sz w:val="24"/>
          <w:szCs w:val="24"/>
          <w:lang w:val="en-US" w:eastAsia="zh-CN"/>
        </w:rPr>
        <w:t>3</w:t>
      </w:r>
      <w:r>
        <w:rPr>
          <w:rFonts w:hint="default" w:ascii="Times New Roman" w:hAnsi="Times New Roman" w:cs="Times New Roman"/>
          <w:b/>
          <w:bCs/>
          <w:color w:val="auto"/>
          <w:kern w:val="0"/>
          <w:sz w:val="24"/>
          <w:szCs w:val="24"/>
        </w:rPr>
        <w:t>“三同时”验收一览表</w:t>
      </w:r>
    </w:p>
    <w:tbl>
      <w:tblPr>
        <w:tblStyle w:val="144"/>
        <w:tblW w:w="8800" w:type="dxa"/>
        <w:tblInd w:w="10" w:type="dxa"/>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1261"/>
        <w:gridCol w:w="1696"/>
        <w:gridCol w:w="1700"/>
        <w:gridCol w:w="1980"/>
        <w:gridCol w:w="2163"/>
      </w:tblGrid>
      <w:tr w14:paraId="3E6654DD">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261" w:type="dxa"/>
            <w:vMerge w:val="restart"/>
            <w:tcBorders>
              <w:tl2br w:val="nil"/>
              <w:tr2bl w:val="nil"/>
            </w:tcBorders>
            <w:noWrap w:val="0"/>
            <w:vAlign w:val="top"/>
          </w:tcPr>
          <w:p w14:paraId="5FAAF3D0">
            <w:pPr>
              <w:spacing w:before="49" w:line="227" w:lineRule="auto"/>
              <w:ind w:left="106" w:right="192" w:firstLine="50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0"/>
                <w:kern w:val="0"/>
                <w:sz w:val="21"/>
                <w:szCs w:val="21"/>
                <w:u w:val="none" w:color="auto"/>
              </w:rPr>
              <w:t>内</w:t>
            </w:r>
            <w:r>
              <w:rPr>
                <w:rFonts w:hint="default" w:ascii="Times New Roman" w:hAnsi="Times New Roman" w:eastAsia="宋体" w:cs="Times New Roman"/>
                <w:color w:val="auto"/>
                <w:spacing w:val="-19"/>
                <w:kern w:val="0"/>
                <w:sz w:val="21"/>
                <w:szCs w:val="21"/>
                <w:u w:val="none" w:color="auto"/>
              </w:rPr>
              <w:t>容</w:t>
            </w:r>
            <w:r>
              <w:rPr>
                <w:rFonts w:hint="default" w:ascii="Times New Roman" w:hAnsi="Times New Roman" w:eastAsia="宋体" w:cs="Times New Roman"/>
                <w:color w:val="auto"/>
                <w:spacing w:val="-4"/>
                <w:kern w:val="0"/>
                <w:sz w:val="21"/>
                <w:szCs w:val="21"/>
                <w:u w:val="none" w:color="auto"/>
              </w:rPr>
              <w:t>要</w:t>
            </w:r>
            <w:r>
              <w:rPr>
                <w:rFonts w:hint="default" w:ascii="Times New Roman" w:hAnsi="Times New Roman" w:eastAsia="宋体" w:cs="Times New Roman"/>
                <w:color w:val="auto"/>
                <w:spacing w:val="-2"/>
                <w:kern w:val="0"/>
                <w:sz w:val="21"/>
                <w:szCs w:val="21"/>
                <w:u w:val="none" w:color="auto"/>
              </w:rPr>
              <w:t>素</w:t>
            </w:r>
          </w:p>
        </w:tc>
        <w:tc>
          <w:tcPr>
            <w:tcW w:w="1696" w:type="dxa"/>
            <w:tcBorders>
              <w:tl2br w:val="nil"/>
              <w:tr2bl w:val="nil"/>
            </w:tcBorders>
            <w:noWrap w:val="0"/>
            <w:vAlign w:val="top"/>
          </w:tcPr>
          <w:p w14:paraId="34C06CED">
            <w:pPr>
              <w:spacing w:before="5" w:line="291" w:lineRule="exact"/>
              <w:ind w:left="107"/>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4"/>
                <w:kern w:val="0"/>
                <w:position w:val="2"/>
                <w:sz w:val="21"/>
                <w:szCs w:val="21"/>
                <w:u w:val="none" w:color="auto"/>
              </w:rPr>
              <w:t>排</w:t>
            </w:r>
            <w:r>
              <w:rPr>
                <w:rFonts w:hint="default" w:ascii="Times New Roman" w:hAnsi="Times New Roman" w:eastAsia="宋体" w:cs="Times New Roman"/>
                <w:color w:val="auto"/>
                <w:spacing w:val="21"/>
                <w:kern w:val="0"/>
                <w:position w:val="2"/>
                <w:sz w:val="21"/>
                <w:szCs w:val="21"/>
                <w:u w:val="none" w:color="auto"/>
              </w:rPr>
              <w:t>放口</w:t>
            </w:r>
            <w:r>
              <w:rPr>
                <w:rFonts w:hint="default" w:ascii="Times New Roman" w:hAnsi="Times New Roman" w:eastAsia="Times New Roman" w:cs="Times New Roman"/>
                <w:color w:val="auto"/>
                <w:spacing w:val="21"/>
                <w:kern w:val="0"/>
                <w:position w:val="2"/>
                <w:sz w:val="21"/>
                <w:szCs w:val="21"/>
                <w:u w:val="none" w:color="auto"/>
              </w:rPr>
              <w:t>(</w:t>
            </w:r>
            <w:r>
              <w:rPr>
                <w:rFonts w:hint="default" w:ascii="Times New Roman" w:hAnsi="Times New Roman" w:eastAsia="宋体" w:cs="Times New Roman"/>
                <w:color w:val="auto"/>
                <w:spacing w:val="21"/>
                <w:kern w:val="0"/>
                <w:position w:val="2"/>
                <w:sz w:val="21"/>
                <w:szCs w:val="21"/>
                <w:u w:val="none" w:color="auto"/>
              </w:rPr>
              <w:t>编号、</w:t>
            </w:r>
          </w:p>
        </w:tc>
        <w:tc>
          <w:tcPr>
            <w:tcW w:w="1700" w:type="dxa"/>
            <w:vMerge w:val="restart"/>
            <w:tcBorders>
              <w:tl2br w:val="nil"/>
              <w:tr2bl w:val="nil"/>
            </w:tcBorders>
            <w:noWrap w:val="0"/>
            <w:vAlign w:val="top"/>
          </w:tcPr>
          <w:p w14:paraId="16E8628C">
            <w:pPr>
              <w:spacing w:before="204" w:line="220" w:lineRule="auto"/>
              <w:ind w:left="253"/>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4"/>
                <w:kern w:val="0"/>
                <w:sz w:val="21"/>
                <w:szCs w:val="21"/>
                <w:u w:val="none" w:color="auto"/>
              </w:rPr>
              <w:t>污</w:t>
            </w:r>
            <w:r>
              <w:rPr>
                <w:rFonts w:hint="default" w:ascii="Times New Roman" w:hAnsi="Times New Roman" w:eastAsia="宋体" w:cs="Times New Roman"/>
                <w:color w:val="auto"/>
                <w:spacing w:val="-2"/>
                <w:kern w:val="0"/>
                <w:sz w:val="21"/>
                <w:szCs w:val="21"/>
                <w:u w:val="none" w:color="auto"/>
              </w:rPr>
              <w:t>染物项目</w:t>
            </w:r>
          </w:p>
        </w:tc>
        <w:tc>
          <w:tcPr>
            <w:tcW w:w="1980" w:type="dxa"/>
            <w:vMerge w:val="restart"/>
            <w:tcBorders>
              <w:tl2br w:val="nil"/>
              <w:tr2bl w:val="nil"/>
            </w:tcBorders>
            <w:noWrap w:val="0"/>
            <w:vAlign w:val="top"/>
          </w:tcPr>
          <w:p w14:paraId="68A319B9">
            <w:pPr>
              <w:spacing w:before="205" w:line="220" w:lineRule="auto"/>
              <w:ind w:left="275"/>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环境</w:t>
            </w:r>
            <w:r>
              <w:rPr>
                <w:rFonts w:hint="default" w:ascii="Times New Roman" w:hAnsi="Times New Roman" w:eastAsia="宋体" w:cs="Times New Roman"/>
                <w:color w:val="auto"/>
                <w:spacing w:val="-1"/>
                <w:kern w:val="0"/>
                <w:sz w:val="21"/>
                <w:szCs w:val="21"/>
                <w:u w:val="none" w:color="auto"/>
              </w:rPr>
              <w:t>保护措施</w:t>
            </w:r>
          </w:p>
        </w:tc>
        <w:tc>
          <w:tcPr>
            <w:tcW w:w="2163" w:type="dxa"/>
            <w:vMerge w:val="restart"/>
            <w:tcBorders>
              <w:tl2br w:val="nil"/>
              <w:tr2bl w:val="nil"/>
            </w:tcBorders>
            <w:noWrap w:val="0"/>
            <w:vAlign w:val="top"/>
          </w:tcPr>
          <w:p w14:paraId="2B682B99">
            <w:pPr>
              <w:spacing w:before="204" w:line="220" w:lineRule="auto"/>
              <w:ind w:left="607"/>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执行标准</w:t>
            </w:r>
          </w:p>
        </w:tc>
      </w:tr>
      <w:tr w14:paraId="2610CB3A">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261" w:type="dxa"/>
            <w:vMerge w:val="continue"/>
            <w:tcBorders>
              <w:tl2br w:val="nil"/>
              <w:tr2bl w:val="nil"/>
            </w:tcBorders>
            <w:noWrap w:val="0"/>
            <w:vAlign w:val="top"/>
          </w:tcPr>
          <w:p w14:paraId="2543169C">
            <w:pPr>
              <w:jc w:val="left"/>
              <w:rPr>
                <w:rFonts w:hint="default" w:ascii="Times New Roman" w:hAnsi="Times New Roman" w:cs="Times New Roman"/>
                <w:color w:val="auto"/>
                <w:kern w:val="0"/>
                <w:sz w:val="21"/>
                <w:szCs w:val="21"/>
                <w:u w:val="none" w:color="auto"/>
              </w:rPr>
            </w:pPr>
          </w:p>
        </w:tc>
        <w:tc>
          <w:tcPr>
            <w:tcW w:w="1696" w:type="dxa"/>
            <w:tcBorders>
              <w:tl2br w:val="nil"/>
              <w:tr2bl w:val="nil"/>
            </w:tcBorders>
            <w:noWrap w:val="0"/>
            <w:vAlign w:val="top"/>
          </w:tcPr>
          <w:p w14:paraId="60852B68">
            <w:pPr>
              <w:spacing w:before="15" w:line="259" w:lineRule="auto"/>
              <w:ind w:left="17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9"/>
                <w:kern w:val="0"/>
                <w:sz w:val="21"/>
                <w:szCs w:val="21"/>
                <w:u w:val="none" w:color="auto"/>
              </w:rPr>
              <w:t>名</w:t>
            </w:r>
            <w:r>
              <w:rPr>
                <w:rFonts w:hint="default" w:ascii="Times New Roman" w:hAnsi="Times New Roman" w:eastAsia="宋体" w:cs="Times New Roman"/>
                <w:color w:val="auto"/>
                <w:spacing w:val="6"/>
                <w:kern w:val="0"/>
                <w:sz w:val="21"/>
                <w:szCs w:val="21"/>
                <w:u w:val="none" w:color="auto"/>
              </w:rPr>
              <w:t>称</w:t>
            </w:r>
            <w:r>
              <w:rPr>
                <w:rFonts w:hint="default" w:ascii="Times New Roman" w:hAnsi="Times New Roman" w:eastAsia="Times New Roman" w:cs="Times New Roman"/>
                <w:color w:val="auto"/>
                <w:spacing w:val="6"/>
                <w:kern w:val="0"/>
                <w:sz w:val="21"/>
                <w:szCs w:val="21"/>
                <w:u w:val="none" w:color="auto"/>
              </w:rPr>
              <w:t>)/</w:t>
            </w:r>
            <w:r>
              <w:rPr>
                <w:rFonts w:hint="default" w:ascii="Times New Roman" w:hAnsi="Times New Roman" w:eastAsia="宋体" w:cs="Times New Roman"/>
                <w:color w:val="auto"/>
                <w:spacing w:val="6"/>
                <w:kern w:val="0"/>
                <w:sz w:val="21"/>
                <w:szCs w:val="21"/>
                <w:u w:val="none" w:color="auto"/>
              </w:rPr>
              <w:t>污染源</w:t>
            </w:r>
          </w:p>
        </w:tc>
        <w:tc>
          <w:tcPr>
            <w:tcW w:w="1700" w:type="dxa"/>
            <w:vMerge w:val="continue"/>
            <w:tcBorders>
              <w:tl2br w:val="nil"/>
              <w:tr2bl w:val="nil"/>
            </w:tcBorders>
            <w:noWrap w:val="0"/>
            <w:vAlign w:val="top"/>
          </w:tcPr>
          <w:p w14:paraId="317B8EBD">
            <w:pPr>
              <w:jc w:val="left"/>
              <w:rPr>
                <w:rFonts w:hint="default" w:ascii="Times New Roman" w:hAnsi="Times New Roman" w:cs="Times New Roman"/>
                <w:color w:val="auto"/>
                <w:kern w:val="0"/>
                <w:sz w:val="21"/>
                <w:szCs w:val="21"/>
                <w:u w:val="none" w:color="auto"/>
              </w:rPr>
            </w:pPr>
          </w:p>
        </w:tc>
        <w:tc>
          <w:tcPr>
            <w:tcW w:w="1980" w:type="dxa"/>
            <w:vMerge w:val="continue"/>
            <w:tcBorders>
              <w:tl2br w:val="nil"/>
              <w:tr2bl w:val="nil"/>
            </w:tcBorders>
            <w:noWrap w:val="0"/>
            <w:vAlign w:val="top"/>
          </w:tcPr>
          <w:p w14:paraId="3472AAAB">
            <w:pPr>
              <w:jc w:val="left"/>
              <w:rPr>
                <w:rFonts w:hint="default" w:ascii="Times New Roman" w:hAnsi="Times New Roman" w:cs="Times New Roman"/>
                <w:color w:val="auto"/>
                <w:kern w:val="0"/>
                <w:sz w:val="21"/>
                <w:szCs w:val="21"/>
                <w:u w:val="none" w:color="auto"/>
              </w:rPr>
            </w:pPr>
          </w:p>
        </w:tc>
        <w:tc>
          <w:tcPr>
            <w:tcW w:w="2163" w:type="dxa"/>
            <w:vMerge w:val="continue"/>
            <w:tcBorders>
              <w:tl2br w:val="nil"/>
              <w:tr2bl w:val="nil"/>
            </w:tcBorders>
            <w:noWrap w:val="0"/>
            <w:vAlign w:val="top"/>
          </w:tcPr>
          <w:p w14:paraId="401DC531">
            <w:pPr>
              <w:jc w:val="left"/>
              <w:rPr>
                <w:rFonts w:hint="default" w:ascii="Times New Roman" w:hAnsi="Times New Roman" w:cs="Times New Roman"/>
                <w:color w:val="auto"/>
                <w:kern w:val="0"/>
                <w:sz w:val="21"/>
                <w:szCs w:val="21"/>
                <w:u w:val="none" w:color="auto"/>
              </w:rPr>
            </w:pPr>
          </w:p>
        </w:tc>
      </w:tr>
      <w:tr w14:paraId="05D2B1B1">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vMerge w:val="restart"/>
            <w:tcBorders>
              <w:tl2br w:val="nil"/>
              <w:tr2bl w:val="nil"/>
            </w:tcBorders>
            <w:noWrap w:val="0"/>
            <w:vAlign w:val="top"/>
          </w:tcPr>
          <w:p w14:paraId="4DAC0C58">
            <w:pPr>
              <w:spacing w:line="247" w:lineRule="auto"/>
              <w:jc w:val="left"/>
              <w:rPr>
                <w:rFonts w:hint="default" w:ascii="Times New Roman" w:hAnsi="Times New Roman" w:cs="Times New Roman"/>
                <w:color w:val="auto"/>
                <w:kern w:val="0"/>
                <w:sz w:val="21"/>
                <w:szCs w:val="21"/>
                <w:u w:val="none" w:color="auto"/>
              </w:rPr>
            </w:pPr>
          </w:p>
          <w:p w14:paraId="43C20674">
            <w:pPr>
              <w:spacing w:line="247" w:lineRule="auto"/>
              <w:jc w:val="left"/>
              <w:rPr>
                <w:rFonts w:hint="default" w:ascii="Times New Roman" w:hAnsi="Times New Roman" w:cs="Times New Roman"/>
                <w:color w:val="auto"/>
                <w:kern w:val="0"/>
                <w:sz w:val="21"/>
                <w:szCs w:val="21"/>
                <w:u w:val="none" w:color="auto"/>
              </w:rPr>
            </w:pPr>
          </w:p>
          <w:p w14:paraId="75320DB8">
            <w:pPr>
              <w:spacing w:line="247" w:lineRule="auto"/>
              <w:jc w:val="left"/>
              <w:rPr>
                <w:rFonts w:hint="default" w:ascii="Times New Roman" w:hAnsi="Times New Roman" w:cs="Times New Roman"/>
                <w:color w:val="auto"/>
                <w:kern w:val="0"/>
                <w:sz w:val="21"/>
                <w:szCs w:val="21"/>
                <w:u w:val="none" w:color="auto"/>
              </w:rPr>
            </w:pPr>
          </w:p>
          <w:p w14:paraId="5062FF1F">
            <w:pPr>
              <w:spacing w:line="247" w:lineRule="auto"/>
              <w:jc w:val="left"/>
              <w:rPr>
                <w:rFonts w:hint="default" w:ascii="Times New Roman" w:hAnsi="Times New Roman" w:cs="Times New Roman"/>
                <w:color w:val="auto"/>
                <w:kern w:val="0"/>
                <w:sz w:val="21"/>
                <w:szCs w:val="21"/>
                <w:u w:val="none" w:color="auto"/>
              </w:rPr>
            </w:pPr>
          </w:p>
          <w:p w14:paraId="76759131">
            <w:pPr>
              <w:spacing w:line="247" w:lineRule="auto"/>
              <w:jc w:val="left"/>
              <w:rPr>
                <w:rFonts w:hint="default" w:ascii="Times New Roman" w:hAnsi="Times New Roman" w:cs="Times New Roman"/>
                <w:color w:val="auto"/>
                <w:kern w:val="0"/>
                <w:sz w:val="21"/>
                <w:szCs w:val="21"/>
                <w:u w:val="none" w:color="auto"/>
              </w:rPr>
            </w:pPr>
          </w:p>
          <w:p w14:paraId="6D3ABDE0">
            <w:pPr>
              <w:spacing w:line="247" w:lineRule="auto"/>
              <w:jc w:val="left"/>
              <w:rPr>
                <w:rFonts w:hint="default" w:ascii="Times New Roman" w:hAnsi="Times New Roman" w:cs="Times New Roman"/>
                <w:color w:val="auto"/>
                <w:kern w:val="0"/>
                <w:sz w:val="21"/>
                <w:szCs w:val="21"/>
                <w:u w:val="none" w:color="auto"/>
              </w:rPr>
            </w:pPr>
          </w:p>
          <w:p w14:paraId="3AF5C101">
            <w:pPr>
              <w:spacing w:line="247" w:lineRule="auto"/>
              <w:jc w:val="left"/>
              <w:rPr>
                <w:rFonts w:hint="default" w:ascii="Times New Roman" w:hAnsi="Times New Roman" w:cs="Times New Roman"/>
                <w:color w:val="auto"/>
                <w:kern w:val="0"/>
                <w:sz w:val="21"/>
                <w:szCs w:val="21"/>
                <w:u w:val="none" w:color="auto"/>
              </w:rPr>
            </w:pPr>
          </w:p>
          <w:p w14:paraId="0043B66C">
            <w:pPr>
              <w:spacing w:line="247" w:lineRule="auto"/>
              <w:jc w:val="left"/>
              <w:rPr>
                <w:rFonts w:hint="default" w:ascii="Times New Roman" w:hAnsi="Times New Roman" w:cs="Times New Roman"/>
                <w:color w:val="auto"/>
                <w:kern w:val="0"/>
                <w:sz w:val="21"/>
                <w:szCs w:val="21"/>
                <w:u w:val="none" w:color="auto"/>
              </w:rPr>
            </w:pPr>
          </w:p>
          <w:p w14:paraId="3364AE71">
            <w:pPr>
              <w:spacing w:line="247" w:lineRule="auto"/>
              <w:jc w:val="left"/>
              <w:rPr>
                <w:rFonts w:hint="default" w:ascii="Times New Roman" w:hAnsi="Times New Roman" w:cs="Times New Roman"/>
                <w:color w:val="auto"/>
                <w:kern w:val="0"/>
                <w:sz w:val="21"/>
                <w:szCs w:val="21"/>
                <w:u w:val="none" w:color="auto"/>
              </w:rPr>
            </w:pPr>
          </w:p>
          <w:p w14:paraId="285AAB35">
            <w:pPr>
              <w:spacing w:line="247" w:lineRule="auto"/>
              <w:jc w:val="left"/>
              <w:rPr>
                <w:rFonts w:hint="default" w:ascii="Times New Roman" w:hAnsi="Times New Roman" w:cs="Times New Roman"/>
                <w:color w:val="auto"/>
                <w:kern w:val="0"/>
                <w:sz w:val="21"/>
                <w:szCs w:val="21"/>
                <w:u w:val="none" w:color="auto"/>
              </w:rPr>
            </w:pPr>
          </w:p>
          <w:p w14:paraId="56EBFD3B">
            <w:pPr>
              <w:spacing w:line="248" w:lineRule="auto"/>
              <w:jc w:val="left"/>
              <w:rPr>
                <w:rFonts w:hint="default" w:ascii="Times New Roman" w:hAnsi="Times New Roman" w:cs="Times New Roman"/>
                <w:color w:val="auto"/>
                <w:kern w:val="0"/>
                <w:sz w:val="21"/>
                <w:szCs w:val="21"/>
                <w:u w:val="none" w:color="auto"/>
              </w:rPr>
            </w:pPr>
          </w:p>
          <w:p w14:paraId="06E12E32">
            <w:pPr>
              <w:spacing w:line="248" w:lineRule="auto"/>
              <w:jc w:val="left"/>
              <w:rPr>
                <w:rFonts w:hint="default" w:ascii="Times New Roman" w:hAnsi="Times New Roman" w:cs="Times New Roman"/>
                <w:color w:val="auto"/>
                <w:kern w:val="0"/>
                <w:sz w:val="21"/>
                <w:szCs w:val="21"/>
                <w:u w:val="none" w:color="auto"/>
              </w:rPr>
            </w:pPr>
          </w:p>
          <w:p w14:paraId="780EE8F4">
            <w:pPr>
              <w:spacing w:line="248" w:lineRule="auto"/>
              <w:jc w:val="left"/>
              <w:rPr>
                <w:rFonts w:hint="default" w:ascii="Times New Roman" w:hAnsi="Times New Roman" w:cs="Times New Roman"/>
                <w:color w:val="auto"/>
                <w:kern w:val="0"/>
                <w:sz w:val="21"/>
                <w:szCs w:val="21"/>
                <w:u w:val="none" w:color="auto"/>
              </w:rPr>
            </w:pPr>
          </w:p>
          <w:p w14:paraId="65C69A6F">
            <w:pPr>
              <w:spacing w:line="248" w:lineRule="auto"/>
              <w:jc w:val="left"/>
              <w:rPr>
                <w:rFonts w:hint="default" w:ascii="Times New Roman" w:hAnsi="Times New Roman" w:cs="Times New Roman"/>
                <w:color w:val="auto"/>
                <w:kern w:val="0"/>
                <w:sz w:val="21"/>
                <w:szCs w:val="21"/>
                <w:u w:val="none" w:color="auto"/>
              </w:rPr>
            </w:pPr>
          </w:p>
          <w:p w14:paraId="7F69CB6F">
            <w:pPr>
              <w:spacing w:line="248" w:lineRule="auto"/>
              <w:jc w:val="left"/>
              <w:rPr>
                <w:rFonts w:hint="default" w:ascii="Times New Roman" w:hAnsi="Times New Roman" w:cs="Times New Roman"/>
                <w:color w:val="auto"/>
                <w:kern w:val="0"/>
                <w:sz w:val="21"/>
                <w:szCs w:val="21"/>
                <w:u w:val="none" w:color="auto"/>
              </w:rPr>
            </w:pPr>
          </w:p>
          <w:p w14:paraId="42089945">
            <w:pPr>
              <w:spacing w:before="78" w:line="219" w:lineRule="auto"/>
              <w:ind w:left="144"/>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4"/>
                <w:kern w:val="0"/>
                <w:sz w:val="21"/>
                <w:szCs w:val="21"/>
                <w:u w:val="none" w:color="auto"/>
              </w:rPr>
              <w:t>大</w:t>
            </w:r>
            <w:r>
              <w:rPr>
                <w:rFonts w:hint="default" w:ascii="Times New Roman" w:hAnsi="Times New Roman" w:eastAsia="宋体" w:cs="Times New Roman"/>
                <w:color w:val="auto"/>
                <w:spacing w:val="-2"/>
                <w:kern w:val="0"/>
                <w:sz w:val="21"/>
                <w:szCs w:val="21"/>
                <w:u w:val="none" w:color="auto"/>
              </w:rPr>
              <w:t>气环境</w:t>
            </w:r>
          </w:p>
        </w:tc>
        <w:tc>
          <w:tcPr>
            <w:tcW w:w="1696" w:type="dxa"/>
            <w:vMerge w:val="restart"/>
            <w:tcBorders>
              <w:tl2br w:val="nil"/>
              <w:tr2bl w:val="nil"/>
            </w:tcBorders>
            <w:noWrap w:val="0"/>
            <w:vAlign w:val="top"/>
          </w:tcPr>
          <w:p w14:paraId="64F7F8DF">
            <w:pPr>
              <w:spacing w:line="294" w:lineRule="auto"/>
              <w:jc w:val="left"/>
              <w:rPr>
                <w:rFonts w:hint="default" w:ascii="Times New Roman" w:hAnsi="Times New Roman" w:cs="Times New Roman"/>
                <w:color w:val="auto"/>
                <w:kern w:val="0"/>
                <w:sz w:val="21"/>
                <w:szCs w:val="21"/>
                <w:u w:val="none" w:color="auto"/>
              </w:rPr>
            </w:pPr>
          </w:p>
          <w:p w14:paraId="0BBECCD8">
            <w:pPr>
              <w:spacing w:line="295" w:lineRule="auto"/>
              <w:jc w:val="left"/>
              <w:rPr>
                <w:rFonts w:hint="default" w:ascii="Times New Roman" w:hAnsi="Times New Roman" w:cs="Times New Roman"/>
                <w:color w:val="auto"/>
                <w:kern w:val="0"/>
                <w:sz w:val="21"/>
                <w:szCs w:val="21"/>
                <w:u w:val="none" w:color="auto"/>
              </w:rPr>
            </w:pPr>
          </w:p>
          <w:p w14:paraId="27D9ECF9">
            <w:pPr>
              <w:spacing w:before="78" w:line="220" w:lineRule="auto"/>
              <w:ind w:left="10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
                <w:kern w:val="0"/>
                <w:sz w:val="21"/>
                <w:szCs w:val="21"/>
                <w:u w:val="none" w:color="auto"/>
              </w:rPr>
              <w:t>骨料粉</w:t>
            </w:r>
            <w:r>
              <w:rPr>
                <w:rFonts w:hint="default" w:ascii="Times New Roman" w:hAnsi="Times New Roman" w:eastAsia="宋体" w:cs="Times New Roman"/>
                <w:color w:val="auto"/>
                <w:spacing w:val="-16"/>
                <w:kern w:val="0"/>
                <w:sz w:val="21"/>
                <w:szCs w:val="21"/>
                <w:u w:val="none" w:color="auto"/>
              </w:rPr>
              <w:t>尘</w:t>
            </w:r>
            <w:r>
              <w:rPr>
                <w:rFonts w:hint="default" w:ascii="Times New Roman" w:hAnsi="Times New Roman" w:eastAsia="宋体" w:cs="Times New Roman"/>
                <w:color w:val="auto"/>
                <w:spacing w:val="-15"/>
                <w:kern w:val="0"/>
                <w:sz w:val="21"/>
                <w:szCs w:val="21"/>
                <w:u w:val="none" w:color="auto"/>
              </w:rPr>
              <w:t>、沥青烟、</w:t>
            </w:r>
            <w:r>
              <w:rPr>
                <w:rFonts w:hint="default" w:ascii="Times New Roman" w:hAnsi="Times New Roman" w:eastAsia="宋体" w:cs="Times New Roman"/>
                <w:color w:val="auto"/>
                <w:spacing w:val="-2"/>
                <w:kern w:val="0"/>
                <w:sz w:val="21"/>
                <w:szCs w:val="21"/>
                <w:u w:val="none" w:color="auto"/>
              </w:rPr>
              <w:t>燃烧器烟</w:t>
            </w:r>
            <w:r>
              <w:rPr>
                <w:rFonts w:hint="default" w:ascii="Times New Roman" w:hAnsi="Times New Roman" w:eastAsia="宋体" w:cs="Times New Roman"/>
                <w:color w:val="auto"/>
                <w:spacing w:val="-1"/>
                <w:kern w:val="0"/>
                <w:sz w:val="21"/>
                <w:szCs w:val="21"/>
                <w:u w:val="none" w:color="auto"/>
              </w:rPr>
              <w:t>气</w:t>
            </w:r>
          </w:p>
        </w:tc>
        <w:tc>
          <w:tcPr>
            <w:tcW w:w="1700" w:type="dxa"/>
            <w:tcBorders>
              <w:tl2br w:val="nil"/>
              <w:tr2bl w:val="nil"/>
            </w:tcBorders>
            <w:noWrap w:val="0"/>
            <w:vAlign w:val="top"/>
          </w:tcPr>
          <w:p w14:paraId="1955E935">
            <w:pPr>
              <w:spacing w:before="191" w:line="220" w:lineRule="auto"/>
              <w:ind w:left="49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颗粒物</w:t>
            </w:r>
          </w:p>
        </w:tc>
        <w:tc>
          <w:tcPr>
            <w:tcW w:w="1980" w:type="dxa"/>
            <w:vMerge w:val="restart"/>
            <w:tcBorders>
              <w:tl2br w:val="nil"/>
              <w:tr2bl w:val="nil"/>
            </w:tcBorders>
            <w:noWrap w:val="0"/>
            <w:vAlign w:val="top"/>
          </w:tcPr>
          <w:p w14:paraId="1C1D6222">
            <w:pPr>
              <w:spacing w:before="1" w:line="251" w:lineRule="auto"/>
              <w:ind w:left="521" w:right="229" w:hanging="29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8"/>
                <w:kern w:val="0"/>
                <w:sz w:val="21"/>
                <w:szCs w:val="21"/>
                <w:u w:val="none" w:color="auto"/>
                <w:lang w:eastAsia="zh-CN"/>
              </w:rPr>
              <w:t>二级除尘</w:t>
            </w:r>
            <w:r>
              <w:rPr>
                <w:rFonts w:hint="default" w:ascii="Times New Roman" w:hAnsi="Times New Roman" w:eastAsia="宋体" w:cs="Times New Roman"/>
                <w:color w:val="auto"/>
                <w:spacing w:val="8"/>
                <w:kern w:val="0"/>
                <w:sz w:val="21"/>
                <w:szCs w:val="21"/>
                <w:u w:val="none" w:color="auto"/>
                <w:lang w:val="en-US" w:eastAsia="zh-CN"/>
              </w:rPr>
              <w:t>+</w:t>
            </w:r>
            <w:r>
              <w:rPr>
                <w:rFonts w:hint="default" w:ascii="Times New Roman" w:hAnsi="Times New Roman" w:eastAsia="宋体" w:cs="Times New Roman"/>
                <w:color w:val="auto"/>
                <w:spacing w:val="4"/>
                <w:kern w:val="0"/>
                <w:sz w:val="21"/>
                <w:szCs w:val="21"/>
                <w:u w:val="none" w:color="auto"/>
              </w:rPr>
              <w:t>活</w:t>
            </w:r>
            <w:r>
              <w:rPr>
                <w:rFonts w:hint="default" w:ascii="Times New Roman" w:hAnsi="Times New Roman" w:eastAsia="宋体" w:cs="Times New Roman"/>
                <w:color w:val="auto"/>
                <w:spacing w:val="-2"/>
                <w:kern w:val="0"/>
                <w:sz w:val="21"/>
                <w:szCs w:val="21"/>
                <w:u w:val="none" w:color="auto"/>
              </w:rPr>
              <w:t>性炭吸附装</w:t>
            </w:r>
            <w:r>
              <w:rPr>
                <w:rFonts w:hint="default" w:ascii="Times New Roman" w:hAnsi="Times New Roman" w:eastAsia="宋体" w:cs="Times New Roman"/>
                <w:color w:val="auto"/>
                <w:spacing w:val="-1"/>
                <w:kern w:val="0"/>
                <w:sz w:val="21"/>
                <w:szCs w:val="21"/>
                <w:u w:val="none" w:color="auto"/>
              </w:rPr>
              <w:t>置</w:t>
            </w:r>
          </w:p>
          <w:p w14:paraId="2C75189C">
            <w:pPr>
              <w:spacing w:line="259" w:lineRule="auto"/>
              <w:ind w:left="19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Times New Roman" w:cs="Times New Roman"/>
                <w:color w:val="auto"/>
                <w:spacing w:val="17"/>
                <w:kern w:val="0"/>
                <w:sz w:val="21"/>
                <w:szCs w:val="21"/>
                <w:u w:val="none" w:color="auto"/>
              </w:rPr>
              <w:t>+</w:t>
            </w:r>
            <w:r>
              <w:rPr>
                <w:rFonts w:hint="default" w:ascii="Times New Roman" w:hAnsi="Times New Roman" w:eastAsia="宋体" w:cs="Times New Roman"/>
                <w:color w:val="auto"/>
                <w:spacing w:val="17"/>
                <w:kern w:val="0"/>
                <w:sz w:val="21"/>
                <w:szCs w:val="21"/>
                <w:u w:val="none" w:color="auto"/>
                <w:lang w:eastAsia="zh-CN"/>
              </w:rPr>
              <w:t>低氮燃烧</w:t>
            </w:r>
            <w:r>
              <w:rPr>
                <w:rFonts w:hint="default" w:ascii="Times New Roman" w:hAnsi="Times New Roman" w:eastAsia="宋体" w:cs="Times New Roman"/>
                <w:color w:val="auto"/>
                <w:spacing w:val="17"/>
                <w:kern w:val="0"/>
                <w:sz w:val="21"/>
                <w:szCs w:val="21"/>
                <w:u w:val="none" w:color="auto"/>
                <w:lang w:val="en-US" w:eastAsia="zh-CN"/>
              </w:rPr>
              <w:t>+</w:t>
            </w:r>
            <w:r>
              <w:rPr>
                <w:rFonts w:hint="default" w:ascii="Times New Roman" w:hAnsi="Times New Roman" w:eastAsia="Times New Roman" w:cs="Times New Roman"/>
                <w:color w:val="auto"/>
                <w:spacing w:val="16"/>
                <w:kern w:val="0"/>
                <w:sz w:val="21"/>
                <w:szCs w:val="21"/>
                <w:u w:val="none" w:color="auto"/>
              </w:rPr>
              <w:t>15</w:t>
            </w:r>
            <w:r>
              <w:rPr>
                <w:rFonts w:hint="default" w:ascii="Times New Roman" w:hAnsi="Times New Roman" w:eastAsia="Times New Roman" w:cs="Times New Roman"/>
                <w:color w:val="auto"/>
                <w:kern w:val="0"/>
                <w:sz w:val="21"/>
                <w:szCs w:val="21"/>
                <w:u w:val="none" w:color="auto"/>
              </w:rPr>
              <w:t>m</w:t>
            </w:r>
            <w:r>
              <w:rPr>
                <w:rFonts w:hint="default" w:ascii="Times New Roman" w:hAnsi="Times New Roman" w:eastAsia="宋体" w:cs="Times New Roman"/>
                <w:color w:val="auto"/>
                <w:spacing w:val="16"/>
                <w:kern w:val="0"/>
                <w:sz w:val="21"/>
                <w:szCs w:val="21"/>
                <w:u w:val="none" w:color="auto"/>
              </w:rPr>
              <w:t>高排气筒</w:t>
            </w:r>
          </w:p>
          <w:p w14:paraId="3114F9AA">
            <w:pPr>
              <w:spacing w:before="8" w:line="241" w:lineRule="auto"/>
              <w:ind w:left="521" w:right="229" w:hanging="291"/>
              <w:jc w:val="left"/>
              <w:rPr>
                <w:rFonts w:hint="default" w:ascii="Times New Roman" w:hAnsi="Times New Roman" w:eastAsia="宋体" w:cs="Times New Roman"/>
                <w:color w:val="auto"/>
                <w:kern w:val="0"/>
                <w:sz w:val="21"/>
                <w:szCs w:val="21"/>
                <w:u w:val="none" w:color="auto"/>
              </w:rPr>
            </w:pPr>
          </w:p>
        </w:tc>
        <w:tc>
          <w:tcPr>
            <w:tcW w:w="2163" w:type="dxa"/>
            <w:vMerge w:val="restart"/>
            <w:tcBorders>
              <w:tl2br w:val="nil"/>
              <w:tr2bl w:val="nil"/>
            </w:tcBorders>
            <w:noWrap w:val="0"/>
            <w:vAlign w:val="top"/>
          </w:tcPr>
          <w:p w14:paraId="2544FD9C">
            <w:pPr>
              <w:spacing w:line="294" w:lineRule="auto"/>
              <w:jc w:val="left"/>
              <w:rPr>
                <w:rFonts w:hint="default" w:ascii="Times New Roman" w:hAnsi="Times New Roman" w:cs="Times New Roman"/>
                <w:color w:val="auto"/>
                <w:kern w:val="0"/>
                <w:sz w:val="21"/>
                <w:szCs w:val="21"/>
                <w:u w:val="none" w:color="auto"/>
              </w:rPr>
            </w:pPr>
          </w:p>
          <w:p w14:paraId="272640CD">
            <w:pPr>
              <w:spacing w:line="295" w:lineRule="auto"/>
              <w:jc w:val="left"/>
              <w:rPr>
                <w:rFonts w:hint="default" w:ascii="Times New Roman" w:hAnsi="Times New Roman" w:cs="Times New Roman"/>
                <w:color w:val="auto"/>
                <w:kern w:val="0"/>
                <w:sz w:val="21"/>
                <w:szCs w:val="21"/>
                <w:u w:val="none" w:color="auto"/>
              </w:rPr>
            </w:pPr>
          </w:p>
          <w:p w14:paraId="539EA81F">
            <w:pPr>
              <w:tabs>
                <w:tab w:val="left" w:pos="247"/>
              </w:tabs>
              <w:spacing w:before="78" w:line="219" w:lineRule="auto"/>
              <w:ind w:left="11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ab/>
            </w:r>
            <w:r>
              <w:rPr>
                <w:rFonts w:hint="default" w:ascii="Times New Roman" w:hAnsi="Times New Roman" w:eastAsia="宋体" w:cs="Times New Roman"/>
                <w:color w:val="auto"/>
                <w:spacing w:val="-18"/>
                <w:kern w:val="0"/>
                <w:sz w:val="21"/>
                <w:szCs w:val="21"/>
                <w:u w:val="none" w:color="auto"/>
              </w:rPr>
              <w:t>《</w:t>
            </w:r>
            <w:r>
              <w:rPr>
                <w:rFonts w:hint="default" w:ascii="Times New Roman" w:hAnsi="Times New Roman" w:eastAsia="宋体" w:cs="Times New Roman"/>
                <w:color w:val="auto"/>
                <w:spacing w:val="-16"/>
                <w:kern w:val="0"/>
                <w:sz w:val="21"/>
                <w:szCs w:val="21"/>
                <w:u w:val="none" w:color="auto"/>
              </w:rPr>
              <w:t>大气污染物综合</w:t>
            </w:r>
          </w:p>
          <w:p w14:paraId="7F7A593C">
            <w:pPr>
              <w:spacing w:before="23" w:line="220" w:lineRule="auto"/>
              <w:ind w:left="547"/>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3"/>
                <w:kern w:val="0"/>
                <w:sz w:val="21"/>
                <w:szCs w:val="21"/>
                <w:u w:val="none" w:color="auto"/>
              </w:rPr>
              <w:t>排放标准》</w:t>
            </w:r>
          </w:p>
          <w:p w14:paraId="7E673471">
            <w:pPr>
              <w:spacing w:before="25" w:line="205" w:lineRule="auto"/>
              <w:ind w:left="12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6"/>
                <w:kern w:val="0"/>
                <w:sz w:val="21"/>
                <w:szCs w:val="21"/>
                <w:u w:val="none" w:color="auto"/>
              </w:rPr>
              <w:t>(</w:t>
            </w:r>
            <w:r>
              <w:rPr>
                <w:rFonts w:hint="default" w:ascii="Times New Roman" w:hAnsi="Times New Roman" w:eastAsia="Times New Roman" w:cs="Times New Roman"/>
                <w:color w:val="auto"/>
                <w:kern w:val="0"/>
                <w:sz w:val="21"/>
                <w:szCs w:val="21"/>
                <w:u w:val="none" w:color="auto"/>
              </w:rPr>
              <w:t>GB</w:t>
            </w:r>
            <w:r>
              <w:rPr>
                <w:rFonts w:hint="default" w:ascii="Times New Roman" w:hAnsi="Times New Roman" w:eastAsia="Times New Roman" w:cs="Times New Roman"/>
                <w:color w:val="auto"/>
                <w:spacing w:val="3"/>
                <w:kern w:val="0"/>
                <w:sz w:val="21"/>
                <w:szCs w:val="21"/>
                <w:u w:val="none" w:color="auto"/>
              </w:rPr>
              <w:t>16297-1996</w:t>
            </w:r>
            <w:r>
              <w:rPr>
                <w:rFonts w:hint="default" w:ascii="Times New Roman" w:hAnsi="Times New Roman" w:eastAsia="宋体" w:cs="Times New Roman"/>
                <w:color w:val="auto"/>
                <w:spacing w:val="3"/>
                <w:kern w:val="0"/>
                <w:sz w:val="21"/>
                <w:szCs w:val="21"/>
                <w:u w:val="none" w:color="auto"/>
              </w:rPr>
              <w:t>)</w:t>
            </w:r>
          </w:p>
        </w:tc>
      </w:tr>
      <w:tr w14:paraId="28B0722D">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61" w:type="dxa"/>
            <w:vMerge w:val="continue"/>
            <w:tcBorders>
              <w:tl2br w:val="nil"/>
              <w:tr2bl w:val="nil"/>
            </w:tcBorders>
            <w:noWrap w:val="0"/>
            <w:vAlign w:val="top"/>
          </w:tcPr>
          <w:p w14:paraId="4AA3C493">
            <w:pPr>
              <w:jc w:val="left"/>
              <w:rPr>
                <w:rFonts w:hint="default" w:ascii="Times New Roman" w:hAnsi="Times New Roman" w:cs="Times New Roman"/>
                <w:color w:val="auto"/>
                <w:kern w:val="0"/>
                <w:sz w:val="21"/>
                <w:szCs w:val="21"/>
                <w:u w:val="none" w:color="auto"/>
              </w:rPr>
            </w:pPr>
          </w:p>
        </w:tc>
        <w:tc>
          <w:tcPr>
            <w:tcW w:w="1696" w:type="dxa"/>
            <w:vMerge w:val="continue"/>
            <w:tcBorders>
              <w:tl2br w:val="nil"/>
              <w:tr2bl w:val="nil"/>
            </w:tcBorders>
            <w:noWrap w:val="0"/>
            <w:vAlign w:val="top"/>
          </w:tcPr>
          <w:p w14:paraId="22189DB6">
            <w:pPr>
              <w:jc w:val="left"/>
              <w:rPr>
                <w:rFonts w:hint="default" w:ascii="Times New Roman" w:hAnsi="Times New Roman" w:cs="Times New Roman"/>
                <w:color w:val="auto"/>
                <w:kern w:val="0"/>
                <w:sz w:val="21"/>
                <w:szCs w:val="21"/>
                <w:u w:val="none" w:color="auto"/>
              </w:rPr>
            </w:pPr>
          </w:p>
        </w:tc>
        <w:tc>
          <w:tcPr>
            <w:tcW w:w="1700" w:type="dxa"/>
            <w:tcBorders>
              <w:tl2br w:val="nil"/>
              <w:tr2bl w:val="nil"/>
            </w:tcBorders>
            <w:noWrap w:val="0"/>
            <w:vAlign w:val="top"/>
          </w:tcPr>
          <w:p w14:paraId="5C4B294E">
            <w:pPr>
              <w:spacing w:before="39" w:line="215" w:lineRule="auto"/>
              <w:ind w:left="491"/>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3"/>
                <w:kern w:val="0"/>
                <w:sz w:val="21"/>
                <w:szCs w:val="21"/>
                <w:u w:val="none" w:color="auto"/>
              </w:rPr>
              <w:t>沥</w:t>
            </w:r>
            <w:r>
              <w:rPr>
                <w:rFonts w:hint="default" w:ascii="Times New Roman" w:hAnsi="Times New Roman" w:eastAsia="宋体" w:cs="Times New Roman"/>
                <w:color w:val="auto"/>
                <w:spacing w:val="-2"/>
                <w:kern w:val="0"/>
                <w:sz w:val="21"/>
                <w:szCs w:val="21"/>
                <w:u w:val="none" w:color="auto"/>
              </w:rPr>
              <w:t>青烟</w:t>
            </w:r>
          </w:p>
        </w:tc>
        <w:tc>
          <w:tcPr>
            <w:tcW w:w="1980" w:type="dxa"/>
            <w:vMerge w:val="continue"/>
            <w:tcBorders>
              <w:tl2br w:val="nil"/>
              <w:tr2bl w:val="nil"/>
            </w:tcBorders>
            <w:noWrap w:val="0"/>
            <w:vAlign w:val="top"/>
          </w:tcPr>
          <w:p w14:paraId="57BEEEAD">
            <w:pPr>
              <w:spacing w:line="259" w:lineRule="auto"/>
              <w:ind w:left="198"/>
              <w:jc w:val="left"/>
              <w:rPr>
                <w:rFonts w:hint="default" w:ascii="Times New Roman" w:hAnsi="Times New Roman" w:eastAsia="宋体" w:cs="Times New Roman"/>
                <w:color w:val="auto"/>
                <w:kern w:val="0"/>
                <w:sz w:val="21"/>
                <w:szCs w:val="21"/>
                <w:u w:val="none" w:color="auto"/>
              </w:rPr>
            </w:pPr>
          </w:p>
        </w:tc>
        <w:tc>
          <w:tcPr>
            <w:tcW w:w="2163" w:type="dxa"/>
            <w:vMerge w:val="continue"/>
            <w:tcBorders>
              <w:tl2br w:val="nil"/>
              <w:tr2bl w:val="nil"/>
            </w:tcBorders>
            <w:noWrap w:val="0"/>
            <w:vAlign w:val="top"/>
          </w:tcPr>
          <w:p w14:paraId="7628C61C">
            <w:pPr>
              <w:jc w:val="left"/>
              <w:rPr>
                <w:rFonts w:hint="default" w:ascii="Times New Roman" w:hAnsi="Times New Roman" w:cs="Times New Roman"/>
                <w:color w:val="auto"/>
                <w:kern w:val="0"/>
                <w:sz w:val="21"/>
                <w:szCs w:val="21"/>
                <w:u w:val="none" w:color="auto"/>
              </w:rPr>
            </w:pPr>
          </w:p>
        </w:tc>
      </w:tr>
      <w:tr w14:paraId="4A65E75F">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1" w:type="dxa"/>
            <w:vMerge w:val="continue"/>
            <w:tcBorders>
              <w:tl2br w:val="nil"/>
              <w:tr2bl w:val="nil"/>
            </w:tcBorders>
            <w:noWrap w:val="0"/>
            <w:vAlign w:val="top"/>
          </w:tcPr>
          <w:p w14:paraId="2FF44FB1">
            <w:pPr>
              <w:jc w:val="left"/>
              <w:rPr>
                <w:rFonts w:hint="default" w:ascii="Times New Roman" w:hAnsi="Times New Roman" w:cs="Times New Roman"/>
                <w:color w:val="auto"/>
                <w:kern w:val="0"/>
                <w:sz w:val="21"/>
                <w:szCs w:val="21"/>
                <w:u w:val="none" w:color="auto"/>
              </w:rPr>
            </w:pPr>
          </w:p>
        </w:tc>
        <w:tc>
          <w:tcPr>
            <w:tcW w:w="1696" w:type="dxa"/>
            <w:vMerge w:val="continue"/>
            <w:tcBorders>
              <w:tl2br w:val="nil"/>
              <w:tr2bl w:val="nil"/>
            </w:tcBorders>
            <w:noWrap w:val="0"/>
            <w:vAlign w:val="top"/>
          </w:tcPr>
          <w:p w14:paraId="4FAFD1E8">
            <w:pPr>
              <w:jc w:val="left"/>
              <w:rPr>
                <w:rFonts w:hint="default" w:ascii="Times New Roman" w:hAnsi="Times New Roman" w:cs="Times New Roman"/>
                <w:color w:val="auto"/>
                <w:kern w:val="0"/>
                <w:sz w:val="21"/>
                <w:szCs w:val="21"/>
                <w:u w:val="none" w:color="auto"/>
              </w:rPr>
            </w:pPr>
          </w:p>
        </w:tc>
        <w:tc>
          <w:tcPr>
            <w:tcW w:w="1700" w:type="dxa"/>
            <w:tcBorders>
              <w:tl2br w:val="nil"/>
              <w:tr2bl w:val="nil"/>
            </w:tcBorders>
            <w:noWrap w:val="0"/>
            <w:vAlign w:val="top"/>
          </w:tcPr>
          <w:p w14:paraId="3A8FCE24">
            <w:pPr>
              <w:spacing w:before="143" w:line="266" w:lineRule="auto"/>
              <w:ind w:left="36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苯并</w:t>
            </w:r>
            <w:r>
              <w:rPr>
                <w:rFonts w:hint="default" w:ascii="Times New Roman" w:hAnsi="Times New Roman" w:eastAsia="Times New Roman" w:cs="Times New Roman"/>
                <w:color w:val="auto"/>
                <w:spacing w:val="-2"/>
                <w:kern w:val="0"/>
                <w:sz w:val="21"/>
                <w:szCs w:val="21"/>
                <w:u w:val="none" w:color="auto"/>
              </w:rPr>
              <w:t>[</w:t>
            </w:r>
            <w:r>
              <w:rPr>
                <w:rFonts w:hint="default" w:ascii="Times New Roman" w:hAnsi="Times New Roman" w:eastAsia="Times New Roman" w:cs="Times New Roman"/>
                <w:color w:val="auto"/>
                <w:spacing w:val="-1"/>
                <w:kern w:val="0"/>
                <w:sz w:val="21"/>
                <w:szCs w:val="21"/>
                <w:u w:val="none" w:color="auto"/>
              </w:rPr>
              <w:t>a</w:t>
            </w:r>
            <w:r>
              <w:rPr>
                <w:rFonts w:hint="default" w:ascii="Times New Roman" w:hAnsi="Times New Roman" w:eastAsia="Times New Roman" w:cs="Times New Roman"/>
                <w:color w:val="auto"/>
                <w:spacing w:val="-2"/>
                <w:kern w:val="0"/>
                <w:sz w:val="21"/>
                <w:szCs w:val="21"/>
                <w:u w:val="none" w:color="auto"/>
              </w:rPr>
              <w:t>]</w:t>
            </w:r>
            <w:r>
              <w:rPr>
                <w:rFonts w:hint="default" w:ascii="Times New Roman" w:hAnsi="Times New Roman" w:eastAsia="宋体" w:cs="Times New Roman"/>
                <w:color w:val="auto"/>
                <w:spacing w:val="-2"/>
                <w:kern w:val="0"/>
                <w:sz w:val="21"/>
                <w:szCs w:val="21"/>
                <w:u w:val="none" w:color="auto"/>
              </w:rPr>
              <w:t>芘</w:t>
            </w:r>
          </w:p>
        </w:tc>
        <w:tc>
          <w:tcPr>
            <w:tcW w:w="1980" w:type="dxa"/>
            <w:vMerge w:val="continue"/>
            <w:tcBorders>
              <w:tl2br w:val="nil"/>
              <w:tr2bl w:val="nil"/>
            </w:tcBorders>
            <w:noWrap w:val="0"/>
            <w:vAlign w:val="top"/>
          </w:tcPr>
          <w:p w14:paraId="3533826B">
            <w:pPr>
              <w:jc w:val="left"/>
              <w:rPr>
                <w:rFonts w:hint="default" w:ascii="Times New Roman" w:hAnsi="Times New Roman" w:cs="Times New Roman"/>
                <w:color w:val="auto"/>
                <w:kern w:val="0"/>
                <w:sz w:val="21"/>
                <w:szCs w:val="21"/>
                <w:u w:val="none" w:color="auto"/>
              </w:rPr>
            </w:pPr>
          </w:p>
        </w:tc>
        <w:tc>
          <w:tcPr>
            <w:tcW w:w="2163" w:type="dxa"/>
            <w:vMerge w:val="continue"/>
            <w:tcBorders>
              <w:tl2br w:val="nil"/>
              <w:tr2bl w:val="nil"/>
            </w:tcBorders>
            <w:noWrap w:val="0"/>
            <w:vAlign w:val="top"/>
          </w:tcPr>
          <w:p w14:paraId="4B145507">
            <w:pPr>
              <w:jc w:val="left"/>
              <w:rPr>
                <w:rFonts w:hint="default" w:ascii="Times New Roman" w:hAnsi="Times New Roman" w:cs="Times New Roman"/>
                <w:color w:val="auto"/>
                <w:kern w:val="0"/>
                <w:sz w:val="21"/>
                <w:szCs w:val="21"/>
                <w:u w:val="none" w:color="auto"/>
              </w:rPr>
            </w:pPr>
          </w:p>
        </w:tc>
      </w:tr>
      <w:tr w14:paraId="704D8F53">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261" w:type="dxa"/>
            <w:vMerge w:val="continue"/>
            <w:tcBorders>
              <w:tl2br w:val="nil"/>
              <w:tr2bl w:val="nil"/>
            </w:tcBorders>
            <w:noWrap w:val="0"/>
            <w:vAlign w:val="top"/>
          </w:tcPr>
          <w:p w14:paraId="08E8F5CC">
            <w:pPr>
              <w:jc w:val="left"/>
              <w:rPr>
                <w:rFonts w:hint="default" w:ascii="Times New Roman" w:hAnsi="Times New Roman" w:cs="Times New Roman"/>
                <w:color w:val="auto"/>
                <w:kern w:val="0"/>
                <w:sz w:val="21"/>
                <w:szCs w:val="21"/>
                <w:u w:val="none" w:color="auto"/>
              </w:rPr>
            </w:pPr>
          </w:p>
        </w:tc>
        <w:tc>
          <w:tcPr>
            <w:tcW w:w="1696" w:type="dxa"/>
            <w:vMerge w:val="continue"/>
            <w:tcBorders>
              <w:tl2br w:val="nil"/>
              <w:tr2bl w:val="nil"/>
            </w:tcBorders>
            <w:noWrap w:val="0"/>
            <w:vAlign w:val="top"/>
          </w:tcPr>
          <w:p w14:paraId="266D13A5">
            <w:pPr>
              <w:jc w:val="left"/>
              <w:rPr>
                <w:rFonts w:hint="default" w:ascii="Times New Roman" w:hAnsi="Times New Roman" w:cs="Times New Roman"/>
                <w:color w:val="auto"/>
                <w:kern w:val="0"/>
                <w:sz w:val="21"/>
                <w:szCs w:val="21"/>
                <w:u w:val="none" w:color="auto"/>
              </w:rPr>
            </w:pPr>
          </w:p>
        </w:tc>
        <w:tc>
          <w:tcPr>
            <w:tcW w:w="1700" w:type="dxa"/>
            <w:tcBorders>
              <w:tl2br w:val="nil"/>
              <w:tr2bl w:val="nil"/>
            </w:tcBorders>
            <w:noWrap w:val="0"/>
            <w:vAlign w:val="top"/>
          </w:tcPr>
          <w:p w14:paraId="7304D137">
            <w:pPr>
              <w:spacing w:before="67" w:line="229" w:lineRule="auto"/>
              <w:ind w:left="607" w:right="43" w:hanging="490"/>
              <w:jc w:val="left"/>
              <w:rPr>
                <w:rFonts w:hint="default" w:ascii="Times New Roman" w:hAnsi="Times New Roman" w:eastAsia="Times New Roman" w:cs="Times New Roman"/>
                <w:color w:val="auto"/>
                <w:kern w:val="0"/>
                <w:sz w:val="21"/>
                <w:szCs w:val="21"/>
                <w:u w:val="none" w:color="auto"/>
              </w:rPr>
            </w:pPr>
            <w:r>
              <w:rPr>
                <w:rFonts w:hint="default" w:ascii="Times New Roman" w:hAnsi="Times New Roman" w:eastAsia="Times New Roman" w:cs="Times New Roman"/>
                <w:color w:val="auto"/>
                <w:spacing w:val="-10"/>
                <w:kern w:val="0"/>
                <w:sz w:val="21"/>
                <w:szCs w:val="21"/>
                <w:u w:val="none" w:color="auto"/>
              </w:rPr>
              <w:t>SO</w:t>
            </w:r>
            <w:r>
              <w:rPr>
                <w:rFonts w:hint="default" w:ascii="Times New Roman" w:hAnsi="Times New Roman" w:eastAsia="Times New Roman" w:cs="Times New Roman"/>
                <w:color w:val="auto"/>
                <w:spacing w:val="-13"/>
                <w:kern w:val="0"/>
                <w:position w:val="-1"/>
                <w:sz w:val="21"/>
                <w:szCs w:val="21"/>
                <w:u w:val="none" w:color="auto"/>
              </w:rPr>
              <w:t>2</w:t>
            </w:r>
            <w:r>
              <w:rPr>
                <w:rFonts w:hint="default" w:ascii="Times New Roman" w:hAnsi="Times New Roman" w:eastAsia="宋体" w:cs="Times New Roman"/>
                <w:color w:val="auto"/>
                <w:spacing w:val="-10"/>
                <w:kern w:val="0"/>
                <w:sz w:val="21"/>
                <w:szCs w:val="21"/>
                <w:u w:val="none" w:color="auto"/>
              </w:rPr>
              <w:t>、颗粒物、</w:t>
            </w:r>
            <w:r>
              <w:rPr>
                <w:rFonts w:hint="default" w:ascii="Times New Roman" w:hAnsi="Times New Roman" w:eastAsia="Times New Roman" w:cs="Times New Roman"/>
                <w:color w:val="auto"/>
                <w:spacing w:val="1"/>
                <w:kern w:val="0"/>
                <w:sz w:val="21"/>
                <w:szCs w:val="21"/>
                <w:u w:val="none" w:color="auto"/>
              </w:rPr>
              <w:t>N</w:t>
            </w:r>
            <w:r>
              <w:rPr>
                <w:rFonts w:hint="default" w:ascii="Times New Roman" w:hAnsi="Times New Roman" w:eastAsia="Times New Roman" w:cs="Times New Roman"/>
                <w:color w:val="auto"/>
                <w:kern w:val="0"/>
                <w:sz w:val="21"/>
                <w:szCs w:val="21"/>
                <w:u w:val="none" w:color="auto"/>
              </w:rPr>
              <w:t>O</w:t>
            </w:r>
            <w:r>
              <w:rPr>
                <w:rFonts w:hint="default" w:ascii="Times New Roman" w:hAnsi="Times New Roman" w:eastAsia="Times New Roman" w:cs="Times New Roman"/>
                <w:color w:val="auto"/>
                <w:kern w:val="0"/>
                <w:position w:val="-1"/>
                <w:sz w:val="21"/>
                <w:szCs w:val="21"/>
                <w:u w:val="none" w:color="auto"/>
              </w:rPr>
              <w:t>X</w:t>
            </w:r>
          </w:p>
        </w:tc>
        <w:tc>
          <w:tcPr>
            <w:tcW w:w="1980" w:type="dxa"/>
            <w:vMerge w:val="continue"/>
            <w:tcBorders>
              <w:tl2br w:val="nil"/>
              <w:tr2bl w:val="nil"/>
            </w:tcBorders>
            <w:noWrap w:val="0"/>
            <w:vAlign w:val="top"/>
          </w:tcPr>
          <w:p w14:paraId="30296F66">
            <w:pPr>
              <w:spacing w:before="8" w:line="241" w:lineRule="auto"/>
              <w:ind w:left="521" w:right="229" w:hanging="291"/>
              <w:jc w:val="left"/>
              <w:rPr>
                <w:rFonts w:hint="default" w:ascii="Times New Roman" w:hAnsi="Times New Roman" w:eastAsia="宋体" w:cs="Times New Roman"/>
                <w:color w:val="auto"/>
                <w:kern w:val="0"/>
                <w:sz w:val="21"/>
                <w:szCs w:val="21"/>
                <w:u w:val="none" w:color="auto"/>
              </w:rPr>
            </w:pPr>
          </w:p>
        </w:tc>
        <w:tc>
          <w:tcPr>
            <w:tcW w:w="2163" w:type="dxa"/>
            <w:vMerge w:val="continue"/>
            <w:tcBorders>
              <w:tl2br w:val="nil"/>
              <w:tr2bl w:val="nil"/>
            </w:tcBorders>
            <w:noWrap w:val="0"/>
            <w:vAlign w:val="top"/>
          </w:tcPr>
          <w:p w14:paraId="09AADDF8">
            <w:pPr>
              <w:jc w:val="left"/>
              <w:rPr>
                <w:rFonts w:hint="default" w:ascii="Times New Roman" w:hAnsi="Times New Roman" w:cs="Times New Roman"/>
                <w:color w:val="auto"/>
                <w:kern w:val="0"/>
                <w:sz w:val="21"/>
                <w:szCs w:val="21"/>
                <w:u w:val="none" w:color="auto"/>
              </w:rPr>
            </w:pPr>
          </w:p>
        </w:tc>
      </w:tr>
      <w:tr w14:paraId="4DF71F5F">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461" w:hRule="atLeast"/>
        </w:trPr>
        <w:tc>
          <w:tcPr>
            <w:tcW w:w="1261" w:type="dxa"/>
            <w:vMerge w:val="continue"/>
            <w:tcBorders>
              <w:tl2br w:val="nil"/>
              <w:tr2bl w:val="nil"/>
            </w:tcBorders>
            <w:noWrap w:val="0"/>
            <w:vAlign w:val="top"/>
          </w:tcPr>
          <w:p w14:paraId="57AD6ACB">
            <w:pPr>
              <w:jc w:val="left"/>
              <w:rPr>
                <w:rFonts w:hint="default" w:ascii="Times New Roman" w:hAnsi="Times New Roman" w:cs="Times New Roman"/>
                <w:color w:val="auto"/>
                <w:kern w:val="0"/>
                <w:sz w:val="21"/>
                <w:szCs w:val="21"/>
                <w:u w:val="none" w:color="auto"/>
              </w:rPr>
            </w:pPr>
          </w:p>
        </w:tc>
        <w:tc>
          <w:tcPr>
            <w:tcW w:w="1696" w:type="dxa"/>
            <w:tcBorders>
              <w:tl2br w:val="nil"/>
              <w:tr2bl w:val="nil"/>
            </w:tcBorders>
            <w:noWrap w:val="0"/>
            <w:vAlign w:val="top"/>
          </w:tcPr>
          <w:p w14:paraId="25036EB2">
            <w:pPr>
              <w:spacing w:line="273" w:lineRule="auto"/>
              <w:jc w:val="left"/>
              <w:rPr>
                <w:rFonts w:hint="default" w:ascii="Times New Roman" w:hAnsi="Times New Roman" w:cs="Times New Roman"/>
                <w:color w:val="auto"/>
                <w:kern w:val="0"/>
                <w:sz w:val="21"/>
                <w:szCs w:val="21"/>
                <w:u w:val="none" w:color="auto"/>
              </w:rPr>
            </w:pPr>
          </w:p>
          <w:p w14:paraId="504FB8D8">
            <w:pPr>
              <w:spacing w:before="78" w:line="254" w:lineRule="auto"/>
              <w:ind w:left="490" w:right="108" w:hanging="38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
                <w:kern w:val="0"/>
                <w:sz w:val="21"/>
                <w:szCs w:val="21"/>
                <w:u w:val="none" w:color="auto"/>
              </w:rPr>
              <w:t>导热油</w:t>
            </w:r>
            <w:r>
              <w:rPr>
                <w:rFonts w:hint="default" w:ascii="Times New Roman" w:hAnsi="Times New Roman" w:eastAsia="宋体" w:cs="Times New Roman"/>
                <w:color w:val="auto"/>
                <w:spacing w:val="-5"/>
                <w:kern w:val="0"/>
                <w:sz w:val="21"/>
                <w:szCs w:val="21"/>
                <w:u w:val="none" w:color="auto"/>
              </w:rPr>
              <w:t>炉</w:t>
            </w:r>
            <w:r>
              <w:rPr>
                <w:rFonts w:hint="default" w:ascii="Times New Roman" w:hAnsi="Times New Roman" w:eastAsia="宋体" w:cs="Times New Roman"/>
                <w:color w:val="auto"/>
                <w:spacing w:val="-4"/>
                <w:kern w:val="0"/>
                <w:sz w:val="21"/>
                <w:szCs w:val="21"/>
                <w:u w:val="none" w:color="auto"/>
              </w:rPr>
              <w:t>烟气</w:t>
            </w:r>
          </w:p>
        </w:tc>
        <w:tc>
          <w:tcPr>
            <w:tcW w:w="1700" w:type="dxa"/>
            <w:tcBorders>
              <w:tl2br w:val="nil"/>
              <w:tr2bl w:val="nil"/>
            </w:tcBorders>
            <w:noWrap w:val="0"/>
            <w:vAlign w:val="top"/>
          </w:tcPr>
          <w:p w14:paraId="49F4B869">
            <w:pPr>
              <w:spacing w:line="291" w:lineRule="auto"/>
              <w:jc w:val="left"/>
              <w:rPr>
                <w:rFonts w:hint="default" w:ascii="Times New Roman" w:hAnsi="Times New Roman" w:cs="Times New Roman"/>
                <w:color w:val="auto"/>
                <w:kern w:val="0"/>
                <w:sz w:val="21"/>
                <w:szCs w:val="21"/>
                <w:u w:val="none" w:color="auto"/>
              </w:rPr>
            </w:pPr>
          </w:p>
          <w:p w14:paraId="3CCCF774">
            <w:pPr>
              <w:spacing w:before="78" w:line="260" w:lineRule="auto"/>
              <w:ind w:left="606" w:right="180" w:hanging="428"/>
              <w:jc w:val="left"/>
              <w:rPr>
                <w:rFonts w:hint="default" w:ascii="Times New Roman" w:hAnsi="Times New Roman" w:eastAsia="Times New Roman" w:cs="Times New Roman"/>
                <w:color w:val="auto"/>
                <w:kern w:val="0"/>
                <w:sz w:val="21"/>
                <w:szCs w:val="21"/>
                <w:u w:val="none" w:color="auto"/>
              </w:rPr>
            </w:pPr>
            <w:r>
              <w:rPr>
                <w:rFonts w:hint="default" w:ascii="Times New Roman" w:hAnsi="Times New Roman" w:eastAsia="宋体" w:cs="Times New Roman"/>
                <w:color w:val="auto"/>
                <w:spacing w:val="-20"/>
                <w:kern w:val="0"/>
                <w:sz w:val="21"/>
                <w:szCs w:val="21"/>
                <w:u w:val="none" w:color="auto"/>
              </w:rPr>
              <w:t>颗</w:t>
            </w:r>
            <w:r>
              <w:rPr>
                <w:rFonts w:hint="default" w:ascii="Times New Roman" w:hAnsi="Times New Roman" w:eastAsia="宋体" w:cs="Times New Roman"/>
                <w:color w:val="auto"/>
                <w:spacing w:val="-16"/>
                <w:kern w:val="0"/>
                <w:sz w:val="21"/>
                <w:szCs w:val="21"/>
                <w:u w:val="none" w:color="auto"/>
              </w:rPr>
              <w:t>粒物、</w:t>
            </w:r>
            <w:r>
              <w:rPr>
                <w:rFonts w:hint="default" w:ascii="Times New Roman" w:hAnsi="Times New Roman" w:eastAsia="Times New Roman" w:cs="Times New Roman"/>
                <w:color w:val="auto"/>
                <w:spacing w:val="-16"/>
                <w:kern w:val="0"/>
                <w:sz w:val="21"/>
                <w:szCs w:val="21"/>
                <w:u w:val="none" w:color="auto"/>
              </w:rPr>
              <w:t>SO</w:t>
            </w:r>
            <w:r>
              <w:rPr>
                <w:rFonts w:hint="default" w:ascii="Times New Roman" w:hAnsi="Times New Roman" w:eastAsia="Times New Roman" w:cs="Times New Roman"/>
                <w:color w:val="auto"/>
                <w:spacing w:val="-16"/>
                <w:kern w:val="0"/>
                <w:position w:val="-1"/>
                <w:sz w:val="21"/>
                <w:szCs w:val="21"/>
                <w:u w:val="none" w:color="auto"/>
                <w:vertAlign w:val="subscript"/>
              </w:rPr>
              <w:t>2</w:t>
            </w:r>
            <w:r>
              <w:rPr>
                <w:rFonts w:hint="default" w:ascii="Times New Roman" w:hAnsi="Times New Roman" w:eastAsia="Times New Roman" w:cs="Times New Roman"/>
                <w:color w:val="auto"/>
                <w:kern w:val="0"/>
                <w:sz w:val="21"/>
                <w:szCs w:val="21"/>
                <w:u w:val="none" w:color="auto"/>
              </w:rPr>
              <w:t>NOx</w:t>
            </w:r>
          </w:p>
        </w:tc>
        <w:tc>
          <w:tcPr>
            <w:tcW w:w="1980" w:type="dxa"/>
            <w:tcBorders>
              <w:tl2br w:val="nil"/>
              <w:tr2bl w:val="nil"/>
            </w:tcBorders>
            <w:noWrap w:val="0"/>
            <w:vAlign w:val="top"/>
          </w:tcPr>
          <w:p w14:paraId="403B2C91">
            <w:pPr>
              <w:spacing w:before="310" w:line="257" w:lineRule="auto"/>
              <w:ind w:left="521" w:right="169" w:hanging="351"/>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
                <w:kern w:val="0"/>
                <w:sz w:val="21"/>
                <w:szCs w:val="21"/>
                <w:u w:val="none" w:color="auto"/>
                <w:lang w:eastAsia="zh-CN"/>
              </w:rPr>
              <w:t>低氮燃烧</w:t>
            </w:r>
            <w:r>
              <w:rPr>
                <w:rFonts w:hint="default" w:ascii="Times New Roman" w:hAnsi="Times New Roman" w:eastAsia="宋体" w:cs="Times New Roman"/>
                <w:color w:val="auto"/>
                <w:spacing w:val="-1"/>
                <w:kern w:val="0"/>
                <w:sz w:val="21"/>
                <w:szCs w:val="21"/>
                <w:u w:val="none" w:color="auto"/>
                <w:lang w:val="en-US" w:eastAsia="zh-CN"/>
              </w:rPr>
              <w:t>+</w:t>
            </w:r>
            <w:r>
              <w:rPr>
                <w:rFonts w:hint="default" w:ascii="Times New Roman" w:hAnsi="Times New Roman" w:eastAsia="宋体" w:cs="Times New Roman"/>
                <w:color w:val="auto"/>
                <w:spacing w:val="-1"/>
                <w:kern w:val="0"/>
                <w:sz w:val="21"/>
                <w:szCs w:val="21"/>
                <w:u w:val="none" w:color="auto"/>
                <w:lang w:eastAsia="zh-CN"/>
              </w:rPr>
              <w:t>15m</w:t>
            </w:r>
            <w:r>
              <w:rPr>
                <w:rFonts w:hint="default" w:ascii="Times New Roman" w:hAnsi="Times New Roman" w:eastAsia="宋体" w:cs="Times New Roman"/>
                <w:color w:val="auto"/>
                <w:spacing w:val="-3"/>
                <w:kern w:val="0"/>
                <w:sz w:val="21"/>
                <w:szCs w:val="21"/>
                <w:u w:val="none" w:color="auto"/>
              </w:rPr>
              <w:t>高排气筒</w:t>
            </w:r>
          </w:p>
        </w:tc>
        <w:tc>
          <w:tcPr>
            <w:tcW w:w="2163" w:type="dxa"/>
            <w:vMerge w:val="restart"/>
            <w:tcBorders>
              <w:tl2br w:val="nil"/>
              <w:tr2bl w:val="nil"/>
            </w:tcBorders>
            <w:noWrap w:val="0"/>
            <w:vAlign w:val="top"/>
          </w:tcPr>
          <w:p w14:paraId="18F2A25A">
            <w:pPr>
              <w:tabs>
                <w:tab w:val="left" w:pos="247"/>
              </w:tabs>
              <w:spacing w:before="44" w:line="219" w:lineRule="auto"/>
              <w:ind w:left="11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ab/>
            </w:r>
            <w:r>
              <w:rPr>
                <w:rFonts w:hint="default" w:ascii="Times New Roman" w:hAnsi="Times New Roman" w:eastAsia="宋体" w:cs="Times New Roman"/>
                <w:color w:val="auto"/>
                <w:spacing w:val="-20"/>
                <w:kern w:val="0"/>
                <w:sz w:val="21"/>
                <w:szCs w:val="21"/>
                <w:u w:val="none" w:color="auto"/>
              </w:rPr>
              <w:t>《</w:t>
            </w:r>
            <w:r>
              <w:rPr>
                <w:rFonts w:hint="default" w:ascii="Times New Roman" w:hAnsi="Times New Roman" w:eastAsia="宋体" w:cs="Times New Roman"/>
                <w:color w:val="auto"/>
                <w:spacing w:val="-15"/>
                <w:kern w:val="0"/>
                <w:sz w:val="21"/>
                <w:szCs w:val="21"/>
                <w:u w:val="none" w:color="auto"/>
              </w:rPr>
              <w:t>锅炉大气污染物</w:t>
            </w:r>
          </w:p>
          <w:p w14:paraId="1542596A">
            <w:pPr>
              <w:spacing w:before="23" w:line="220" w:lineRule="auto"/>
              <w:ind w:left="547"/>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3"/>
                <w:kern w:val="0"/>
                <w:sz w:val="21"/>
                <w:szCs w:val="21"/>
                <w:u w:val="none" w:color="auto"/>
              </w:rPr>
              <w:t>排放标准》</w:t>
            </w:r>
          </w:p>
          <w:p w14:paraId="5061496E">
            <w:pPr>
              <w:tabs>
                <w:tab w:val="left" w:pos="242"/>
              </w:tabs>
              <w:spacing w:before="25" w:line="192" w:lineRule="auto"/>
              <w:ind w:left="12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ab/>
            </w:r>
            <w:r>
              <w:rPr>
                <w:rFonts w:hint="default" w:ascii="Times New Roman" w:hAnsi="Times New Roman" w:eastAsia="宋体" w:cs="Times New Roman"/>
                <w:color w:val="auto"/>
                <w:spacing w:val="6"/>
                <w:kern w:val="0"/>
                <w:sz w:val="21"/>
                <w:szCs w:val="21"/>
                <w:u w:val="none" w:color="auto"/>
              </w:rPr>
              <w:t>(</w:t>
            </w:r>
            <w:r>
              <w:rPr>
                <w:rFonts w:hint="default" w:ascii="Times New Roman" w:hAnsi="Times New Roman" w:eastAsia="Times New Roman" w:cs="Times New Roman"/>
                <w:color w:val="auto"/>
                <w:kern w:val="0"/>
                <w:sz w:val="21"/>
                <w:szCs w:val="21"/>
                <w:u w:val="none" w:color="auto"/>
              </w:rPr>
              <w:t>GB</w:t>
            </w:r>
            <w:r>
              <w:rPr>
                <w:rFonts w:hint="default" w:ascii="Times New Roman" w:hAnsi="Times New Roman" w:eastAsia="Times New Roman" w:cs="Times New Roman"/>
                <w:color w:val="auto"/>
                <w:spacing w:val="4"/>
                <w:kern w:val="0"/>
                <w:sz w:val="21"/>
                <w:szCs w:val="21"/>
                <w:u w:val="none" w:color="auto"/>
              </w:rPr>
              <w:t>13271-2014</w:t>
            </w:r>
            <w:r>
              <w:rPr>
                <w:rFonts w:hint="default" w:ascii="Times New Roman" w:hAnsi="Times New Roman" w:eastAsia="宋体" w:cs="Times New Roman"/>
                <w:color w:val="auto"/>
                <w:spacing w:val="4"/>
                <w:kern w:val="0"/>
                <w:sz w:val="21"/>
                <w:szCs w:val="21"/>
                <w:u w:val="none" w:color="auto"/>
              </w:rPr>
              <w:t>)</w:t>
            </w:r>
          </w:p>
        </w:tc>
      </w:tr>
      <w:tr w14:paraId="12A22B2C">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1" w:type="dxa"/>
            <w:vMerge w:val="continue"/>
            <w:tcBorders>
              <w:tl2br w:val="nil"/>
              <w:tr2bl w:val="nil"/>
            </w:tcBorders>
            <w:noWrap w:val="0"/>
            <w:vAlign w:val="top"/>
          </w:tcPr>
          <w:p w14:paraId="091852C5">
            <w:pPr>
              <w:jc w:val="left"/>
              <w:rPr>
                <w:rFonts w:hint="default" w:ascii="Times New Roman" w:hAnsi="Times New Roman" w:cs="Times New Roman"/>
                <w:color w:val="auto"/>
                <w:kern w:val="0"/>
                <w:sz w:val="21"/>
                <w:szCs w:val="21"/>
                <w:u w:val="none" w:color="auto"/>
              </w:rPr>
            </w:pPr>
          </w:p>
        </w:tc>
        <w:tc>
          <w:tcPr>
            <w:tcW w:w="1696" w:type="dxa"/>
            <w:tcBorders>
              <w:tl2br w:val="nil"/>
              <w:tr2bl w:val="nil"/>
            </w:tcBorders>
            <w:noWrap w:val="0"/>
            <w:vAlign w:val="top"/>
          </w:tcPr>
          <w:p w14:paraId="3E965A12">
            <w:pPr>
              <w:spacing w:before="36" w:line="227" w:lineRule="auto"/>
              <w:ind w:left="607" w:right="108" w:hanging="505"/>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
                <w:kern w:val="0"/>
                <w:sz w:val="21"/>
                <w:szCs w:val="21"/>
                <w:u w:val="none" w:color="auto"/>
              </w:rPr>
              <w:t>筒仓排</w:t>
            </w:r>
            <w:r>
              <w:rPr>
                <w:rFonts w:hint="default" w:ascii="Times New Roman" w:hAnsi="Times New Roman" w:eastAsia="宋体" w:cs="Times New Roman"/>
                <w:color w:val="auto"/>
                <w:spacing w:val="-3"/>
                <w:kern w:val="0"/>
                <w:sz w:val="21"/>
                <w:szCs w:val="21"/>
                <w:u w:val="none" w:color="auto"/>
              </w:rPr>
              <w:t>放</w:t>
            </w:r>
            <w:r>
              <w:rPr>
                <w:rFonts w:hint="default" w:ascii="Times New Roman" w:hAnsi="Times New Roman" w:eastAsia="宋体" w:cs="Times New Roman"/>
                <w:color w:val="auto"/>
                <w:spacing w:val="-2"/>
                <w:kern w:val="0"/>
                <w:sz w:val="21"/>
                <w:szCs w:val="21"/>
                <w:u w:val="none" w:color="auto"/>
              </w:rPr>
              <w:t>口</w:t>
            </w:r>
          </w:p>
        </w:tc>
        <w:tc>
          <w:tcPr>
            <w:tcW w:w="1700" w:type="dxa"/>
            <w:tcBorders>
              <w:tl2br w:val="nil"/>
              <w:tr2bl w:val="nil"/>
            </w:tcBorders>
            <w:noWrap w:val="0"/>
            <w:vAlign w:val="top"/>
          </w:tcPr>
          <w:p w14:paraId="0B952F45">
            <w:pPr>
              <w:spacing w:before="192" w:line="220" w:lineRule="auto"/>
              <w:ind w:left="49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颗粒物</w:t>
            </w:r>
          </w:p>
        </w:tc>
        <w:tc>
          <w:tcPr>
            <w:tcW w:w="1980" w:type="dxa"/>
            <w:tcBorders>
              <w:tl2br w:val="nil"/>
              <w:tr2bl w:val="nil"/>
            </w:tcBorders>
            <w:noWrap w:val="0"/>
            <w:vAlign w:val="top"/>
          </w:tcPr>
          <w:p w14:paraId="0CAA5C1C">
            <w:pPr>
              <w:spacing w:before="36" w:line="219" w:lineRule="auto"/>
              <w:ind w:left="154"/>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6"/>
                <w:kern w:val="0"/>
                <w:sz w:val="21"/>
                <w:szCs w:val="21"/>
                <w:u w:val="none" w:color="auto"/>
              </w:rPr>
              <w:t>仓顶除尘器(</w:t>
            </w:r>
            <w:r>
              <w:rPr>
                <w:rFonts w:hint="default" w:ascii="Times New Roman" w:hAnsi="Times New Roman" w:eastAsia="宋体" w:cs="Times New Roman"/>
                <w:color w:val="auto"/>
                <w:spacing w:val="15"/>
                <w:kern w:val="0"/>
                <w:sz w:val="21"/>
                <w:szCs w:val="21"/>
                <w:u w:val="none" w:color="auto"/>
              </w:rPr>
              <w:t>布</w:t>
            </w:r>
          </w:p>
          <w:p w14:paraId="5E08D1E7">
            <w:pPr>
              <w:spacing w:before="27" w:line="214" w:lineRule="auto"/>
              <w:ind w:left="515"/>
              <w:jc w:val="left"/>
              <w:rPr>
                <w:rFonts w:hint="eastAsia"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spacing w:val="-8"/>
                <w:kern w:val="0"/>
                <w:sz w:val="21"/>
                <w:szCs w:val="21"/>
                <w:u w:val="none" w:color="auto"/>
              </w:rPr>
              <w:t>袋</w:t>
            </w:r>
            <w:r>
              <w:rPr>
                <w:rFonts w:hint="default" w:ascii="Times New Roman" w:hAnsi="Times New Roman" w:eastAsia="宋体" w:cs="Times New Roman"/>
                <w:color w:val="auto"/>
                <w:spacing w:val="-6"/>
                <w:kern w:val="0"/>
                <w:sz w:val="21"/>
                <w:szCs w:val="21"/>
                <w:u w:val="none" w:color="auto"/>
              </w:rPr>
              <w:t>除尘)</w:t>
            </w:r>
          </w:p>
        </w:tc>
        <w:tc>
          <w:tcPr>
            <w:tcW w:w="2163" w:type="dxa"/>
            <w:vMerge w:val="restart"/>
            <w:tcBorders>
              <w:tl2br w:val="nil"/>
              <w:tr2bl w:val="nil"/>
            </w:tcBorders>
            <w:noWrap w:val="0"/>
            <w:vAlign w:val="top"/>
          </w:tcPr>
          <w:p w14:paraId="66375727">
            <w:pPr>
              <w:spacing w:line="301" w:lineRule="auto"/>
              <w:jc w:val="left"/>
              <w:rPr>
                <w:rFonts w:hint="default" w:ascii="Times New Roman" w:hAnsi="Times New Roman" w:cs="Times New Roman"/>
                <w:color w:val="auto"/>
                <w:kern w:val="0"/>
                <w:sz w:val="21"/>
                <w:szCs w:val="21"/>
                <w:u w:val="none" w:color="auto"/>
              </w:rPr>
            </w:pPr>
          </w:p>
          <w:p w14:paraId="30ECC636">
            <w:pPr>
              <w:spacing w:line="301" w:lineRule="auto"/>
              <w:jc w:val="left"/>
              <w:rPr>
                <w:rFonts w:hint="default" w:ascii="Times New Roman" w:hAnsi="Times New Roman" w:cs="Times New Roman"/>
                <w:color w:val="auto"/>
                <w:kern w:val="0"/>
                <w:sz w:val="21"/>
                <w:szCs w:val="21"/>
                <w:u w:val="none" w:color="auto"/>
              </w:rPr>
            </w:pPr>
          </w:p>
          <w:p w14:paraId="2BC7E092">
            <w:pPr>
              <w:spacing w:line="302" w:lineRule="auto"/>
              <w:jc w:val="left"/>
              <w:rPr>
                <w:rFonts w:hint="default" w:ascii="Times New Roman" w:hAnsi="Times New Roman" w:cs="Times New Roman"/>
                <w:color w:val="auto"/>
                <w:kern w:val="0"/>
                <w:sz w:val="21"/>
                <w:szCs w:val="21"/>
                <w:u w:val="none" w:color="auto"/>
              </w:rPr>
            </w:pPr>
          </w:p>
          <w:p w14:paraId="552609DC">
            <w:pPr>
              <w:tabs>
                <w:tab w:val="left" w:pos="247"/>
              </w:tabs>
              <w:spacing w:before="79" w:line="219" w:lineRule="auto"/>
              <w:ind w:left="11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kern w:val="0"/>
                <w:sz w:val="21"/>
                <w:szCs w:val="21"/>
                <w:u w:val="none" w:color="auto"/>
              </w:rPr>
              <w:tab/>
            </w:r>
            <w:r>
              <w:rPr>
                <w:rFonts w:hint="default" w:ascii="Times New Roman" w:hAnsi="Times New Roman" w:eastAsia="宋体" w:cs="Times New Roman"/>
                <w:color w:val="auto"/>
                <w:spacing w:val="-18"/>
                <w:kern w:val="0"/>
                <w:sz w:val="21"/>
                <w:szCs w:val="21"/>
                <w:u w:val="none" w:color="auto"/>
              </w:rPr>
              <w:t>《</w:t>
            </w:r>
            <w:r>
              <w:rPr>
                <w:rFonts w:hint="default" w:ascii="Times New Roman" w:hAnsi="Times New Roman" w:eastAsia="宋体" w:cs="Times New Roman"/>
                <w:color w:val="auto"/>
                <w:spacing w:val="-15"/>
                <w:kern w:val="0"/>
                <w:sz w:val="21"/>
                <w:szCs w:val="21"/>
                <w:u w:val="none" w:color="auto"/>
              </w:rPr>
              <w:t>大气污染物综合</w:t>
            </w:r>
          </w:p>
          <w:p w14:paraId="59A163D6">
            <w:pPr>
              <w:spacing w:before="23" w:line="220" w:lineRule="auto"/>
              <w:ind w:left="547"/>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3"/>
                <w:kern w:val="0"/>
                <w:sz w:val="21"/>
                <w:szCs w:val="21"/>
                <w:u w:val="none" w:color="auto"/>
              </w:rPr>
              <w:t>排放标准》</w:t>
            </w:r>
          </w:p>
          <w:p w14:paraId="33226BB6">
            <w:pPr>
              <w:spacing w:before="25" w:line="202" w:lineRule="auto"/>
              <w:ind w:left="12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6"/>
                <w:kern w:val="0"/>
                <w:sz w:val="21"/>
                <w:szCs w:val="21"/>
                <w:u w:val="none" w:color="auto"/>
              </w:rPr>
              <w:t>(</w:t>
            </w:r>
            <w:r>
              <w:rPr>
                <w:rFonts w:hint="default" w:ascii="Times New Roman" w:hAnsi="Times New Roman" w:eastAsia="Times New Roman" w:cs="Times New Roman"/>
                <w:color w:val="auto"/>
                <w:kern w:val="0"/>
                <w:sz w:val="21"/>
                <w:szCs w:val="21"/>
                <w:u w:val="none" w:color="auto"/>
              </w:rPr>
              <w:t>GB</w:t>
            </w:r>
            <w:r>
              <w:rPr>
                <w:rFonts w:hint="default" w:ascii="Times New Roman" w:hAnsi="Times New Roman" w:eastAsia="Times New Roman" w:cs="Times New Roman"/>
                <w:color w:val="auto"/>
                <w:spacing w:val="3"/>
                <w:kern w:val="0"/>
                <w:sz w:val="21"/>
                <w:szCs w:val="21"/>
                <w:u w:val="none" w:color="auto"/>
              </w:rPr>
              <w:t>16297-1996</w:t>
            </w:r>
            <w:r>
              <w:rPr>
                <w:rFonts w:hint="default" w:ascii="Times New Roman" w:hAnsi="Times New Roman" w:eastAsia="宋体" w:cs="Times New Roman"/>
                <w:color w:val="auto"/>
                <w:spacing w:val="3"/>
                <w:kern w:val="0"/>
                <w:sz w:val="21"/>
                <w:szCs w:val="21"/>
                <w:u w:val="none" w:color="auto"/>
              </w:rPr>
              <w:t>)</w:t>
            </w:r>
          </w:p>
        </w:tc>
      </w:tr>
      <w:tr w14:paraId="584636CF">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1261" w:type="dxa"/>
            <w:vMerge w:val="continue"/>
            <w:tcBorders>
              <w:tl2br w:val="nil"/>
              <w:tr2bl w:val="nil"/>
            </w:tcBorders>
            <w:noWrap w:val="0"/>
            <w:vAlign w:val="top"/>
          </w:tcPr>
          <w:p w14:paraId="76226D38">
            <w:pPr>
              <w:jc w:val="left"/>
              <w:rPr>
                <w:rFonts w:hint="default" w:ascii="Times New Roman" w:hAnsi="Times New Roman" w:cs="Times New Roman"/>
                <w:color w:val="auto"/>
                <w:kern w:val="0"/>
                <w:sz w:val="21"/>
                <w:szCs w:val="21"/>
                <w:u w:val="none" w:color="auto"/>
              </w:rPr>
            </w:pPr>
          </w:p>
        </w:tc>
        <w:tc>
          <w:tcPr>
            <w:tcW w:w="1696" w:type="dxa"/>
            <w:vMerge w:val="restart"/>
            <w:tcBorders>
              <w:tl2br w:val="nil"/>
              <w:tr2bl w:val="nil"/>
            </w:tcBorders>
            <w:noWrap w:val="0"/>
            <w:vAlign w:val="top"/>
          </w:tcPr>
          <w:p w14:paraId="28820F32">
            <w:pPr>
              <w:spacing w:line="274" w:lineRule="auto"/>
              <w:jc w:val="left"/>
              <w:rPr>
                <w:rFonts w:hint="default" w:ascii="Times New Roman" w:hAnsi="Times New Roman" w:cs="Times New Roman"/>
                <w:color w:val="auto"/>
                <w:kern w:val="0"/>
                <w:sz w:val="21"/>
                <w:szCs w:val="21"/>
                <w:u w:val="none" w:color="auto"/>
              </w:rPr>
            </w:pPr>
          </w:p>
          <w:p w14:paraId="45C9DDF4">
            <w:pPr>
              <w:spacing w:line="274" w:lineRule="auto"/>
              <w:jc w:val="left"/>
              <w:rPr>
                <w:rFonts w:hint="default" w:ascii="Times New Roman" w:hAnsi="Times New Roman" w:cs="Times New Roman"/>
                <w:color w:val="auto"/>
                <w:kern w:val="0"/>
                <w:sz w:val="21"/>
                <w:szCs w:val="21"/>
                <w:u w:val="none" w:color="auto"/>
              </w:rPr>
            </w:pPr>
          </w:p>
          <w:p w14:paraId="563AE80F">
            <w:pPr>
              <w:spacing w:before="78" w:line="270" w:lineRule="auto"/>
              <w:ind w:left="21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厂界</w:t>
            </w:r>
            <w:r>
              <w:rPr>
                <w:rFonts w:hint="default" w:ascii="Times New Roman" w:hAnsi="Times New Roman" w:eastAsia="Times New Roman" w:cs="Times New Roman"/>
                <w:color w:val="auto"/>
                <w:spacing w:val="-1"/>
                <w:kern w:val="0"/>
                <w:sz w:val="21"/>
                <w:szCs w:val="21"/>
                <w:u w:val="none" w:color="auto"/>
              </w:rPr>
              <w:t>/</w:t>
            </w:r>
            <w:r>
              <w:rPr>
                <w:rFonts w:hint="default" w:ascii="Times New Roman" w:hAnsi="Times New Roman" w:eastAsia="宋体" w:cs="Times New Roman"/>
                <w:color w:val="auto"/>
                <w:spacing w:val="-1"/>
                <w:kern w:val="0"/>
                <w:sz w:val="21"/>
                <w:szCs w:val="21"/>
                <w:u w:val="none" w:color="auto"/>
              </w:rPr>
              <w:t>无组织</w:t>
            </w:r>
          </w:p>
          <w:p w14:paraId="3FBE8813">
            <w:pPr>
              <w:spacing w:line="219" w:lineRule="auto"/>
              <w:ind w:left="126"/>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粉</w:t>
            </w:r>
            <w:r>
              <w:rPr>
                <w:rFonts w:hint="default" w:ascii="Times New Roman" w:hAnsi="Times New Roman" w:eastAsia="宋体" w:cs="Times New Roman"/>
                <w:color w:val="auto"/>
                <w:spacing w:val="-1"/>
                <w:kern w:val="0"/>
                <w:sz w:val="21"/>
                <w:szCs w:val="21"/>
                <w:u w:val="none" w:color="auto"/>
              </w:rPr>
              <w:t>尘、挥发性</w:t>
            </w:r>
          </w:p>
          <w:p w14:paraId="6D6DC7E6">
            <w:pPr>
              <w:spacing w:before="26" w:line="219" w:lineRule="auto"/>
              <w:ind w:left="48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3"/>
                <w:kern w:val="0"/>
                <w:sz w:val="21"/>
                <w:szCs w:val="21"/>
                <w:u w:val="none" w:color="auto"/>
              </w:rPr>
              <w:t>有</w:t>
            </w:r>
            <w:r>
              <w:rPr>
                <w:rFonts w:hint="default" w:ascii="Times New Roman" w:hAnsi="Times New Roman" w:eastAsia="宋体" w:cs="Times New Roman"/>
                <w:color w:val="auto"/>
                <w:spacing w:val="-2"/>
                <w:kern w:val="0"/>
                <w:sz w:val="21"/>
                <w:szCs w:val="21"/>
                <w:u w:val="none" w:color="auto"/>
              </w:rPr>
              <w:t>机物</w:t>
            </w:r>
          </w:p>
        </w:tc>
        <w:tc>
          <w:tcPr>
            <w:tcW w:w="1700" w:type="dxa"/>
            <w:tcBorders>
              <w:tl2br w:val="nil"/>
              <w:tr2bl w:val="nil"/>
            </w:tcBorders>
            <w:noWrap w:val="0"/>
            <w:vAlign w:val="top"/>
          </w:tcPr>
          <w:p w14:paraId="16AFAFC9">
            <w:pPr>
              <w:spacing w:line="423" w:lineRule="auto"/>
              <w:jc w:val="left"/>
              <w:rPr>
                <w:rFonts w:hint="default" w:ascii="Times New Roman" w:hAnsi="Times New Roman" w:cs="Times New Roman"/>
                <w:color w:val="auto"/>
                <w:kern w:val="0"/>
                <w:sz w:val="21"/>
                <w:szCs w:val="21"/>
                <w:u w:val="none" w:color="auto"/>
              </w:rPr>
            </w:pPr>
          </w:p>
          <w:p w14:paraId="2A983A1F">
            <w:pPr>
              <w:spacing w:before="78" w:line="220" w:lineRule="auto"/>
              <w:ind w:left="490"/>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颗粒物</w:t>
            </w:r>
          </w:p>
        </w:tc>
        <w:tc>
          <w:tcPr>
            <w:tcW w:w="1980" w:type="dxa"/>
            <w:tcBorders>
              <w:tl2br w:val="nil"/>
              <w:tr2bl w:val="nil"/>
            </w:tcBorders>
            <w:noWrap w:val="0"/>
            <w:vAlign w:val="top"/>
          </w:tcPr>
          <w:p w14:paraId="654EBCD9">
            <w:pPr>
              <w:spacing w:before="43" w:line="230" w:lineRule="auto"/>
              <w:ind w:left="154" w:right="148" w:firstLine="2"/>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2"/>
                <w:kern w:val="0"/>
                <w:sz w:val="21"/>
                <w:szCs w:val="21"/>
                <w:u w:val="none" w:color="auto"/>
              </w:rPr>
              <w:t>苫布遮盖，</w:t>
            </w:r>
            <w:r>
              <w:rPr>
                <w:rFonts w:hint="default" w:ascii="Times New Roman" w:hAnsi="Times New Roman" w:eastAsia="宋体" w:cs="Times New Roman"/>
                <w:color w:val="auto"/>
                <w:spacing w:val="-1"/>
                <w:kern w:val="0"/>
                <w:sz w:val="21"/>
                <w:szCs w:val="21"/>
                <w:u w:val="none" w:color="auto"/>
              </w:rPr>
              <w:t>降低</w:t>
            </w:r>
            <w:r>
              <w:rPr>
                <w:rFonts w:hint="default" w:ascii="Times New Roman" w:hAnsi="Times New Roman" w:eastAsia="宋体" w:cs="Times New Roman"/>
                <w:color w:val="auto"/>
                <w:spacing w:val="-17"/>
                <w:kern w:val="0"/>
                <w:sz w:val="21"/>
                <w:szCs w:val="21"/>
                <w:u w:val="none" w:color="auto"/>
              </w:rPr>
              <w:t>装</w:t>
            </w:r>
            <w:r>
              <w:rPr>
                <w:rFonts w:hint="default" w:ascii="Times New Roman" w:hAnsi="Times New Roman" w:eastAsia="宋体" w:cs="Times New Roman"/>
                <w:color w:val="auto"/>
                <w:spacing w:val="-16"/>
                <w:kern w:val="0"/>
                <w:sz w:val="21"/>
                <w:szCs w:val="21"/>
                <w:u w:val="none" w:color="auto"/>
              </w:rPr>
              <w:t>载落差，密封</w:t>
            </w:r>
            <w:r>
              <w:rPr>
                <w:rFonts w:hint="default" w:ascii="Times New Roman" w:hAnsi="Times New Roman" w:eastAsia="宋体" w:cs="Times New Roman"/>
                <w:color w:val="auto"/>
                <w:spacing w:val="-2"/>
                <w:kern w:val="0"/>
                <w:sz w:val="21"/>
                <w:szCs w:val="21"/>
                <w:u w:val="none" w:color="auto"/>
              </w:rPr>
              <w:t>输送</w:t>
            </w:r>
            <w:r>
              <w:rPr>
                <w:rFonts w:hint="default" w:ascii="Times New Roman" w:hAnsi="Times New Roman" w:eastAsia="宋体" w:cs="Times New Roman"/>
                <w:color w:val="auto"/>
                <w:spacing w:val="-1"/>
                <w:kern w:val="0"/>
                <w:sz w:val="21"/>
                <w:szCs w:val="21"/>
                <w:u w:val="none" w:color="auto"/>
              </w:rPr>
              <w:t>设备，避免</w:t>
            </w:r>
            <w:r>
              <w:rPr>
                <w:rFonts w:hint="default" w:ascii="Times New Roman" w:hAnsi="Times New Roman" w:eastAsia="宋体" w:cs="Times New Roman"/>
                <w:color w:val="auto"/>
                <w:spacing w:val="-2"/>
                <w:kern w:val="0"/>
                <w:sz w:val="21"/>
                <w:szCs w:val="21"/>
                <w:u w:val="none" w:color="auto"/>
              </w:rPr>
              <w:t>大风</w:t>
            </w:r>
            <w:r>
              <w:rPr>
                <w:rFonts w:hint="default" w:ascii="Times New Roman" w:hAnsi="Times New Roman" w:eastAsia="宋体" w:cs="Times New Roman"/>
                <w:color w:val="auto"/>
                <w:spacing w:val="-1"/>
                <w:kern w:val="0"/>
                <w:sz w:val="21"/>
                <w:szCs w:val="21"/>
                <w:u w:val="none" w:color="auto"/>
              </w:rPr>
              <w:t>天气作业等</w:t>
            </w:r>
          </w:p>
        </w:tc>
        <w:tc>
          <w:tcPr>
            <w:tcW w:w="2163" w:type="dxa"/>
            <w:vMerge w:val="continue"/>
            <w:tcBorders>
              <w:tl2br w:val="nil"/>
              <w:tr2bl w:val="nil"/>
            </w:tcBorders>
            <w:noWrap w:val="0"/>
            <w:vAlign w:val="top"/>
          </w:tcPr>
          <w:p w14:paraId="7F65B83D">
            <w:pPr>
              <w:jc w:val="left"/>
              <w:rPr>
                <w:rFonts w:hint="default" w:ascii="Times New Roman" w:hAnsi="Times New Roman" w:cs="Times New Roman"/>
                <w:color w:val="auto"/>
                <w:kern w:val="0"/>
                <w:sz w:val="21"/>
                <w:szCs w:val="21"/>
                <w:u w:val="none" w:color="auto"/>
              </w:rPr>
            </w:pPr>
          </w:p>
        </w:tc>
      </w:tr>
      <w:tr w14:paraId="59A61909">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261" w:type="dxa"/>
            <w:vMerge w:val="continue"/>
            <w:tcBorders>
              <w:tl2br w:val="nil"/>
              <w:tr2bl w:val="nil"/>
            </w:tcBorders>
            <w:noWrap w:val="0"/>
            <w:vAlign w:val="top"/>
          </w:tcPr>
          <w:p w14:paraId="3D049A68">
            <w:pPr>
              <w:jc w:val="left"/>
              <w:rPr>
                <w:rFonts w:hint="default" w:ascii="Times New Roman" w:hAnsi="Times New Roman" w:cs="Times New Roman"/>
                <w:color w:val="auto"/>
                <w:kern w:val="0"/>
                <w:sz w:val="21"/>
                <w:szCs w:val="21"/>
                <w:u w:val="none" w:color="auto"/>
              </w:rPr>
            </w:pPr>
          </w:p>
        </w:tc>
        <w:tc>
          <w:tcPr>
            <w:tcW w:w="1696" w:type="dxa"/>
            <w:vMerge w:val="continue"/>
            <w:tcBorders>
              <w:tl2br w:val="nil"/>
              <w:tr2bl w:val="nil"/>
            </w:tcBorders>
            <w:noWrap w:val="0"/>
            <w:vAlign w:val="top"/>
          </w:tcPr>
          <w:p w14:paraId="4F35EC3B">
            <w:pPr>
              <w:spacing w:before="26" w:line="219" w:lineRule="auto"/>
              <w:ind w:left="488"/>
              <w:jc w:val="left"/>
              <w:rPr>
                <w:rFonts w:hint="default" w:ascii="Times New Roman" w:hAnsi="Times New Roman" w:eastAsia="宋体" w:cs="Times New Roman"/>
                <w:color w:val="auto"/>
                <w:spacing w:val="-3"/>
                <w:kern w:val="0"/>
                <w:sz w:val="21"/>
                <w:szCs w:val="21"/>
                <w:u w:val="none" w:color="auto"/>
              </w:rPr>
            </w:pPr>
          </w:p>
        </w:tc>
        <w:tc>
          <w:tcPr>
            <w:tcW w:w="1700" w:type="dxa"/>
            <w:tcBorders>
              <w:tl2br w:val="nil"/>
              <w:tr2bl w:val="nil"/>
            </w:tcBorders>
            <w:noWrap w:val="0"/>
            <w:vAlign w:val="top"/>
          </w:tcPr>
          <w:p w14:paraId="79FBBC3E">
            <w:pPr>
              <w:spacing w:before="78" w:line="220" w:lineRule="auto"/>
              <w:ind w:left="490"/>
              <w:jc w:val="left"/>
              <w:rPr>
                <w:rFonts w:hint="eastAsia" w:ascii="Times New Roman" w:hAnsi="Times New Roman" w:eastAsia="宋体" w:cs="Times New Roman"/>
                <w:color w:val="auto"/>
                <w:spacing w:val="-2"/>
                <w:kern w:val="0"/>
                <w:sz w:val="21"/>
                <w:szCs w:val="21"/>
                <w:u w:val="none" w:color="auto"/>
                <w:lang w:val="en-US" w:eastAsia="zh-CN"/>
              </w:rPr>
            </w:pPr>
            <w:r>
              <w:rPr>
                <w:rFonts w:hint="eastAsia" w:ascii="Times New Roman" w:hAnsi="Times New Roman" w:eastAsia="宋体" w:cs="Times New Roman"/>
                <w:color w:val="auto"/>
                <w:spacing w:val="-2"/>
                <w:kern w:val="0"/>
                <w:sz w:val="21"/>
                <w:szCs w:val="21"/>
                <w:u w:val="none" w:color="auto"/>
                <w:lang w:val="en-US" w:eastAsia="zh-CN"/>
              </w:rPr>
              <w:t>非甲烷总烃</w:t>
            </w:r>
          </w:p>
        </w:tc>
        <w:tc>
          <w:tcPr>
            <w:tcW w:w="1980" w:type="dxa"/>
            <w:tcBorders>
              <w:tl2br w:val="nil"/>
              <w:tr2bl w:val="nil"/>
            </w:tcBorders>
            <w:noWrap w:val="0"/>
            <w:vAlign w:val="top"/>
          </w:tcPr>
          <w:p w14:paraId="55B9F081">
            <w:pPr>
              <w:spacing w:before="43" w:line="230" w:lineRule="auto"/>
              <w:ind w:left="154" w:right="148" w:firstLine="2"/>
              <w:jc w:val="center"/>
              <w:rPr>
                <w:rFonts w:hint="default" w:ascii="Times New Roman" w:hAnsi="Times New Roman" w:eastAsia="宋体" w:cs="Times New Roman"/>
                <w:color w:val="auto"/>
                <w:spacing w:val="-2"/>
                <w:kern w:val="0"/>
                <w:sz w:val="21"/>
                <w:szCs w:val="21"/>
                <w:u w:val="none" w:color="auto"/>
              </w:rPr>
            </w:pPr>
            <w:r>
              <w:rPr>
                <w:rFonts w:hint="default" w:ascii="Times New Roman" w:hAnsi="Times New Roman" w:eastAsia="Times New Roman" w:cs="Times New Roman"/>
                <w:color w:val="auto"/>
                <w:spacing w:val="42"/>
                <w:kern w:val="0"/>
                <w:sz w:val="21"/>
                <w:szCs w:val="21"/>
                <w:u w:val="none" w:color="auto"/>
              </w:rPr>
              <w:t>-</w:t>
            </w:r>
            <w:r>
              <w:rPr>
                <w:rFonts w:hint="default" w:ascii="Times New Roman" w:hAnsi="Times New Roman" w:eastAsia="Times New Roman" w:cs="Times New Roman"/>
                <w:color w:val="auto"/>
                <w:spacing w:val="41"/>
                <w:kern w:val="0"/>
                <w:sz w:val="21"/>
                <w:szCs w:val="21"/>
                <w:u w:val="none" w:color="auto"/>
              </w:rPr>
              <w:t>-</w:t>
            </w:r>
          </w:p>
        </w:tc>
        <w:tc>
          <w:tcPr>
            <w:tcW w:w="2163" w:type="dxa"/>
            <w:vMerge w:val="continue"/>
            <w:tcBorders>
              <w:tl2br w:val="nil"/>
              <w:tr2bl w:val="nil"/>
            </w:tcBorders>
            <w:noWrap w:val="0"/>
            <w:vAlign w:val="top"/>
          </w:tcPr>
          <w:p w14:paraId="06625682">
            <w:pPr>
              <w:jc w:val="left"/>
              <w:rPr>
                <w:rFonts w:hint="default" w:ascii="Times New Roman" w:hAnsi="Times New Roman" w:cs="Times New Roman"/>
                <w:color w:val="auto"/>
                <w:kern w:val="0"/>
                <w:sz w:val="21"/>
                <w:szCs w:val="21"/>
                <w:u w:val="none" w:color="auto"/>
              </w:rPr>
            </w:pPr>
          </w:p>
        </w:tc>
      </w:tr>
      <w:tr w14:paraId="6B6402A4">
        <w:tblPrEx>
          <w:tblBorders>
            <w:top w:val="single" w:color="000000" w:sz="2" w:space="0"/>
            <w:left w:val="single" w:color="000000" w:sz="8" w:space="0"/>
            <w:bottom w:val="single" w:color="000000" w:sz="2"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261" w:type="dxa"/>
            <w:vMerge w:val="continue"/>
            <w:tcBorders>
              <w:tl2br w:val="nil"/>
              <w:tr2bl w:val="nil"/>
            </w:tcBorders>
            <w:noWrap w:val="0"/>
            <w:vAlign w:val="top"/>
          </w:tcPr>
          <w:p w14:paraId="442DD78B">
            <w:pPr>
              <w:jc w:val="left"/>
              <w:rPr>
                <w:rFonts w:hint="default" w:ascii="Times New Roman" w:hAnsi="Times New Roman" w:cs="Times New Roman"/>
                <w:color w:val="auto"/>
                <w:kern w:val="0"/>
                <w:sz w:val="21"/>
                <w:szCs w:val="21"/>
                <w:u w:val="none" w:color="auto"/>
              </w:rPr>
            </w:pPr>
          </w:p>
        </w:tc>
        <w:tc>
          <w:tcPr>
            <w:tcW w:w="1696" w:type="dxa"/>
            <w:vMerge w:val="continue"/>
            <w:tcBorders>
              <w:tl2br w:val="nil"/>
              <w:tr2bl w:val="nil"/>
            </w:tcBorders>
            <w:noWrap w:val="0"/>
            <w:vAlign w:val="top"/>
          </w:tcPr>
          <w:p w14:paraId="39955EA7">
            <w:pPr>
              <w:jc w:val="left"/>
              <w:rPr>
                <w:rFonts w:hint="default" w:ascii="Times New Roman" w:hAnsi="Times New Roman" w:cs="Times New Roman"/>
                <w:color w:val="auto"/>
                <w:kern w:val="0"/>
                <w:sz w:val="21"/>
                <w:szCs w:val="21"/>
                <w:u w:val="none" w:color="auto"/>
              </w:rPr>
            </w:pPr>
          </w:p>
        </w:tc>
        <w:tc>
          <w:tcPr>
            <w:tcW w:w="1700" w:type="dxa"/>
            <w:tcBorders>
              <w:tl2br w:val="nil"/>
              <w:tr2bl w:val="nil"/>
            </w:tcBorders>
            <w:noWrap w:val="0"/>
            <w:vAlign w:val="top"/>
          </w:tcPr>
          <w:p w14:paraId="2ADAB80B">
            <w:pPr>
              <w:spacing w:before="49" w:line="236" w:lineRule="auto"/>
              <w:ind w:left="609" w:right="132" w:hanging="478"/>
              <w:jc w:val="left"/>
              <w:rPr>
                <w:rFonts w:hint="default" w:ascii="Times New Roman" w:hAnsi="Times New Roman" w:eastAsia="宋体" w:cs="Times New Roman"/>
                <w:color w:val="auto"/>
                <w:kern w:val="0"/>
                <w:sz w:val="21"/>
                <w:szCs w:val="21"/>
                <w:u w:val="none" w:color="auto"/>
              </w:rPr>
            </w:pPr>
            <w:r>
              <w:rPr>
                <w:rFonts w:hint="default" w:ascii="Times New Roman" w:hAnsi="Times New Roman" w:eastAsia="宋体" w:cs="Times New Roman"/>
                <w:color w:val="auto"/>
                <w:spacing w:val="10"/>
                <w:kern w:val="0"/>
                <w:sz w:val="21"/>
                <w:szCs w:val="21"/>
                <w:u w:val="none" w:color="auto"/>
              </w:rPr>
              <w:t>沥</w:t>
            </w:r>
            <w:r>
              <w:rPr>
                <w:rFonts w:hint="default" w:ascii="Times New Roman" w:hAnsi="Times New Roman" w:eastAsia="宋体" w:cs="Times New Roman"/>
                <w:color w:val="auto"/>
                <w:spacing w:val="8"/>
                <w:kern w:val="0"/>
                <w:sz w:val="21"/>
                <w:szCs w:val="21"/>
                <w:u w:val="none" w:color="auto"/>
              </w:rPr>
              <w:t>青烟、苯并</w:t>
            </w:r>
            <w:r>
              <w:rPr>
                <w:rFonts w:hint="default" w:ascii="Times New Roman" w:hAnsi="Times New Roman" w:eastAsia="Times New Roman" w:cs="Times New Roman"/>
                <w:color w:val="auto"/>
                <w:spacing w:val="1"/>
                <w:kern w:val="0"/>
                <w:sz w:val="21"/>
                <w:szCs w:val="21"/>
                <w:u w:val="none" w:color="auto"/>
              </w:rPr>
              <w:t>[</w:t>
            </w:r>
            <w:r>
              <w:rPr>
                <w:rFonts w:hint="default" w:ascii="Times New Roman" w:hAnsi="Times New Roman" w:eastAsia="Times New Roman" w:cs="Times New Roman"/>
                <w:color w:val="auto"/>
                <w:kern w:val="0"/>
                <w:sz w:val="21"/>
                <w:szCs w:val="21"/>
                <w:u w:val="none" w:color="auto"/>
              </w:rPr>
              <w:t>a</w:t>
            </w:r>
            <w:r>
              <w:rPr>
                <w:rFonts w:hint="default" w:ascii="Times New Roman" w:hAnsi="Times New Roman" w:eastAsia="Times New Roman" w:cs="Times New Roman"/>
                <w:color w:val="auto"/>
                <w:spacing w:val="1"/>
                <w:kern w:val="0"/>
                <w:sz w:val="21"/>
                <w:szCs w:val="21"/>
                <w:u w:val="none" w:color="auto"/>
              </w:rPr>
              <w:t>]</w:t>
            </w:r>
            <w:r>
              <w:rPr>
                <w:rFonts w:hint="default" w:ascii="Times New Roman" w:hAnsi="Times New Roman" w:eastAsia="宋体" w:cs="Times New Roman"/>
                <w:color w:val="auto"/>
                <w:spacing w:val="1"/>
                <w:kern w:val="0"/>
                <w:sz w:val="21"/>
                <w:szCs w:val="21"/>
                <w:u w:val="none" w:color="auto"/>
              </w:rPr>
              <w:t>芘</w:t>
            </w:r>
          </w:p>
        </w:tc>
        <w:tc>
          <w:tcPr>
            <w:tcW w:w="1980" w:type="dxa"/>
            <w:tcBorders>
              <w:tl2br w:val="nil"/>
              <w:tr2bl w:val="nil"/>
            </w:tcBorders>
            <w:noWrap w:val="0"/>
            <w:vAlign w:val="top"/>
          </w:tcPr>
          <w:p w14:paraId="2E9CF640">
            <w:pPr>
              <w:spacing w:line="317" w:lineRule="auto"/>
              <w:jc w:val="left"/>
              <w:rPr>
                <w:rFonts w:hint="default" w:ascii="Times New Roman" w:hAnsi="Times New Roman" w:cs="Times New Roman"/>
                <w:color w:val="auto"/>
                <w:kern w:val="0"/>
                <w:sz w:val="21"/>
                <w:szCs w:val="21"/>
                <w:u w:val="none" w:color="auto"/>
              </w:rPr>
            </w:pPr>
          </w:p>
          <w:p w14:paraId="58D3E9CC">
            <w:pPr>
              <w:spacing w:before="29" w:line="215" w:lineRule="auto"/>
              <w:ind w:left="916"/>
              <w:jc w:val="left"/>
              <w:rPr>
                <w:rFonts w:hint="default" w:ascii="Times New Roman" w:hAnsi="Times New Roman" w:eastAsia="Times New Roman" w:cs="Times New Roman"/>
                <w:color w:val="auto"/>
                <w:kern w:val="0"/>
                <w:sz w:val="21"/>
                <w:szCs w:val="21"/>
                <w:u w:val="none" w:color="auto"/>
              </w:rPr>
            </w:pPr>
            <w:r>
              <w:rPr>
                <w:rFonts w:hint="default" w:ascii="Times New Roman" w:hAnsi="Times New Roman" w:eastAsia="Times New Roman" w:cs="Times New Roman"/>
                <w:color w:val="auto"/>
                <w:spacing w:val="42"/>
                <w:kern w:val="0"/>
                <w:sz w:val="21"/>
                <w:szCs w:val="21"/>
                <w:u w:val="none" w:color="auto"/>
              </w:rPr>
              <w:t>-</w:t>
            </w:r>
            <w:r>
              <w:rPr>
                <w:rFonts w:hint="default" w:ascii="Times New Roman" w:hAnsi="Times New Roman" w:eastAsia="Times New Roman" w:cs="Times New Roman"/>
                <w:color w:val="auto"/>
                <w:spacing w:val="41"/>
                <w:kern w:val="0"/>
                <w:sz w:val="21"/>
                <w:szCs w:val="21"/>
                <w:u w:val="none" w:color="auto"/>
              </w:rPr>
              <w:t>-</w:t>
            </w:r>
          </w:p>
        </w:tc>
        <w:tc>
          <w:tcPr>
            <w:tcW w:w="2163" w:type="dxa"/>
            <w:vMerge w:val="continue"/>
            <w:tcBorders>
              <w:tl2br w:val="nil"/>
              <w:tr2bl w:val="nil"/>
            </w:tcBorders>
            <w:noWrap w:val="0"/>
            <w:vAlign w:val="top"/>
          </w:tcPr>
          <w:p w14:paraId="0D05ADA3">
            <w:pPr>
              <w:jc w:val="left"/>
              <w:rPr>
                <w:rFonts w:hint="default" w:ascii="Times New Roman" w:hAnsi="Times New Roman" w:cs="Times New Roman"/>
                <w:color w:val="auto"/>
                <w:kern w:val="0"/>
                <w:sz w:val="21"/>
                <w:szCs w:val="21"/>
                <w:u w:val="none" w:color="auto"/>
              </w:rPr>
            </w:pPr>
          </w:p>
        </w:tc>
      </w:tr>
    </w:tbl>
    <w:p w14:paraId="5283734C">
      <w:pPr>
        <w:widowControl w:val="0"/>
        <w:spacing w:line="360" w:lineRule="auto"/>
        <w:ind w:left="0" w:leftChars="0" w:firstLine="0" w:firstLineChars="0"/>
        <w:jc w:val="both"/>
        <w:rPr>
          <w:rFonts w:hint="default" w:ascii="Times New Roman" w:hAnsi="Times New Roman" w:eastAsia="宋体" w:cs="Times New Roman"/>
          <w:color w:val="auto"/>
          <w:kern w:val="2"/>
          <w:sz w:val="24"/>
          <w:szCs w:val="24"/>
          <w:lang w:val="en-US" w:eastAsia="zh-CN" w:bidi="ar-SA"/>
        </w:rPr>
      </w:pPr>
    </w:p>
    <w:p w14:paraId="55B4ACB8">
      <w:pPr>
        <w:spacing w:line="520" w:lineRule="exact"/>
        <w:ind w:firstLine="420" w:firstLineChars="200"/>
        <w:rPr>
          <w:rFonts w:hint="default" w:ascii="Times New Roman" w:hAnsi="Times New Roman" w:cs="Times New Roman"/>
          <w:color w:val="auto"/>
          <w:szCs w:val="24"/>
        </w:rPr>
        <w:sectPr>
          <w:pgSz w:w="12240" w:h="15840"/>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14:paraId="33002AF8">
      <w:pPr>
        <w:widowControl w:val="0"/>
        <w:numPr>
          <w:ilvl w:val="0"/>
          <w:numId w:val="1"/>
        </w:numPr>
        <w:spacing w:before="240" w:beforeLines="100" w:line="480" w:lineRule="auto"/>
        <w:jc w:val="both"/>
        <w:outlineLvl w:val="0"/>
        <w:rPr>
          <w:rFonts w:hint="default" w:ascii="Times New Roman" w:hAnsi="Times New Roman" w:eastAsia="黑体" w:cs="Times New Roman"/>
          <w:color w:val="auto"/>
          <w:kern w:val="2"/>
          <w:sz w:val="36"/>
          <w:szCs w:val="24"/>
          <w:lang w:val="en-US" w:eastAsia="zh-CN" w:bidi="ar-SA"/>
        </w:rPr>
      </w:pPr>
      <w:bookmarkStart w:id="310" w:name="_Toc353554931"/>
      <w:bookmarkStart w:id="311" w:name="_Toc24935"/>
      <w:r>
        <w:rPr>
          <w:rFonts w:hint="default" w:ascii="Times New Roman" w:hAnsi="Times New Roman" w:eastAsia="黑体" w:cs="Times New Roman"/>
          <w:color w:val="auto"/>
          <w:kern w:val="2"/>
          <w:sz w:val="36"/>
          <w:szCs w:val="24"/>
          <w:lang w:val="en-US" w:eastAsia="zh-CN" w:bidi="ar-SA"/>
        </w:rPr>
        <w:t>结论与建议</w:t>
      </w:r>
      <w:bookmarkEnd w:id="300"/>
      <w:bookmarkEnd w:id="301"/>
      <w:bookmarkEnd w:id="302"/>
      <w:bookmarkEnd w:id="303"/>
      <w:bookmarkEnd w:id="310"/>
      <w:bookmarkEnd w:id="311"/>
    </w:p>
    <w:p w14:paraId="7597B5DF">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312" w:name="_Toc19235"/>
      <w:bookmarkStart w:id="313" w:name="_Toc307229637"/>
      <w:bookmarkStart w:id="314" w:name="_Toc353554932"/>
      <w:bookmarkStart w:id="315" w:name="_Toc344060740"/>
      <w:bookmarkStart w:id="316" w:name="_Toc307947667"/>
      <w:r>
        <w:rPr>
          <w:rFonts w:hint="default" w:ascii="Times New Roman" w:hAnsi="Times New Roman" w:eastAsia="黑体" w:cs="Times New Roman"/>
          <w:color w:val="auto"/>
          <w:sz w:val="28"/>
          <w:szCs w:val="20"/>
          <w:lang w:val="en-US" w:eastAsia="zh-CN" w:bidi="ar-SA"/>
        </w:rPr>
        <w:t>结论</w:t>
      </w:r>
      <w:bookmarkEnd w:id="312"/>
    </w:p>
    <w:p w14:paraId="3682D9D8">
      <w:pPr>
        <w:keepNext w:val="0"/>
        <w:keepLines w:val="0"/>
        <w:suppressLineNumbers w:val="0"/>
        <w:spacing w:before="0" w:beforeAutospacing="0" w:after="0" w:afterAutospacing="0" w:line="500" w:lineRule="exact"/>
        <w:ind w:left="0" w:right="0"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导热油炉烟气</w:t>
      </w:r>
      <w:r>
        <w:rPr>
          <w:rFonts w:hint="default" w:ascii="Times New Roman" w:hAnsi="Times New Roman" w:eastAsia="宋体" w:cs="Times New Roman"/>
          <w:color w:val="auto"/>
          <w:kern w:val="0"/>
          <w:sz w:val="24"/>
          <w:szCs w:val="24"/>
          <w:lang w:eastAsia="zh-CN"/>
        </w:rPr>
        <w:t>采用低氮燃烧，由15m</w:t>
      </w:r>
      <w:r>
        <w:rPr>
          <w:rFonts w:hint="default" w:ascii="Times New Roman" w:hAnsi="Times New Roman" w:eastAsia="宋体" w:cs="Times New Roman"/>
          <w:color w:val="auto"/>
          <w:kern w:val="0"/>
          <w:sz w:val="24"/>
          <w:szCs w:val="24"/>
        </w:rPr>
        <w:t>高烟囱排放，颗粒物、SO</w:t>
      </w:r>
      <w:r>
        <w:rPr>
          <w:rFonts w:hint="default" w:ascii="Times New Roman" w:hAnsi="Times New Roman" w:eastAsia="宋体" w:cs="Times New Roman"/>
          <w:color w:val="auto"/>
          <w:kern w:val="0"/>
          <w:sz w:val="24"/>
          <w:szCs w:val="24"/>
          <w:vertAlign w:val="subscript"/>
        </w:rPr>
        <w:t>2</w:t>
      </w:r>
      <w:r>
        <w:rPr>
          <w:rFonts w:hint="default" w:ascii="Times New Roman" w:hAnsi="Times New Roman" w:eastAsia="宋体" w:cs="Times New Roman"/>
          <w:color w:val="auto"/>
          <w:kern w:val="0"/>
          <w:sz w:val="24"/>
          <w:szCs w:val="24"/>
        </w:rPr>
        <w:t>和NO</w:t>
      </w:r>
      <w:r>
        <w:rPr>
          <w:rFonts w:hint="default" w:ascii="Times New Roman" w:hAnsi="Times New Roman" w:eastAsia="宋体" w:cs="Times New Roman"/>
          <w:color w:val="auto"/>
          <w:kern w:val="0"/>
          <w:sz w:val="24"/>
          <w:szCs w:val="24"/>
          <w:vertAlign w:val="subscript"/>
        </w:rPr>
        <w:t>x</w:t>
      </w:r>
      <w:r>
        <w:rPr>
          <w:rFonts w:hint="default" w:ascii="Times New Roman" w:hAnsi="Times New Roman" w:eastAsia="宋体" w:cs="Times New Roman"/>
          <w:color w:val="auto"/>
          <w:kern w:val="0"/>
          <w:sz w:val="24"/>
          <w:szCs w:val="24"/>
        </w:rPr>
        <w:t>排放浓度满足《锅炉大气污染物排放标准》（GB13271-2014）表2燃油锅炉限值要求（颗粒物30mg/m</w:t>
      </w:r>
      <w:r>
        <w:rPr>
          <w:rFonts w:hint="default" w:ascii="Times New Roman" w:hAnsi="Times New Roman" w:eastAsia="宋体" w:cs="Times New Roman"/>
          <w:color w:val="auto"/>
          <w:kern w:val="0"/>
          <w:sz w:val="24"/>
          <w:szCs w:val="24"/>
          <w:vertAlign w:val="superscript"/>
        </w:rPr>
        <w:t>3</w:t>
      </w:r>
      <w:r>
        <w:rPr>
          <w:rFonts w:hint="default" w:ascii="Times New Roman" w:hAnsi="Times New Roman" w:eastAsia="宋体" w:cs="Times New Roman"/>
          <w:color w:val="auto"/>
          <w:kern w:val="0"/>
          <w:sz w:val="24"/>
          <w:szCs w:val="24"/>
        </w:rPr>
        <w:t>、SO</w:t>
      </w:r>
      <w:r>
        <w:rPr>
          <w:rFonts w:hint="default" w:ascii="Times New Roman" w:hAnsi="Times New Roman" w:eastAsia="宋体" w:cs="Times New Roman"/>
          <w:color w:val="auto"/>
          <w:kern w:val="0"/>
          <w:sz w:val="24"/>
          <w:szCs w:val="24"/>
          <w:vertAlign w:val="subscript"/>
        </w:rPr>
        <w:t>2</w:t>
      </w:r>
      <w:r>
        <w:rPr>
          <w:rFonts w:hint="default" w:ascii="Times New Roman" w:hAnsi="Times New Roman" w:eastAsia="宋体" w:cs="Times New Roman"/>
          <w:color w:val="auto"/>
          <w:kern w:val="0"/>
          <w:sz w:val="24"/>
          <w:szCs w:val="24"/>
        </w:rPr>
        <w:t>200mg/m</w:t>
      </w:r>
      <w:r>
        <w:rPr>
          <w:rFonts w:hint="default" w:ascii="Times New Roman" w:hAnsi="Times New Roman" w:eastAsia="宋体" w:cs="Times New Roman"/>
          <w:color w:val="auto"/>
          <w:kern w:val="0"/>
          <w:sz w:val="24"/>
          <w:szCs w:val="24"/>
          <w:vertAlign w:val="superscript"/>
        </w:rPr>
        <w:t>3</w:t>
      </w:r>
      <w:r>
        <w:rPr>
          <w:rFonts w:hint="default" w:ascii="Times New Roman" w:hAnsi="Times New Roman" w:eastAsia="宋体" w:cs="Times New Roman"/>
          <w:color w:val="auto"/>
          <w:kern w:val="0"/>
          <w:sz w:val="24"/>
          <w:szCs w:val="24"/>
        </w:rPr>
        <w:t>、NOx250mg/m</w:t>
      </w:r>
      <w:r>
        <w:rPr>
          <w:rFonts w:hint="default" w:ascii="Times New Roman" w:hAnsi="Times New Roman" w:eastAsia="宋体" w:cs="Times New Roman"/>
          <w:color w:val="auto"/>
          <w:kern w:val="0"/>
          <w:sz w:val="24"/>
          <w:szCs w:val="24"/>
          <w:vertAlign w:val="superscript"/>
        </w:rPr>
        <w:t>3</w:t>
      </w:r>
      <w:r>
        <w:rPr>
          <w:rFonts w:hint="default" w:ascii="Times New Roman" w:hAnsi="Times New Roman" w:eastAsia="宋体" w:cs="Times New Roman"/>
          <w:color w:val="auto"/>
          <w:kern w:val="0"/>
          <w:sz w:val="24"/>
          <w:szCs w:val="24"/>
        </w:rPr>
        <w:t>）。</w:t>
      </w:r>
    </w:p>
    <w:p w14:paraId="45DB60BB">
      <w:pPr>
        <w:widowControl w:val="0"/>
        <w:spacing w:line="500" w:lineRule="exact"/>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骨料加热烘干废气中烟尘、SO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、NO</w:t>
      </w:r>
      <w:r>
        <w:rPr>
          <w:rFonts w:hint="default" w:ascii="Times New Roman" w:hAnsi="Times New Roman" w:eastAsia="宋体" w:cs="Times New Roman"/>
          <w:color w:val="auto"/>
          <w:kern w:val="2"/>
          <w:sz w:val="24"/>
          <w:szCs w:val="24"/>
          <w:vertAlign w:val="subscript"/>
          <w:lang w:val="en-US" w:eastAsia="zh-CN" w:bidi="ar-SA"/>
        </w:rPr>
        <w:t>X</w:t>
      </w:r>
      <w:r>
        <w:rPr>
          <w:rFonts w:hint="default" w:ascii="Times New Roman" w:hAnsi="Times New Roman" w:eastAsia="宋体" w:cs="Times New Roman"/>
          <w:color w:val="auto"/>
          <w:kern w:val="2"/>
          <w:sz w:val="24"/>
          <w:szCs w:val="24"/>
          <w:lang w:val="en-US" w:eastAsia="zh-CN" w:bidi="ar-SA"/>
        </w:rPr>
        <w:t>排放浓度及速率均可以满足《大气污染物综合排放标准》（GB16297-1996）中表2中的标准（颗粒物120mg/m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550mg/m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、NOx240mg/m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w:t>
      </w:r>
    </w:p>
    <w:p w14:paraId="1B905889">
      <w:pPr>
        <w:widowControl w:val="0"/>
        <w:spacing w:line="500" w:lineRule="exact"/>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沥青烟、苯并[a]芘的排放浓度、排放速率均可以满足《大气污染物综合排放标准》(GB16297-1996)表2中二级标准要求。（沥青烟≤75mg/m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，0.18kg/h；苯并[a]芘≤0.0003mg/m</w:t>
      </w:r>
      <w:r>
        <w:rPr>
          <w:rFonts w:hint="default" w:ascii="Times New Roman" w:hAnsi="Times New Roman" w:eastAsia="宋体" w:cs="Times New Roman"/>
          <w:color w:val="auto"/>
          <w:kern w:val="2"/>
          <w:sz w:val="24"/>
          <w:szCs w:val="24"/>
          <w:vertAlign w:val="superscript"/>
          <w:lang w:val="en-US" w:eastAsia="zh-CN" w:bidi="ar-SA"/>
        </w:rPr>
        <w:t>3</w:t>
      </w:r>
      <w:r>
        <w:rPr>
          <w:rFonts w:hint="default" w:ascii="Times New Roman" w:hAnsi="Times New Roman" w:eastAsia="宋体" w:cs="Times New Roman"/>
          <w:color w:val="auto"/>
          <w:kern w:val="2"/>
          <w:sz w:val="24"/>
          <w:szCs w:val="24"/>
          <w:lang w:val="en-US" w:eastAsia="zh-CN" w:bidi="ar-SA"/>
        </w:rPr>
        <w:t>，0.00005kg/h。</w:t>
      </w:r>
    </w:p>
    <w:p w14:paraId="17720D84">
      <w:pPr>
        <w:widowControl w:val="0"/>
        <w:autoSpaceDE w:val="0"/>
        <w:autoSpaceDN w:val="0"/>
        <w:adjustRightInd w:val="0"/>
        <w:spacing w:line="360" w:lineRule="auto"/>
        <w:ind w:left="200" w:hanging="480" w:hangingChars="200"/>
        <w:jc w:val="center"/>
        <w:rPr>
          <w:rFonts w:hint="default" w:ascii="Times New Roman" w:hAnsi="Times New Roman" w:eastAsia="黑体" w:cs="Times New Roman"/>
          <w:color w:val="auto"/>
          <w:kern w:val="2"/>
          <w:sz w:val="24"/>
          <w:szCs w:val="24"/>
          <w:lang w:val="en-US" w:eastAsia="zh-CN" w:bidi="ar-SA"/>
        </w:rPr>
      </w:pPr>
    </w:p>
    <w:p w14:paraId="693C51E6">
      <w:pPr>
        <w:widowControl w:val="0"/>
        <w:numPr>
          <w:ilvl w:val="1"/>
          <w:numId w:val="1"/>
        </w:numPr>
        <w:spacing w:line="360" w:lineRule="auto"/>
        <w:jc w:val="both"/>
        <w:outlineLvl w:val="1"/>
        <w:rPr>
          <w:rFonts w:hint="default" w:ascii="Times New Roman" w:hAnsi="Times New Roman" w:eastAsia="黑体" w:cs="Times New Roman"/>
          <w:color w:val="auto"/>
          <w:sz w:val="28"/>
          <w:szCs w:val="20"/>
          <w:lang w:val="en-US" w:eastAsia="zh-CN" w:bidi="ar-SA"/>
        </w:rPr>
      </w:pPr>
      <w:bookmarkStart w:id="317" w:name="_Toc30337"/>
      <w:bookmarkStart w:id="318" w:name="_Toc27235"/>
      <w:bookmarkStart w:id="319" w:name="_Toc17647"/>
      <w:r>
        <w:rPr>
          <w:rFonts w:hint="default" w:ascii="Times New Roman" w:hAnsi="Times New Roman" w:eastAsia="黑体" w:cs="Times New Roman"/>
          <w:color w:val="auto"/>
          <w:sz w:val="28"/>
          <w:szCs w:val="20"/>
          <w:lang w:val="en-US" w:eastAsia="zh-CN" w:bidi="ar-SA"/>
        </w:rPr>
        <w:t>建议</w:t>
      </w:r>
      <w:bookmarkEnd w:id="317"/>
      <w:bookmarkEnd w:id="318"/>
      <w:bookmarkEnd w:id="319"/>
    </w:p>
    <w:p w14:paraId="6DC7F657">
      <w:pPr>
        <w:widowControl w:val="0"/>
        <w:spacing w:line="500" w:lineRule="exact"/>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（1）投产后运营期要加强各项污染控制设施/设备的运行管理，实行定期维护、检修和考核制度，确保设施/设备完好率，并使其正常稳定运转发挥效用。</w:t>
      </w:r>
    </w:p>
    <w:p w14:paraId="692C0ADC">
      <w:pPr>
        <w:widowControl w:val="0"/>
        <w:spacing w:line="500" w:lineRule="exact"/>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（2）结合企业发展规划和环保规划，有针对性地强化污染控制措施，制订污染物排放总量削减规划，通过污染物排放总量的不断削减，进一步减轻区域环境容量的压力，为改善区域环境质量作出贡献。</w:t>
      </w:r>
    </w:p>
    <w:p w14:paraId="690B1C9D">
      <w:pPr>
        <w:widowControl w:val="0"/>
        <w:spacing w:line="500" w:lineRule="exact"/>
        <w:ind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（3）加强管理层和员工的环保意识。</w:t>
      </w:r>
    </w:p>
    <w:bookmarkEnd w:id="313"/>
    <w:bookmarkEnd w:id="314"/>
    <w:bookmarkEnd w:id="315"/>
    <w:bookmarkEnd w:id="316"/>
    <w:p w14:paraId="54239CC9">
      <w:pPr>
        <w:jc w:val="left"/>
        <w:rPr>
          <w:rFonts w:hint="default" w:ascii="Times New Roman" w:hAnsi="Times New Roman" w:cs="Times New Roman"/>
          <w:color w:val="auto"/>
          <w:kern w:val="0"/>
          <w:sz w:val="28"/>
          <w:szCs w:val="28"/>
        </w:rPr>
      </w:pPr>
    </w:p>
    <w:p w14:paraId="75D80655">
      <w:pPr>
        <w:rPr>
          <w:rFonts w:hint="default" w:ascii="Times New Roman" w:hAnsi="Times New Roman" w:cs="Times New Roman"/>
          <w:color w:val="auto"/>
        </w:rPr>
        <w:sectPr>
          <w:pgSz w:w="11907" w:h="16840"/>
          <w:pgMar w:top="1418" w:right="1588" w:bottom="1418" w:left="1588" w:header="1400" w:footer="1372" w:gutter="0"/>
          <w:pgBorders>
            <w:top w:val="none" w:sz="0" w:space="0"/>
            <w:left w:val="none" w:sz="0" w:space="0"/>
            <w:bottom w:val="none" w:sz="0" w:space="0"/>
            <w:right w:val="none" w:sz="0" w:space="0"/>
          </w:pgBorders>
          <w:pgNumType w:fmt="decimal"/>
          <w:cols w:space="720" w:num="1"/>
          <w:docGrid w:linePitch="312" w:charSpace="0"/>
        </w:sectPr>
      </w:pPr>
    </w:p>
    <w:p w14:paraId="1422A901">
      <w:pPr>
        <w:widowControl w:val="0"/>
        <w:spacing w:line="360" w:lineRule="auto"/>
        <w:jc w:val="center"/>
        <w:outlineLvl w:val="0"/>
        <w:rPr>
          <w:rFonts w:hint="default" w:ascii="Times New Roman" w:hAnsi="Times New Roman" w:eastAsia="黑体" w:cs="Times New Roman"/>
          <w:color w:val="auto"/>
          <w:kern w:val="2"/>
          <w:sz w:val="28"/>
          <w:szCs w:val="28"/>
          <w:lang w:val="en-US" w:eastAsia="zh-CN" w:bidi="ar-SA"/>
        </w:rPr>
      </w:pPr>
      <w:bookmarkStart w:id="320" w:name="_Toc18726"/>
      <w:bookmarkStart w:id="321" w:name="_Toc18981"/>
      <w:r>
        <w:rPr>
          <w:rFonts w:hint="default" w:ascii="Times New Roman" w:hAnsi="Times New Roman" w:eastAsia="黑体" w:cs="Times New Roman"/>
          <w:color w:val="auto"/>
          <w:kern w:val="2"/>
          <w:sz w:val="28"/>
          <w:szCs w:val="28"/>
          <w:lang w:val="en-US" w:eastAsia="zh-CN" w:bidi="ar-SA"/>
        </w:rPr>
        <w:t>附表1建设项目大气环境影响评价自查表</w:t>
      </w:r>
      <w:bookmarkEnd w:id="320"/>
      <w:bookmarkEnd w:id="321"/>
    </w:p>
    <w:tbl>
      <w:tblPr>
        <w:tblStyle w:val="3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9"/>
        <w:gridCol w:w="1651"/>
        <w:gridCol w:w="850"/>
        <w:gridCol w:w="287"/>
        <w:gridCol w:w="134"/>
        <w:gridCol w:w="101"/>
        <w:gridCol w:w="77"/>
        <w:gridCol w:w="97"/>
        <w:gridCol w:w="17"/>
        <w:gridCol w:w="559"/>
        <w:gridCol w:w="433"/>
        <w:gridCol w:w="489"/>
        <w:gridCol w:w="37"/>
        <w:gridCol w:w="290"/>
        <w:gridCol w:w="162"/>
        <w:gridCol w:w="10"/>
        <w:gridCol w:w="104"/>
        <w:gridCol w:w="42"/>
        <w:gridCol w:w="330"/>
        <w:gridCol w:w="506"/>
        <w:gridCol w:w="97"/>
        <w:gridCol w:w="17"/>
        <w:gridCol w:w="450"/>
        <w:gridCol w:w="142"/>
        <w:gridCol w:w="287"/>
        <w:gridCol w:w="722"/>
      </w:tblGrid>
      <w:tr w14:paraId="18DFD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top w:val="single" w:color="000000" w:sz="12" w:space="0"/>
              <w:left w:val="single" w:color="000000" w:sz="12" w:space="0"/>
              <w:bottom w:val="single" w:color="000000" w:sz="4" w:space="0"/>
              <w:right w:val="single" w:color="000000" w:sz="4" w:space="0"/>
            </w:tcBorders>
            <w:noWrap w:val="0"/>
            <w:vAlign w:val="center"/>
          </w:tcPr>
          <w:p w14:paraId="5F805A1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工作内容</w:t>
            </w:r>
          </w:p>
        </w:tc>
        <w:tc>
          <w:tcPr>
            <w:tcW w:w="6240" w:type="dxa"/>
            <w:gridSpan w:val="24"/>
            <w:tcBorders>
              <w:top w:val="single" w:color="000000" w:sz="12" w:space="0"/>
              <w:left w:val="single" w:color="000000" w:sz="4" w:space="0"/>
              <w:bottom w:val="single" w:color="000000" w:sz="4" w:space="0"/>
              <w:right w:val="single" w:color="000000" w:sz="12" w:space="0"/>
            </w:tcBorders>
            <w:noWrap w:val="0"/>
            <w:vAlign w:val="center"/>
          </w:tcPr>
          <w:p w14:paraId="3C61AF4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自查项目</w:t>
            </w:r>
          </w:p>
        </w:tc>
      </w:tr>
      <w:tr w14:paraId="6ABC4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2FEF4E1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评价等级与范围</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723EEA6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评价等级</w:t>
            </w:r>
          </w:p>
        </w:tc>
        <w:tc>
          <w:tcPr>
            <w:tcW w:w="1372" w:type="dxa"/>
            <w:gridSpan w:val="4"/>
            <w:tcBorders>
              <w:top w:val="single" w:color="000000" w:sz="4" w:space="0"/>
              <w:left w:val="single" w:color="000000" w:sz="4" w:space="0"/>
              <w:bottom w:val="single" w:color="000000" w:sz="4" w:space="0"/>
              <w:right w:val="single" w:color="000000" w:sz="4" w:space="0"/>
            </w:tcBorders>
            <w:noWrap w:val="0"/>
            <w:vAlign w:val="center"/>
          </w:tcPr>
          <w:p w14:paraId="1DBDC28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一级</w:t>
            </w:r>
            <w:r>
              <w:rPr>
                <w:rFonts w:hint="default" w:ascii="Times New Roman" w:hAnsi="Times New Roman" w:cs="Times New Roman"/>
                <w:bCs/>
                <w:color w:val="auto"/>
                <w:kern w:val="0"/>
                <w:sz w:val="21"/>
                <w:szCs w:val="21"/>
              </w:rPr>
              <w:sym w:font="Wingdings 2" w:char="00A3"/>
            </w:r>
          </w:p>
        </w:tc>
        <w:tc>
          <w:tcPr>
            <w:tcW w:w="3250" w:type="dxa"/>
            <w:gridSpan w:val="15"/>
            <w:tcBorders>
              <w:top w:val="single" w:color="000000" w:sz="4" w:space="0"/>
              <w:left w:val="single" w:color="000000" w:sz="4" w:space="0"/>
              <w:bottom w:val="single" w:color="000000" w:sz="4" w:space="0"/>
              <w:right w:val="single" w:color="000000" w:sz="4" w:space="0"/>
            </w:tcBorders>
            <w:noWrap w:val="0"/>
            <w:vAlign w:val="center"/>
          </w:tcPr>
          <w:p w14:paraId="2F6EB70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二级</w:t>
            </w:r>
            <w:r>
              <w:rPr>
                <w:rFonts w:hint="default" w:ascii="Times New Roman" w:hAnsi="Times New Roman" w:cs="Times New Roman"/>
                <w:bCs/>
                <w:color w:val="auto"/>
                <w:kern w:val="0"/>
                <w:sz w:val="21"/>
                <w:szCs w:val="21"/>
              </w:rPr>
              <w:sym w:font="Wingdings 2" w:char="0052"/>
            </w:r>
          </w:p>
        </w:tc>
        <w:tc>
          <w:tcPr>
            <w:tcW w:w="1618" w:type="dxa"/>
            <w:gridSpan w:val="5"/>
            <w:tcBorders>
              <w:top w:val="single" w:color="000000" w:sz="4" w:space="0"/>
              <w:left w:val="single" w:color="000000" w:sz="4" w:space="0"/>
              <w:bottom w:val="single" w:color="000000" w:sz="4" w:space="0"/>
              <w:right w:val="single" w:color="000000" w:sz="12" w:space="0"/>
            </w:tcBorders>
            <w:noWrap w:val="0"/>
            <w:vAlign w:val="center"/>
          </w:tcPr>
          <w:p w14:paraId="22EE860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三级</w:t>
            </w:r>
            <w:r>
              <w:rPr>
                <w:rFonts w:hint="default" w:ascii="Times New Roman" w:hAnsi="Times New Roman" w:cs="Times New Roman"/>
                <w:bCs/>
                <w:color w:val="auto"/>
                <w:kern w:val="0"/>
                <w:sz w:val="21"/>
                <w:szCs w:val="21"/>
              </w:rPr>
              <w:sym w:font="Wingdings 2" w:char="00A3"/>
            </w:r>
          </w:p>
        </w:tc>
      </w:tr>
      <w:tr w14:paraId="48071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2ADBB40D">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3938753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评价范围</w:t>
            </w:r>
          </w:p>
        </w:tc>
        <w:tc>
          <w:tcPr>
            <w:tcW w:w="1372" w:type="dxa"/>
            <w:gridSpan w:val="4"/>
            <w:tcBorders>
              <w:top w:val="single" w:color="000000" w:sz="4" w:space="0"/>
              <w:left w:val="single" w:color="000000" w:sz="4" w:space="0"/>
              <w:bottom w:val="single" w:color="000000" w:sz="4" w:space="0"/>
              <w:right w:val="single" w:color="000000" w:sz="4" w:space="0"/>
            </w:tcBorders>
            <w:noWrap w:val="0"/>
            <w:vAlign w:val="center"/>
          </w:tcPr>
          <w:p w14:paraId="6F19E82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边长=50km□</w:t>
            </w:r>
          </w:p>
        </w:tc>
        <w:tc>
          <w:tcPr>
            <w:tcW w:w="3250" w:type="dxa"/>
            <w:gridSpan w:val="15"/>
            <w:tcBorders>
              <w:top w:val="single" w:color="000000" w:sz="4" w:space="0"/>
              <w:left w:val="single" w:color="000000" w:sz="4" w:space="0"/>
              <w:bottom w:val="single" w:color="000000" w:sz="4" w:space="0"/>
              <w:right w:val="single" w:color="000000" w:sz="4" w:space="0"/>
            </w:tcBorders>
            <w:noWrap w:val="0"/>
            <w:vAlign w:val="center"/>
          </w:tcPr>
          <w:p w14:paraId="5E1A703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边长5~50km</w:t>
            </w:r>
            <w:r>
              <w:rPr>
                <w:rFonts w:hint="default" w:ascii="Times New Roman" w:hAnsi="Times New Roman" w:cs="Times New Roman"/>
                <w:bCs/>
                <w:color w:val="auto"/>
                <w:kern w:val="0"/>
                <w:sz w:val="21"/>
                <w:szCs w:val="21"/>
              </w:rPr>
              <w:sym w:font="Wingdings 2" w:char="00A3"/>
            </w:r>
          </w:p>
        </w:tc>
        <w:tc>
          <w:tcPr>
            <w:tcW w:w="1618" w:type="dxa"/>
            <w:gridSpan w:val="5"/>
            <w:tcBorders>
              <w:top w:val="single" w:color="000000" w:sz="4" w:space="0"/>
              <w:left w:val="single" w:color="000000" w:sz="4" w:space="0"/>
              <w:bottom w:val="single" w:color="000000" w:sz="4" w:space="0"/>
              <w:right w:val="single" w:color="000000" w:sz="12" w:space="0"/>
            </w:tcBorders>
            <w:noWrap w:val="0"/>
            <w:vAlign w:val="center"/>
          </w:tcPr>
          <w:p w14:paraId="5056603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边长=5km</w:t>
            </w:r>
            <w:r>
              <w:rPr>
                <w:rFonts w:hint="default" w:ascii="Times New Roman" w:hAnsi="Times New Roman" w:cs="Times New Roman"/>
                <w:bCs/>
                <w:color w:val="auto"/>
                <w:kern w:val="0"/>
                <w:sz w:val="21"/>
                <w:szCs w:val="21"/>
              </w:rPr>
              <w:sym w:font="Wingdings 2" w:char="0052"/>
            </w:r>
          </w:p>
        </w:tc>
      </w:tr>
      <w:tr w14:paraId="1722C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5286D0E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评价因子</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C4E758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SO</w:t>
            </w:r>
            <w:r>
              <w:rPr>
                <w:rFonts w:hint="default" w:ascii="Times New Roman" w:hAnsi="Times New Roman" w:cs="Times New Roman"/>
                <w:bCs/>
                <w:color w:val="auto"/>
                <w:kern w:val="0"/>
                <w:sz w:val="21"/>
                <w:szCs w:val="21"/>
                <w:vertAlign w:val="subscript"/>
              </w:rPr>
              <w:t>2</w:t>
            </w:r>
            <w:r>
              <w:rPr>
                <w:rFonts w:hint="default" w:ascii="Times New Roman" w:hAnsi="Times New Roman" w:cs="Times New Roman"/>
                <w:bCs/>
                <w:color w:val="auto"/>
                <w:kern w:val="0"/>
                <w:sz w:val="21"/>
                <w:szCs w:val="21"/>
              </w:rPr>
              <w:t>+NO</w:t>
            </w:r>
            <w:r>
              <w:rPr>
                <w:rFonts w:hint="default" w:ascii="Times New Roman" w:hAnsi="Times New Roman" w:cs="Times New Roman"/>
                <w:bCs/>
                <w:color w:val="auto"/>
                <w:kern w:val="0"/>
                <w:sz w:val="21"/>
                <w:szCs w:val="21"/>
                <w:vertAlign w:val="subscript"/>
              </w:rPr>
              <w:t>X</w:t>
            </w:r>
            <w:r>
              <w:rPr>
                <w:rFonts w:hint="default" w:ascii="Times New Roman" w:hAnsi="Times New Roman" w:cs="Times New Roman"/>
                <w:bCs/>
                <w:color w:val="auto"/>
                <w:kern w:val="0"/>
                <w:sz w:val="21"/>
                <w:szCs w:val="21"/>
              </w:rPr>
              <w:t>排放量</w:t>
            </w:r>
          </w:p>
        </w:tc>
        <w:tc>
          <w:tcPr>
            <w:tcW w:w="1372" w:type="dxa"/>
            <w:gridSpan w:val="4"/>
            <w:tcBorders>
              <w:top w:val="single" w:color="000000" w:sz="4" w:space="0"/>
              <w:left w:val="single" w:color="000000" w:sz="4" w:space="0"/>
              <w:bottom w:val="single" w:color="000000" w:sz="4" w:space="0"/>
              <w:right w:val="single" w:color="000000" w:sz="4" w:space="0"/>
            </w:tcBorders>
            <w:noWrap w:val="0"/>
            <w:vAlign w:val="center"/>
          </w:tcPr>
          <w:p w14:paraId="6A96DC8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≥2000t/a□</w:t>
            </w:r>
          </w:p>
        </w:tc>
        <w:tc>
          <w:tcPr>
            <w:tcW w:w="3250" w:type="dxa"/>
            <w:gridSpan w:val="15"/>
            <w:tcBorders>
              <w:top w:val="single" w:color="000000" w:sz="4" w:space="0"/>
              <w:left w:val="single" w:color="000000" w:sz="4" w:space="0"/>
              <w:bottom w:val="single" w:color="000000" w:sz="4" w:space="0"/>
              <w:right w:val="single" w:color="000000" w:sz="4" w:space="0"/>
            </w:tcBorders>
            <w:noWrap w:val="0"/>
            <w:vAlign w:val="center"/>
          </w:tcPr>
          <w:p w14:paraId="02751DD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500~2000t/a□</w:t>
            </w:r>
          </w:p>
        </w:tc>
        <w:tc>
          <w:tcPr>
            <w:tcW w:w="1618" w:type="dxa"/>
            <w:gridSpan w:val="5"/>
            <w:tcBorders>
              <w:top w:val="single" w:color="000000" w:sz="4" w:space="0"/>
              <w:left w:val="single" w:color="000000" w:sz="4" w:space="0"/>
              <w:bottom w:val="single" w:color="000000" w:sz="4" w:space="0"/>
              <w:right w:val="single" w:color="000000" w:sz="12" w:space="0"/>
            </w:tcBorders>
            <w:noWrap w:val="0"/>
            <w:vAlign w:val="center"/>
          </w:tcPr>
          <w:p w14:paraId="4346D0D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&lt;500t/a</w:t>
            </w:r>
            <w:r>
              <w:rPr>
                <w:rFonts w:hint="default" w:ascii="Times New Roman" w:hAnsi="Times New Roman" w:cs="Times New Roman"/>
                <w:bCs/>
                <w:color w:val="auto"/>
                <w:kern w:val="0"/>
                <w:sz w:val="21"/>
                <w:szCs w:val="21"/>
              </w:rPr>
              <w:sym w:font="Wingdings 2" w:char="0052"/>
            </w:r>
          </w:p>
        </w:tc>
      </w:tr>
      <w:tr w14:paraId="18CDF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629739F9">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A627C0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评价因子</w:t>
            </w:r>
          </w:p>
        </w:tc>
        <w:tc>
          <w:tcPr>
            <w:tcW w:w="4019" w:type="dxa"/>
            <w:gridSpan w:val="17"/>
            <w:tcBorders>
              <w:top w:val="single" w:color="000000" w:sz="4" w:space="0"/>
              <w:left w:val="single" w:color="000000" w:sz="4" w:space="0"/>
              <w:bottom w:val="single" w:color="000000" w:sz="4" w:space="0"/>
              <w:right w:val="single" w:color="000000" w:sz="4" w:space="0"/>
            </w:tcBorders>
            <w:noWrap w:val="0"/>
            <w:vAlign w:val="center"/>
          </w:tcPr>
          <w:p w14:paraId="25FBC94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基本污染物（PM</w:t>
            </w:r>
            <w:r>
              <w:rPr>
                <w:rFonts w:hint="default" w:ascii="Times New Roman" w:hAnsi="Times New Roman" w:cs="Times New Roman"/>
                <w:bCs/>
                <w:color w:val="auto"/>
                <w:kern w:val="0"/>
                <w:sz w:val="21"/>
                <w:szCs w:val="21"/>
                <w:vertAlign w:val="subscript"/>
              </w:rPr>
              <w:t>10</w:t>
            </w:r>
            <w:r>
              <w:rPr>
                <w:rFonts w:hint="default" w:ascii="Times New Roman" w:hAnsi="Times New Roman" w:cs="Times New Roman"/>
                <w:bCs/>
                <w:color w:val="auto"/>
                <w:kern w:val="0"/>
                <w:sz w:val="21"/>
                <w:szCs w:val="21"/>
              </w:rPr>
              <w:t>、PM</w:t>
            </w:r>
            <w:r>
              <w:rPr>
                <w:rFonts w:hint="default" w:ascii="Times New Roman" w:hAnsi="Times New Roman" w:cs="Times New Roman"/>
                <w:bCs/>
                <w:color w:val="auto"/>
                <w:kern w:val="0"/>
                <w:sz w:val="21"/>
                <w:szCs w:val="21"/>
                <w:vertAlign w:val="subscript"/>
              </w:rPr>
              <w:t>2.5</w:t>
            </w:r>
            <w:r>
              <w:rPr>
                <w:rFonts w:hint="default" w:ascii="Times New Roman" w:hAnsi="Times New Roman" w:cs="Times New Roman"/>
                <w:bCs/>
                <w:color w:val="auto"/>
                <w:kern w:val="0"/>
                <w:sz w:val="21"/>
                <w:szCs w:val="21"/>
              </w:rPr>
              <w:t>、SO</w:t>
            </w:r>
            <w:r>
              <w:rPr>
                <w:rFonts w:hint="default" w:ascii="Times New Roman" w:hAnsi="Times New Roman" w:cs="Times New Roman"/>
                <w:bCs/>
                <w:color w:val="auto"/>
                <w:kern w:val="0"/>
                <w:sz w:val="21"/>
                <w:szCs w:val="21"/>
                <w:vertAlign w:val="subscript"/>
              </w:rPr>
              <w:t>2</w:t>
            </w:r>
            <w:r>
              <w:rPr>
                <w:rFonts w:hint="default" w:ascii="Times New Roman" w:hAnsi="Times New Roman" w:cs="Times New Roman"/>
                <w:bCs/>
                <w:color w:val="auto"/>
                <w:kern w:val="0"/>
                <w:sz w:val="21"/>
                <w:szCs w:val="21"/>
              </w:rPr>
              <w:t>、NO</w:t>
            </w:r>
            <w:r>
              <w:rPr>
                <w:rFonts w:hint="default" w:ascii="Times New Roman" w:hAnsi="Times New Roman" w:cs="Times New Roman"/>
                <w:bCs/>
                <w:color w:val="auto"/>
                <w:kern w:val="0"/>
                <w:sz w:val="21"/>
                <w:szCs w:val="21"/>
                <w:vertAlign w:val="subscript"/>
              </w:rPr>
              <w:t>2</w:t>
            </w:r>
            <w:r>
              <w:rPr>
                <w:rFonts w:hint="default" w:ascii="Times New Roman" w:hAnsi="Times New Roman" w:cs="Times New Roman"/>
                <w:bCs/>
                <w:color w:val="auto"/>
                <w:kern w:val="0"/>
                <w:sz w:val="21"/>
                <w:szCs w:val="21"/>
              </w:rPr>
              <w:t>、CO、O</w:t>
            </w:r>
            <w:r>
              <w:rPr>
                <w:rFonts w:hint="default" w:ascii="Times New Roman" w:hAnsi="Times New Roman" w:cs="Times New Roman"/>
                <w:bCs/>
                <w:color w:val="auto"/>
                <w:kern w:val="0"/>
                <w:sz w:val="21"/>
                <w:szCs w:val="21"/>
                <w:vertAlign w:val="subscript"/>
              </w:rPr>
              <w:t>3</w:t>
            </w:r>
            <w:r>
              <w:rPr>
                <w:rFonts w:hint="default" w:ascii="Times New Roman" w:hAnsi="Times New Roman" w:cs="Times New Roman"/>
                <w:bCs/>
                <w:color w:val="auto"/>
                <w:kern w:val="0"/>
                <w:sz w:val="21"/>
                <w:szCs w:val="21"/>
              </w:rPr>
              <w:t>）</w:t>
            </w:r>
          </w:p>
          <w:p w14:paraId="517EE68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其他污染物（TSP</w:t>
            </w:r>
            <w:r>
              <w:rPr>
                <w:rFonts w:hint="default" w:ascii="Times New Roman" w:hAnsi="Times New Roman" w:cs="Times New Roman"/>
                <w:bCs/>
                <w:color w:val="auto"/>
                <w:kern w:val="0"/>
                <w:sz w:val="21"/>
                <w:szCs w:val="21"/>
                <w:lang w:eastAsia="zh-CN"/>
              </w:rPr>
              <w:t>、苯并</w:t>
            </w:r>
            <w:r>
              <w:rPr>
                <w:rFonts w:hint="default" w:ascii="Times New Roman" w:hAnsi="Times New Roman" w:cs="Times New Roman"/>
                <w:bCs/>
                <w:color w:val="auto"/>
                <w:kern w:val="0"/>
                <w:sz w:val="21"/>
                <w:szCs w:val="21"/>
                <w:lang w:val="en-US" w:eastAsia="zh-CN"/>
              </w:rPr>
              <w:t>[a]</w:t>
            </w:r>
            <w:r>
              <w:rPr>
                <w:rFonts w:hint="default" w:ascii="Times New Roman" w:hAnsi="Times New Roman" w:cs="Times New Roman"/>
                <w:bCs/>
                <w:color w:val="auto"/>
                <w:kern w:val="0"/>
                <w:sz w:val="21"/>
                <w:szCs w:val="21"/>
                <w:lang w:eastAsia="zh-CN"/>
              </w:rPr>
              <w:t>芘</w:t>
            </w:r>
            <w:r>
              <w:rPr>
                <w:rFonts w:hint="eastAsia" w:ascii="Times New Roman" w:hAnsi="Times New Roman" w:cs="Times New Roman"/>
                <w:bCs/>
                <w:color w:val="auto"/>
                <w:kern w:val="0"/>
                <w:sz w:val="21"/>
                <w:szCs w:val="21"/>
                <w:lang w:eastAsia="zh-CN"/>
              </w:rPr>
              <w:t>、</w:t>
            </w:r>
            <w:r>
              <w:rPr>
                <w:rFonts w:hint="eastAsia" w:ascii="Times New Roman" w:hAnsi="Times New Roman" w:cs="Times New Roman"/>
                <w:bCs/>
                <w:color w:val="auto"/>
                <w:kern w:val="0"/>
                <w:sz w:val="21"/>
                <w:szCs w:val="21"/>
                <w:lang w:val="en-US" w:eastAsia="zh-CN"/>
              </w:rPr>
              <w:t>非甲烷总烃</w:t>
            </w:r>
            <w:r>
              <w:rPr>
                <w:rFonts w:hint="default" w:ascii="Times New Roman" w:hAnsi="Times New Roman" w:cs="Times New Roman"/>
                <w:bCs/>
                <w:color w:val="auto"/>
                <w:kern w:val="0"/>
                <w:sz w:val="21"/>
                <w:szCs w:val="21"/>
              </w:rPr>
              <w:t>）</w:t>
            </w:r>
          </w:p>
        </w:tc>
        <w:tc>
          <w:tcPr>
            <w:tcW w:w="2221" w:type="dxa"/>
            <w:gridSpan w:val="7"/>
            <w:tcBorders>
              <w:top w:val="single" w:color="000000" w:sz="4" w:space="0"/>
              <w:left w:val="single" w:color="auto" w:sz="4" w:space="0"/>
              <w:bottom w:val="single" w:color="000000" w:sz="4" w:space="0"/>
              <w:right w:val="single" w:color="000000" w:sz="12" w:space="0"/>
            </w:tcBorders>
            <w:noWrap w:val="0"/>
            <w:vAlign w:val="center"/>
          </w:tcPr>
          <w:p w14:paraId="45A0ED3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包括二次PM</w:t>
            </w:r>
            <w:r>
              <w:rPr>
                <w:rFonts w:hint="default" w:ascii="Times New Roman" w:hAnsi="Times New Roman" w:cs="Times New Roman"/>
                <w:bCs/>
                <w:color w:val="auto"/>
                <w:kern w:val="0"/>
                <w:sz w:val="21"/>
                <w:szCs w:val="21"/>
                <w:vertAlign w:val="subscript"/>
              </w:rPr>
              <w:t>2.5</w:t>
            </w:r>
            <w:r>
              <w:rPr>
                <w:rFonts w:hint="default" w:ascii="Times New Roman" w:hAnsi="Times New Roman" w:cs="Times New Roman"/>
                <w:bCs/>
                <w:color w:val="auto"/>
                <w:kern w:val="0"/>
                <w:sz w:val="21"/>
                <w:szCs w:val="21"/>
              </w:rPr>
              <w:t>□</w:t>
            </w:r>
          </w:p>
          <w:p w14:paraId="514F000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不包括二次PM</w:t>
            </w:r>
            <w:r>
              <w:rPr>
                <w:rFonts w:hint="default" w:ascii="Times New Roman" w:hAnsi="Times New Roman" w:cs="Times New Roman"/>
                <w:bCs/>
                <w:color w:val="auto"/>
                <w:kern w:val="0"/>
                <w:sz w:val="21"/>
                <w:szCs w:val="21"/>
                <w:vertAlign w:val="subscript"/>
              </w:rPr>
              <w:t>2.5</w:t>
            </w:r>
            <w:r>
              <w:rPr>
                <w:rFonts w:hint="default" w:ascii="Times New Roman" w:hAnsi="Times New Roman" w:cs="Times New Roman"/>
                <w:bCs/>
                <w:color w:val="auto"/>
                <w:kern w:val="0"/>
                <w:sz w:val="21"/>
                <w:szCs w:val="21"/>
              </w:rPr>
              <w:t>√</w:t>
            </w:r>
          </w:p>
        </w:tc>
      </w:tr>
      <w:tr w14:paraId="1CEE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tcBorders>
              <w:top w:val="single" w:color="000000" w:sz="4" w:space="0"/>
              <w:left w:val="single" w:color="000000" w:sz="12" w:space="0"/>
              <w:bottom w:val="single" w:color="000000" w:sz="4" w:space="0"/>
              <w:right w:val="single" w:color="000000" w:sz="4" w:space="0"/>
            </w:tcBorders>
            <w:noWrap w:val="0"/>
            <w:vAlign w:val="center"/>
          </w:tcPr>
          <w:p w14:paraId="0319E2C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评价标准</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59CAF2C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评价标准</w:t>
            </w:r>
          </w:p>
        </w:tc>
        <w:tc>
          <w:tcPr>
            <w:tcW w:w="1137" w:type="dxa"/>
            <w:gridSpan w:val="2"/>
            <w:tcBorders>
              <w:top w:val="single" w:color="000000" w:sz="4" w:space="0"/>
              <w:left w:val="single" w:color="000000" w:sz="4" w:space="0"/>
              <w:bottom w:val="single" w:color="000000" w:sz="4" w:space="0"/>
              <w:right w:val="single" w:color="000000" w:sz="4" w:space="0"/>
            </w:tcBorders>
            <w:noWrap w:val="0"/>
            <w:vAlign w:val="center"/>
          </w:tcPr>
          <w:p w14:paraId="68FEDFA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国家标准√</w:t>
            </w:r>
          </w:p>
        </w:tc>
        <w:tc>
          <w:tcPr>
            <w:tcW w:w="2510" w:type="dxa"/>
            <w:gridSpan w:val="13"/>
            <w:tcBorders>
              <w:top w:val="single" w:color="000000" w:sz="4" w:space="0"/>
              <w:left w:val="single" w:color="auto" w:sz="4" w:space="0"/>
              <w:bottom w:val="single" w:color="000000" w:sz="4" w:space="0"/>
              <w:right w:val="single" w:color="auto" w:sz="4" w:space="0"/>
            </w:tcBorders>
            <w:noWrap w:val="0"/>
            <w:vAlign w:val="center"/>
          </w:tcPr>
          <w:p w14:paraId="2FB5FC9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地方标准□</w:t>
            </w:r>
          </w:p>
        </w:tc>
        <w:tc>
          <w:tcPr>
            <w:tcW w:w="1442" w:type="dxa"/>
            <w:gridSpan w:val="6"/>
            <w:tcBorders>
              <w:top w:val="single" w:color="000000" w:sz="4" w:space="0"/>
              <w:left w:val="single" w:color="auto" w:sz="4" w:space="0"/>
              <w:bottom w:val="single" w:color="000000" w:sz="4" w:space="0"/>
              <w:right w:val="single" w:color="auto" w:sz="4" w:space="0"/>
            </w:tcBorders>
            <w:noWrap w:val="0"/>
            <w:vAlign w:val="center"/>
          </w:tcPr>
          <w:p w14:paraId="2E86D86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附录D□</w:t>
            </w:r>
          </w:p>
        </w:tc>
        <w:tc>
          <w:tcPr>
            <w:tcW w:w="1151" w:type="dxa"/>
            <w:gridSpan w:val="3"/>
            <w:tcBorders>
              <w:top w:val="single" w:color="000000" w:sz="4" w:space="0"/>
              <w:left w:val="single" w:color="auto" w:sz="4" w:space="0"/>
              <w:bottom w:val="single" w:color="000000" w:sz="4" w:space="0"/>
              <w:right w:val="single" w:color="000000" w:sz="12" w:space="0"/>
            </w:tcBorders>
            <w:noWrap w:val="0"/>
            <w:vAlign w:val="center"/>
          </w:tcPr>
          <w:p w14:paraId="4E276F4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其他标准□</w:t>
            </w:r>
          </w:p>
        </w:tc>
      </w:tr>
      <w:tr w14:paraId="77442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0B293CE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现状评价</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21B0DF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环境功能区</w:t>
            </w:r>
          </w:p>
        </w:tc>
        <w:tc>
          <w:tcPr>
            <w:tcW w:w="1372" w:type="dxa"/>
            <w:gridSpan w:val="4"/>
            <w:tcBorders>
              <w:top w:val="single" w:color="000000" w:sz="4" w:space="0"/>
              <w:left w:val="single" w:color="000000" w:sz="4" w:space="0"/>
              <w:bottom w:val="single" w:color="000000" w:sz="4" w:space="0"/>
              <w:right w:val="single" w:color="000000" w:sz="4" w:space="0"/>
            </w:tcBorders>
            <w:noWrap w:val="0"/>
            <w:vAlign w:val="center"/>
          </w:tcPr>
          <w:p w14:paraId="799AD67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一类区□</w:t>
            </w:r>
          </w:p>
        </w:tc>
        <w:tc>
          <w:tcPr>
            <w:tcW w:w="2647" w:type="dxa"/>
            <w:gridSpan w:val="13"/>
            <w:tcBorders>
              <w:top w:val="single" w:color="000000" w:sz="4" w:space="0"/>
              <w:left w:val="single" w:color="000000" w:sz="4" w:space="0"/>
              <w:bottom w:val="single" w:color="000000" w:sz="4" w:space="0"/>
              <w:right w:val="single" w:color="000000" w:sz="4" w:space="0"/>
            </w:tcBorders>
            <w:noWrap w:val="0"/>
            <w:vAlign w:val="center"/>
          </w:tcPr>
          <w:p w14:paraId="063AEA6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二类区√</w:t>
            </w:r>
          </w:p>
        </w:tc>
        <w:tc>
          <w:tcPr>
            <w:tcW w:w="2221" w:type="dxa"/>
            <w:gridSpan w:val="7"/>
            <w:tcBorders>
              <w:top w:val="single" w:color="000000" w:sz="4" w:space="0"/>
              <w:left w:val="single" w:color="000000" w:sz="4" w:space="0"/>
              <w:bottom w:val="single" w:color="000000" w:sz="4" w:space="0"/>
              <w:right w:val="single" w:color="000000" w:sz="12" w:space="0"/>
            </w:tcBorders>
            <w:noWrap w:val="0"/>
            <w:vAlign w:val="center"/>
          </w:tcPr>
          <w:p w14:paraId="3A0C5B8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一类区和二类区□</w:t>
            </w:r>
          </w:p>
        </w:tc>
      </w:tr>
      <w:tr w14:paraId="1BF0B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2B3978B8">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77636F6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评价基准年</w:t>
            </w:r>
          </w:p>
        </w:tc>
        <w:tc>
          <w:tcPr>
            <w:tcW w:w="6240" w:type="dxa"/>
            <w:gridSpan w:val="24"/>
            <w:tcBorders>
              <w:top w:val="single" w:color="000000" w:sz="4" w:space="0"/>
              <w:left w:val="single" w:color="000000" w:sz="4" w:space="0"/>
              <w:bottom w:val="single" w:color="000000" w:sz="4" w:space="0"/>
              <w:right w:val="single" w:color="000000" w:sz="12" w:space="0"/>
            </w:tcBorders>
            <w:noWrap w:val="0"/>
            <w:vAlign w:val="center"/>
          </w:tcPr>
          <w:p w14:paraId="26A8CA2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（20</w:t>
            </w:r>
            <w:r>
              <w:rPr>
                <w:rFonts w:hint="default" w:ascii="Times New Roman" w:hAnsi="Times New Roman" w:cs="Times New Roman"/>
                <w:bCs/>
                <w:color w:val="auto"/>
                <w:kern w:val="0"/>
                <w:sz w:val="21"/>
                <w:szCs w:val="21"/>
                <w:lang w:val="en-US" w:eastAsia="zh-CN"/>
              </w:rPr>
              <w:t>2</w:t>
            </w:r>
            <w:r>
              <w:rPr>
                <w:rFonts w:hint="eastAsia" w:ascii="Times New Roman" w:hAnsi="Times New Roman" w:cs="Times New Roman"/>
                <w:bCs/>
                <w:color w:val="auto"/>
                <w:kern w:val="0"/>
                <w:sz w:val="21"/>
                <w:szCs w:val="21"/>
                <w:lang w:val="en-US" w:eastAsia="zh-CN"/>
              </w:rPr>
              <w:t>5</w:t>
            </w:r>
            <w:r>
              <w:rPr>
                <w:rFonts w:hint="default" w:ascii="Times New Roman" w:hAnsi="Times New Roman" w:cs="Times New Roman"/>
                <w:bCs/>
                <w:color w:val="auto"/>
                <w:kern w:val="0"/>
                <w:sz w:val="21"/>
                <w:szCs w:val="21"/>
              </w:rPr>
              <w:t>）年</w:t>
            </w:r>
          </w:p>
        </w:tc>
      </w:tr>
      <w:tr w14:paraId="1B779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2A2DCCEA">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405DE85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环境空气质量现状调查数据来源</w:t>
            </w:r>
          </w:p>
        </w:tc>
        <w:tc>
          <w:tcPr>
            <w:tcW w:w="1372" w:type="dxa"/>
            <w:gridSpan w:val="4"/>
            <w:tcBorders>
              <w:top w:val="single" w:color="000000" w:sz="4" w:space="0"/>
              <w:left w:val="single" w:color="000000" w:sz="4" w:space="0"/>
              <w:bottom w:val="single" w:color="000000" w:sz="4" w:space="0"/>
              <w:right w:val="single" w:color="000000" w:sz="4" w:space="0"/>
            </w:tcBorders>
            <w:noWrap w:val="0"/>
            <w:vAlign w:val="center"/>
          </w:tcPr>
          <w:p w14:paraId="4512041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长期例行监测数据□</w:t>
            </w:r>
          </w:p>
        </w:tc>
        <w:tc>
          <w:tcPr>
            <w:tcW w:w="2647" w:type="dxa"/>
            <w:gridSpan w:val="13"/>
            <w:tcBorders>
              <w:top w:val="single" w:color="000000" w:sz="4" w:space="0"/>
              <w:left w:val="single" w:color="000000" w:sz="4" w:space="0"/>
              <w:bottom w:val="single" w:color="000000" w:sz="4" w:space="0"/>
              <w:right w:val="single" w:color="000000" w:sz="4" w:space="0"/>
            </w:tcBorders>
            <w:noWrap w:val="0"/>
            <w:vAlign w:val="center"/>
          </w:tcPr>
          <w:p w14:paraId="72F14EB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主管部门发布的数据√</w:t>
            </w:r>
          </w:p>
        </w:tc>
        <w:tc>
          <w:tcPr>
            <w:tcW w:w="2221" w:type="dxa"/>
            <w:gridSpan w:val="7"/>
            <w:tcBorders>
              <w:top w:val="single" w:color="000000" w:sz="4" w:space="0"/>
              <w:left w:val="single" w:color="000000" w:sz="4" w:space="0"/>
              <w:bottom w:val="single" w:color="000000" w:sz="4" w:space="0"/>
              <w:right w:val="single" w:color="000000" w:sz="12" w:space="0"/>
            </w:tcBorders>
            <w:noWrap w:val="0"/>
            <w:vAlign w:val="center"/>
          </w:tcPr>
          <w:p w14:paraId="294B8A0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现状补充监测√</w:t>
            </w:r>
          </w:p>
        </w:tc>
      </w:tr>
      <w:tr w14:paraId="76FC6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1FEB6DCC">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0DAEB4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现状评价</w:t>
            </w:r>
          </w:p>
        </w:tc>
        <w:tc>
          <w:tcPr>
            <w:tcW w:w="3081" w:type="dxa"/>
            <w:gridSpan w:val="11"/>
            <w:tcBorders>
              <w:top w:val="single" w:color="000000" w:sz="4" w:space="0"/>
              <w:left w:val="single" w:color="000000" w:sz="4" w:space="0"/>
              <w:bottom w:val="single" w:color="000000" w:sz="4" w:space="0"/>
              <w:right w:val="single" w:color="000000" w:sz="4" w:space="0"/>
            </w:tcBorders>
            <w:noWrap w:val="0"/>
            <w:vAlign w:val="center"/>
          </w:tcPr>
          <w:p w14:paraId="2CE65D8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达标区</w:t>
            </w:r>
            <w:r>
              <w:rPr>
                <w:rFonts w:hint="default" w:ascii="Times New Roman" w:hAnsi="Times New Roman" w:cs="Times New Roman"/>
                <w:bCs/>
                <w:color w:val="auto"/>
                <w:kern w:val="0"/>
                <w:sz w:val="21"/>
                <w:szCs w:val="21"/>
              </w:rPr>
              <w:sym w:font="Wingdings 2" w:char="0052"/>
            </w:r>
          </w:p>
        </w:tc>
        <w:tc>
          <w:tcPr>
            <w:tcW w:w="3159" w:type="dxa"/>
            <w:gridSpan w:val="13"/>
            <w:tcBorders>
              <w:top w:val="single" w:color="000000" w:sz="4" w:space="0"/>
              <w:left w:val="single" w:color="auto" w:sz="4" w:space="0"/>
              <w:bottom w:val="single" w:color="000000" w:sz="4" w:space="0"/>
              <w:right w:val="single" w:color="000000" w:sz="12" w:space="0"/>
            </w:tcBorders>
            <w:noWrap w:val="0"/>
            <w:vAlign w:val="center"/>
          </w:tcPr>
          <w:p w14:paraId="6A9CD0C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不达标区</w:t>
            </w:r>
            <w:r>
              <w:rPr>
                <w:rFonts w:hint="default" w:ascii="Times New Roman" w:hAnsi="Times New Roman" w:cs="Times New Roman"/>
                <w:bCs/>
                <w:color w:val="auto"/>
                <w:kern w:val="0"/>
                <w:sz w:val="21"/>
                <w:szCs w:val="21"/>
              </w:rPr>
              <w:sym w:font="Wingdings 2" w:char="00A3"/>
            </w:r>
          </w:p>
        </w:tc>
      </w:tr>
      <w:tr w14:paraId="37F0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tcBorders>
              <w:top w:val="single" w:color="000000" w:sz="4" w:space="0"/>
              <w:left w:val="single" w:color="000000" w:sz="12" w:space="0"/>
              <w:bottom w:val="single" w:color="000000" w:sz="4" w:space="0"/>
              <w:right w:val="single" w:color="000000" w:sz="4" w:space="0"/>
            </w:tcBorders>
            <w:noWrap w:val="0"/>
            <w:vAlign w:val="center"/>
          </w:tcPr>
          <w:p w14:paraId="6E3B88E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污染源调查</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3560EFA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调查内容</w:t>
            </w:r>
          </w:p>
        </w:tc>
        <w:tc>
          <w:tcPr>
            <w:tcW w:w="1563" w:type="dxa"/>
            <w:gridSpan w:val="7"/>
            <w:tcBorders>
              <w:top w:val="single" w:color="000000" w:sz="4" w:space="0"/>
              <w:left w:val="single" w:color="000000" w:sz="4" w:space="0"/>
              <w:bottom w:val="single" w:color="000000" w:sz="4" w:space="0"/>
              <w:right w:val="single" w:color="000000" w:sz="4" w:space="0"/>
            </w:tcBorders>
            <w:noWrap w:val="0"/>
            <w:vAlign w:val="center"/>
          </w:tcPr>
          <w:p w14:paraId="3538BA4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本项目正常排放源</w:t>
            </w:r>
            <w:r>
              <w:rPr>
                <w:rFonts w:hint="default" w:ascii="Times New Roman" w:hAnsi="Times New Roman" w:cs="Times New Roman"/>
                <w:bCs/>
                <w:color w:val="auto"/>
                <w:kern w:val="0"/>
                <w:sz w:val="21"/>
                <w:szCs w:val="21"/>
              </w:rPr>
              <w:sym w:font="Wingdings 2" w:char="0052"/>
            </w:r>
          </w:p>
          <w:p w14:paraId="4BF7616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本项目非正常排放源</w:t>
            </w:r>
            <w:r>
              <w:rPr>
                <w:rFonts w:hint="default" w:ascii="Times New Roman" w:hAnsi="Times New Roman" w:cs="Times New Roman"/>
                <w:bCs/>
                <w:color w:val="auto"/>
                <w:kern w:val="0"/>
                <w:sz w:val="21"/>
                <w:szCs w:val="21"/>
              </w:rPr>
              <w:sym w:font="Wingdings 2" w:char="0052"/>
            </w:r>
          </w:p>
          <w:p w14:paraId="3619BCC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现有污染源□</w:t>
            </w:r>
          </w:p>
        </w:tc>
        <w:tc>
          <w:tcPr>
            <w:tcW w:w="1808" w:type="dxa"/>
            <w:gridSpan w:val="5"/>
            <w:tcBorders>
              <w:top w:val="single" w:color="000000" w:sz="4" w:space="0"/>
              <w:left w:val="single" w:color="000000" w:sz="4" w:space="0"/>
              <w:bottom w:val="single" w:color="000000" w:sz="4" w:space="0"/>
              <w:right w:val="single" w:color="000000" w:sz="4" w:space="0"/>
            </w:tcBorders>
            <w:noWrap w:val="0"/>
            <w:vAlign w:val="center"/>
          </w:tcPr>
          <w:p w14:paraId="580CF46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拟替代的污染源□</w:t>
            </w:r>
          </w:p>
        </w:tc>
        <w:tc>
          <w:tcPr>
            <w:tcW w:w="1860" w:type="dxa"/>
            <w:gridSpan w:val="10"/>
            <w:tcBorders>
              <w:top w:val="single" w:color="000000" w:sz="4" w:space="0"/>
              <w:left w:val="single" w:color="000000" w:sz="4" w:space="0"/>
              <w:bottom w:val="single" w:color="000000" w:sz="4" w:space="0"/>
              <w:right w:val="single" w:color="000000" w:sz="4" w:space="0"/>
            </w:tcBorders>
            <w:noWrap w:val="0"/>
            <w:vAlign w:val="center"/>
          </w:tcPr>
          <w:p w14:paraId="33B77CA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其他在建、拟建项目污染源□</w:t>
            </w:r>
          </w:p>
        </w:tc>
        <w:tc>
          <w:tcPr>
            <w:tcW w:w="1009" w:type="dxa"/>
            <w:gridSpan w:val="2"/>
            <w:tcBorders>
              <w:top w:val="single" w:color="000000" w:sz="4" w:space="0"/>
              <w:left w:val="single" w:color="000000" w:sz="4" w:space="0"/>
              <w:bottom w:val="single" w:color="000000" w:sz="4" w:space="0"/>
              <w:right w:val="single" w:color="000000" w:sz="12" w:space="0"/>
            </w:tcBorders>
            <w:noWrap w:val="0"/>
            <w:vAlign w:val="center"/>
          </w:tcPr>
          <w:p w14:paraId="3E6543A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区域污染源□</w:t>
            </w:r>
          </w:p>
        </w:tc>
      </w:tr>
      <w:tr w14:paraId="0F179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6EFDF59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大气环境影响预测与评价</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8D3750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预测模型</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C08BFA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AERMOD□</w:t>
            </w:r>
          </w:p>
        </w:tc>
        <w:tc>
          <w:tcPr>
            <w:tcW w:w="713" w:type="dxa"/>
            <w:gridSpan w:val="6"/>
            <w:tcBorders>
              <w:top w:val="single" w:color="000000" w:sz="4" w:space="0"/>
              <w:left w:val="single" w:color="000000" w:sz="4" w:space="0"/>
              <w:bottom w:val="single" w:color="000000" w:sz="4" w:space="0"/>
              <w:right w:val="single" w:color="000000" w:sz="4" w:space="0"/>
            </w:tcBorders>
            <w:noWrap w:val="0"/>
            <w:vAlign w:val="center"/>
          </w:tcPr>
          <w:p w14:paraId="32313B4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ADMS□</w:t>
            </w:r>
          </w:p>
        </w:tc>
        <w:tc>
          <w:tcPr>
            <w:tcW w:w="992" w:type="dxa"/>
            <w:gridSpan w:val="2"/>
            <w:tcBorders>
              <w:top w:val="single" w:color="000000" w:sz="4" w:space="0"/>
              <w:left w:val="single" w:color="000000" w:sz="4" w:space="0"/>
              <w:bottom w:val="single" w:color="000000" w:sz="4" w:space="0"/>
              <w:right w:val="single" w:color="000000" w:sz="4" w:space="0"/>
            </w:tcBorders>
            <w:noWrap w:val="0"/>
            <w:vAlign w:val="center"/>
          </w:tcPr>
          <w:p w14:paraId="6DAC90B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AUSTAL2000□</w:t>
            </w:r>
          </w:p>
        </w:tc>
        <w:tc>
          <w:tcPr>
            <w:tcW w:w="1134" w:type="dxa"/>
            <w:gridSpan w:val="7"/>
            <w:tcBorders>
              <w:top w:val="single" w:color="000000" w:sz="4" w:space="0"/>
              <w:left w:val="single" w:color="000000" w:sz="4" w:space="0"/>
              <w:bottom w:val="single" w:color="000000" w:sz="4" w:space="0"/>
              <w:right w:val="single" w:color="000000" w:sz="4" w:space="0"/>
            </w:tcBorders>
            <w:noWrap w:val="0"/>
            <w:vAlign w:val="center"/>
          </w:tcPr>
          <w:p w14:paraId="64A344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EDMS/AEDT□</w:t>
            </w:r>
          </w:p>
        </w:tc>
        <w:tc>
          <w:tcPr>
            <w:tcW w:w="836" w:type="dxa"/>
            <w:gridSpan w:val="2"/>
            <w:tcBorders>
              <w:top w:val="single" w:color="000000" w:sz="4" w:space="0"/>
              <w:left w:val="single" w:color="000000" w:sz="4" w:space="0"/>
              <w:bottom w:val="single" w:color="000000" w:sz="4" w:space="0"/>
              <w:right w:val="single" w:color="000000" w:sz="4" w:space="0"/>
            </w:tcBorders>
            <w:noWrap w:val="0"/>
            <w:vAlign w:val="center"/>
          </w:tcPr>
          <w:p w14:paraId="4D5253F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CALPUFF□</w:t>
            </w:r>
          </w:p>
        </w:tc>
        <w:tc>
          <w:tcPr>
            <w:tcW w:w="993" w:type="dxa"/>
            <w:gridSpan w:val="5"/>
            <w:tcBorders>
              <w:top w:val="single" w:color="000000" w:sz="4" w:space="0"/>
              <w:left w:val="single" w:color="000000" w:sz="4" w:space="0"/>
              <w:bottom w:val="single" w:color="000000" w:sz="4" w:space="0"/>
              <w:right w:val="single" w:color="000000" w:sz="4" w:space="0"/>
            </w:tcBorders>
            <w:noWrap w:val="0"/>
            <w:vAlign w:val="center"/>
          </w:tcPr>
          <w:p w14:paraId="21B05F6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网格模型□</w:t>
            </w:r>
          </w:p>
        </w:tc>
        <w:tc>
          <w:tcPr>
            <w:tcW w:w="722" w:type="dxa"/>
            <w:tcBorders>
              <w:top w:val="single" w:color="000000" w:sz="4" w:space="0"/>
              <w:left w:val="single" w:color="000000" w:sz="4" w:space="0"/>
              <w:bottom w:val="single" w:color="000000" w:sz="4" w:space="0"/>
              <w:right w:val="single" w:color="000000" w:sz="12" w:space="0"/>
            </w:tcBorders>
            <w:noWrap w:val="0"/>
            <w:vAlign w:val="center"/>
          </w:tcPr>
          <w:p w14:paraId="00008C9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其他□</w:t>
            </w:r>
          </w:p>
        </w:tc>
      </w:tr>
      <w:tr w14:paraId="53308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2359BECF">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7FF5091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预测范围</w:t>
            </w:r>
          </w:p>
        </w:tc>
        <w:tc>
          <w:tcPr>
            <w:tcW w:w="1546" w:type="dxa"/>
            <w:gridSpan w:val="6"/>
            <w:tcBorders>
              <w:top w:val="single" w:color="000000" w:sz="4" w:space="0"/>
              <w:left w:val="single" w:color="000000" w:sz="4" w:space="0"/>
              <w:bottom w:val="single" w:color="000000" w:sz="4" w:space="0"/>
              <w:right w:val="single" w:color="000000" w:sz="4" w:space="0"/>
            </w:tcBorders>
            <w:noWrap w:val="0"/>
            <w:vAlign w:val="center"/>
          </w:tcPr>
          <w:p w14:paraId="0341D13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边长≥50km□</w:t>
            </w:r>
          </w:p>
        </w:tc>
        <w:tc>
          <w:tcPr>
            <w:tcW w:w="3076" w:type="dxa"/>
            <w:gridSpan w:val="13"/>
            <w:tcBorders>
              <w:top w:val="single" w:color="000000" w:sz="4" w:space="0"/>
              <w:left w:val="single" w:color="000000" w:sz="4" w:space="0"/>
              <w:bottom w:val="single" w:color="000000" w:sz="4" w:space="0"/>
              <w:right w:val="single" w:color="000000" w:sz="4" w:space="0"/>
            </w:tcBorders>
            <w:noWrap w:val="0"/>
            <w:vAlign w:val="center"/>
          </w:tcPr>
          <w:p w14:paraId="60AE36D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边长5~50km□</w:t>
            </w:r>
          </w:p>
        </w:tc>
        <w:tc>
          <w:tcPr>
            <w:tcW w:w="1618" w:type="dxa"/>
            <w:gridSpan w:val="5"/>
            <w:tcBorders>
              <w:top w:val="single" w:color="000000" w:sz="4" w:space="0"/>
              <w:left w:val="single" w:color="000000" w:sz="4" w:space="0"/>
              <w:bottom w:val="single" w:color="000000" w:sz="4" w:space="0"/>
              <w:right w:val="single" w:color="000000" w:sz="12" w:space="0"/>
            </w:tcBorders>
            <w:noWrap w:val="0"/>
            <w:vAlign w:val="center"/>
          </w:tcPr>
          <w:p w14:paraId="541C972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边长=5km</w:t>
            </w:r>
            <w:r>
              <w:rPr>
                <w:rFonts w:hint="default" w:ascii="Times New Roman" w:hAnsi="Times New Roman" w:cs="Times New Roman"/>
                <w:bCs/>
                <w:color w:val="auto"/>
                <w:kern w:val="0"/>
                <w:sz w:val="21"/>
                <w:szCs w:val="21"/>
              </w:rPr>
              <w:sym w:font="Wingdings 2" w:char="0052"/>
            </w:r>
          </w:p>
        </w:tc>
      </w:tr>
      <w:tr w14:paraId="58207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1F6CA3EF">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58B0951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预测因子</w:t>
            </w:r>
          </w:p>
        </w:tc>
        <w:tc>
          <w:tcPr>
            <w:tcW w:w="3533" w:type="dxa"/>
            <w:gridSpan w:val="13"/>
            <w:tcBorders>
              <w:top w:val="single" w:color="000000" w:sz="4" w:space="0"/>
              <w:left w:val="single" w:color="000000" w:sz="4" w:space="0"/>
              <w:bottom w:val="single" w:color="000000" w:sz="4" w:space="0"/>
              <w:right w:val="single" w:color="000000" w:sz="4" w:space="0"/>
            </w:tcBorders>
            <w:noWrap w:val="0"/>
            <w:vAlign w:val="center"/>
          </w:tcPr>
          <w:p w14:paraId="000620D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预测因子（）</w:t>
            </w:r>
          </w:p>
        </w:tc>
        <w:tc>
          <w:tcPr>
            <w:tcW w:w="2707" w:type="dxa"/>
            <w:gridSpan w:val="11"/>
            <w:tcBorders>
              <w:top w:val="single" w:color="000000" w:sz="4" w:space="0"/>
              <w:left w:val="single" w:color="auto" w:sz="4" w:space="0"/>
              <w:bottom w:val="single" w:color="000000" w:sz="4" w:space="0"/>
              <w:right w:val="single" w:color="000000" w:sz="12" w:space="0"/>
            </w:tcBorders>
            <w:noWrap w:val="0"/>
            <w:vAlign w:val="center"/>
          </w:tcPr>
          <w:p w14:paraId="46E91E3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包括二次PM</w:t>
            </w:r>
            <w:r>
              <w:rPr>
                <w:rFonts w:hint="default" w:ascii="Times New Roman" w:hAnsi="Times New Roman" w:cs="Times New Roman"/>
                <w:bCs/>
                <w:color w:val="auto"/>
                <w:kern w:val="0"/>
                <w:sz w:val="21"/>
                <w:szCs w:val="21"/>
                <w:vertAlign w:val="subscript"/>
              </w:rPr>
              <w:t>2.5</w:t>
            </w:r>
            <w:r>
              <w:rPr>
                <w:rFonts w:hint="default" w:ascii="Times New Roman" w:hAnsi="Times New Roman" w:cs="Times New Roman"/>
                <w:bCs/>
                <w:color w:val="auto"/>
                <w:kern w:val="0"/>
                <w:sz w:val="21"/>
                <w:szCs w:val="21"/>
              </w:rPr>
              <w:t>□</w:t>
            </w:r>
          </w:p>
          <w:p w14:paraId="759DF39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不包括二次PM</w:t>
            </w:r>
            <w:r>
              <w:rPr>
                <w:rFonts w:hint="default" w:ascii="Times New Roman" w:hAnsi="Times New Roman" w:cs="Times New Roman"/>
                <w:bCs/>
                <w:color w:val="auto"/>
                <w:kern w:val="0"/>
                <w:sz w:val="21"/>
                <w:szCs w:val="21"/>
                <w:vertAlign w:val="subscript"/>
              </w:rPr>
              <w:t>2.5</w:t>
            </w:r>
            <w:r>
              <w:rPr>
                <w:rFonts w:hint="default" w:ascii="Times New Roman" w:hAnsi="Times New Roman" w:cs="Times New Roman"/>
                <w:bCs/>
                <w:color w:val="auto"/>
                <w:kern w:val="0"/>
                <w:sz w:val="21"/>
                <w:szCs w:val="21"/>
              </w:rPr>
              <w:t>□</w:t>
            </w:r>
          </w:p>
        </w:tc>
      </w:tr>
      <w:tr w14:paraId="330EF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15A8210A">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592FD08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正常排放短期浓度贡献值</w:t>
            </w:r>
          </w:p>
        </w:tc>
        <w:tc>
          <w:tcPr>
            <w:tcW w:w="3533" w:type="dxa"/>
            <w:gridSpan w:val="13"/>
            <w:tcBorders>
              <w:top w:val="single" w:color="000000" w:sz="4" w:space="0"/>
              <w:left w:val="single" w:color="000000" w:sz="4" w:space="0"/>
              <w:bottom w:val="single" w:color="000000" w:sz="4" w:space="0"/>
              <w:right w:val="single" w:color="000000" w:sz="4" w:space="0"/>
            </w:tcBorders>
            <w:noWrap w:val="0"/>
            <w:vAlign w:val="center"/>
          </w:tcPr>
          <w:p w14:paraId="74575B3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最大占标率≤100%</w:t>
            </w:r>
            <w:r>
              <w:rPr>
                <w:rFonts w:hint="default" w:ascii="Times New Roman" w:hAnsi="Times New Roman" w:cs="Times New Roman"/>
                <w:bCs/>
                <w:color w:val="auto"/>
                <w:kern w:val="0"/>
                <w:sz w:val="21"/>
                <w:szCs w:val="21"/>
              </w:rPr>
              <w:sym w:font="Wingdings 2" w:char="0052"/>
            </w:r>
          </w:p>
        </w:tc>
        <w:tc>
          <w:tcPr>
            <w:tcW w:w="2707" w:type="dxa"/>
            <w:gridSpan w:val="11"/>
            <w:tcBorders>
              <w:top w:val="single" w:color="000000" w:sz="4" w:space="0"/>
              <w:left w:val="single" w:color="auto" w:sz="4" w:space="0"/>
              <w:bottom w:val="single" w:color="000000" w:sz="4" w:space="0"/>
              <w:right w:val="single" w:color="000000" w:sz="12" w:space="0"/>
            </w:tcBorders>
            <w:noWrap w:val="0"/>
            <w:vAlign w:val="center"/>
          </w:tcPr>
          <w:p w14:paraId="3FE4599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最大占标率&gt;100%□</w:t>
            </w:r>
          </w:p>
        </w:tc>
      </w:tr>
      <w:tr w14:paraId="6D3C1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4D55C3C6">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A2941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正常排放年均浓度贡献值</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C09D7C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一类区</w:t>
            </w:r>
          </w:p>
        </w:tc>
        <w:tc>
          <w:tcPr>
            <w:tcW w:w="2693" w:type="dxa"/>
            <w:gridSpan w:val="13"/>
            <w:tcBorders>
              <w:top w:val="single" w:color="000000" w:sz="4" w:space="0"/>
              <w:left w:val="single" w:color="000000" w:sz="4" w:space="0"/>
              <w:bottom w:val="single" w:color="000000" w:sz="4" w:space="0"/>
              <w:right w:val="single" w:color="000000" w:sz="4" w:space="0"/>
            </w:tcBorders>
            <w:noWrap w:val="0"/>
            <w:vAlign w:val="center"/>
          </w:tcPr>
          <w:p w14:paraId="620C856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最大占标率≤10%□</w:t>
            </w:r>
          </w:p>
        </w:tc>
        <w:tc>
          <w:tcPr>
            <w:tcW w:w="2697" w:type="dxa"/>
            <w:gridSpan w:val="10"/>
            <w:tcBorders>
              <w:top w:val="single" w:color="000000" w:sz="4" w:space="0"/>
              <w:left w:val="single" w:color="000000" w:sz="4" w:space="0"/>
              <w:bottom w:val="single" w:color="000000" w:sz="4" w:space="0"/>
              <w:right w:val="single" w:color="000000" w:sz="12" w:space="0"/>
            </w:tcBorders>
            <w:noWrap w:val="0"/>
            <w:vAlign w:val="center"/>
          </w:tcPr>
          <w:p w14:paraId="31AECB6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最大占标率&gt;10%□</w:t>
            </w:r>
          </w:p>
        </w:tc>
      </w:tr>
      <w:tr w14:paraId="20DE2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408A6B3D">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A9F62">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BCC388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二类区</w:t>
            </w:r>
          </w:p>
        </w:tc>
        <w:tc>
          <w:tcPr>
            <w:tcW w:w="2693" w:type="dxa"/>
            <w:gridSpan w:val="13"/>
            <w:tcBorders>
              <w:top w:val="single" w:color="000000" w:sz="4" w:space="0"/>
              <w:left w:val="single" w:color="000000" w:sz="4" w:space="0"/>
              <w:bottom w:val="single" w:color="000000" w:sz="4" w:space="0"/>
              <w:right w:val="single" w:color="000000" w:sz="4" w:space="0"/>
            </w:tcBorders>
            <w:noWrap w:val="0"/>
            <w:vAlign w:val="center"/>
          </w:tcPr>
          <w:p w14:paraId="6AFF18D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最大占标率≤30%□</w:t>
            </w:r>
          </w:p>
        </w:tc>
        <w:tc>
          <w:tcPr>
            <w:tcW w:w="2697" w:type="dxa"/>
            <w:gridSpan w:val="10"/>
            <w:tcBorders>
              <w:top w:val="single" w:color="000000" w:sz="4" w:space="0"/>
              <w:left w:val="single" w:color="000000" w:sz="4" w:space="0"/>
              <w:bottom w:val="single" w:color="000000" w:sz="4" w:space="0"/>
              <w:right w:val="single" w:color="000000" w:sz="12" w:space="0"/>
            </w:tcBorders>
            <w:noWrap w:val="0"/>
            <w:vAlign w:val="center"/>
          </w:tcPr>
          <w:p w14:paraId="339FAD4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本项目</w:t>
            </w:r>
            <w:r>
              <w:rPr>
                <w:rFonts w:hint="default" w:ascii="Times New Roman" w:hAnsi="Times New Roman" w:cs="Times New Roman"/>
                <w:bCs/>
                <w:color w:val="auto"/>
                <w:kern w:val="0"/>
                <w:sz w:val="21"/>
                <w:szCs w:val="21"/>
              </w:rPr>
              <w:t>最大占标率&gt;30%□</w:t>
            </w:r>
          </w:p>
        </w:tc>
      </w:tr>
      <w:tr w14:paraId="293BF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1477CC52">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5B519CF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非正常排放1h浓度贡献值</w:t>
            </w:r>
          </w:p>
        </w:tc>
        <w:tc>
          <w:tcPr>
            <w:tcW w:w="1271" w:type="dxa"/>
            <w:gridSpan w:val="3"/>
            <w:tcBorders>
              <w:top w:val="single" w:color="000000" w:sz="4" w:space="0"/>
              <w:left w:val="single" w:color="000000" w:sz="4" w:space="0"/>
              <w:bottom w:val="single" w:color="000000" w:sz="4" w:space="0"/>
              <w:right w:val="single" w:color="000000" w:sz="4" w:space="0"/>
            </w:tcBorders>
            <w:noWrap w:val="0"/>
            <w:vAlign w:val="center"/>
          </w:tcPr>
          <w:p w14:paraId="6A09C57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非正常持续时长（）h</w:t>
            </w:r>
          </w:p>
        </w:tc>
        <w:tc>
          <w:tcPr>
            <w:tcW w:w="2272" w:type="dxa"/>
            <w:gridSpan w:val="11"/>
            <w:tcBorders>
              <w:top w:val="single" w:color="000000" w:sz="4" w:space="0"/>
              <w:left w:val="single" w:color="000000" w:sz="4" w:space="0"/>
              <w:bottom w:val="single" w:color="000000" w:sz="4" w:space="0"/>
              <w:right w:val="single" w:color="000000" w:sz="4" w:space="0"/>
            </w:tcBorders>
            <w:noWrap w:val="0"/>
            <w:vAlign w:val="center"/>
          </w:tcPr>
          <w:p w14:paraId="35F9CBB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非正常</w:t>
            </w:r>
            <w:r>
              <w:rPr>
                <w:rFonts w:hint="default" w:ascii="Times New Roman" w:hAnsi="Times New Roman" w:cs="Times New Roman"/>
                <w:bCs/>
                <w:color w:val="auto"/>
                <w:kern w:val="0"/>
                <w:sz w:val="21"/>
                <w:szCs w:val="21"/>
              </w:rPr>
              <w:t>占标率≤100%□</w:t>
            </w:r>
          </w:p>
        </w:tc>
        <w:tc>
          <w:tcPr>
            <w:tcW w:w="2697" w:type="dxa"/>
            <w:gridSpan w:val="10"/>
            <w:tcBorders>
              <w:top w:val="single" w:color="000000" w:sz="4" w:space="0"/>
              <w:left w:val="single" w:color="000000" w:sz="4" w:space="0"/>
              <w:bottom w:val="single" w:color="000000" w:sz="4" w:space="0"/>
              <w:right w:val="single" w:color="000000" w:sz="12" w:space="0"/>
            </w:tcBorders>
            <w:noWrap w:val="0"/>
            <w:vAlign w:val="center"/>
          </w:tcPr>
          <w:p w14:paraId="1C08F9E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非正常</w:t>
            </w:r>
            <w:r>
              <w:rPr>
                <w:rFonts w:hint="default" w:ascii="Times New Roman" w:hAnsi="Times New Roman" w:cs="Times New Roman"/>
                <w:bCs/>
                <w:color w:val="auto"/>
                <w:kern w:val="0"/>
                <w:sz w:val="21"/>
                <w:szCs w:val="21"/>
              </w:rPr>
              <w:t>占标率&gt;100%□</w:t>
            </w:r>
          </w:p>
        </w:tc>
      </w:tr>
      <w:tr w14:paraId="5EE22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613D9FED">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01BFF99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保证率日平均浓度和年平均浓度叠加值</w:t>
            </w:r>
          </w:p>
        </w:tc>
        <w:tc>
          <w:tcPr>
            <w:tcW w:w="3044" w:type="dxa"/>
            <w:gridSpan w:val="10"/>
            <w:tcBorders>
              <w:top w:val="single" w:color="000000" w:sz="4" w:space="0"/>
              <w:left w:val="single" w:color="000000" w:sz="4" w:space="0"/>
              <w:bottom w:val="single" w:color="000000" w:sz="4" w:space="0"/>
              <w:right w:val="single" w:color="000000" w:sz="4" w:space="0"/>
            </w:tcBorders>
            <w:noWrap w:val="0"/>
            <w:vAlign w:val="center"/>
          </w:tcPr>
          <w:p w14:paraId="4B94A1B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叠加</w:t>
            </w:r>
            <w:r>
              <w:rPr>
                <w:rFonts w:hint="default" w:ascii="Times New Roman" w:hAnsi="Times New Roman" w:cs="Times New Roman"/>
                <w:bCs/>
                <w:color w:val="auto"/>
                <w:kern w:val="0"/>
                <w:sz w:val="21"/>
                <w:szCs w:val="21"/>
              </w:rPr>
              <w:t>达标□</w:t>
            </w:r>
          </w:p>
        </w:tc>
        <w:tc>
          <w:tcPr>
            <w:tcW w:w="3196" w:type="dxa"/>
            <w:gridSpan w:val="14"/>
            <w:tcBorders>
              <w:top w:val="single" w:color="000000" w:sz="4" w:space="0"/>
              <w:left w:val="single" w:color="000000" w:sz="4" w:space="0"/>
              <w:bottom w:val="single" w:color="000000" w:sz="4" w:space="0"/>
              <w:right w:val="single" w:color="000000" w:sz="12" w:space="0"/>
            </w:tcBorders>
            <w:noWrap w:val="0"/>
            <w:vAlign w:val="center"/>
          </w:tcPr>
          <w:p w14:paraId="084F73C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C</w:t>
            </w:r>
            <w:r>
              <w:rPr>
                <w:rFonts w:hint="default" w:ascii="Times New Roman" w:hAnsi="Times New Roman" w:cs="Times New Roman"/>
                <w:bCs/>
                <w:color w:val="auto"/>
                <w:kern w:val="0"/>
                <w:sz w:val="21"/>
                <w:szCs w:val="21"/>
                <w:vertAlign w:val="subscript"/>
              </w:rPr>
              <w:t>叠加</w:t>
            </w:r>
            <w:r>
              <w:rPr>
                <w:rFonts w:hint="default" w:ascii="Times New Roman" w:hAnsi="Times New Roman" w:cs="Times New Roman"/>
                <w:bCs/>
                <w:color w:val="auto"/>
                <w:kern w:val="0"/>
                <w:sz w:val="21"/>
                <w:szCs w:val="21"/>
              </w:rPr>
              <w:t>不达标□</w:t>
            </w:r>
          </w:p>
        </w:tc>
      </w:tr>
      <w:tr w14:paraId="680F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3A4B215A">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5BE8F7A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区域环境质量的整体变化情况</w:t>
            </w:r>
          </w:p>
        </w:tc>
        <w:tc>
          <w:tcPr>
            <w:tcW w:w="3044" w:type="dxa"/>
            <w:gridSpan w:val="10"/>
            <w:tcBorders>
              <w:top w:val="single" w:color="000000" w:sz="4" w:space="0"/>
              <w:left w:val="single" w:color="000000" w:sz="4" w:space="0"/>
              <w:bottom w:val="single" w:color="000000" w:sz="4" w:space="0"/>
              <w:right w:val="single" w:color="000000" w:sz="4" w:space="0"/>
            </w:tcBorders>
            <w:noWrap w:val="0"/>
            <w:vAlign w:val="center"/>
          </w:tcPr>
          <w:p w14:paraId="2AC073C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k≤-20%□</w:t>
            </w:r>
          </w:p>
        </w:tc>
        <w:tc>
          <w:tcPr>
            <w:tcW w:w="3196" w:type="dxa"/>
            <w:gridSpan w:val="14"/>
            <w:tcBorders>
              <w:top w:val="single" w:color="000000" w:sz="4" w:space="0"/>
              <w:left w:val="single" w:color="000000" w:sz="4" w:space="0"/>
              <w:bottom w:val="single" w:color="000000" w:sz="4" w:space="0"/>
              <w:right w:val="single" w:color="000000" w:sz="12" w:space="0"/>
            </w:tcBorders>
            <w:noWrap w:val="0"/>
            <w:vAlign w:val="center"/>
          </w:tcPr>
          <w:p w14:paraId="48B55A5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k&gt;-20%□</w:t>
            </w:r>
          </w:p>
        </w:tc>
      </w:tr>
      <w:tr w14:paraId="6076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3F68912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环境监测计划</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6721E88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污染源监测</w:t>
            </w:r>
          </w:p>
        </w:tc>
        <w:tc>
          <w:tcPr>
            <w:tcW w:w="2122" w:type="dxa"/>
            <w:gridSpan w:val="8"/>
            <w:tcBorders>
              <w:top w:val="single" w:color="000000" w:sz="4" w:space="0"/>
              <w:left w:val="single" w:color="000000" w:sz="4" w:space="0"/>
              <w:bottom w:val="single" w:color="000000" w:sz="4" w:space="0"/>
              <w:right w:val="single" w:color="000000" w:sz="4" w:space="0"/>
            </w:tcBorders>
            <w:noWrap w:val="0"/>
            <w:vAlign w:val="center"/>
          </w:tcPr>
          <w:p w14:paraId="5EAFC80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监测因子：（</w:t>
            </w:r>
            <w:r>
              <w:rPr>
                <w:rFonts w:hint="default" w:ascii="Times New Roman" w:hAnsi="Times New Roman" w:cs="Times New Roman"/>
                <w:bCs/>
                <w:color w:val="auto"/>
                <w:kern w:val="0"/>
                <w:sz w:val="21"/>
                <w:szCs w:val="21"/>
                <w:lang w:val="en-US" w:eastAsia="zh-CN"/>
              </w:rPr>
              <w:t>/</w:t>
            </w:r>
            <w:r>
              <w:rPr>
                <w:rFonts w:hint="default" w:ascii="Times New Roman" w:hAnsi="Times New Roman" w:cs="Times New Roman"/>
                <w:bCs/>
                <w:color w:val="auto"/>
                <w:kern w:val="0"/>
                <w:sz w:val="21"/>
                <w:szCs w:val="21"/>
              </w:rPr>
              <w:t>）</w:t>
            </w:r>
          </w:p>
        </w:tc>
        <w:tc>
          <w:tcPr>
            <w:tcW w:w="1897" w:type="dxa"/>
            <w:gridSpan w:val="9"/>
            <w:tcBorders>
              <w:top w:val="single" w:color="000000" w:sz="4" w:space="0"/>
              <w:left w:val="single" w:color="000000" w:sz="4" w:space="0"/>
              <w:bottom w:val="single" w:color="000000" w:sz="4" w:space="0"/>
              <w:right w:val="single" w:color="000000" w:sz="4" w:space="0"/>
            </w:tcBorders>
            <w:noWrap w:val="0"/>
            <w:vAlign w:val="center"/>
          </w:tcPr>
          <w:p w14:paraId="70B7136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有组织废气监测</w:t>
            </w:r>
            <w:r>
              <w:rPr>
                <w:rFonts w:hint="default" w:ascii="Times New Roman" w:hAnsi="Times New Roman" w:cs="Times New Roman"/>
                <w:bCs/>
                <w:color w:val="auto"/>
                <w:kern w:val="0"/>
                <w:sz w:val="21"/>
                <w:szCs w:val="21"/>
              </w:rPr>
              <w:sym w:font="Wingdings 2" w:char="0052"/>
            </w:r>
          </w:p>
          <w:p w14:paraId="2C2D015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无组织废气监测</w:t>
            </w:r>
            <w:r>
              <w:rPr>
                <w:rFonts w:hint="default" w:ascii="Times New Roman" w:hAnsi="Times New Roman" w:cs="Times New Roman"/>
                <w:bCs/>
                <w:color w:val="auto"/>
                <w:kern w:val="0"/>
                <w:sz w:val="21"/>
                <w:szCs w:val="21"/>
              </w:rPr>
              <w:sym w:font="Wingdings 2" w:char="0052"/>
            </w:r>
          </w:p>
        </w:tc>
        <w:tc>
          <w:tcPr>
            <w:tcW w:w="2221" w:type="dxa"/>
            <w:gridSpan w:val="7"/>
            <w:tcBorders>
              <w:top w:val="single" w:color="000000" w:sz="4" w:space="0"/>
              <w:left w:val="single" w:color="000000" w:sz="4" w:space="0"/>
              <w:bottom w:val="single" w:color="000000" w:sz="4" w:space="0"/>
              <w:right w:val="single" w:color="000000" w:sz="12" w:space="0"/>
            </w:tcBorders>
            <w:noWrap w:val="0"/>
            <w:vAlign w:val="center"/>
          </w:tcPr>
          <w:p w14:paraId="5C27691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无监测□</w:t>
            </w:r>
          </w:p>
        </w:tc>
      </w:tr>
      <w:tr w14:paraId="713B8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14812114">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30B2598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环境质量监测</w:t>
            </w:r>
          </w:p>
        </w:tc>
        <w:tc>
          <w:tcPr>
            <w:tcW w:w="2122" w:type="dxa"/>
            <w:gridSpan w:val="8"/>
            <w:tcBorders>
              <w:top w:val="single" w:color="000000" w:sz="4" w:space="0"/>
              <w:left w:val="single" w:color="000000" w:sz="4" w:space="0"/>
              <w:bottom w:val="single" w:color="000000" w:sz="4" w:space="0"/>
              <w:right w:val="single" w:color="000000" w:sz="4" w:space="0"/>
            </w:tcBorders>
            <w:noWrap w:val="0"/>
            <w:vAlign w:val="center"/>
          </w:tcPr>
          <w:p w14:paraId="33B861B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监测因子：（</w:t>
            </w:r>
            <w:r>
              <w:rPr>
                <w:rFonts w:hint="default" w:ascii="Times New Roman" w:hAnsi="Times New Roman" w:cs="Times New Roman"/>
                <w:bCs/>
                <w:color w:val="auto"/>
                <w:kern w:val="0"/>
                <w:sz w:val="21"/>
                <w:szCs w:val="21"/>
                <w:lang w:eastAsia="zh-CN"/>
              </w:rPr>
              <w:t>颗粒物、苯并</w:t>
            </w:r>
            <w:r>
              <w:rPr>
                <w:rFonts w:hint="default" w:ascii="Times New Roman" w:hAnsi="Times New Roman" w:cs="Times New Roman"/>
                <w:bCs/>
                <w:color w:val="auto"/>
                <w:kern w:val="0"/>
                <w:sz w:val="21"/>
                <w:szCs w:val="21"/>
                <w:lang w:val="en-US" w:eastAsia="zh-CN"/>
              </w:rPr>
              <w:t>[a]</w:t>
            </w:r>
            <w:r>
              <w:rPr>
                <w:rFonts w:hint="default" w:ascii="Times New Roman" w:hAnsi="Times New Roman" w:cs="Times New Roman"/>
                <w:bCs/>
                <w:color w:val="auto"/>
                <w:kern w:val="0"/>
                <w:sz w:val="21"/>
                <w:szCs w:val="21"/>
                <w:lang w:eastAsia="zh-CN"/>
              </w:rPr>
              <w:t>芘</w:t>
            </w:r>
            <w:r>
              <w:rPr>
                <w:rFonts w:hint="default" w:ascii="Times New Roman" w:hAnsi="Times New Roman" w:cs="Times New Roman"/>
                <w:bCs/>
                <w:color w:val="auto"/>
                <w:kern w:val="0"/>
                <w:sz w:val="21"/>
                <w:szCs w:val="21"/>
              </w:rPr>
              <w:t>）</w:t>
            </w:r>
          </w:p>
        </w:tc>
        <w:tc>
          <w:tcPr>
            <w:tcW w:w="1897" w:type="dxa"/>
            <w:gridSpan w:val="9"/>
            <w:tcBorders>
              <w:top w:val="single" w:color="000000" w:sz="4" w:space="0"/>
              <w:left w:val="single" w:color="000000" w:sz="4" w:space="0"/>
              <w:bottom w:val="single" w:color="000000" w:sz="4" w:space="0"/>
              <w:right w:val="single" w:color="000000" w:sz="4" w:space="0"/>
            </w:tcBorders>
            <w:noWrap w:val="0"/>
            <w:vAlign w:val="center"/>
          </w:tcPr>
          <w:p w14:paraId="5AF438C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监测点位数（）</w:t>
            </w:r>
          </w:p>
        </w:tc>
        <w:tc>
          <w:tcPr>
            <w:tcW w:w="2221" w:type="dxa"/>
            <w:gridSpan w:val="7"/>
            <w:tcBorders>
              <w:top w:val="single" w:color="000000" w:sz="4" w:space="0"/>
              <w:left w:val="single" w:color="000000" w:sz="4" w:space="0"/>
              <w:bottom w:val="single" w:color="000000" w:sz="4" w:space="0"/>
              <w:right w:val="single" w:color="000000" w:sz="12" w:space="0"/>
            </w:tcBorders>
            <w:noWrap w:val="0"/>
            <w:vAlign w:val="center"/>
          </w:tcPr>
          <w:p w14:paraId="3538B9D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无监测□</w:t>
            </w:r>
          </w:p>
        </w:tc>
      </w:tr>
      <w:tr w14:paraId="3D64C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tcBorders>
              <w:top w:val="single" w:color="000000" w:sz="4" w:space="0"/>
              <w:left w:val="single" w:color="000000" w:sz="12" w:space="0"/>
              <w:bottom w:val="single" w:color="000000" w:sz="4" w:space="0"/>
              <w:right w:val="single" w:color="000000" w:sz="4" w:space="0"/>
            </w:tcBorders>
            <w:noWrap w:val="0"/>
            <w:vAlign w:val="center"/>
          </w:tcPr>
          <w:p w14:paraId="312D520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评价结论</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6842395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环境影响</w:t>
            </w:r>
          </w:p>
        </w:tc>
        <w:tc>
          <w:tcPr>
            <w:tcW w:w="6240" w:type="dxa"/>
            <w:gridSpan w:val="24"/>
            <w:tcBorders>
              <w:top w:val="single" w:color="000000" w:sz="4" w:space="0"/>
              <w:left w:val="single" w:color="000000" w:sz="4" w:space="0"/>
              <w:bottom w:val="single" w:color="000000" w:sz="4" w:space="0"/>
              <w:right w:val="single" w:color="000000" w:sz="12" w:space="0"/>
            </w:tcBorders>
            <w:noWrap w:val="0"/>
            <w:vAlign w:val="center"/>
          </w:tcPr>
          <w:p w14:paraId="359EFE4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可以接受√不可以接受□</w:t>
            </w:r>
          </w:p>
        </w:tc>
      </w:tr>
      <w:tr w14:paraId="469D7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op w:val="single" w:color="000000" w:sz="4" w:space="0"/>
              <w:left w:val="single" w:color="000000" w:sz="12" w:space="0"/>
              <w:bottom w:val="single" w:color="000000" w:sz="4" w:space="0"/>
              <w:right w:val="single" w:color="000000" w:sz="4" w:space="0"/>
            </w:tcBorders>
            <w:noWrap w:val="0"/>
            <w:vAlign w:val="center"/>
          </w:tcPr>
          <w:p w14:paraId="2F261AC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评价结论</w:t>
            </w: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1DC5515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大气环境防护距离</w:t>
            </w:r>
          </w:p>
        </w:tc>
        <w:tc>
          <w:tcPr>
            <w:tcW w:w="6240" w:type="dxa"/>
            <w:gridSpan w:val="24"/>
            <w:tcBorders>
              <w:top w:val="single" w:color="000000" w:sz="4" w:space="0"/>
              <w:left w:val="single" w:color="000000" w:sz="4" w:space="0"/>
              <w:bottom w:val="single" w:color="000000" w:sz="4" w:space="0"/>
              <w:right w:val="single" w:color="000000" w:sz="12" w:space="0"/>
            </w:tcBorders>
            <w:noWrap w:val="0"/>
            <w:vAlign w:val="center"/>
          </w:tcPr>
          <w:p w14:paraId="4B71017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距（）厂界最远（）m</w:t>
            </w:r>
          </w:p>
        </w:tc>
      </w:tr>
      <w:tr w14:paraId="4C879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op w:val="single" w:color="000000" w:sz="4" w:space="0"/>
              <w:left w:val="single" w:color="000000" w:sz="12" w:space="0"/>
              <w:bottom w:val="single" w:color="000000" w:sz="4" w:space="0"/>
              <w:right w:val="single" w:color="000000" w:sz="4" w:space="0"/>
            </w:tcBorders>
            <w:noWrap w:val="0"/>
            <w:vAlign w:val="center"/>
          </w:tcPr>
          <w:p w14:paraId="32AE5149">
            <w:pPr>
              <w:keepNext w:val="0"/>
              <w:keepLines w:val="0"/>
              <w:widowControl/>
              <w:suppressLineNumbers w:val="0"/>
              <w:spacing w:before="0" w:beforeAutospacing="0" w:after="0" w:afterAutospacing="0"/>
              <w:ind w:left="0" w:right="0"/>
              <w:jc w:val="left"/>
              <w:rPr>
                <w:rFonts w:hint="default" w:ascii="Times New Roman" w:hAnsi="Times New Roman" w:cs="Times New Roman"/>
                <w:bCs/>
                <w:color w:val="auto"/>
                <w:kern w:val="0"/>
                <w:sz w:val="21"/>
                <w:szCs w:val="21"/>
              </w:rPr>
            </w:pPr>
          </w:p>
        </w:tc>
        <w:tc>
          <w:tcPr>
            <w:tcW w:w="1651" w:type="dxa"/>
            <w:tcBorders>
              <w:top w:val="single" w:color="000000" w:sz="4" w:space="0"/>
              <w:left w:val="single" w:color="000000" w:sz="4" w:space="0"/>
              <w:bottom w:val="single" w:color="000000" w:sz="4" w:space="0"/>
              <w:right w:val="single" w:color="000000" w:sz="4" w:space="0"/>
            </w:tcBorders>
            <w:noWrap w:val="0"/>
            <w:vAlign w:val="center"/>
          </w:tcPr>
          <w:p w14:paraId="600A37D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污染源年排放量</w:t>
            </w:r>
          </w:p>
        </w:tc>
        <w:tc>
          <w:tcPr>
            <w:tcW w:w="1449" w:type="dxa"/>
            <w:gridSpan w:val="5"/>
            <w:tcBorders>
              <w:top w:val="single" w:color="000000" w:sz="4" w:space="0"/>
              <w:left w:val="single" w:color="000000" w:sz="4" w:space="0"/>
              <w:bottom w:val="single" w:color="000000" w:sz="4" w:space="0"/>
              <w:right w:val="single" w:color="000000" w:sz="4" w:space="0"/>
            </w:tcBorders>
            <w:noWrap w:val="0"/>
            <w:vAlign w:val="center"/>
          </w:tcPr>
          <w:p w14:paraId="37DA493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SO</w:t>
            </w:r>
            <w:r>
              <w:rPr>
                <w:rFonts w:hint="default" w:ascii="Times New Roman" w:hAnsi="Times New Roman" w:cs="Times New Roman"/>
                <w:bCs/>
                <w:color w:val="auto"/>
                <w:kern w:val="0"/>
                <w:sz w:val="21"/>
                <w:szCs w:val="21"/>
                <w:vertAlign w:val="subscript"/>
              </w:rPr>
              <w:t>2</w:t>
            </w:r>
            <w:r>
              <w:rPr>
                <w:rFonts w:hint="default" w:ascii="Times New Roman" w:hAnsi="Times New Roman" w:cs="Times New Roman"/>
                <w:bCs/>
                <w:color w:val="auto"/>
                <w:kern w:val="0"/>
                <w:sz w:val="21"/>
                <w:szCs w:val="21"/>
              </w:rPr>
              <w:t>：（</w:t>
            </w:r>
            <w:r>
              <w:rPr>
                <w:rFonts w:hint="eastAsia" w:ascii="Times New Roman" w:hAnsi="Times New Roman" w:eastAsia="宋体" w:cs="Times New Roman"/>
                <w:color w:val="auto"/>
                <w:kern w:val="0"/>
                <w:sz w:val="21"/>
                <w:szCs w:val="21"/>
                <w:highlight w:val="none"/>
                <w:lang w:val="en-US" w:eastAsia="zh-CN"/>
              </w:rPr>
              <w:t>0.3572</w:t>
            </w:r>
            <w:r>
              <w:rPr>
                <w:rFonts w:hint="default" w:ascii="Times New Roman" w:hAnsi="Times New Roman" w:cs="Times New Roman"/>
                <w:bCs/>
                <w:color w:val="auto"/>
                <w:kern w:val="0"/>
                <w:sz w:val="21"/>
                <w:szCs w:val="21"/>
              </w:rPr>
              <w:t>）t/a</w:t>
            </w:r>
          </w:p>
        </w:tc>
        <w:tc>
          <w:tcPr>
            <w:tcW w:w="1595" w:type="dxa"/>
            <w:gridSpan w:val="5"/>
            <w:tcBorders>
              <w:top w:val="single" w:color="000000" w:sz="4" w:space="0"/>
              <w:left w:val="single" w:color="000000" w:sz="4" w:space="0"/>
              <w:bottom w:val="single" w:color="000000" w:sz="4" w:space="0"/>
              <w:right w:val="single" w:color="000000" w:sz="4" w:space="0"/>
            </w:tcBorders>
            <w:noWrap w:val="0"/>
            <w:vAlign w:val="center"/>
          </w:tcPr>
          <w:p w14:paraId="2E4A7C4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NO</w:t>
            </w:r>
            <w:r>
              <w:rPr>
                <w:rFonts w:hint="default" w:ascii="Times New Roman" w:hAnsi="Times New Roman" w:cs="Times New Roman"/>
                <w:bCs/>
                <w:color w:val="auto"/>
                <w:kern w:val="0"/>
                <w:sz w:val="21"/>
                <w:szCs w:val="21"/>
                <w:vertAlign w:val="subscript"/>
              </w:rPr>
              <w:t>X</w:t>
            </w:r>
            <w:r>
              <w:rPr>
                <w:rFonts w:hint="default" w:ascii="Times New Roman" w:hAnsi="Times New Roman" w:cs="Times New Roman"/>
                <w:bCs/>
                <w:color w:val="auto"/>
                <w:kern w:val="0"/>
                <w:sz w:val="21"/>
                <w:szCs w:val="21"/>
              </w:rPr>
              <w:t>：（</w:t>
            </w:r>
            <w:r>
              <w:rPr>
                <w:rFonts w:hint="eastAsia" w:ascii="Times New Roman" w:hAnsi="Times New Roman" w:eastAsia="宋体" w:cs="Times New Roman"/>
                <w:color w:val="auto"/>
                <w:kern w:val="0"/>
                <w:sz w:val="21"/>
                <w:szCs w:val="21"/>
                <w:highlight w:val="none"/>
                <w:lang w:val="en-US" w:eastAsia="zh-CN"/>
              </w:rPr>
              <w:t>2.728</w:t>
            </w:r>
            <w:r>
              <w:rPr>
                <w:rFonts w:hint="default" w:ascii="Times New Roman" w:hAnsi="Times New Roman" w:cs="Times New Roman"/>
                <w:bCs/>
                <w:color w:val="auto"/>
                <w:kern w:val="0"/>
                <w:sz w:val="21"/>
                <w:szCs w:val="21"/>
              </w:rPr>
              <w:t>）t/a</w:t>
            </w:r>
          </w:p>
        </w:tc>
        <w:tc>
          <w:tcPr>
            <w:tcW w:w="1595" w:type="dxa"/>
            <w:gridSpan w:val="10"/>
            <w:tcBorders>
              <w:top w:val="single" w:color="000000" w:sz="4" w:space="0"/>
              <w:left w:val="single" w:color="000000" w:sz="4" w:space="0"/>
              <w:bottom w:val="single" w:color="000000" w:sz="4" w:space="0"/>
              <w:right w:val="single" w:color="000000" w:sz="4" w:space="0"/>
            </w:tcBorders>
            <w:noWrap w:val="0"/>
            <w:vAlign w:val="center"/>
          </w:tcPr>
          <w:p w14:paraId="37D26F5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颗粒物：（</w:t>
            </w:r>
            <w:r>
              <w:rPr>
                <w:rFonts w:hint="eastAsia" w:ascii="Times New Roman" w:hAnsi="Times New Roman" w:eastAsia="宋体" w:cs="Times New Roman"/>
                <w:color w:val="auto"/>
                <w:kern w:val="0"/>
                <w:sz w:val="21"/>
                <w:szCs w:val="21"/>
                <w:highlight w:val="none"/>
                <w:lang w:val="en-US" w:eastAsia="zh-CN"/>
              </w:rPr>
              <w:t>1.818</w:t>
            </w:r>
            <w:r>
              <w:rPr>
                <w:rFonts w:hint="default" w:ascii="Times New Roman" w:hAnsi="Times New Roman" w:cs="Times New Roman"/>
                <w:bCs/>
                <w:color w:val="auto"/>
                <w:kern w:val="0"/>
                <w:sz w:val="21"/>
                <w:szCs w:val="21"/>
              </w:rPr>
              <w:t>）t/a</w:t>
            </w:r>
          </w:p>
        </w:tc>
        <w:tc>
          <w:tcPr>
            <w:tcW w:w="1601" w:type="dxa"/>
            <w:gridSpan w:val="4"/>
            <w:tcBorders>
              <w:top w:val="single" w:color="000000" w:sz="4" w:space="0"/>
              <w:left w:val="single" w:color="000000" w:sz="4" w:space="0"/>
              <w:bottom w:val="single" w:color="000000" w:sz="4" w:space="0"/>
              <w:right w:val="single" w:color="000000" w:sz="12" w:space="0"/>
            </w:tcBorders>
            <w:noWrap w:val="0"/>
            <w:vAlign w:val="center"/>
          </w:tcPr>
          <w:p w14:paraId="1462AD8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VOCs：（）t/a</w:t>
            </w:r>
          </w:p>
        </w:tc>
      </w:tr>
      <w:tr w14:paraId="4B936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jc w:val="center"/>
        </w:trPr>
        <w:tc>
          <w:tcPr>
            <w:tcW w:w="8610" w:type="dxa"/>
            <w:gridSpan w:val="26"/>
            <w:tcBorders>
              <w:top w:val="single" w:color="000000" w:sz="4" w:space="0"/>
              <w:left w:val="single" w:color="000000" w:sz="12" w:space="0"/>
              <w:bottom w:val="single" w:color="000000" w:sz="12" w:space="0"/>
              <w:right w:val="single" w:color="000000" w:sz="12" w:space="0"/>
            </w:tcBorders>
            <w:noWrap w:val="0"/>
            <w:vAlign w:val="center"/>
          </w:tcPr>
          <w:p w14:paraId="711BDE9C">
            <w:pPr>
              <w:keepNext w:val="0"/>
              <w:keepLines w:val="0"/>
              <w:suppressLineNumbers w:val="0"/>
              <w:spacing w:before="0" w:beforeAutospacing="0" w:after="0" w:afterAutospacing="0" w:line="0" w:lineRule="atLeast"/>
              <w:ind w:left="0" w:right="0"/>
              <w:jc w:val="left"/>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注：“□”为勾选项，填“√”；“（）”为内容填写项</w:t>
            </w:r>
          </w:p>
        </w:tc>
      </w:tr>
    </w:tbl>
    <w:p w14:paraId="651FA3F2">
      <w:pPr>
        <w:jc w:val="center"/>
        <w:rPr>
          <w:rFonts w:hint="default" w:ascii="Times New Roman" w:hAnsi="Times New Roman" w:cs="Times New Roman"/>
          <w:b/>
          <w:color w:val="auto"/>
          <w:kern w:val="0"/>
          <w:sz w:val="24"/>
          <w:szCs w:val="20"/>
        </w:rPr>
      </w:pPr>
    </w:p>
    <w:p w14:paraId="1D159A65">
      <w:pPr>
        <w:widowControl w:val="0"/>
        <w:spacing w:after="120" w:afterLines="0"/>
        <w:ind w:firstLine="210" w:firstLineChars="100"/>
        <w:rPr>
          <w:rFonts w:hint="default" w:ascii="Times New Roman" w:hAnsi="Times New Roman" w:eastAsia="宋体" w:cs="Times New Roman"/>
          <w:color w:val="auto"/>
          <w:sz w:val="21"/>
          <w:lang w:val="en-US" w:eastAsia="zh-CN" w:bidi="ar-SA"/>
        </w:rPr>
      </w:pPr>
    </w:p>
    <w:p w14:paraId="0010E5A8">
      <w:pPr>
        <w:jc w:val="center"/>
        <w:rPr>
          <w:rFonts w:hint="default" w:ascii="Times New Roman" w:hAnsi="Times New Roman" w:cs="Times New Roman"/>
          <w:b/>
          <w:color w:val="auto"/>
          <w:kern w:val="0"/>
          <w:sz w:val="24"/>
          <w:szCs w:val="20"/>
        </w:rPr>
      </w:pPr>
    </w:p>
    <w:p w14:paraId="18C6815D">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5F5E242F">
      <w:pPr>
        <w:jc w:val="left"/>
        <w:rPr>
          <w:rFonts w:hint="default" w:ascii="Times New Roman" w:hAnsi="Times New Roman" w:cs="Times New Roman"/>
          <w:b/>
          <w:color w:val="auto"/>
          <w:kern w:val="0"/>
          <w:sz w:val="24"/>
          <w:szCs w:val="20"/>
        </w:rPr>
      </w:pPr>
    </w:p>
    <w:p w14:paraId="7A229DC2">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68B42068">
      <w:pPr>
        <w:jc w:val="left"/>
        <w:rPr>
          <w:rFonts w:hint="default" w:ascii="Times New Roman" w:hAnsi="Times New Roman" w:cs="Times New Roman"/>
          <w:b/>
          <w:color w:val="auto"/>
          <w:kern w:val="0"/>
          <w:sz w:val="24"/>
          <w:szCs w:val="20"/>
        </w:rPr>
      </w:pPr>
    </w:p>
    <w:p w14:paraId="29F4CF96">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0FFFEC7E">
      <w:pPr>
        <w:jc w:val="left"/>
        <w:rPr>
          <w:rFonts w:hint="default" w:ascii="Times New Roman" w:hAnsi="Times New Roman" w:cs="Times New Roman"/>
          <w:b/>
          <w:color w:val="auto"/>
          <w:kern w:val="0"/>
          <w:sz w:val="24"/>
          <w:szCs w:val="20"/>
        </w:rPr>
      </w:pPr>
    </w:p>
    <w:p w14:paraId="3336AD1D">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140A9777">
      <w:pPr>
        <w:jc w:val="left"/>
        <w:rPr>
          <w:rFonts w:hint="default" w:ascii="Times New Roman" w:hAnsi="Times New Roman" w:cs="Times New Roman"/>
          <w:b/>
          <w:color w:val="auto"/>
          <w:kern w:val="0"/>
          <w:sz w:val="24"/>
          <w:szCs w:val="20"/>
        </w:rPr>
      </w:pPr>
    </w:p>
    <w:p w14:paraId="45C7F451">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41CB4BA8">
      <w:pPr>
        <w:jc w:val="left"/>
        <w:rPr>
          <w:rFonts w:hint="default" w:ascii="Times New Roman" w:hAnsi="Times New Roman" w:cs="Times New Roman"/>
          <w:b/>
          <w:color w:val="auto"/>
          <w:kern w:val="0"/>
          <w:sz w:val="24"/>
          <w:szCs w:val="20"/>
        </w:rPr>
      </w:pPr>
    </w:p>
    <w:p w14:paraId="0D87AABF">
      <w:pPr>
        <w:widowControl w:val="0"/>
        <w:spacing w:after="120" w:afterLines="0"/>
        <w:ind w:firstLine="210" w:firstLineChars="100"/>
        <w:rPr>
          <w:rFonts w:hint="default" w:ascii="Times New Roman" w:hAnsi="Times New Roman" w:eastAsia="宋体" w:cs="Times New Roman"/>
          <w:b/>
          <w:color w:val="auto"/>
          <w:sz w:val="21"/>
          <w:lang w:val="en-US" w:eastAsia="zh-CN" w:bidi="ar-SA"/>
        </w:rPr>
      </w:pPr>
    </w:p>
    <w:p w14:paraId="5227F502">
      <w:pPr>
        <w:widowControl w:val="0"/>
        <w:jc w:val="both"/>
        <w:rPr>
          <w:rFonts w:hint="default" w:ascii="Times New Roman" w:hAnsi="Times New Roman" w:eastAsia="宋体" w:cs="Times New Roman"/>
          <w:color w:val="auto"/>
          <w:sz w:val="24"/>
          <w:lang w:val="en-US" w:eastAsia="zh-CN" w:bidi="ar-SA"/>
        </w:rPr>
      </w:pPr>
    </w:p>
    <w:p w14:paraId="6EC54EA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eastAsia="黑体" w:cs="Times New Roman"/>
          <w:b w:val="0"/>
          <w:bCs w:val="0"/>
          <w:color w:val="auto"/>
          <w:sz w:val="28"/>
          <w:szCs w:val="28"/>
          <w:lang w:val="en-US" w:eastAsia="zh-CN"/>
        </w:rPr>
      </w:pPr>
    </w:p>
    <w:sectPr>
      <w:pgSz w:w="11905" w:h="16838"/>
      <w:pgMar w:top="1134" w:right="1134" w:bottom="1134" w:left="1134" w:header="851" w:footer="1077" w:gutter="0"/>
      <w:pgBorders>
        <w:top w:val="none" w:sz="0" w:space="0"/>
        <w:left w:val="none" w:sz="0" w:space="0"/>
        <w:bottom w:val="none" w:sz="0" w:space="0"/>
        <w:right w:val="none" w:sz="0" w:space="0"/>
      </w:pgBorders>
      <w:pgNumType w:fmt="decimal"/>
      <w:cols w:space="720" w:num="1"/>
      <w:rtlGutter w:val="0"/>
      <w:docGrid w:type="linesAndChar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体">
    <w:altName w:val="宋体"/>
    <w:panose1 w:val="02010600030101010101"/>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仿宋_GBK">
    <w:altName w:val="微软雅黑"/>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0CE39">
    <w:pPr>
      <w:pStyle w:val="2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77E82">
    <w:pPr>
      <w:pStyle w:val="22"/>
      <w:framePr w:wrap="around" w:vAnchor="text" w:hAnchor="margin" w:xAlign="center" w:y="1"/>
      <w:rPr>
        <w:rStyle w:val="39"/>
      </w:rPr>
    </w:pPr>
    <w:r>
      <w:fldChar w:fldCharType="begin"/>
    </w:r>
    <w:r>
      <w:rPr>
        <w:rStyle w:val="39"/>
      </w:rPr>
      <w:instrText xml:space="preserve">PAGE  </w:instrText>
    </w:r>
    <w:r>
      <w:fldChar w:fldCharType="end"/>
    </w:r>
  </w:p>
  <w:p w14:paraId="358B02FC">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E8243">
    <w:pPr>
      <w:pStyle w:val="22"/>
      <w:jc w:val="cente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5E52">
                          <w:pPr>
                            <w:pStyle w:val="22"/>
                            <w:jc w:val="center"/>
                          </w:pPr>
                          <w:r>
                            <w:fldChar w:fldCharType="begin"/>
                          </w:r>
                          <w:r>
                            <w:instrText xml:space="preserve">PAGE   \* MERGEFORMAT</w:instrText>
                          </w:r>
                          <w:r>
                            <w:fldChar w:fldCharType="separate"/>
                          </w:r>
                          <w:r>
                            <w:rPr>
                              <w:lang w:val="zh-CN"/>
                            </w:rP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773D5E52">
                    <w:pPr>
                      <w:pStyle w:val="22"/>
                      <w:jc w:val="center"/>
                    </w:pPr>
                    <w:r>
                      <w:fldChar w:fldCharType="begin"/>
                    </w:r>
                    <w:r>
                      <w:instrText xml:space="preserve">PAGE   \* MERGEFORMAT</w:instrText>
                    </w:r>
                    <w:r>
                      <w:fldChar w:fldCharType="separate"/>
                    </w:r>
                    <w:r>
                      <w:rPr>
                        <w:lang w:val="zh-CN"/>
                      </w:rPr>
                      <w:t>25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3F7B0">
    <w:pPr>
      <w:jc w:val="left"/>
      <w:rPr>
        <w:rFonts w:ascii="宋体" w:hAnsi="Calibri"/>
        <w:kern w:val="0"/>
        <w:sz w:val="24"/>
        <w:szCs w:val="20"/>
      </w:rPr>
    </w:pPr>
    <w:r>
      <w:rPr>
        <w:rFonts w:ascii="宋体" w:hAnsi="Calibri"/>
        <w:kern w:val="0"/>
        <w:sz w:val="24"/>
        <w:szCs w:val="20"/>
      </w:rPr>
      <w:fldChar w:fldCharType="begin"/>
    </w:r>
    <w:r>
      <w:rPr>
        <w:rFonts w:ascii="宋体" w:hAnsi="Calibri"/>
        <w:kern w:val="0"/>
        <w:sz w:val="24"/>
        <w:szCs w:val="20"/>
      </w:rPr>
      <w:instrText xml:space="preserve">PAGE  </w:instrText>
    </w:r>
    <w:r>
      <w:rPr>
        <w:rFonts w:ascii="宋体" w:hAnsi="Calibri"/>
        <w:kern w:val="0"/>
        <w:sz w:val="24"/>
        <w:szCs w:val="20"/>
      </w:rPr>
      <w:fldChar w:fldCharType="separate"/>
    </w:r>
    <w:r>
      <w:rPr>
        <w:rFonts w:ascii="宋体" w:hAnsi="Calibri"/>
        <w:kern w:val="0"/>
        <w:sz w:val="24"/>
        <w:szCs w:val="20"/>
      </w:rPr>
      <w:fldChar w:fldCharType="end"/>
    </w:r>
  </w:p>
  <w:p w14:paraId="3CA5747E">
    <w:pPr>
      <w:ind w:right="360"/>
      <w:jc w:val="left"/>
      <w:rPr>
        <w:rFonts w:ascii="宋体" w:hAnsi="Calibri"/>
        <w:kern w:val="0"/>
        <w:sz w:val="24"/>
        <w:szCs w:val="20"/>
      </w:rPr>
    </w:pPr>
  </w:p>
  <w:p w14:paraId="18925502">
    <w:pPr>
      <w:jc w:val="left"/>
      <w:rPr>
        <w:rFonts w:ascii="宋体" w:hAnsi="Calibri"/>
        <w:kern w:val="0"/>
        <w:sz w:val="24"/>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2A529">
    <w:pPr>
      <w:jc w:val="left"/>
      <w:rPr>
        <w:rFonts w:ascii="宋体" w:hAnsi="Calibri"/>
        <w:kern w:val="0"/>
        <w:sz w:val="24"/>
        <w:szCs w:val="20"/>
      </w:rPr>
    </w:pPr>
    <w:r>
      <w:rPr>
        <w:rFonts w:ascii="宋体" w:hAnsi="Calibri"/>
        <w:kern w:val="0"/>
        <w:sz w:val="24"/>
        <w:szCs w:val="20"/>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EBF94B5">
                          <w:pPr>
                            <w:jc w:val="left"/>
                            <w:rPr>
                              <w:rFonts w:ascii="宋体" w:hAnsi="Calibri"/>
                              <w:kern w:val="0"/>
                              <w:sz w:val="24"/>
                              <w:szCs w:val="20"/>
                            </w:rPr>
                          </w:pPr>
                          <w:r>
                            <w:rPr>
                              <w:rFonts w:hint="eastAsia" w:ascii="宋体" w:hAnsi="Calibri"/>
                              <w:kern w:val="0"/>
                              <w:sz w:val="24"/>
                              <w:szCs w:val="20"/>
                            </w:rPr>
                            <w:t>—</w:t>
                          </w:r>
                          <w:r>
                            <w:rPr>
                              <w:rFonts w:ascii="宋体" w:hAnsi="Calibri"/>
                              <w:kern w:val="0"/>
                              <w:sz w:val="24"/>
                              <w:szCs w:val="20"/>
                            </w:rPr>
                            <w:fldChar w:fldCharType="begin"/>
                          </w:r>
                          <w:r>
                            <w:rPr>
                              <w:rFonts w:ascii="宋体" w:hAnsi="Calibri"/>
                              <w:kern w:val="0"/>
                              <w:sz w:val="24"/>
                              <w:szCs w:val="20"/>
                            </w:rPr>
                            <w:instrText xml:space="preserve">PAGE  </w:instrText>
                          </w:r>
                          <w:r>
                            <w:rPr>
                              <w:rFonts w:ascii="宋体" w:hAnsi="Calibri"/>
                              <w:kern w:val="0"/>
                              <w:sz w:val="24"/>
                              <w:szCs w:val="20"/>
                            </w:rPr>
                            <w:fldChar w:fldCharType="separate"/>
                          </w:r>
                          <w:r>
                            <w:rPr>
                              <w:rFonts w:ascii="宋体" w:hAnsi="Calibri"/>
                              <w:kern w:val="0"/>
                              <w:sz w:val="24"/>
                              <w:szCs w:val="20"/>
                            </w:rPr>
                            <w:t>134</w:t>
                          </w:r>
                          <w:r>
                            <w:rPr>
                              <w:rFonts w:ascii="宋体" w:hAnsi="Calibri"/>
                              <w:kern w:val="0"/>
                              <w:sz w:val="24"/>
                              <w:szCs w:val="20"/>
                            </w:rPr>
                            <w:fldChar w:fldCharType="end"/>
                          </w:r>
                          <w:r>
                            <w:rPr>
                              <w:rFonts w:hint="eastAsia" w:ascii="宋体" w:hAnsi="Calibri"/>
                              <w:kern w:val="0"/>
                              <w:sz w:val="24"/>
                              <w:szCs w:val="20"/>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BEUl4/TAQAApQMAAA4AAAAAAAAAAQAgAAAA&#10;IgEAAGRycy9lMm9Eb2MueG1sUEsFBgAAAAAGAAYAWQEAAGcFAAAAAA==&#10;">
              <v:fill on="f" focussize="0,0"/>
              <v:stroke on="f" weight="1.25pt"/>
              <v:imagedata o:title=""/>
              <o:lock v:ext="edit" aspectratio="f"/>
              <v:textbox inset="0mm,0mm,0mm,0mm" style="mso-fit-shape-to-text:t;">
                <w:txbxContent>
                  <w:p w14:paraId="6EBF94B5">
                    <w:pPr>
                      <w:jc w:val="left"/>
                      <w:rPr>
                        <w:rFonts w:ascii="宋体" w:hAnsi="Calibri"/>
                        <w:kern w:val="0"/>
                        <w:sz w:val="24"/>
                        <w:szCs w:val="20"/>
                      </w:rPr>
                    </w:pPr>
                    <w:r>
                      <w:rPr>
                        <w:rFonts w:hint="eastAsia" w:ascii="宋体" w:hAnsi="Calibri"/>
                        <w:kern w:val="0"/>
                        <w:sz w:val="24"/>
                        <w:szCs w:val="20"/>
                      </w:rPr>
                      <w:t>—</w:t>
                    </w:r>
                    <w:r>
                      <w:rPr>
                        <w:rFonts w:ascii="宋体" w:hAnsi="Calibri"/>
                        <w:kern w:val="0"/>
                        <w:sz w:val="24"/>
                        <w:szCs w:val="20"/>
                      </w:rPr>
                      <w:fldChar w:fldCharType="begin"/>
                    </w:r>
                    <w:r>
                      <w:rPr>
                        <w:rFonts w:ascii="宋体" w:hAnsi="Calibri"/>
                        <w:kern w:val="0"/>
                        <w:sz w:val="24"/>
                        <w:szCs w:val="20"/>
                      </w:rPr>
                      <w:instrText xml:space="preserve">PAGE  </w:instrText>
                    </w:r>
                    <w:r>
                      <w:rPr>
                        <w:rFonts w:ascii="宋体" w:hAnsi="Calibri"/>
                        <w:kern w:val="0"/>
                        <w:sz w:val="24"/>
                        <w:szCs w:val="20"/>
                      </w:rPr>
                      <w:fldChar w:fldCharType="separate"/>
                    </w:r>
                    <w:r>
                      <w:rPr>
                        <w:rFonts w:ascii="宋体" w:hAnsi="Calibri"/>
                        <w:kern w:val="0"/>
                        <w:sz w:val="24"/>
                        <w:szCs w:val="20"/>
                      </w:rPr>
                      <w:t>134</w:t>
                    </w:r>
                    <w:r>
                      <w:rPr>
                        <w:rFonts w:ascii="宋体" w:hAnsi="Calibri"/>
                        <w:kern w:val="0"/>
                        <w:sz w:val="24"/>
                        <w:szCs w:val="20"/>
                      </w:rPr>
                      <w:fldChar w:fldCharType="end"/>
                    </w:r>
                    <w:r>
                      <w:rPr>
                        <w:rFonts w:hint="eastAsia" w:ascii="宋体" w:hAnsi="Calibri"/>
                        <w:kern w:val="0"/>
                        <w:sz w:val="24"/>
                        <w:szCs w:val="20"/>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997D9">
    <w:pPr>
      <w:jc w:val="left"/>
      <w:rPr>
        <w:rFonts w:ascii="宋体" w:hAnsi="Calibri"/>
        <w:kern w:val="0"/>
        <w:sz w:val="24"/>
        <w:szCs w:val="20"/>
      </w:rPr>
    </w:pPr>
    <w:r>
      <w:rPr>
        <w:rFonts w:ascii="宋体" w:hAnsi="Calibri"/>
        <w:kern w:val="0"/>
        <w:sz w:val="24"/>
        <w:szCs w:val="20"/>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DC09B83">
                          <w:pPr>
                            <w:jc w:val="left"/>
                            <w:rPr>
                              <w:rFonts w:ascii="宋体" w:hAnsi="Calibri"/>
                              <w:kern w:val="0"/>
                              <w:sz w:val="24"/>
                              <w:szCs w:val="20"/>
                            </w:rPr>
                          </w:pPr>
                          <w:r>
                            <w:rPr>
                              <w:rFonts w:hint="eastAsia" w:ascii="宋体" w:hAnsi="Calibri"/>
                              <w:kern w:val="0"/>
                              <w:sz w:val="24"/>
                              <w:szCs w:val="20"/>
                            </w:rPr>
                            <w:t>—</w:t>
                          </w:r>
                          <w:r>
                            <w:rPr>
                              <w:rFonts w:ascii="宋体" w:hAnsi="Calibri"/>
                              <w:kern w:val="0"/>
                              <w:sz w:val="24"/>
                              <w:szCs w:val="20"/>
                            </w:rPr>
                            <w:fldChar w:fldCharType="begin"/>
                          </w:r>
                          <w:r>
                            <w:rPr>
                              <w:rFonts w:ascii="宋体" w:hAnsi="Calibri"/>
                              <w:kern w:val="0"/>
                              <w:sz w:val="24"/>
                              <w:szCs w:val="20"/>
                            </w:rPr>
                            <w:instrText xml:space="preserve">PAGE  </w:instrText>
                          </w:r>
                          <w:r>
                            <w:rPr>
                              <w:rFonts w:ascii="宋体" w:hAnsi="Calibri"/>
                              <w:kern w:val="0"/>
                              <w:sz w:val="24"/>
                              <w:szCs w:val="20"/>
                            </w:rPr>
                            <w:fldChar w:fldCharType="separate"/>
                          </w:r>
                          <w:r>
                            <w:rPr>
                              <w:rFonts w:ascii="宋体" w:hAnsi="Calibri"/>
                              <w:kern w:val="0"/>
                              <w:sz w:val="24"/>
                              <w:szCs w:val="20"/>
                            </w:rPr>
                            <w:t>134</w:t>
                          </w:r>
                          <w:r>
                            <w:rPr>
                              <w:rFonts w:ascii="宋体" w:hAnsi="Calibri"/>
                              <w:kern w:val="0"/>
                              <w:sz w:val="24"/>
                              <w:szCs w:val="20"/>
                            </w:rPr>
                            <w:fldChar w:fldCharType="end"/>
                          </w:r>
                          <w:r>
                            <w:rPr>
                              <w:rFonts w:hint="eastAsia" w:ascii="宋体" w:hAnsi="Calibri"/>
                              <w:kern w:val="0"/>
                              <w:sz w:val="24"/>
                              <w:szCs w:val="20"/>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AXsvLTAQAApQMAAA4AAAAAAAAAAQAgAAAA&#10;IgEAAGRycy9lMm9Eb2MueG1sUEsFBgAAAAAGAAYAWQEAAGcFAAAAAA==&#10;">
              <v:fill on="f" focussize="0,0"/>
              <v:stroke on="f" weight="1.25pt"/>
              <v:imagedata o:title=""/>
              <o:lock v:ext="edit" aspectratio="f"/>
              <v:textbox inset="0mm,0mm,0mm,0mm" style="mso-fit-shape-to-text:t;">
                <w:txbxContent>
                  <w:p w14:paraId="6DC09B83">
                    <w:pPr>
                      <w:jc w:val="left"/>
                      <w:rPr>
                        <w:rFonts w:ascii="宋体" w:hAnsi="Calibri"/>
                        <w:kern w:val="0"/>
                        <w:sz w:val="24"/>
                        <w:szCs w:val="20"/>
                      </w:rPr>
                    </w:pPr>
                    <w:r>
                      <w:rPr>
                        <w:rFonts w:hint="eastAsia" w:ascii="宋体" w:hAnsi="Calibri"/>
                        <w:kern w:val="0"/>
                        <w:sz w:val="24"/>
                        <w:szCs w:val="20"/>
                      </w:rPr>
                      <w:t>—</w:t>
                    </w:r>
                    <w:r>
                      <w:rPr>
                        <w:rFonts w:ascii="宋体" w:hAnsi="Calibri"/>
                        <w:kern w:val="0"/>
                        <w:sz w:val="24"/>
                        <w:szCs w:val="20"/>
                      </w:rPr>
                      <w:fldChar w:fldCharType="begin"/>
                    </w:r>
                    <w:r>
                      <w:rPr>
                        <w:rFonts w:ascii="宋体" w:hAnsi="Calibri"/>
                        <w:kern w:val="0"/>
                        <w:sz w:val="24"/>
                        <w:szCs w:val="20"/>
                      </w:rPr>
                      <w:instrText xml:space="preserve">PAGE  </w:instrText>
                    </w:r>
                    <w:r>
                      <w:rPr>
                        <w:rFonts w:ascii="宋体" w:hAnsi="Calibri"/>
                        <w:kern w:val="0"/>
                        <w:sz w:val="24"/>
                        <w:szCs w:val="20"/>
                      </w:rPr>
                      <w:fldChar w:fldCharType="separate"/>
                    </w:r>
                    <w:r>
                      <w:rPr>
                        <w:rFonts w:ascii="宋体" w:hAnsi="Calibri"/>
                        <w:kern w:val="0"/>
                        <w:sz w:val="24"/>
                        <w:szCs w:val="20"/>
                      </w:rPr>
                      <w:t>134</w:t>
                    </w:r>
                    <w:r>
                      <w:rPr>
                        <w:rFonts w:ascii="宋体" w:hAnsi="Calibri"/>
                        <w:kern w:val="0"/>
                        <w:sz w:val="24"/>
                        <w:szCs w:val="20"/>
                      </w:rPr>
                      <w:fldChar w:fldCharType="end"/>
                    </w:r>
                    <w:r>
                      <w:rPr>
                        <w:rFonts w:hint="eastAsia" w:ascii="宋体" w:hAnsi="Calibri"/>
                        <w:kern w:val="0"/>
                        <w:sz w:val="24"/>
                        <w:szCs w:val="20"/>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91D0">
    <w:pPr>
      <w:widowControl w:val="0"/>
      <w:snapToGrid w:val="0"/>
      <w:jc w:val="center"/>
      <w:rPr>
        <w:rFonts w:ascii="宋体" w:hAnsi="Calibri" w:eastAsia="宋体" w:cs="Times New Roman"/>
        <w:sz w:val="18"/>
        <w:szCs w:val="18"/>
        <w:lang w:val="en-US" w:eastAsia="zh-CN" w:bidi="ar-SA"/>
      </w:rPr>
    </w:pPr>
    <w:r>
      <w:rPr>
        <w:rFonts w:ascii="宋体" w:hAnsi="Calibri" w:eastAsia="宋体" w:cs="Times New Roman"/>
        <w:sz w:val="18"/>
        <w:szCs w:val="18"/>
        <w:lang w:val="en-US" w:eastAsia="zh-CN" w:bidi="ar-SA"/>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10C45CB">
                          <w:pPr>
                            <w:widowControl w:val="0"/>
                            <w:snapToGrid w:val="0"/>
                            <w:jc w:val="center"/>
                            <w:rPr>
                              <w:rFonts w:ascii="宋体" w:hAnsi="Calibri" w:eastAsia="宋体" w:cs="Times New Roman"/>
                              <w:sz w:val="18"/>
                              <w:szCs w:val="18"/>
                              <w:lang w:val="en-US" w:eastAsia="zh-CN" w:bidi="ar-SA"/>
                            </w:rPr>
                          </w:pPr>
                          <w:r>
                            <w:rPr>
                              <w:rFonts w:ascii="Times New Roman" w:hAnsi="Times New Roman" w:eastAsia="宋体" w:cs="Times New Roman"/>
                              <w:sz w:val="18"/>
                              <w:szCs w:val="18"/>
                              <w:lang w:val="en-US" w:eastAsia="zh-CN" w:bidi="ar-SA"/>
                            </w:rPr>
                            <w:fldChar w:fldCharType="begin"/>
                          </w:r>
                          <w:r>
                            <w:rPr>
                              <w:rFonts w:ascii="Times New Roman" w:hAnsi="Times New Roman" w:eastAsia="宋体" w:cs="Times New Roman"/>
                              <w:sz w:val="18"/>
                              <w:szCs w:val="18"/>
                              <w:lang w:val="en-US" w:eastAsia="zh-CN" w:bidi="ar-SA"/>
                            </w:rPr>
                            <w:instrText xml:space="preserve">PAGE   \* MERGEFORMAT</w:instrText>
                          </w:r>
                          <w:r>
                            <w:rPr>
                              <w:rFonts w:ascii="Times New Roman" w:hAnsi="Times New Roman" w:eastAsia="宋体" w:cs="Times New Roman"/>
                              <w:sz w:val="18"/>
                              <w:szCs w:val="18"/>
                              <w:lang w:val="en-US" w:eastAsia="zh-CN" w:bidi="ar-SA"/>
                            </w:rPr>
                            <w:fldChar w:fldCharType="separate"/>
                          </w:r>
                          <w:r>
                            <w:rPr>
                              <w:rFonts w:ascii="Times New Roman" w:hAnsi="Times New Roman" w:eastAsia="宋体" w:cs="Times New Roman"/>
                              <w:sz w:val="18"/>
                              <w:szCs w:val="18"/>
                              <w:lang w:val="zh-CN" w:eastAsia="zh-CN" w:bidi="ar-SA"/>
                            </w:rPr>
                            <w:t>187</w:t>
                          </w:r>
                          <w:r>
                            <w:rPr>
                              <w:rFonts w:ascii="Times New Roman" w:hAnsi="Times New Roman" w:eastAsia="宋体" w:cs="Times New Roman"/>
                              <w:sz w:val="18"/>
                              <w:szCs w:val="18"/>
                              <w:lang w:val="zh-CN"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K9kLmHTAQAApQMAAA4AAAAAAAAAAQAgAAAA&#10;IgEAAGRycy9lMm9Eb2MueG1sUEsFBgAAAAAGAAYAWQEAAGcFAAAAAA==&#10;">
              <v:fill on="f" focussize="0,0"/>
              <v:stroke on="f" weight="1.25pt"/>
              <v:imagedata o:title=""/>
              <o:lock v:ext="edit" aspectratio="f"/>
              <v:textbox inset="0mm,0mm,0mm,0mm" style="mso-fit-shape-to-text:t;">
                <w:txbxContent>
                  <w:p w14:paraId="510C45CB">
                    <w:pPr>
                      <w:widowControl w:val="0"/>
                      <w:snapToGrid w:val="0"/>
                      <w:jc w:val="center"/>
                      <w:rPr>
                        <w:rFonts w:ascii="宋体" w:hAnsi="Calibri" w:eastAsia="宋体" w:cs="Times New Roman"/>
                        <w:sz w:val="18"/>
                        <w:szCs w:val="18"/>
                        <w:lang w:val="en-US" w:eastAsia="zh-CN" w:bidi="ar-SA"/>
                      </w:rPr>
                    </w:pPr>
                    <w:r>
                      <w:rPr>
                        <w:rFonts w:ascii="Times New Roman" w:hAnsi="Times New Roman" w:eastAsia="宋体" w:cs="Times New Roman"/>
                        <w:sz w:val="18"/>
                        <w:szCs w:val="18"/>
                        <w:lang w:val="en-US" w:eastAsia="zh-CN" w:bidi="ar-SA"/>
                      </w:rPr>
                      <w:fldChar w:fldCharType="begin"/>
                    </w:r>
                    <w:r>
                      <w:rPr>
                        <w:rFonts w:ascii="Times New Roman" w:hAnsi="Times New Roman" w:eastAsia="宋体" w:cs="Times New Roman"/>
                        <w:sz w:val="18"/>
                        <w:szCs w:val="18"/>
                        <w:lang w:val="en-US" w:eastAsia="zh-CN" w:bidi="ar-SA"/>
                      </w:rPr>
                      <w:instrText xml:space="preserve">PAGE   \* MERGEFORMAT</w:instrText>
                    </w:r>
                    <w:r>
                      <w:rPr>
                        <w:rFonts w:ascii="Times New Roman" w:hAnsi="Times New Roman" w:eastAsia="宋体" w:cs="Times New Roman"/>
                        <w:sz w:val="18"/>
                        <w:szCs w:val="18"/>
                        <w:lang w:val="en-US" w:eastAsia="zh-CN" w:bidi="ar-SA"/>
                      </w:rPr>
                      <w:fldChar w:fldCharType="separate"/>
                    </w:r>
                    <w:r>
                      <w:rPr>
                        <w:rFonts w:ascii="Times New Roman" w:hAnsi="Times New Roman" w:eastAsia="宋体" w:cs="Times New Roman"/>
                        <w:sz w:val="18"/>
                        <w:szCs w:val="18"/>
                        <w:lang w:val="zh-CN" w:eastAsia="zh-CN" w:bidi="ar-SA"/>
                      </w:rPr>
                      <w:t>187</w:t>
                    </w:r>
                    <w:r>
                      <w:rPr>
                        <w:rFonts w:ascii="Times New Roman" w:hAnsi="Times New Roman" w:eastAsia="宋体" w:cs="Times New Roman"/>
                        <w:sz w:val="18"/>
                        <w:szCs w:val="18"/>
                        <w:lang w:val="zh-CN" w:eastAsia="zh-CN"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6AD0">
    <w:pPr>
      <w:widowControl w:val="0"/>
      <w:spacing w:after="120" w:line="14" w:lineRule="auto"/>
      <w:rPr>
        <w:rFonts w:ascii="宋体" w:hAnsi="Calibri" w:eastAsia="宋体" w:cs="Times New Roman"/>
        <w:sz w:val="20"/>
        <w:lang w:val="en-US" w:eastAsia="zh-CN" w:bidi="ar-SA"/>
      </w:rPr>
    </w:pPr>
    <w:r>
      <w:rPr>
        <w:rFonts w:ascii="宋体" w:hAnsi="Calibri" w:eastAsia="宋体" w:cs="Times New Roman"/>
        <w:sz w:val="24"/>
        <w:lang w:val="en-US" w:eastAsia="zh-CN" w:bidi="ar-SA"/>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214630" cy="154305"/>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214630" cy="154305"/>
                      </a:xfrm>
                      <a:prstGeom prst="rect">
                        <a:avLst/>
                      </a:prstGeom>
                      <a:noFill/>
                      <a:ln>
                        <a:noFill/>
                      </a:ln>
                    </wps:spPr>
                    <wps:txbx>
                      <w:txbxContent>
                        <w:p w14:paraId="52540B28">
                          <w:pPr>
                            <w:spacing w:before="26"/>
                            <w:ind w:left="40"/>
                            <w:jc w:val="left"/>
                            <w:rPr>
                              <w:rFonts w:ascii="Times New Roman" w:hAnsi="Calibri"/>
                              <w:kern w:val="0"/>
                              <w:sz w:val="17"/>
                              <w:szCs w:val="20"/>
                            </w:rPr>
                          </w:pPr>
                          <w:r>
                            <w:rPr>
                              <w:rFonts w:ascii="宋体" w:hAnsi="Calibri"/>
                              <w:kern w:val="0"/>
                              <w:sz w:val="24"/>
                              <w:szCs w:val="20"/>
                            </w:rPr>
                            <w:fldChar w:fldCharType="begin"/>
                          </w:r>
                          <w:r>
                            <w:rPr>
                              <w:rFonts w:ascii="Times New Roman" w:hAnsi="Calibri"/>
                              <w:kern w:val="0"/>
                              <w:sz w:val="17"/>
                              <w:szCs w:val="20"/>
                            </w:rPr>
                            <w:instrText xml:space="preserve"> PAGE </w:instrText>
                          </w:r>
                          <w:r>
                            <w:rPr>
                              <w:rFonts w:ascii="宋体" w:hAnsi="Calibri"/>
                              <w:kern w:val="0"/>
                              <w:sz w:val="24"/>
                              <w:szCs w:val="20"/>
                            </w:rPr>
                            <w:fldChar w:fldCharType="separate"/>
                          </w:r>
                          <w:r>
                            <w:rPr>
                              <w:rFonts w:ascii="Times New Roman" w:hAnsi="Calibri"/>
                              <w:kern w:val="0"/>
                              <w:sz w:val="17"/>
                              <w:szCs w:val="20"/>
                            </w:rPr>
                            <w:t>246</w:t>
                          </w:r>
                          <w:r>
                            <w:rPr>
                              <w:rFonts w:ascii="宋体" w:hAnsi="Calibri"/>
                              <w:kern w:val="0"/>
                              <w:sz w:val="24"/>
                              <w:szCs w:val="20"/>
                            </w:rP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15pt;width:16.9pt;mso-position-horizontal:center;mso-position-horizontal-relative:margin;z-index:251697152;mso-width-relative:page;mso-height-relative:page;" filled="f" stroked="f" coordsize="21600,21600" o:gfxdata="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75OVrUAAAAAwEAAA8AAAAAAAAAAQAgAAAAIgAAAGRycy9kb3ducmV2LnhtbFBLAQIUABQA&#10;AAAIAIdO4kCGhUynuwEAAHMDAAAOAAAAAAAAAAEAIAAAACMBAABkcnMvZTJvRG9jLnhtbFBLBQYA&#10;AAAABgAGAFkBAABQBQAAAAA=&#10;">
              <v:fill on="f" focussize="0,0"/>
              <v:stroke on="f"/>
              <v:imagedata o:title=""/>
              <o:lock v:ext="edit" aspectratio="f"/>
              <v:textbox inset="0mm,0mm,0mm,0mm">
                <w:txbxContent>
                  <w:p w14:paraId="52540B28">
                    <w:pPr>
                      <w:spacing w:before="26"/>
                      <w:ind w:left="40"/>
                      <w:jc w:val="left"/>
                      <w:rPr>
                        <w:rFonts w:ascii="Times New Roman" w:hAnsi="Calibri"/>
                        <w:kern w:val="0"/>
                        <w:sz w:val="17"/>
                        <w:szCs w:val="20"/>
                      </w:rPr>
                    </w:pPr>
                    <w:r>
                      <w:rPr>
                        <w:rFonts w:ascii="宋体" w:hAnsi="Calibri"/>
                        <w:kern w:val="0"/>
                        <w:sz w:val="24"/>
                        <w:szCs w:val="20"/>
                      </w:rPr>
                      <w:fldChar w:fldCharType="begin"/>
                    </w:r>
                    <w:r>
                      <w:rPr>
                        <w:rFonts w:ascii="Times New Roman" w:hAnsi="Calibri"/>
                        <w:kern w:val="0"/>
                        <w:sz w:val="17"/>
                        <w:szCs w:val="20"/>
                      </w:rPr>
                      <w:instrText xml:space="preserve"> PAGE </w:instrText>
                    </w:r>
                    <w:r>
                      <w:rPr>
                        <w:rFonts w:ascii="宋体" w:hAnsi="Calibri"/>
                        <w:kern w:val="0"/>
                        <w:sz w:val="24"/>
                        <w:szCs w:val="20"/>
                      </w:rPr>
                      <w:fldChar w:fldCharType="separate"/>
                    </w:r>
                    <w:r>
                      <w:rPr>
                        <w:rFonts w:ascii="Times New Roman" w:hAnsi="Calibri"/>
                        <w:kern w:val="0"/>
                        <w:sz w:val="17"/>
                        <w:szCs w:val="20"/>
                      </w:rPr>
                      <w:t>246</w:t>
                    </w:r>
                    <w:r>
                      <w:rPr>
                        <w:rFonts w:ascii="宋体" w:hAnsi="Calibri"/>
                        <w:kern w:val="0"/>
                        <w:sz w:val="24"/>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0581D">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870A">
    <w:pPr>
      <w:widowControl w:val="0"/>
      <w:pBdr>
        <w:bottom w:val="none" w:color="auto" w:sz="0" w:space="1"/>
      </w:pBdr>
      <w:snapToGrid w:val="0"/>
      <w:jc w:val="center"/>
      <w:rPr>
        <w:rFonts w:hint="eastAsia" w:ascii="黑体" w:hAnsi="Calibri" w:eastAsia="黑体" w:cs="Times New Roman"/>
        <w:sz w:val="24"/>
        <w:szCs w:val="28"/>
        <w:lang w:val="en-US" w:eastAsia="zh-CN" w:bidi="ar-SA"/>
      </w:rPr>
    </w:pPr>
  </w:p>
  <w:p w14:paraId="2445E181">
    <w:pPr>
      <w:widowControl w:val="0"/>
      <w:pBdr>
        <w:bottom w:val="none" w:color="auto" w:sz="0" w:space="1"/>
      </w:pBdr>
      <w:snapToGrid w:val="0"/>
      <w:jc w:val="center"/>
      <w:rPr>
        <w:rFonts w:hint="eastAsia" w:ascii="黑体" w:hAnsi="Calibri" w:eastAsia="黑体" w:cs="Times New Roman"/>
        <w:sz w:val="24"/>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ABE33">
    <w:pPr>
      <w:widowControl w:val="0"/>
      <w:pBdr>
        <w:bottom w:val="double" w:color="auto" w:sz="4" w:space="1"/>
      </w:pBdr>
      <w:snapToGrid w:val="0"/>
      <w:jc w:val="center"/>
      <w:rPr>
        <w:rFonts w:hint="eastAsia" w:ascii="黑体" w:hAnsi="Calibri" w:eastAsia="黑体" w:cs="Times New Roman"/>
        <w:sz w:val="24"/>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B3ECB">
    <w:pPr>
      <w:widowControl w:val="0"/>
      <w:pBdr>
        <w:bottom w:val="none" w:color="auto" w:sz="0" w:space="1"/>
      </w:pBdr>
      <w:snapToGrid w:val="0"/>
      <w:jc w:val="center"/>
      <w:rPr>
        <w:rFonts w:hint="eastAsia" w:ascii="黑体" w:hAnsi="Calibri" w:eastAsia="黑体" w:cs="Times New Roman"/>
        <w:sz w:val="24"/>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585F7">
    <w:pPr>
      <w:widowControl w:val="0"/>
      <w:pBdr>
        <w:bottom w:val="none" w:color="auto" w:sz="0" w:space="1"/>
      </w:pBdr>
      <w:snapToGrid w:val="0"/>
      <w:jc w:val="center"/>
      <w:rPr>
        <w:rFonts w:hint="eastAsia" w:ascii="黑体" w:hAnsi="Calibri" w:eastAsia="黑体" w:cs="Times New Roman"/>
        <w:sz w:val="24"/>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D9FCE">
    <w:pPr>
      <w:widowControl w:val="0"/>
      <w:pBdr>
        <w:bottom w:val="none" w:color="auto" w:sz="0" w:space="1"/>
      </w:pBdr>
      <w:snapToGrid w:val="0"/>
      <w:jc w:val="center"/>
      <w:rPr>
        <w:rFonts w:hint="eastAsia" w:ascii="黑体" w:hAnsi="Calibri" w:eastAsia="黑体" w:cs="Times New Roman"/>
        <w:sz w:val="24"/>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AFAE">
    <w:pPr>
      <w:widowControl w:val="0"/>
      <w:pBdr>
        <w:bottom w:val="none" w:color="auto" w:sz="0" w:space="1"/>
      </w:pBdr>
      <w:snapToGrid w:val="0"/>
      <w:jc w:val="center"/>
      <w:rPr>
        <w:rFonts w:hint="eastAsia" w:ascii="黑体" w:hAnsi="Calibri" w:eastAsia="黑体" w:cs="Times New Roman"/>
        <w:sz w:val="24"/>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50016CF6"/>
    <w:multiLevelType w:val="multilevel"/>
    <w:tmpl w:val="50016CF6"/>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851"/>
        </w:tabs>
        <w:ind w:left="567" w:hanging="567"/>
      </w:pPr>
      <w:rPr>
        <w:rFonts w:hint="eastAsia"/>
      </w:rPr>
    </w:lvl>
    <w:lvl w:ilvl="2" w:tentative="0">
      <w:start w:val="1"/>
      <w:numFmt w:val="decimal"/>
      <w:lvlText w:val="%1.%2.%3"/>
      <w:lvlJc w:val="left"/>
      <w:pPr>
        <w:tabs>
          <w:tab w:val="left" w:pos="851"/>
        </w:tabs>
        <w:ind w:left="709" w:hanging="709"/>
      </w:pPr>
      <w:rPr>
        <w:rFonts w:hint="eastAsia"/>
      </w:rPr>
    </w:lvl>
    <w:lvl w:ilvl="3" w:tentative="0">
      <w:start w:val="1"/>
      <w:numFmt w:val="decimal"/>
      <w:lvlText w:val="%1.%2.%3.%4"/>
      <w:lvlJc w:val="left"/>
      <w:pPr>
        <w:tabs>
          <w:tab w:val="left" w:pos="1134"/>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210"/>
  <w:drawingGridVerticalSpacing w:val="16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YjhkMGZiYjNjOGY5YmJhYWFmYmQxZTk3NzhiNTAifQ=="/>
    <w:docVar w:name="KSO_WPS_MARK_KEY" w:val="4de40a63-6466-4a1e-a972-66a8c2a9e2b9"/>
  </w:docVars>
  <w:rsids>
    <w:rsidRoot w:val="00172A27"/>
    <w:rsid w:val="00001574"/>
    <w:rsid w:val="00005C75"/>
    <w:rsid w:val="000060B3"/>
    <w:rsid w:val="00012C3D"/>
    <w:rsid w:val="00013896"/>
    <w:rsid w:val="00020DF3"/>
    <w:rsid w:val="000309C9"/>
    <w:rsid w:val="00031DA1"/>
    <w:rsid w:val="00037221"/>
    <w:rsid w:val="000375BD"/>
    <w:rsid w:val="000418A5"/>
    <w:rsid w:val="0004364B"/>
    <w:rsid w:val="0005148D"/>
    <w:rsid w:val="00056599"/>
    <w:rsid w:val="00061B1F"/>
    <w:rsid w:val="00063F97"/>
    <w:rsid w:val="00064238"/>
    <w:rsid w:val="0006539F"/>
    <w:rsid w:val="0006578C"/>
    <w:rsid w:val="000664B0"/>
    <w:rsid w:val="0006728D"/>
    <w:rsid w:val="000675F2"/>
    <w:rsid w:val="000678D7"/>
    <w:rsid w:val="00067D53"/>
    <w:rsid w:val="000703B7"/>
    <w:rsid w:val="000727A5"/>
    <w:rsid w:val="000733C4"/>
    <w:rsid w:val="00074783"/>
    <w:rsid w:val="00076BF9"/>
    <w:rsid w:val="00077DC1"/>
    <w:rsid w:val="00080254"/>
    <w:rsid w:val="00080288"/>
    <w:rsid w:val="0008070B"/>
    <w:rsid w:val="000810AC"/>
    <w:rsid w:val="00081A02"/>
    <w:rsid w:val="00082231"/>
    <w:rsid w:val="00084402"/>
    <w:rsid w:val="0008797F"/>
    <w:rsid w:val="00092A75"/>
    <w:rsid w:val="00092D38"/>
    <w:rsid w:val="0009377B"/>
    <w:rsid w:val="000A20C9"/>
    <w:rsid w:val="000A52AA"/>
    <w:rsid w:val="000A62CB"/>
    <w:rsid w:val="000A7FDC"/>
    <w:rsid w:val="000B0258"/>
    <w:rsid w:val="000B058F"/>
    <w:rsid w:val="000B1251"/>
    <w:rsid w:val="000B2629"/>
    <w:rsid w:val="000B4467"/>
    <w:rsid w:val="000B4DB9"/>
    <w:rsid w:val="000B6049"/>
    <w:rsid w:val="000B68CC"/>
    <w:rsid w:val="000C09AC"/>
    <w:rsid w:val="000C13C9"/>
    <w:rsid w:val="000C41FD"/>
    <w:rsid w:val="000C767F"/>
    <w:rsid w:val="000C7688"/>
    <w:rsid w:val="000C7D51"/>
    <w:rsid w:val="000D176F"/>
    <w:rsid w:val="000D369C"/>
    <w:rsid w:val="000D3D02"/>
    <w:rsid w:val="000D519C"/>
    <w:rsid w:val="000D5A44"/>
    <w:rsid w:val="000E3ED2"/>
    <w:rsid w:val="000E59D1"/>
    <w:rsid w:val="000E68E7"/>
    <w:rsid w:val="00100C1D"/>
    <w:rsid w:val="00104BCF"/>
    <w:rsid w:val="00106855"/>
    <w:rsid w:val="00106E4E"/>
    <w:rsid w:val="00111997"/>
    <w:rsid w:val="00115D42"/>
    <w:rsid w:val="00115F42"/>
    <w:rsid w:val="00127AAC"/>
    <w:rsid w:val="00131F42"/>
    <w:rsid w:val="001357F1"/>
    <w:rsid w:val="00136BC4"/>
    <w:rsid w:val="00137820"/>
    <w:rsid w:val="00140FA8"/>
    <w:rsid w:val="00142FEB"/>
    <w:rsid w:val="00143A2D"/>
    <w:rsid w:val="00145A41"/>
    <w:rsid w:val="00146049"/>
    <w:rsid w:val="00147968"/>
    <w:rsid w:val="001503CE"/>
    <w:rsid w:val="00151675"/>
    <w:rsid w:val="00152F3E"/>
    <w:rsid w:val="00155FAF"/>
    <w:rsid w:val="00156F24"/>
    <w:rsid w:val="00157435"/>
    <w:rsid w:val="00162C19"/>
    <w:rsid w:val="00170696"/>
    <w:rsid w:val="001745F4"/>
    <w:rsid w:val="00174A01"/>
    <w:rsid w:val="0017504D"/>
    <w:rsid w:val="0017671A"/>
    <w:rsid w:val="00177422"/>
    <w:rsid w:val="00177EA3"/>
    <w:rsid w:val="00184590"/>
    <w:rsid w:val="00186358"/>
    <w:rsid w:val="001870D1"/>
    <w:rsid w:val="0018781E"/>
    <w:rsid w:val="001879CD"/>
    <w:rsid w:val="0019262D"/>
    <w:rsid w:val="00192664"/>
    <w:rsid w:val="0019459B"/>
    <w:rsid w:val="00196D32"/>
    <w:rsid w:val="001A1B35"/>
    <w:rsid w:val="001A3D43"/>
    <w:rsid w:val="001A48A2"/>
    <w:rsid w:val="001A492C"/>
    <w:rsid w:val="001A6F61"/>
    <w:rsid w:val="001A7962"/>
    <w:rsid w:val="001B3619"/>
    <w:rsid w:val="001B3FAD"/>
    <w:rsid w:val="001B72B8"/>
    <w:rsid w:val="001C2ED8"/>
    <w:rsid w:val="001C3A65"/>
    <w:rsid w:val="001C4744"/>
    <w:rsid w:val="001C69B3"/>
    <w:rsid w:val="001C6DA8"/>
    <w:rsid w:val="001D5595"/>
    <w:rsid w:val="001D7874"/>
    <w:rsid w:val="001D7F22"/>
    <w:rsid w:val="001F0F17"/>
    <w:rsid w:val="001F1FC9"/>
    <w:rsid w:val="001F3347"/>
    <w:rsid w:val="001F3537"/>
    <w:rsid w:val="001F69E4"/>
    <w:rsid w:val="001F7848"/>
    <w:rsid w:val="001F7F6E"/>
    <w:rsid w:val="00201F00"/>
    <w:rsid w:val="002125B4"/>
    <w:rsid w:val="00212C6C"/>
    <w:rsid w:val="002155B8"/>
    <w:rsid w:val="002164D0"/>
    <w:rsid w:val="002216B2"/>
    <w:rsid w:val="00221EDF"/>
    <w:rsid w:val="00223D37"/>
    <w:rsid w:val="00223D87"/>
    <w:rsid w:val="00224839"/>
    <w:rsid w:val="002249B2"/>
    <w:rsid w:val="00225E03"/>
    <w:rsid w:val="00226574"/>
    <w:rsid w:val="00226BB0"/>
    <w:rsid w:val="002278EC"/>
    <w:rsid w:val="0023280E"/>
    <w:rsid w:val="00234803"/>
    <w:rsid w:val="002353BE"/>
    <w:rsid w:val="00236437"/>
    <w:rsid w:val="002377D1"/>
    <w:rsid w:val="00242044"/>
    <w:rsid w:val="00242D81"/>
    <w:rsid w:val="00243392"/>
    <w:rsid w:val="00243822"/>
    <w:rsid w:val="00243F23"/>
    <w:rsid w:val="00244085"/>
    <w:rsid w:val="002506BC"/>
    <w:rsid w:val="002517BA"/>
    <w:rsid w:val="002534E7"/>
    <w:rsid w:val="00254175"/>
    <w:rsid w:val="00254345"/>
    <w:rsid w:val="00256B6B"/>
    <w:rsid w:val="00260221"/>
    <w:rsid w:val="00264557"/>
    <w:rsid w:val="002665E1"/>
    <w:rsid w:val="00271768"/>
    <w:rsid w:val="00271CC4"/>
    <w:rsid w:val="00273FC2"/>
    <w:rsid w:val="00274A9F"/>
    <w:rsid w:val="002805AB"/>
    <w:rsid w:val="00283272"/>
    <w:rsid w:val="00284204"/>
    <w:rsid w:val="002843FB"/>
    <w:rsid w:val="002853D2"/>
    <w:rsid w:val="00286593"/>
    <w:rsid w:val="00291773"/>
    <w:rsid w:val="00292BE7"/>
    <w:rsid w:val="00294D55"/>
    <w:rsid w:val="00296565"/>
    <w:rsid w:val="002A168C"/>
    <w:rsid w:val="002A3DC7"/>
    <w:rsid w:val="002B017B"/>
    <w:rsid w:val="002B3B70"/>
    <w:rsid w:val="002B49E2"/>
    <w:rsid w:val="002B6B4C"/>
    <w:rsid w:val="002B7B00"/>
    <w:rsid w:val="002B7C44"/>
    <w:rsid w:val="002C22DF"/>
    <w:rsid w:val="002C2B17"/>
    <w:rsid w:val="002D0060"/>
    <w:rsid w:val="002D0D2A"/>
    <w:rsid w:val="002D1113"/>
    <w:rsid w:val="002D24F7"/>
    <w:rsid w:val="002D3DD0"/>
    <w:rsid w:val="002D7A29"/>
    <w:rsid w:val="002D7BB5"/>
    <w:rsid w:val="002D7E06"/>
    <w:rsid w:val="002E129C"/>
    <w:rsid w:val="002E1F3A"/>
    <w:rsid w:val="002E239C"/>
    <w:rsid w:val="002E298A"/>
    <w:rsid w:val="002E47FF"/>
    <w:rsid w:val="002F1BF1"/>
    <w:rsid w:val="002F758D"/>
    <w:rsid w:val="002F7677"/>
    <w:rsid w:val="002F7A35"/>
    <w:rsid w:val="002F7F81"/>
    <w:rsid w:val="00300593"/>
    <w:rsid w:val="00301978"/>
    <w:rsid w:val="0030332C"/>
    <w:rsid w:val="003051C2"/>
    <w:rsid w:val="003073C5"/>
    <w:rsid w:val="00310C29"/>
    <w:rsid w:val="00312296"/>
    <w:rsid w:val="00314F0E"/>
    <w:rsid w:val="00316A04"/>
    <w:rsid w:val="00321D2B"/>
    <w:rsid w:val="00321D8E"/>
    <w:rsid w:val="00322B28"/>
    <w:rsid w:val="00324065"/>
    <w:rsid w:val="00325928"/>
    <w:rsid w:val="003263F0"/>
    <w:rsid w:val="00327760"/>
    <w:rsid w:val="00332863"/>
    <w:rsid w:val="0033289C"/>
    <w:rsid w:val="00332FF6"/>
    <w:rsid w:val="0033684D"/>
    <w:rsid w:val="00337B42"/>
    <w:rsid w:val="00337BEA"/>
    <w:rsid w:val="003410A2"/>
    <w:rsid w:val="00341B42"/>
    <w:rsid w:val="003431BB"/>
    <w:rsid w:val="0034348F"/>
    <w:rsid w:val="003441C1"/>
    <w:rsid w:val="003474C4"/>
    <w:rsid w:val="00347578"/>
    <w:rsid w:val="00350CDF"/>
    <w:rsid w:val="00352177"/>
    <w:rsid w:val="00356653"/>
    <w:rsid w:val="0035743F"/>
    <w:rsid w:val="00357BE2"/>
    <w:rsid w:val="00357C28"/>
    <w:rsid w:val="0036170C"/>
    <w:rsid w:val="003635DC"/>
    <w:rsid w:val="00366E0F"/>
    <w:rsid w:val="00374301"/>
    <w:rsid w:val="003768B2"/>
    <w:rsid w:val="00377007"/>
    <w:rsid w:val="00381A72"/>
    <w:rsid w:val="00383F4D"/>
    <w:rsid w:val="00384676"/>
    <w:rsid w:val="00385143"/>
    <w:rsid w:val="00386F3C"/>
    <w:rsid w:val="00390857"/>
    <w:rsid w:val="0039476E"/>
    <w:rsid w:val="003967D8"/>
    <w:rsid w:val="0039721C"/>
    <w:rsid w:val="00397F95"/>
    <w:rsid w:val="003A1646"/>
    <w:rsid w:val="003A4BF3"/>
    <w:rsid w:val="003A5318"/>
    <w:rsid w:val="003B07B1"/>
    <w:rsid w:val="003B24B6"/>
    <w:rsid w:val="003B420D"/>
    <w:rsid w:val="003B6D56"/>
    <w:rsid w:val="003C0E52"/>
    <w:rsid w:val="003C2D19"/>
    <w:rsid w:val="003C6C16"/>
    <w:rsid w:val="003D0B89"/>
    <w:rsid w:val="003D42F1"/>
    <w:rsid w:val="003D5256"/>
    <w:rsid w:val="003D5FAA"/>
    <w:rsid w:val="003D794D"/>
    <w:rsid w:val="003E1B78"/>
    <w:rsid w:val="003E3058"/>
    <w:rsid w:val="003E76A9"/>
    <w:rsid w:val="003F0809"/>
    <w:rsid w:val="003F4A3F"/>
    <w:rsid w:val="003F5DBB"/>
    <w:rsid w:val="003F6A8C"/>
    <w:rsid w:val="003F755C"/>
    <w:rsid w:val="00402A80"/>
    <w:rsid w:val="00403067"/>
    <w:rsid w:val="00406F01"/>
    <w:rsid w:val="00411FA6"/>
    <w:rsid w:val="00416D50"/>
    <w:rsid w:val="00416FD5"/>
    <w:rsid w:val="00417772"/>
    <w:rsid w:val="00420E6A"/>
    <w:rsid w:val="00425A9E"/>
    <w:rsid w:val="00426D6B"/>
    <w:rsid w:val="00431E6C"/>
    <w:rsid w:val="00432936"/>
    <w:rsid w:val="00433CE7"/>
    <w:rsid w:val="0043559A"/>
    <w:rsid w:val="004367C9"/>
    <w:rsid w:val="00437DD4"/>
    <w:rsid w:val="00440EB1"/>
    <w:rsid w:val="00440F62"/>
    <w:rsid w:val="00452738"/>
    <w:rsid w:val="00456091"/>
    <w:rsid w:val="00466321"/>
    <w:rsid w:val="00466B9F"/>
    <w:rsid w:val="00475581"/>
    <w:rsid w:val="004765DC"/>
    <w:rsid w:val="0048076A"/>
    <w:rsid w:val="004817DA"/>
    <w:rsid w:val="00482E25"/>
    <w:rsid w:val="00484B9B"/>
    <w:rsid w:val="004855F6"/>
    <w:rsid w:val="0048610E"/>
    <w:rsid w:val="0048612C"/>
    <w:rsid w:val="0048661E"/>
    <w:rsid w:val="00494670"/>
    <w:rsid w:val="00494DAE"/>
    <w:rsid w:val="004978EE"/>
    <w:rsid w:val="004A3639"/>
    <w:rsid w:val="004A3823"/>
    <w:rsid w:val="004A64F0"/>
    <w:rsid w:val="004A70CF"/>
    <w:rsid w:val="004B3A0F"/>
    <w:rsid w:val="004B72C1"/>
    <w:rsid w:val="004C1D08"/>
    <w:rsid w:val="004C3232"/>
    <w:rsid w:val="004C4BBB"/>
    <w:rsid w:val="004C5187"/>
    <w:rsid w:val="004C5C2B"/>
    <w:rsid w:val="004D1A2A"/>
    <w:rsid w:val="004D1DAD"/>
    <w:rsid w:val="004E6946"/>
    <w:rsid w:val="004E6BD5"/>
    <w:rsid w:val="004E6FDC"/>
    <w:rsid w:val="004F09CB"/>
    <w:rsid w:val="004F1AD8"/>
    <w:rsid w:val="004F1F57"/>
    <w:rsid w:val="004F2FBA"/>
    <w:rsid w:val="004F41DF"/>
    <w:rsid w:val="004F7FE7"/>
    <w:rsid w:val="00500B68"/>
    <w:rsid w:val="00501D96"/>
    <w:rsid w:val="005039CB"/>
    <w:rsid w:val="0050558F"/>
    <w:rsid w:val="00506286"/>
    <w:rsid w:val="00510813"/>
    <w:rsid w:val="00511990"/>
    <w:rsid w:val="00511DE0"/>
    <w:rsid w:val="00512780"/>
    <w:rsid w:val="00514870"/>
    <w:rsid w:val="00514B9B"/>
    <w:rsid w:val="00517F02"/>
    <w:rsid w:val="00523605"/>
    <w:rsid w:val="00524303"/>
    <w:rsid w:val="005258A2"/>
    <w:rsid w:val="00531504"/>
    <w:rsid w:val="0053236E"/>
    <w:rsid w:val="00535D92"/>
    <w:rsid w:val="00537CA1"/>
    <w:rsid w:val="005401AE"/>
    <w:rsid w:val="00540E7D"/>
    <w:rsid w:val="00541145"/>
    <w:rsid w:val="0054181E"/>
    <w:rsid w:val="00542E07"/>
    <w:rsid w:val="00544F95"/>
    <w:rsid w:val="0054532D"/>
    <w:rsid w:val="00545424"/>
    <w:rsid w:val="00550F4A"/>
    <w:rsid w:val="00554A7B"/>
    <w:rsid w:val="0055572C"/>
    <w:rsid w:val="0056106A"/>
    <w:rsid w:val="00562A3C"/>
    <w:rsid w:val="00563EAF"/>
    <w:rsid w:val="005720AE"/>
    <w:rsid w:val="0057723B"/>
    <w:rsid w:val="00585D00"/>
    <w:rsid w:val="00586BFA"/>
    <w:rsid w:val="00594D77"/>
    <w:rsid w:val="00594EB1"/>
    <w:rsid w:val="005963DB"/>
    <w:rsid w:val="005969E4"/>
    <w:rsid w:val="005A06B7"/>
    <w:rsid w:val="005A1759"/>
    <w:rsid w:val="005A68A7"/>
    <w:rsid w:val="005A6F1C"/>
    <w:rsid w:val="005B750E"/>
    <w:rsid w:val="005C074B"/>
    <w:rsid w:val="005C715C"/>
    <w:rsid w:val="005D2918"/>
    <w:rsid w:val="005D36AB"/>
    <w:rsid w:val="005E173E"/>
    <w:rsid w:val="005E2B6D"/>
    <w:rsid w:val="005E4AC9"/>
    <w:rsid w:val="005E55C8"/>
    <w:rsid w:val="005E5EA9"/>
    <w:rsid w:val="005F1E6C"/>
    <w:rsid w:val="005F6CBE"/>
    <w:rsid w:val="0060133E"/>
    <w:rsid w:val="0060180E"/>
    <w:rsid w:val="00601FF5"/>
    <w:rsid w:val="0060348B"/>
    <w:rsid w:val="00606E16"/>
    <w:rsid w:val="00607C46"/>
    <w:rsid w:val="00615B29"/>
    <w:rsid w:val="00617CC3"/>
    <w:rsid w:val="006237E5"/>
    <w:rsid w:val="006279D4"/>
    <w:rsid w:val="00631B34"/>
    <w:rsid w:val="006324D1"/>
    <w:rsid w:val="00634387"/>
    <w:rsid w:val="00634ECB"/>
    <w:rsid w:val="006353FC"/>
    <w:rsid w:val="006377A6"/>
    <w:rsid w:val="00637825"/>
    <w:rsid w:val="00637A3D"/>
    <w:rsid w:val="006411EF"/>
    <w:rsid w:val="006422FE"/>
    <w:rsid w:val="0064483A"/>
    <w:rsid w:val="00647DEB"/>
    <w:rsid w:val="00650019"/>
    <w:rsid w:val="006524BB"/>
    <w:rsid w:val="00660B30"/>
    <w:rsid w:val="0066571D"/>
    <w:rsid w:val="00666FF4"/>
    <w:rsid w:val="00673AC1"/>
    <w:rsid w:val="006748B8"/>
    <w:rsid w:val="00676C37"/>
    <w:rsid w:val="006775C3"/>
    <w:rsid w:val="006833C9"/>
    <w:rsid w:val="0068775E"/>
    <w:rsid w:val="0069065C"/>
    <w:rsid w:val="0069290A"/>
    <w:rsid w:val="0069385F"/>
    <w:rsid w:val="0069775A"/>
    <w:rsid w:val="00697813"/>
    <w:rsid w:val="006A054C"/>
    <w:rsid w:val="006A1CC9"/>
    <w:rsid w:val="006A3EE8"/>
    <w:rsid w:val="006A428C"/>
    <w:rsid w:val="006A72BF"/>
    <w:rsid w:val="006A742A"/>
    <w:rsid w:val="006B03F2"/>
    <w:rsid w:val="006B0752"/>
    <w:rsid w:val="006B37DC"/>
    <w:rsid w:val="006B43FC"/>
    <w:rsid w:val="006B46C5"/>
    <w:rsid w:val="006B4F68"/>
    <w:rsid w:val="006B6EC4"/>
    <w:rsid w:val="006C0592"/>
    <w:rsid w:val="006C218E"/>
    <w:rsid w:val="006C2674"/>
    <w:rsid w:val="006C272E"/>
    <w:rsid w:val="006C3EB8"/>
    <w:rsid w:val="006C5148"/>
    <w:rsid w:val="006C5479"/>
    <w:rsid w:val="006C6193"/>
    <w:rsid w:val="006C61E8"/>
    <w:rsid w:val="006D13B5"/>
    <w:rsid w:val="006D1EE2"/>
    <w:rsid w:val="006E12FF"/>
    <w:rsid w:val="006E27B2"/>
    <w:rsid w:val="006E607E"/>
    <w:rsid w:val="006E7E8A"/>
    <w:rsid w:val="006F1623"/>
    <w:rsid w:val="006F3A3F"/>
    <w:rsid w:val="00701462"/>
    <w:rsid w:val="00702D1B"/>
    <w:rsid w:val="00706C5D"/>
    <w:rsid w:val="00710042"/>
    <w:rsid w:val="007123E1"/>
    <w:rsid w:val="00712BDC"/>
    <w:rsid w:val="00714A68"/>
    <w:rsid w:val="00715C00"/>
    <w:rsid w:val="00716AF3"/>
    <w:rsid w:val="007178A4"/>
    <w:rsid w:val="00721134"/>
    <w:rsid w:val="00722364"/>
    <w:rsid w:val="00725DD6"/>
    <w:rsid w:val="00731C61"/>
    <w:rsid w:val="00732922"/>
    <w:rsid w:val="007333EF"/>
    <w:rsid w:val="00733A5F"/>
    <w:rsid w:val="0073403D"/>
    <w:rsid w:val="0073580B"/>
    <w:rsid w:val="007361B3"/>
    <w:rsid w:val="00736B0F"/>
    <w:rsid w:val="00743E68"/>
    <w:rsid w:val="00745779"/>
    <w:rsid w:val="007457F3"/>
    <w:rsid w:val="00750CB9"/>
    <w:rsid w:val="0075162E"/>
    <w:rsid w:val="0075277C"/>
    <w:rsid w:val="00754034"/>
    <w:rsid w:val="00756556"/>
    <w:rsid w:val="007568FA"/>
    <w:rsid w:val="007618C4"/>
    <w:rsid w:val="00762390"/>
    <w:rsid w:val="00762C9A"/>
    <w:rsid w:val="0076320C"/>
    <w:rsid w:val="00767980"/>
    <w:rsid w:val="00770B19"/>
    <w:rsid w:val="0077324C"/>
    <w:rsid w:val="0077463F"/>
    <w:rsid w:val="00774C96"/>
    <w:rsid w:val="007836EA"/>
    <w:rsid w:val="00784CDA"/>
    <w:rsid w:val="00786CBB"/>
    <w:rsid w:val="007906C4"/>
    <w:rsid w:val="00792525"/>
    <w:rsid w:val="007940EA"/>
    <w:rsid w:val="00794FAE"/>
    <w:rsid w:val="007967E8"/>
    <w:rsid w:val="007A2170"/>
    <w:rsid w:val="007A22BF"/>
    <w:rsid w:val="007A3323"/>
    <w:rsid w:val="007A440E"/>
    <w:rsid w:val="007B31F5"/>
    <w:rsid w:val="007B3511"/>
    <w:rsid w:val="007B72B8"/>
    <w:rsid w:val="007B7A58"/>
    <w:rsid w:val="007C0C69"/>
    <w:rsid w:val="007C21B5"/>
    <w:rsid w:val="007C355A"/>
    <w:rsid w:val="007C4534"/>
    <w:rsid w:val="007C7D5B"/>
    <w:rsid w:val="007D675D"/>
    <w:rsid w:val="007E00E2"/>
    <w:rsid w:val="007E0CEA"/>
    <w:rsid w:val="007E4BD2"/>
    <w:rsid w:val="007F4298"/>
    <w:rsid w:val="007F5416"/>
    <w:rsid w:val="00800226"/>
    <w:rsid w:val="00801393"/>
    <w:rsid w:val="00802F88"/>
    <w:rsid w:val="00803800"/>
    <w:rsid w:val="0081293E"/>
    <w:rsid w:val="00813FBA"/>
    <w:rsid w:val="00814CE1"/>
    <w:rsid w:val="00815465"/>
    <w:rsid w:val="00815E63"/>
    <w:rsid w:val="00816ECE"/>
    <w:rsid w:val="00817E9A"/>
    <w:rsid w:val="00826293"/>
    <w:rsid w:val="008306BD"/>
    <w:rsid w:val="008310EF"/>
    <w:rsid w:val="00831A80"/>
    <w:rsid w:val="00833743"/>
    <w:rsid w:val="008340A4"/>
    <w:rsid w:val="00834A5A"/>
    <w:rsid w:val="00836084"/>
    <w:rsid w:val="00840B38"/>
    <w:rsid w:val="00844533"/>
    <w:rsid w:val="008463D2"/>
    <w:rsid w:val="008500FC"/>
    <w:rsid w:val="0085040C"/>
    <w:rsid w:val="00851894"/>
    <w:rsid w:val="008525EE"/>
    <w:rsid w:val="00853876"/>
    <w:rsid w:val="00856765"/>
    <w:rsid w:val="008604BB"/>
    <w:rsid w:val="00867F5A"/>
    <w:rsid w:val="0087135F"/>
    <w:rsid w:val="00871DD2"/>
    <w:rsid w:val="00872D94"/>
    <w:rsid w:val="00873E20"/>
    <w:rsid w:val="0087630C"/>
    <w:rsid w:val="00880364"/>
    <w:rsid w:val="00885ECF"/>
    <w:rsid w:val="00891592"/>
    <w:rsid w:val="00891E9E"/>
    <w:rsid w:val="00893ECF"/>
    <w:rsid w:val="00897CE8"/>
    <w:rsid w:val="008A246A"/>
    <w:rsid w:val="008A2F68"/>
    <w:rsid w:val="008A4B7A"/>
    <w:rsid w:val="008B0E27"/>
    <w:rsid w:val="008B4FA6"/>
    <w:rsid w:val="008B5282"/>
    <w:rsid w:val="008B6C87"/>
    <w:rsid w:val="008B7150"/>
    <w:rsid w:val="008B7C17"/>
    <w:rsid w:val="008C2D01"/>
    <w:rsid w:val="008C40E6"/>
    <w:rsid w:val="008C60FB"/>
    <w:rsid w:val="008C6165"/>
    <w:rsid w:val="008D0C94"/>
    <w:rsid w:val="008D0F7A"/>
    <w:rsid w:val="008D4357"/>
    <w:rsid w:val="008D5AA2"/>
    <w:rsid w:val="008D68E4"/>
    <w:rsid w:val="008E0506"/>
    <w:rsid w:val="008E0BB1"/>
    <w:rsid w:val="008E0CFF"/>
    <w:rsid w:val="008E3327"/>
    <w:rsid w:val="008E5D6B"/>
    <w:rsid w:val="008E6EA7"/>
    <w:rsid w:val="008E76F0"/>
    <w:rsid w:val="008E7B69"/>
    <w:rsid w:val="008F15FE"/>
    <w:rsid w:val="008F2D29"/>
    <w:rsid w:val="008F3836"/>
    <w:rsid w:val="008F5000"/>
    <w:rsid w:val="008F5187"/>
    <w:rsid w:val="008F60D8"/>
    <w:rsid w:val="00901A0E"/>
    <w:rsid w:val="0090220D"/>
    <w:rsid w:val="00902727"/>
    <w:rsid w:val="0090312B"/>
    <w:rsid w:val="00903EC0"/>
    <w:rsid w:val="00905E26"/>
    <w:rsid w:val="0091736D"/>
    <w:rsid w:val="00924403"/>
    <w:rsid w:val="00924A2D"/>
    <w:rsid w:val="00925740"/>
    <w:rsid w:val="0093037A"/>
    <w:rsid w:val="00931675"/>
    <w:rsid w:val="00931D16"/>
    <w:rsid w:val="009377B4"/>
    <w:rsid w:val="0094154D"/>
    <w:rsid w:val="00942DA9"/>
    <w:rsid w:val="00943CCE"/>
    <w:rsid w:val="009448CE"/>
    <w:rsid w:val="00947346"/>
    <w:rsid w:val="0095155F"/>
    <w:rsid w:val="00953D9C"/>
    <w:rsid w:val="00954429"/>
    <w:rsid w:val="0095489E"/>
    <w:rsid w:val="009563CE"/>
    <w:rsid w:val="009619EE"/>
    <w:rsid w:val="00962517"/>
    <w:rsid w:val="009630C2"/>
    <w:rsid w:val="00965626"/>
    <w:rsid w:val="00966D86"/>
    <w:rsid w:val="009679A4"/>
    <w:rsid w:val="0097012E"/>
    <w:rsid w:val="00971985"/>
    <w:rsid w:val="00972BB1"/>
    <w:rsid w:val="00972F25"/>
    <w:rsid w:val="00974271"/>
    <w:rsid w:val="009754BC"/>
    <w:rsid w:val="00976328"/>
    <w:rsid w:val="0097680D"/>
    <w:rsid w:val="009779D3"/>
    <w:rsid w:val="00980548"/>
    <w:rsid w:val="009808DA"/>
    <w:rsid w:val="00980E0F"/>
    <w:rsid w:val="00982438"/>
    <w:rsid w:val="0098404C"/>
    <w:rsid w:val="009840ED"/>
    <w:rsid w:val="00985283"/>
    <w:rsid w:val="00995992"/>
    <w:rsid w:val="00997070"/>
    <w:rsid w:val="00997FC2"/>
    <w:rsid w:val="009A03E5"/>
    <w:rsid w:val="009A061D"/>
    <w:rsid w:val="009A07D6"/>
    <w:rsid w:val="009A0F3B"/>
    <w:rsid w:val="009A1BB4"/>
    <w:rsid w:val="009A20C2"/>
    <w:rsid w:val="009A230A"/>
    <w:rsid w:val="009A2628"/>
    <w:rsid w:val="009A29CA"/>
    <w:rsid w:val="009A3200"/>
    <w:rsid w:val="009A75F3"/>
    <w:rsid w:val="009A7BF0"/>
    <w:rsid w:val="009B0897"/>
    <w:rsid w:val="009B1B85"/>
    <w:rsid w:val="009B3173"/>
    <w:rsid w:val="009B5A5C"/>
    <w:rsid w:val="009B7BD9"/>
    <w:rsid w:val="009C132C"/>
    <w:rsid w:val="009C337D"/>
    <w:rsid w:val="009C690D"/>
    <w:rsid w:val="009C7DD5"/>
    <w:rsid w:val="009E227D"/>
    <w:rsid w:val="009E3FE4"/>
    <w:rsid w:val="009E5019"/>
    <w:rsid w:val="009F0712"/>
    <w:rsid w:val="009F779F"/>
    <w:rsid w:val="00A04F1B"/>
    <w:rsid w:val="00A0501B"/>
    <w:rsid w:val="00A0698B"/>
    <w:rsid w:val="00A1107A"/>
    <w:rsid w:val="00A1380A"/>
    <w:rsid w:val="00A143D6"/>
    <w:rsid w:val="00A14947"/>
    <w:rsid w:val="00A32A83"/>
    <w:rsid w:val="00A3620F"/>
    <w:rsid w:val="00A368DB"/>
    <w:rsid w:val="00A40D83"/>
    <w:rsid w:val="00A41018"/>
    <w:rsid w:val="00A42030"/>
    <w:rsid w:val="00A423AA"/>
    <w:rsid w:val="00A43CD0"/>
    <w:rsid w:val="00A50994"/>
    <w:rsid w:val="00A51046"/>
    <w:rsid w:val="00A52D77"/>
    <w:rsid w:val="00A53A9F"/>
    <w:rsid w:val="00A53EC6"/>
    <w:rsid w:val="00A55BA1"/>
    <w:rsid w:val="00A55C0F"/>
    <w:rsid w:val="00A60A36"/>
    <w:rsid w:val="00A61A72"/>
    <w:rsid w:val="00A72492"/>
    <w:rsid w:val="00A735DD"/>
    <w:rsid w:val="00A75276"/>
    <w:rsid w:val="00A83071"/>
    <w:rsid w:val="00A8713F"/>
    <w:rsid w:val="00A90BA1"/>
    <w:rsid w:val="00A955AA"/>
    <w:rsid w:val="00A96191"/>
    <w:rsid w:val="00A97A9A"/>
    <w:rsid w:val="00A97AFF"/>
    <w:rsid w:val="00AA0671"/>
    <w:rsid w:val="00AA09A4"/>
    <w:rsid w:val="00AA2531"/>
    <w:rsid w:val="00AA753B"/>
    <w:rsid w:val="00AB0857"/>
    <w:rsid w:val="00AB1E09"/>
    <w:rsid w:val="00AB5330"/>
    <w:rsid w:val="00AB7747"/>
    <w:rsid w:val="00AC0D7F"/>
    <w:rsid w:val="00AC1410"/>
    <w:rsid w:val="00AC14CE"/>
    <w:rsid w:val="00AC2A56"/>
    <w:rsid w:val="00AD055E"/>
    <w:rsid w:val="00AD0E61"/>
    <w:rsid w:val="00AD47A7"/>
    <w:rsid w:val="00AD561B"/>
    <w:rsid w:val="00AE3475"/>
    <w:rsid w:val="00AE7FA5"/>
    <w:rsid w:val="00AF0CBF"/>
    <w:rsid w:val="00AF257F"/>
    <w:rsid w:val="00AF33CF"/>
    <w:rsid w:val="00AF3426"/>
    <w:rsid w:val="00AF4D50"/>
    <w:rsid w:val="00AF58DE"/>
    <w:rsid w:val="00AF6002"/>
    <w:rsid w:val="00AF6179"/>
    <w:rsid w:val="00B01FF5"/>
    <w:rsid w:val="00B02ACE"/>
    <w:rsid w:val="00B02B55"/>
    <w:rsid w:val="00B075F4"/>
    <w:rsid w:val="00B1295A"/>
    <w:rsid w:val="00B166D5"/>
    <w:rsid w:val="00B20A45"/>
    <w:rsid w:val="00B22C5C"/>
    <w:rsid w:val="00B24F30"/>
    <w:rsid w:val="00B25721"/>
    <w:rsid w:val="00B27F45"/>
    <w:rsid w:val="00B3046D"/>
    <w:rsid w:val="00B31ABF"/>
    <w:rsid w:val="00B32BE6"/>
    <w:rsid w:val="00B33BE3"/>
    <w:rsid w:val="00B37268"/>
    <w:rsid w:val="00B403AA"/>
    <w:rsid w:val="00B464AC"/>
    <w:rsid w:val="00B46B4A"/>
    <w:rsid w:val="00B53B5D"/>
    <w:rsid w:val="00B56AF7"/>
    <w:rsid w:val="00B6055E"/>
    <w:rsid w:val="00B608B5"/>
    <w:rsid w:val="00B6317D"/>
    <w:rsid w:val="00B64B74"/>
    <w:rsid w:val="00B71C85"/>
    <w:rsid w:val="00B73EC2"/>
    <w:rsid w:val="00B7723F"/>
    <w:rsid w:val="00B80534"/>
    <w:rsid w:val="00B83F39"/>
    <w:rsid w:val="00B8433C"/>
    <w:rsid w:val="00B87491"/>
    <w:rsid w:val="00BA29E9"/>
    <w:rsid w:val="00BA7142"/>
    <w:rsid w:val="00BA731D"/>
    <w:rsid w:val="00BA7360"/>
    <w:rsid w:val="00BB237C"/>
    <w:rsid w:val="00BB2963"/>
    <w:rsid w:val="00BB41A3"/>
    <w:rsid w:val="00BB5415"/>
    <w:rsid w:val="00BC32DC"/>
    <w:rsid w:val="00BC35B6"/>
    <w:rsid w:val="00BC3B8A"/>
    <w:rsid w:val="00BD0F74"/>
    <w:rsid w:val="00BD1B51"/>
    <w:rsid w:val="00BD35F3"/>
    <w:rsid w:val="00BD4596"/>
    <w:rsid w:val="00BD653E"/>
    <w:rsid w:val="00BE02B4"/>
    <w:rsid w:val="00BE0DBA"/>
    <w:rsid w:val="00BE1405"/>
    <w:rsid w:val="00BE312D"/>
    <w:rsid w:val="00BF181D"/>
    <w:rsid w:val="00BF1C20"/>
    <w:rsid w:val="00BF1F9C"/>
    <w:rsid w:val="00C0123D"/>
    <w:rsid w:val="00C03941"/>
    <w:rsid w:val="00C060D4"/>
    <w:rsid w:val="00C072FD"/>
    <w:rsid w:val="00C10578"/>
    <w:rsid w:val="00C135BC"/>
    <w:rsid w:val="00C15C95"/>
    <w:rsid w:val="00C20486"/>
    <w:rsid w:val="00C242D2"/>
    <w:rsid w:val="00C24B33"/>
    <w:rsid w:val="00C2596A"/>
    <w:rsid w:val="00C27537"/>
    <w:rsid w:val="00C31481"/>
    <w:rsid w:val="00C328FE"/>
    <w:rsid w:val="00C33507"/>
    <w:rsid w:val="00C35822"/>
    <w:rsid w:val="00C35D30"/>
    <w:rsid w:val="00C41B60"/>
    <w:rsid w:val="00C4409D"/>
    <w:rsid w:val="00C441DF"/>
    <w:rsid w:val="00C44E72"/>
    <w:rsid w:val="00C45A06"/>
    <w:rsid w:val="00C47E5B"/>
    <w:rsid w:val="00C5458C"/>
    <w:rsid w:val="00C576C4"/>
    <w:rsid w:val="00C6144C"/>
    <w:rsid w:val="00C61E4B"/>
    <w:rsid w:val="00C62E72"/>
    <w:rsid w:val="00C62F66"/>
    <w:rsid w:val="00C64BFF"/>
    <w:rsid w:val="00C64F88"/>
    <w:rsid w:val="00C679A2"/>
    <w:rsid w:val="00C704E9"/>
    <w:rsid w:val="00C72162"/>
    <w:rsid w:val="00C72FCA"/>
    <w:rsid w:val="00C763C9"/>
    <w:rsid w:val="00C76CC1"/>
    <w:rsid w:val="00C80057"/>
    <w:rsid w:val="00C82232"/>
    <w:rsid w:val="00C82913"/>
    <w:rsid w:val="00C83BDE"/>
    <w:rsid w:val="00C85400"/>
    <w:rsid w:val="00C8665B"/>
    <w:rsid w:val="00C95685"/>
    <w:rsid w:val="00C972B1"/>
    <w:rsid w:val="00CA2CCE"/>
    <w:rsid w:val="00CA43FD"/>
    <w:rsid w:val="00CA7EF8"/>
    <w:rsid w:val="00CB0004"/>
    <w:rsid w:val="00CB0A3D"/>
    <w:rsid w:val="00CB4B97"/>
    <w:rsid w:val="00CC035B"/>
    <w:rsid w:val="00CC0DFB"/>
    <w:rsid w:val="00CC11E5"/>
    <w:rsid w:val="00CC45CD"/>
    <w:rsid w:val="00CC489B"/>
    <w:rsid w:val="00CD02E4"/>
    <w:rsid w:val="00CD19B4"/>
    <w:rsid w:val="00CD2BCD"/>
    <w:rsid w:val="00CD3A4C"/>
    <w:rsid w:val="00CD59D6"/>
    <w:rsid w:val="00CE10E9"/>
    <w:rsid w:val="00CE2910"/>
    <w:rsid w:val="00CE5393"/>
    <w:rsid w:val="00CE54DF"/>
    <w:rsid w:val="00CE7BB6"/>
    <w:rsid w:val="00CF36BE"/>
    <w:rsid w:val="00CF6000"/>
    <w:rsid w:val="00CF60BB"/>
    <w:rsid w:val="00D003F3"/>
    <w:rsid w:val="00D0364F"/>
    <w:rsid w:val="00D06834"/>
    <w:rsid w:val="00D10699"/>
    <w:rsid w:val="00D11B2C"/>
    <w:rsid w:val="00D139AD"/>
    <w:rsid w:val="00D14FEF"/>
    <w:rsid w:val="00D23DB6"/>
    <w:rsid w:val="00D27F70"/>
    <w:rsid w:val="00D3037C"/>
    <w:rsid w:val="00D308ED"/>
    <w:rsid w:val="00D30F1D"/>
    <w:rsid w:val="00D3105E"/>
    <w:rsid w:val="00D317EE"/>
    <w:rsid w:val="00D3292F"/>
    <w:rsid w:val="00D36D86"/>
    <w:rsid w:val="00D37504"/>
    <w:rsid w:val="00D428AA"/>
    <w:rsid w:val="00D50A34"/>
    <w:rsid w:val="00D52187"/>
    <w:rsid w:val="00D53EFA"/>
    <w:rsid w:val="00D54265"/>
    <w:rsid w:val="00D5520E"/>
    <w:rsid w:val="00D6033F"/>
    <w:rsid w:val="00D61321"/>
    <w:rsid w:val="00D70895"/>
    <w:rsid w:val="00D73232"/>
    <w:rsid w:val="00D7438F"/>
    <w:rsid w:val="00D75873"/>
    <w:rsid w:val="00D808B8"/>
    <w:rsid w:val="00D813E1"/>
    <w:rsid w:val="00D82BD9"/>
    <w:rsid w:val="00D8353F"/>
    <w:rsid w:val="00D8644A"/>
    <w:rsid w:val="00D879F5"/>
    <w:rsid w:val="00D91BF4"/>
    <w:rsid w:val="00D92D73"/>
    <w:rsid w:val="00D94A7C"/>
    <w:rsid w:val="00D95896"/>
    <w:rsid w:val="00D9654D"/>
    <w:rsid w:val="00D97457"/>
    <w:rsid w:val="00DA0333"/>
    <w:rsid w:val="00DA4965"/>
    <w:rsid w:val="00DA5559"/>
    <w:rsid w:val="00DA74FD"/>
    <w:rsid w:val="00DB2983"/>
    <w:rsid w:val="00DB4089"/>
    <w:rsid w:val="00DB784D"/>
    <w:rsid w:val="00DC1257"/>
    <w:rsid w:val="00DC1A94"/>
    <w:rsid w:val="00DC2047"/>
    <w:rsid w:val="00DC3DC0"/>
    <w:rsid w:val="00DC5B2B"/>
    <w:rsid w:val="00DD0426"/>
    <w:rsid w:val="00DD318D"/>
    <w:rsid w:val="00DD36F9"/>
    <w:rsid w:val="00DD51C6"/>
    <w:rsid w:val="00DD6830"/>
    <w:rsid w:val="00DE31E4"/>
    <w:rsid w:val="00DE35EC"/>
    <w:rsid w:val="00DE5FC0"/>
    <w:rsid w:val="00DF2E12"/>
    <w:rsid w:val="00DF4C7E"/>
    <w:rsid w:val="00DF4F41"/>
    <w:rsid w:val="00DF514A"/>
    <w:rsid w:val="00DF5A33"/>
    <w:rsid w:val="00DF64A6"/>
    <w:rsid w:val="00DF6690"/>
    <w:rsid w:val="00DF6804"/>
    <w:rsid w:val="00E00229"/>
    <w:rsid w:val="00E00709"/>
    <w:rsid w:val="00E01689"/>
    <w:rsid w:val="00E0358D"/>
    <w:rsid w:val="00E04187"/>
    <w:rsid w:val="00E04323"/>
    <w:rsid w:val="00E0547E"/>
    <w:rsid w:val="00E070A2"/>
    <w:rsid w:val="00E0784F"/>
    <w:rsid w:val="00E111D8"/>
    <w:rsid w:val="00E127EE"/>
    <w:rsid w:val="00E15BB4"/>
    <w:rsid w:val="00E20614"/>
    <w:rsid w:val="00E234C3"/>
    <w:rsid w:val="00E248D1"/>
    <w:rsid w:val="00E2656A"/>
    <w:rsid w:val="00E26B0C"/>
    <w:rsid w:val="00E26CE3"/>
    <w:rsid w:val="00E30B40"/>
    <w:rsid w:val="00E30CC7"/>
    <w:rsid w:val="00E33EC9"/>
    <w:rsid w:val="00E34F08"/>
    <w:rsid w:val="00E35339"/>
    <w:rsid w:val="00E3587E"/>
    <w:rsid w:val="00E412D0"/>
    <w:rsid w:val="00E4155A"/>
    <w:rsid w:val="00E427FE"/>
    <w:rsid w:val="00E44B93"/>
    <w:rsid w:val="00E45712"/>
    <w:rsid w:val="00E539C3"/>
    <w:rsid w:val="00E53E7C"/>
    <w:rsid w:val="00E5408A"/>
    <w:rsid w:val="00E56322"/>
    <w:rsid w:val="00E60982"/>
    <w:rsid w:val="00E62C62"/>
    <w:rsid w:val="00E64422"/>
    <w:rsid w:val="00E654C1"/>
    <w:rsid w:val="00E65879"/>
    <w:rsid w:val="00E65D97"/>
    <w:rsid w:val="00E67348"/>
    <w:rsid w:val="00E708F7"/>
    <w:rsid w:val="00E72A5A"/>
    <w:rsid w:val="00E73354"/>
    <w:rsid w:val="00E74E4A"/>
    <w:rsid w:val="00E82D91"/>
    <w:rsid w:val="00E83AFA"/>
    <w:rsid w:val="00E9242D"/>
    <w:rsid w:val="00E93678"/>
    <w:rsid w:val="00EA1075"/>
    <w:rsid w:val="00EA1EB0"/>
    <w:rsid w:val="00EA2FD2"/>
    <w:rsid w:val="00EA647D"/>
    <w:rsid w:val="00EB000E"/>
    <w:rsid w:val="00EB38EB"/>
    <w:rsid w:val="00EB5255"/>
    <w:rsid w:val="00EB5C47"/>
    <w:rsid w:val="00EB6DA6"/>
    <w:rsid w:val="00ED0639"/>
    <w:rsid w:val="00ED243A"/>
    <w:rsid w:val="00ED2EA6"/>
    <w:rsid w:val="00EE097B"/>
    <w:rsid w:val="00EE35A4"/>
    <w:rsid w:val="00EE3E98"/>
    <w:rsid w:val="00EF1861"/>
    <w:rsid w:val="00EF4755"/>
    <w:rsid w:val="00EF60DF"/>
    <w:rsid w:val="00EF7135"/>
    <w:rsid w:val="00F027DB"/>
    <w:rsid w:val="00F03EC4"/>
    <w:rsid w:val="00F1461D"/>
    <w:rsid w:val="00F14A7A"/>
    <w:rsid w:val="00F14F9C"/>
    <w:rsid w:val="00F16AA2"/>
    <w:rsid w:val="00F22985"/>
    <w:rsid w:val="00F32B32"/>
    <w:rsid w:val="00F3383E"/>
    <w:rsid w:val="00F41357"/>
    <w:rsid w:val="00F45E65"/>
    <w:rsid w:val="00F465A7"/>
    <w:rsid w:val="00F50B7C"/>
    <w:rsid w:val="00F51D37"/>
    <w:rsid w:val="00F532E6"/>
    <w:rsid w:val="00F54010"/>
    <w:rsid w:val="00F5482C"/>
    <w:rsid w:val="00F550E6"/>
    <w:rsid w:val="00F6175B"/>
    <w:rsid w:val="00F72BD4"/>
    <w:rsid w:val="00F74345"/>
    <w:rsid w:val="00F74DF5"/>
    <w:rsid w:val="00F77010"/>
    <w:rsid w:val="00F80A0A"/>
    <w:rsid w:val="00F82B19"/>
    <w:rsid w:val="00F83112"/>
    <w:rsid w:val="00F8586A"/>
    <w:rsid w:val="00F85B6B"/>
    <w:rsid w:val="00F906EC"/>
    <w:rsid w:val="00F9212D"/>
    <w:rsid w:val="00F9503F"/>
    <w:rsid w:val="00F9564C"/>
    <w:rsid w:val="00F95A4E"/>
    <w:rsid w:val="00F965DA"/>
    <w:rsid w:val="00F968BD"/>
    <w:rsid w:val="00FA0D60"/>
    <w:rsid w:val="00FA22BC"/>
    <w:rsid w:val="00FA2512"/>
    <w:rsid w:val="00FA2F8A"/>
    <w:rsid w:val="00FA406A"/>
    <w:rsid w:val="00FA40E4"/>
    <w:rsid w:val="00FA4C85"/>
    <w:rsid w:val="00FA5FAB"/>
    <w:rsid w:val="00FA7E73"/>
    <w:rsid w:val="00FB2073"/>
    <w:rsid w:val="00FB3276"/>
    <w:rsid w:val="00FB503A"/>
    <w:rsid w:val="00FB516C"/>
    <w:rsid w:val="00FC19D7"/>
    <w:rsid w:val="00FC37A0"/>
    <w:rsid w:val="00FD0236"/>
    <w:rsid w:val="00FD18F4"/>
    <w:rsid w:val="00FD441C"/>
    <w:rsid w:val="00FD54DB"/>
    <w:rsid w:val="00FD619F"/>
    <w:rsid w:val="00FE1D13"/>
    <w:rsid w:val="00FF16C3"/>
    <w:rsid w:val="00FF3F61"/>
    <w:rsid w:val="00FF478B"/>
    <w:rsid w:val="00FF5A43"/>
    <w:rsid w:val="0104489F"/>
    <w:rsid w:val="01062826"/>
    <w:rsid w:val="010A4D14"/>
    <w:rsid w:val="0113099C"/>
    <w:rsid w:val="011329C0"/>
    <w:rsid w:val="01290F7E"/>
    <w:rsid w:val="01353C9B"/>
    <w:rsid w:val="01370B15"/>
    <w:rsid w:val="014B738E"/>
    <w:rsid w:val="01552C8F"/>
    <w:rsid w:val="01562B00"/>
    <w:rsid w:val="015A00C9"/>
    <w:rsid w:val="015D1E09"/>
    <w:rsid w:val="01732CED"/>
    <w:rsid w:val="017E78FD"/>
    <w:rsid w:val="018B4581"/>
    <w:rsid w:val="01AA6C07"/>
    <w:rsid w:val="01AE6C9E"/>
    <w:rsid w:val="01B65B72"/>
    <w:rsid w:val="01BC6CC3"/>
    <w:rsid w:val="01CE0015"/>
    <w:rsid w:val="01CE60EA"/>
    <w:rsid w:val="01DB1C83"/>
    <w:rsid w:val="01ED31DB"/>
    <w:rsid w:val="01F575D0"/>
    <w:rsid w:val="020F24E6"/>
    <w:rsid w:val="021C74EE"/>
    <w:rsid w:val="023C6351"/>
    <w:rsid w:val="023D4C49"/>
    <w:rsid w:val="023E4F66"/>
    <w:rsid w:val="02431C1C"/>
    <w:rsid w:val="0255125B"/>
    <w:rsid w:val="025F5454"/>
    <w:rsid w:val="02697903"/>
    <w:rsid w:val="02857C60"/>
    <w:rsid w:val="028C54E2"/>
    <w:rsid w:val="02AA7B66"/>
    <w:rsid w:val="02D805E3"/>
    <w:rsid w:val="02D93FBF"/>
    <w:rsid w:val="02DC1DCE"/>
    <w:rsid w:val="02DD7687"/>
    <w:rsid w:val="02F3256B"/>
    <w:rsid w:val="02F96569"/>
    <w:rsid w:val="03001330"/>
    <w:rsid w:val="03062562"/>
    <w:rsid w:val="03174F3D"/>
    <w:rsid w:val="03340AC7"/>
    <w:rsid w:val="0338109D"/>
    <w:rsid w:val="034841F1"/>
    <w:rsid w:val="034A0929"/>
    <w:rsid w:val="03526E63"/>
    <w:rsid w:val="035E581E"/>
    <w:rsid w:val="03697AD1"/>
    <w:rsid w:val="03763FC0"/>
    <w:rsid w:val="03A52548"/>
    <w:rsid w:val="03C82F65"/>
    <w:rsid w:val="03D67FC1"/>
    <w:rsid w:val="03E2270A"/>
    <w:rsid w:val="03E53FE7"/>
    <w:rsid w:val="03E7314F"/>
    <w:rsid w:val="03EA7B21"/>
    <w:rsid w:val="03FF761E"/>
    <w:rsid w:val="040B419E"/>
    <w:rsid w:val="040C1678"/>
    <w:rsid w:val="0410090F"/>
    <w:rsid w:val="04161698"/>
    <w:rsid w:val="041A1AD7"/>
    <w:rsid w:val="04285B50"/>
    <w:rsid w:val="042B576D"/>
    <w:rsid w:val="042D5FCF"/>
    <w:rsid w:val="043C1D28"/>
    <w:rsid w:val="043D1975"/>
    <w:rsid w:val="044542A4"/>
    <w:rsid w:val="04661837"/>
    <w:rsid w:val="04743FA1"/>
    <w:rsid w:val="04793EC6"/>
    <w:rsid w:val="047A0A2A"/>
    <w:rsid w:val="047E366C"/>
    <w:rsid w:val="04941AEE"/>
    <w:rsid w:val="049E38A8"/>
    <w:rsid w:val="049F24E9"/>
    <w:rsid w:val="04A30B33"/>
    <w:rsid w:val="04D342A7"/>
    <w:rsid w:val="04D4244D"/>
    <w:rsid w:val="04FA5F95"/>
    <w:rsid w:val="05097981"/>
    <w:rsid w:val="05162727"/>
    <w:rsid w:val="05192324"/>
    <w:rsid w:val="051C4A8C"/>
    <w:rsid w:val="0527431C"/>
    <w:rsid w:val="052D7D8E"/>
    <w:rsid w:val="054327B3"/>
    <w:rsid w:val="054E4737"/>
    <w:rsid w:val="055050EC"/>
    <w:rsid w:val="056F23F1"/>
    <w:rsid w:val="05785892"/>
    <w:rsid w:val="05903AC7"/>
    <w:rsid w:val="059246F3"/>
    <w:rsid w:val="059B35F0"/>
    <w:rsid w:val="05A37CA9"/>
    <w:rsid w:val="05A57228"/>
    <w:rsid w:val="05A8549A"/>
    <w:rsid w:val="05B17973"/>
    <w:rsid w:val="05BA2F88"/>
    <w:rsid w:val="05CB4645"/>
    <w:rsid w:val="05E2743F"/>
    <w:rsid w:val="05E459BB"/>
    <w:rsid w:val="05EE467B"/>
    <w:rsid w:val="05F07BDA"/>
    <w:rsid w:val="05F83EAE"/>
    <w:rsid w:val="06086304"/>
    <w:rsid w:val="06127C3D"/>
    <w:rsid w:val="06251CB1"/>
    <w:rsid w:val="063E7D85"/>
    <w:rsid w:val="065639E3"/>
    <w:rsid w:val="06783E34"/>
    <w:rsid w:val="067A7DBD"/>
    <w:rsid w:val="06882281"/>
    <w:rsid w:val="06966CC5"/>
    <w:rsid w:val="06983515"/>
    <w:rsid w:val="069C4BAE"/>
    <w:rsid w:val="069F23C0"/>
    <w:rsid w:val="06A12A3F"/>
    <w:rsid w:val="06A7664A"/>
    <w:rsid w:val="06BC5543"/>
    <w:rsid w:val="06C1122A"/>
    <w:rsid w:val="06D619E5"/>
    <w:rsid w:val="06E05013"/>
    <w:rsid w:val="06EF18C7"/>
    <w:rsid w:val="06EF4189"/>
    <w:rsid w:val="06F123FF"/>
    <w:rsid w:val="06FA79C7"/>
    <w:rsid w:val="07083707"/>
    <w:rsid w:val="07096175"/>
    <w:rsid w:val="070E664D"/>
    <w:rsid w:val="071D38EA"/>
    <w:rsid w:val="071E5C62"/>
    <w:rsid w:val="07226686"/>
    <w:rsid w:val="07280220"/>
    <w:rsid w:val="07293586"/>
    <w:rsid w:val="07295285"/>
    <w:rsid w:val="07360B4D"/>
    <w:rsid w:val="07427EA2"/>
    <w:rsid w:val="074C7B58"/>
    <w:rsid w:val="07523450"/>
    <w:rsid w:val="07607F78"/>
    <w:rsid w:val="07636392"/>
    <w:rsid w:val="076B6F9C"/>
    <w:rsid w:val="07770C56"/>
    <w:rsid w:val="077A4850"/>
    <w:rsid w:val="078628A5"/>
    <w:rsid w:val="078F2171"/>
    <w:rsid w:val="07967786"/>
    <w:rsid w:val="079F6A45"/>
    <w:rsid w:val="07A43B52"/>
    <w:rsid w:val="07AB35ED"/>
    <w:rsid w:val="07C218AA"/>
    <w:rsid w:val="07C24BDF"/>
    <w:rsid w:val="07D1497E"/>
    <w:rsid w:val="07D57FFA"/>
    <w:rsid w:val="07D86EF1"/>
    <w:rsid w:val="07E542CE"/>
    <w:rsid w:val="08403DF8"/>
    <w:rsid w:val="08680181"/>
    <w:rsid w:val="086F65BE"/>
    <w:rsid w:val="0877206C"/>
    <w:rsid w:val="087C32C1"/>
    <w:rsid w:val="08845130"/>
    <w:rsid w:val="08861A86"/>
    <w:rsid w:val="089271BB"/>
    <w:rsid w:val="0897495F"/>
    <w:rsid w:val="08A74FB5"/>
    <w:rsid w:val="08B64D9E"/>
    <w:rsid w:val="08BE7D7E"/>
    <w:rsid w:val="08BE7F70"/>
    <w:rsid w:val="08BF40AC"/>
    <w:rsid w:val="08CD6049"/>
    <w:rsid w:val="08CD77B7"/>
    <w:rsid w:val="08D2116D"/>
    <w:rsid w:val="08D4738B"/>
    <w:rsid w:val="08F54F04"/>
    <w:rsid w:val="09171889"/>
    <w:rsid w:val="092217DD"/>
    <w:rsid w:val="092263E9"/>
    <w:rsid w:val="093A7294"/>
    <w:rsid w:val="093D455B"/>
    <w:rsid w:val="09424E00"/>
    <w:rsid w:val="094425CE"/>
    <w:rsid w:val="096B14AE"/>
    <w:rsid w:val="09776735"/>
    <w:rsid w:val="098737D9"/>
    <w:rsid w:val="098F41C8"/>
    <w:rsid w:val="099A32C2"/>
    <w:rsid w:val="09A11DAA"/>
    <w:rsid w:val="09A64D6B"/>
    <w:rsid w:val="09B338C1"/>
    <w:rsid w:val="09BF46A7"/>
    <w:rsid w:val="09CA4D1C"/>
    <w:rsid w:val="09CD72EE"/>
    <w:rsid w:val="09E1792E"/>
    <w:rsid w:val="09E64ED3"/>
    <w:rsid w:val="09E73716"/>
    <w:rsid w:val="09EB2D60"/>
    <w:rsid w:val="09F16D93"/>
    <w:rsid w:val="09F22415"/>
    <w:rsid w:val="0A00526F"/>
    <w:rsid w:val="0A0A75A9"/>
    <w:rsid w:val="0A0B50CF"/>
    <w:rsid w:val="0A17079C"/>
    <w:rsid w:val="0A2301F9"/>
    <w:rsid w:val="0A240CE5"/>
    <w:rsid w:val="0A2515A2"/>
    <w:rsid w:val="0A263993"/>
    <w:rsid w:val="0A2D3AC2"/>
    <w:rsid w:val="0A521502"/>
    <w:rsid w:val="0A552162"/>
    <w:rsid w:val="0A690774"/>
    <w:rsid w:val="0A6F1B02"/>
    <w:rsid w:val="0A907AB6"/>
    <w:rsid w:val="0A9C6C24"/>
    <w:rsid w:val="0A9D0686"/>
    <w:rsid w:val="0AA53C8D"/>
    <w:rsid w:val="0AA755DF"/>
    <w:rsid w:val="0AA94D7B"/>
    <w:rsid w:val="0AAB27B8"/>
    <w:rsid w:val="0AAC20D0"/>
    <w:rsid w:val="0AB253FA"/>
    <w:rsid w:val="0ABD5529"/>
    <w:rsid w:val="0AC8394F"/>
    <w:rsid w:val="0ADE12BE"/>
    <w:rsid w:val="0B120D44"/>
    <w:rsid w:val="0B204882"/>
    <w:rsid w:val="0B2220C4"/>
    <w:rsid w:val="0B253C0E"/>
    <w:rsid w:val="0B36413A"/>
    <w:rsid w:val="0B4103B8"/>
    <w:rsid w:val="0B4767AA"/>
    <w:rsid w:val="0B4D153D"/>
    <w:rsid w:val="0B4D55A3"/>
    <w:rsid w:val="0B530234"/>
    <w:rsid w:val="0B5A482D"/>
    <w:rsid w:val="0B5C5323"/>
    <w:rsid w:val="0B684866"/>
    <w:rsid w:val="0B695524"/>
    <w:rsid w:val="0B6B4073"/>
    <w:rsid w:val="0B6F3216"/>
    <w:rsid w:val="0B736BDE"/>
    <w:rsid w:val="0B776C1D"/>
    <w:rsid w:val="0B9F65A0"/>
    <w:rsid w:val="0BB73EDD"/>
    <w:rsid w:val="0BBB7238"/>
    <w:rsid w:val="0BC96FE7"/>
    <w:rsid w:val="0BD035A3"/>
    <w:rsid w:val="0BD27BF6"/>
    <w:rsid w:val="0BE23F55"/>
    <w:rsid w:val="0BEB0839"/>
    <w:rsid w:val="0BED0614"/>
    <w:rsid w:val="0BF11E06"/>
    <w:rsid w:val="0BF136C8"/>
    <w:rsid w:val="0BF2484F"/>
    <w:rsid w:val="0BF53363"/>
    <w:rsid w:val="0C01418B"/>
    <w:rsid w:val="0C0B585A"/>
    <w:rsid w:val="0C154C72"/>
    <w:rsid w:val="0C261F87"/>
    <w:rsid w:val="0C280C26"/>
    <w:rsid w:val="0C307985"/>
    <w:rsid w:val="0C33224E"/>
    <w:rsid w:val="0C3B3C7D"/>
    <w:rsid w:val="0C447A21"/>
    <w:rsid w:val="0C485BF0"/>
    <w:rsid w:val="0C534FC8"/>
    <w:rsid w:val="0C5965C6"/>
    <w:rsid w:val="0C61437A"/>
    <w:rsid w:val="0C845CBB"/>
    <w:rsid w:val="0C9152FC"/>
    <w:rsid w:val="0C9B0AAC"/>
    <w:rsid w:val="0CAB2EAE"/>
    <w:rsid w:val="0CDF3CDE"/>
    <w:rsid w:val="0CE606E0"/>
    <w:rsid w:val="0CFD0F0E"/>
    <w:rsid w:val="0D093C06"/>
    <w:rsid w:val="0D164A8D"/>
    <w:rsid w:val="0D1F5CC7"/>
    <w:rsid w:val="0D226789"/>
    <w:rsid w:val="0D2A511F"/>
    <w:rsid w:val="0D381BF9"/>
    <w:rsid w:val="0D3F2E7B"/>
    <w:rsid w:val="0D40092C"/>
    <w:rsid w:val="0D425653"/>
    <w:rsid w:val="0D500A66"/>
    <w:rsid w:val="0D560DA7"/>
    <w:rsid w:val="0D621C7D"/>
    <w:rsid w:val="0D692839"/>
    <w:rsid w:val="0D6B156C"/>
    <w:rsid w:val="0D6D6F31"/>
    <w:rsid w:val="0D9E0B2F"/>
    <w:rsid w:val="0DA742F5"/>
    <w:rsid w:val="0DB11139"/>
    <w:rsid w:val="0DB97325"/>
    <w:rsid w:val="0DC44486"/>
    <w:rsid w:val="0DE97111"/>
    <w:rsid w:val="0DEB19DA"/>
    <w:rsid w:val="0DFB43F4"/>
    <w:rsid w:val="0E047F21"/>
    <w:rsid w:val="0E181382"/>
    <w:rsid w:val="0E3B02ED"/>
    <w:rsid w:val="0E44763D"/>
    <w:rsid w:val="0E4548E4"/>
    <w:rsid w:val="0E531137"/>
    <w:rsid w:val="0E6207EF"/>
    <w:rsid w:val="0E6503E6"/>
    <w:rsid w:val="0E6C0D3C"/>
    <w:rsid w:val="0E73034D"/>
    <w:rsid w:val="0E803C07"/>
    <w:rsid w:val="0E8529F3"/>
    <w:rsid w:val="0E8E6F27"/>
    <w:rsid w:val="0E952237"/>
    <w:rsid w:val="0EAF2E68"/>
    <w:rsid w:val="0EB366F4"/>
    <w:rsid w:val="0EBE1D5D"/>
    <w:rsid w:val="0ECE759D"/>
    <w:rsid w:val="0ED4600A"/>
    <w:rsid w:val="0ED51EBD"/>
    <w:rsid w:val="0ED90715"/>
    <w:rsid w:val="0EDA59CA"/>
    <w:rsid w:val="0EF935B0"/>
    <w:rsid w:val="0F13775A"/>
    <w:rsid w:val="0F1F5CA4"/>
    <w:rsid w:val="0F2033CB"/>
    <w:rsid w:val="0F40133B"/>
    <w:rsid w:val="0F464449"/>
    <w:rsid w:val="0F4F76A4"/>
    <w:rsid w:val="0F5558E9"/>
    <w:rsid w:val="0F597DAF"/>
    <w:rsid w:val="0F5A0A96"/>
    <w:rsid w:val="0F5F45FE"/>
    <w:rsid w:val="0F6D05A8"/>
    <w:rsid w:val="0F7A7415"/>
    <w:rsid w:val="0F8A55C9"/>
    <w:rsid w:val="0F9A112B"/>
    <w:rsid w:val="0F9A6FD8"/>
    <w:rsid w:val="0FA5026E"/>
    <w:rsid w:val="0FA87712"/>
    <w:rsid w:val="0FC3194F"/>
    <w:rsid w:val="0FC343BC"/>
    <w:rsid w:val="0FC40715"/>
    <w:rsid w:val="0FCA1ABD"/>
    <w:rsid w:val="0FE73EE9"/>
    <w:rsid w:val="0FFD4423"/>
    <w:rsid w:val="101363C6"/>
    <w:rsid w:val="101B27F4"/>
    <w:rsid w:val="102C54D9"/>
    <w:rsid w:val="103E0CC5"/>
    <w:rsid w:val="10495C43"/>
    <w:rsid w:val="104A5DBA"/>
    <w:rsid w:val="105552F6"/>
    <w:rsid w:val="105570A4"/>
    <w:rsid w:val="10581C5B"/>
    <w:rsid w:val="106A48A6"/>
    <w:rsid w:val="106D2F64"/>
    <w:rsid w:val="107048C7"/>
    <w:rsid w:val="107D5628"/>
    <w:rsid w:val="108300B5"/>
    <w:rsid w:val="10853B00"/>
    <w:rsid w:val="1087158C"/>
    <w:rsid w:val="108A1444"/>
    <w:rsid w:val="108E6806"/>
    <w:rsid w:val="10916A43"/>
    <w:rsid w:val="10B36BDF"/>
    <w:rsid w:val="10B63710"/>
    <w:rsid w:val="10B71B0D"/>
    <w:rsid w:val="10BD6158"/>
    <w:rsid w:val="10C25051"/>
    <w:rsid w:val="10C572AF"/>
    <w:rsid w:val="10C81313"/>
    <w:rsid w:val="10CA312F"/>
    <w:rsid w:val="10CD7873"/>
    <w:rsid w:val="10D360C6"/>
    <w:rsid w:val="10E07FDD"/>
    <w:rsid w:val="10E12DA8"/>
    <w:rsid w:val="10E27857"/>
    <w:rsid w:val="10EE47E1"/>
    <w:rsid w:val="10EF23AF"/>
    <w:rsid w:val="10F10820"/>
    <w:rsid w:val="10F10D1C"/>
    <w:rsid w:val="10FC3CF2"/>
    <w:rsid w:val="11094FBB"/>
    <w:rsid w:val="111C2F7A"/>
    <w:rsid w:val="111C7C16"/>
    <w:rsid w:val="11461CB7"/>
    <w:rsid w:val="11496C09"/>
    <w:rsid w:val="114C6BD9"/>
    <w:rsid w:val="1157181C"/>
    <w:rsid w:val="11665CA1"/>
    <w:rsid w:val="11785F25"/>
    <w:rsid w:val="11802272"/>
    <w:rsid w:val="1185790C"/>
    <w:rsid w:val="118D3C11"/>
    <w:rsid w:val="11992758"/>
    <w:rsid w:val="119C412E"/>
    <w:rsid w:val="11AB2585"/>
    <w:rsid w:val="11BE4A5A"/>
    <w:rsid w:val="11CE1522"/>
    <w:rsid w:val="11E60DD9"/>
    <w:rsid w:val="11E92DBD"/>
    <w:rsid w:val="11EA6241"/>
    <w:rsid w:val="11ED12D4"/>
    <w:rsid w:val="11EE0831"/>
    <w:rsid w:val="12107727"/>
    <w:rsid w:val="123062A5"/>
    <w:rsid w:val="124F0CE2"/>
    <w:rsid w:val="12677CA7"/>
    <w:rsid w:val="12752BD6"/>
    <w:rsid w:val="12911462"/>
    <w:rsid w:val="129C2E5B"/>
    <w:rsid w:val="12A06803"/>
    <w:rsid w:val="12B34FE4"/>
    <w:rsid w:val="12B75405"/>
    <w:rsid w:val="12B94ED8"/>
    <w:rsid w:val="12C1040A"/>
    <w:rsid w:val="12D07BCF"/>
    <w:rsid w:val="12D34A4C"/>
    <w:rsid w:val="12D876BB"/>
    <w:rsid w:val="12DD4714"/>
    <w:rsid w:val="12E25268"/>
    <w:rsid w:val="12F45F4B"/>
    <w:rsid w:val="12FC3475"/>
    <w:rsid w:val="12FD60C7"/>
    <w:rsid w:val="130611B7"/>
    <w:rsid w:val="130B0E79"/>
    <w:rsid w:val="130E5059"/>
    <w:rsid w:val="1310343B"/>
    <w:rsid w:val="132468BA"/>
    <w:rsid w:val="1341677D"/>
    <w:rsid w:val="135A67E0"/>
    <w:rsid w:val="135B2690"/>
    <w:rsid w:val="135E54B7"/>
    <w:rsid w:val="13601502"/>
    <w:rsid w:val="13665DCA"/>
    <w:rsid w:val="137A4050"/>
    <w:rsid w:val="13951726"/>
    <w:rsid w:val="13A4534E"/>
    <w:rsid w:val="13A454A5"/>
    <w:rsid w:val="13A567C1"/>
    <w:rsid w:val="13B45FCE"/>
    <w:rsid w:val="13C73303"/>
    <w:rsid w:val="13E12B89"/>
    <w:rsid w:val="13EB359A"/>
    <w:rsid w:val="13FD1F2D"/>
    <w:rsid w:val="140C1CD6"/>
    <w:rsid w:val="140F2B0D"/>
    <w:rsid w:val="141254DF"/>
    <w:rsid w:val="14193684"/>
    <w:rsid w:val="14217ED8"/>
    <w:rsid w:val="14250267"/>
    <w:rsid w:val="1427497D"/>
    <w:rsid w:val="142F0221"/>
    <w:rsid w:val="143363F1"/>
    <w:rsid w:val="14396509"/>
    <w:rsid w:val="1446202E"/>
    <w:rsid w:val="144E3F05"/>
    <w:rsid w:val="145D4D68"/>
    <w:rsid w:val="14622C47"/>
    <w:rsid w:val="1474673F"/>
    <w:rsid w:val="1476520D"/>
    <w:rsid w:val="147C45D4"/>
    <w:rsid w:val="147D1830"/>
    <w:rsid w:val="148B12E6"/>
    <w:rsid w:val="14A04AA9"/>
    <w:rsid w:val="14AC46B5"/>
    <w:rsid w:val="14AF01EF"/>
    <w:rsid w:val="14B62D6B"/>
    <w:rsid w:val="14B7771F"/>
    <w:rsid w:val="14C12607"/>
    <w:rsid w:val="14C14846"/>
    <w:rsid w:val="14CC4545"/>
    <w:rsid w:val="14CF6312"/>
    <w:rsid w:val="14DA3A98"/>
    <w:rsid w:val="14DD2C3C"/>
    <w:rsid w:val="14E66B52"/>
    <w:rsid w:val="14E80BAF"/>
    <w:rsid w:val="14E83677"/>
    <w:rsid w:val="14F46F25"/>
    <w:rsid w:val="150A01A8"/>
    <w:rsid w:val="150F1F18"/>
    <w:rsid w:val="151374A4"/>
    <w:rsid w:val="1526348C"/>
    <w:rsid w:val="15410D79"/>
    <w:rsid w:val="15476DC9"/>
    <w:rsid w:val="154C156B"/>
    <w:rsid w:val="155129EC"/>
    <w:rsid w:val="15616E18"/>
    <w:rsid w:val="156B73DA"/>
    <w:rsid w:val="156C1335"/>
    <w:rsid w:val="158228B5"/>
    <w:rsid w:val="15B1127C"/>
    <w:rsid w:val="15BF7896"/>
    <w:rsid w:val="15C824EE"/>
    <w:rsid w:val="15D55F4B"/>
    <w:rsid w:val="15E017B4"/>
    <w:rsid w:val="15F83092"/>
    <w:rsid w:val="16044542"/>
    <w:rsid w:val="16087E1D"/>
    <w:rsid w:val="161522E3"/>
    <w:rsid w:val="161C396F"/>
    <w:rsid w:val="162661BF"/>
    <w:rsid w:val="1628395C"/>
    <w:rsid w:val="162B5B89"/>
    <w:rsid w:val="162E5D6A"/>
    <w:rsid w:val="163D66D0"/>
    <w:rsid w:val="164823DD"/>
    <w:rsid w:val="164F79D1"/>
    <w:rsid w:val="165D5936"/>
    <w:rsid w:val="165F10AC"/>
    <w:rsid w:val="166434F9"/>
    <w:rsid w:val="166A21D8"/>
    <w:rsid w:val="166E19A0"/>
    <w:rsid w:val="16700802"/>
    <w:rsid w:val="16724B5F"/>
    <w:rsid w:val="167D510C"/>
    <w:rsid w:val="1682734C"/>
    <w:rsid w:val="16835795"/>
    <w:rsid w:val="169E7CC4"/>
    <w:rsid w:val="16AB019A"/>
    <w:rsid w:val="16B42E4D"/>
    <w:rsid w:val="16C766B0"/>
    <w:rsid w:val="16CD5BE6"/>
    <w:rsid w:val="16CF0849"/>
    <w:rsid w:val="16CF51DA"/>
    <w:rsid w:val="16D42DB1"/>
    <w:rsid w:val="16EA68AC"/>
    <w:rsid w:val="16F50132"/>
    <w:rsid w:val="16FF17EB"/>
    <w:rsid w:val="16FF7785"/>
    <w:rsid w:val="170556EF"/>
    <w:rsid w:val="17057D5A"/>
    <w:rsid w:val="170E36F0"/>
    <w:rsid w:val="1729018C"/>
    <w:rsid w:val="172E618A"/>
    <w:rsid w:val="17362B2A"/>
    <w:rsid w:val="173E77A1"/>
    <w:rsid w:val="17494DEC"/>
    <w:rsid w:val="174E6D9B"/>
    <w:rsid w:val="17570732"/>
    <w:rsid w:val="17701D14"/>
    <w:rsid w:val="17735226"/>
    <w:rsid w:val="1778694E"/>
    <w:rsid w:val="177A7AF8"/>
    <w:rsid w:val="17800EAB"/>
    <w:rsid w:val="178B2A47"/>
    <w:rsid w:val="17940F03"/>
    <w:rsid w:val="17973D0C"/>
    <w:rsid w:val="17990B8C"/>
    <w:rsid w:val="17A02BEC"/>
    <w:rsid w:val="17BD20FF"/>
    <w:rsid w:val="17BD613E"/>
    <w:rsid w:val="17DC1F43"/>
    <w:rsid w:val="17E17B56"/>
    <w:rsid w:val="17EE11EA"/>
    <w:rsid w:val="18063D42"/>
    <w:rsid w:val="18104592"/>
    <w:rsid w:val="18163B97"/>
    <w:rsid w:val="182E0907"/>
    <w:rsid w:val="183700AD"/>
    <w:rsid w:val="184A1EC4"/>
    <w:rsid w:val="184E755E"/>
    <w:rsid w:val="18506E92"/>
    <w:rsid w:val="18511A82"/>
    <w:rsid w:val="185540E5"/>
    <w:rsid w:val="1864285E"/>
    <w:rsid w:val="18683488"/>
    <w:rsid w:val="186B26C9"/>
    <w:rsid w:val="186F1756"/>
    <w:rsid w:val="189F624C"/>
    <w:rsid w:val="18A5147C"/>
    <w:rsid w:val="18B40CAF"/>
    <w:rsid w:val="18CE1ABE"/>
    <w:rsid w:val="18DF7C27"/>
    <w:rsid w:val="18E13DDD"/>
    <w:rsid w:val="18E60D77"/>
    <w:rsid w:val="18E8542E"/>
    <w:rsid w:val="19132AFD"/>
    <w:rsid w:val="191B0FB0"/>
    <w:rsid w:val="192D2295"/>
    <w:rsid w:val="194904B6"/>
    <w:rsid w:val="19535141"/>
    <w:rsid w:val="195C2386"/>
    <w:rsid w:val="1964090C"/>
    <w:rsid w:val="196E0E5B"/>
    <w:rsid w:val="196E487B"/>
    <w:rsid w:val="196E5073"/>
    <w:rsid w:val="19703ABA"/>
    <w:rsid w:val="198F5C7F"/>
    <w:rsid w:val="19A34705"/>
    <w:rsid w:val="19A52E59"/>
    <w:rsid w:val="19AC29B3"/>
    <w:rsid w:val="19B869FF"/>
    <w:rsid w:val="19CC77A8"/>
    <w:rsid w:val="19D43730"/>
    <w:rsid w:val="19DE5320"/>
    <w:rsid w:val="19EE42E5"/>
    <w:rsid w:val="19F130D6"/>
    <w:rsid w:val="1A060CC4"/>
    <w:rsid w:val="1A1C66C0"/>
    <w:rsid w:val="1A245CB0"/>
    <w:rsid w:val="1A253F8B"/>
    <w:rsid w:val="1A2D5236"/>
    <w:rsid w:val="1A3A27BE"/>
    <w:rsid w:val="1A42393B"/>
    <w:rsid w:val="1A491FFE"/>
    <w:rsid w:val="1A493726"/>
    <w:rsid w:val="1A493F34"/>
    <w:rsid w:val="1A4B59CE"/>
    <w:rsid w:val="1A5F6BFE"/>
    <w:rsid w:val="1A643F56"/>
    <w:rsid w:val="1A6B015E"/>
    <w:rsid w:val="1A7813D2"/>
    <w:rsid w:val="1A8840B8"/>
    <w:rsid w:val="1A907685"/>
    <w:rsid w:val="1AA13BAB"/>
    <w:rsid w:val="1AA47422"/>
    <w:rsid w:val="1AAD45DE"/>
    <w:rsid w:val="1ABC601A"/>
    <w:rsid w:val="1ADE1458"/>
    <w:rsid w:val="1AED4513"/>
    <w:rsid w:val="1AF80D87"/>
    <w:rsid w:val="1B046F80"/>
    <w:rsid w:val="1B0937EE"/>
    <w:rsid w:val="1B0F0FC9"/>
    <w:rsid w:val="1B146AEA"/>
    <w:rsid w:val="1B156EAD"/>
    <w:rsid w:val="1B215094"/>
    <w:rsid w:val="1B221486"/>
    <w:rsid w:val="1B2B1EFD"/>
    <w:rsid w:val="1B302CF8"/>
    <w:rsid w:val="1B3267B5"/>
    <w:rsid w:val="1B343AFB"/>
    <w:rsid w:val="1B40161D"/>
    <w:rsid w:val="1B441859"/>
    <w:rsid w:val="1B601A68"/>
    <w:rsid w:val="1B6606B1"/>
    <w:rsid w:val="1B6E1451"/>
    <w:rsid w:val="1B723B41"/>
    <w:rsid w:val="1B784AAE"/>
    <w:rsid w:val="1B8362D7"/>
    <w:rsid w:val="1B8A72BF"/>
    <w:rsid w:val="1B8B3634"/>
    <w:rsid w:val="1BA86C22"/>
    <w:rsid w:val="1BAF1E25"/>
    <w:rsid w:val="1BB26E99"/>
    <w:rsid w:val="1BCA2078"/>
    <w:rsid w:val="1BD80F9A"/>
    <w:rsid w:val="1BEA70EF"/>
    <w:rsid w:val="1BF06E94"/>
    <w:rsid w:val="1C237BDC"/>
    <w:rsid w:val="1C3B4BD0"/>
    <w:rsid w:val="1C3C0BFC"/>
    <w:rsid w:val="1C400BBA"/>
    <w:rsid w:val="1C4050AC"/>
    <w:rsid w:val="1C414D99"/>
    <w:rsid w:val="1C4F677C"/>
    <w:rsid w:val="1C5E7925"/>
    <w:rsid w:val="1C675895"/>
    <w:rsid w:val="1C722DF9"/>
    <w:rsid w:val="1C723B5F"/>
    <w:rsid w:val="1C8B38FD"/>
    <w:rsid w:val="1C8C7FE8"/>
    <w:rsid w:val="1C9E406E"/>
    <w:rsid w:val="1CA0499E"/>
    <w:rsid w:val="1CA663C1"/>
    <w:rsid w:val="1CA826E6"/>
    <w:rsid w:val="1CB258D2"/>
    <w:rsid w:val="1CB671EA"/>
    <w:rsid w:val="1CC41337"/>
    <w:rsid w:val="1CC4362C"/>
    <w:rsid w:val="1CCA15F3"/>
    <w:rsid w:val="1CCC0C2D"/>
    <w:rsid w:val="1CD5567F"/>
    <w:rsid w:val="1CD60DAC"/>
    <w:rsid w:val="1CE41049"/>
    <w:rsid w:val="1CEE7870"/>
    <w:rsid w:val="1CF83389"/>
    <w:rsid w:val="1CFD070F"/>
    <w:rsid w:val="1CFE38CA"/>
    <w:rsid w:val="1D1E3A9A"/>
    <w:rsid w:val="1D2174BA"/>
    <w:rsid w:val="1D222407"/>
    <w:rsid w:val="1D230DBB"/>
    <w:rsid w:val="1D2A7838"/>
    <w:rsid w:val="1D3261CF"/>
    <w:rsid w:val="1D4979BF"/>
    <w:rsid w:val="1D5A62F8"/>
    <w:rsid w:val="1D5F6196"/>
    <w:rsid w:val="1D6132A5"/>
    <w:rsid w:val="1D67718B"/>
    <w:rsid w:val="1D715F82"/>
    <w:rsid w:val="1D7E2595"/>
    <w:rsid w:val="1D843E12"/>
    <w:rsid w:val="1D865774"/>
    <w:rsid w:val="1D8A7B33"/>
    <w:rsid w:val="1D8C5387"/>
    <w:rsid w:val="1D8E56D5"/>
    <w:rsid w:val="1DBE2158"/>
    <w:rsid w:val="1DD97567"/>
    <w:rsid w:val="1DDF50AF"/>
    <w:rsid w:val="1DEE5F29"/>
    <w:rsid w:val="1DF328FF"/>
    <w:rsid w:val="1DF6363A"/>
    <w:rsid w:val="1DF874F7"/>
    <w:rsid w:val="1E1A76E0"/>
    <w:rsid w:val="1E2626FA"/>
    <w:rsid w:val="1E343A3B"/>
    <w:rsid w:val="1E3C0198"/>
    <w:rsid w:val="1E440104"/>
    <w:rsid w:val="1E476752"/>
    <w:rsid w:val="1E5A6545"/>
    <w:rsid w:val="1E706C30"/>
    <w:rsid w:val="1E7A43DA"/>
    <w:rsid w:val="1E876702"/>
    <w:rsid w:val="1E97639C"/>
    <w:rsid w:val="1E9C2236"/>
    <w:rsid w:val="1EA9662E"/>
    <w:rsid w:val="1EBA1146"/>
    <w:rsid w:val="1ED532AA"/>
    <w:rsid w:val="1EE62EDA"/>
    <w:rsid w:val="1EEB636D"/>
    <w:rsid w:val="1EEF7A66"/>
    <w:rsid w:val="1EF35F08"/>
    <w:rsid w:val="1EF73EE6"/>
    <w:rsid w:val="1EFA36D8"/>
    <w:rsid w:val="1EFB2589"/>
    <w:rsid w:val="1F0A0A00"/>
    <w:rsid w:val="1F1021A7"/>
    <w:rsid w:val="1F1B0E9F"/>
    <w:rsid w:val="1F1E3AB9"/>
    <w:rsid w:val="1F22659B"/>
    <w:rsid w:val="1F256496"/>
    <w:rsid w:val="1F284714"/>
    <w:rsid w:val="1F31398A"/>
    <w:rsid w:val="1F3273C0"/>
    <w:rsid w:val="1F337114"/>
    <w:rsid w:val="1F4B7FF0"/>
    <w:rsid w:val="1F5A0FCE"/>
    <w:rsid w:val="1F6E1F30"/>
    <w:rsid w:val="1FA447E6"/>
    <w:rsid w:val="1FA611E6"/>
    <w:rsid w:val="1FB45E2B"/>
    <w:rsid w:val="1FC0211F"/>
    <w:rsid w:val="1FC13108"/>
    <w:rsid w:val="1FD17792"/>
    <w:rsid w:val="1FE741BD"/>
    <w:rsid w:val="1FE7539E"/>
    <w:rsid w:val="1FF87AA7"/>
    <w:rsid w:val="203660CF"/>
    <w:rsid w:val="204F2D11"/>
    <w:rsid w:val="20671BE0"/>
    <w:rsid w:val="20694AAF"/>
    <w:rsid w:val="207D2617"/>
    <w:rsid w:val="208D7B59"/>
    <w:rsid w:val="20963CB8"/>
    <w:rsid w:val="209F6A68"/>
    <w:rsid w:val="20A81A1B"/>
    <w:rsid w:val="20B07FB6"/>
    <w:rsid w:val="20B646FB"/>
    <w:rsid w:val="20BE06D8"/>
    <w:rsid w:val="20BE47F3"/>
    <w:rsid w:val="20C01A3F"/>
    <w:rsid w:val="20C25E13"/>
    <w:rsid w:val="20F93D9E"/>
    <w:rsid w:val="20F97D0C"/>
    <w:rsid w:val="20FC1D82"/>
    <w:rsid w:val="20FD69AC"/>
    <w:rsid w:val="21086CE8"/>
    <w:rsid w:val="211B39F2"/>
    <w:rsid w:val="21232154"/>
    <w:rsid w:val="212A1ADD"/>
    <w:rsid w:val="213B74B1"/>
    <w:rsid w:val="213E082A"/>
    <w:rsid w:val="213E2B12"/>
    <w:rsid w:val="21564231"/>
    <w:rsid w:val="215801C5"/>
    <w:rsid w:val="215817BF"/>
    <w:rsid w:val="215A2310"/>
    <w:rsid w:val="216271ED"/>
    <w:rsid w:val="216E3D9F"/>
    <w:rsid w:val="21870D9B"/>
    <w:rsid w:val="21995AEF"/>
    <w:rsid w:val="21B027D1"/>
    <w:rsid w:val="21D06446"/>
    <w:rsid w:val="21D720BD"/>
    <w:rsid w:val="21D74A37"/>
    <w:rsid w:val="21DC4709"/>
    <w:rsid w:val="21DE318A"/>
    <w:rsid w:val="21EB4251"/>
    <w:rsid w:val="21ED2B8B"/>
    <w:rsid w:val="21EF5B80"/>
    <w:rsid w:val="21F005F2"/>
    <w:rsid w:val="21F438A1"/>
    <w:rsid w:val="21F5190C"/>
    <w:rsid w:val="21F54765"/>
    <w:rsid w:val="21FC6348"/>
    <w:rsid w:val="22021100"/>
    <w:rsid w:val="22086D5F"/>
    <w:rsid w:val="220A18AE"/>
    <w:rsid w:val="222D439C"/>
    <w:rsid w:val="224253F0"/>
    <w:rsid w:val="22576990"/>
    <w:rsid w:val="22620574"/>
    <w:rsid w:val="226B0AF4"/>
    <w:rsid w:val="22800532"/>
    <w:rsid w:val="22913C9C"/>
    <w:rsid w:val="22954500"/>
    <w:rsid w:val="22970C19"/>
    <w:rsid w:val="229E66A5"/>
    <w:rsid w:val="22A31F01"/>
    <w:rsid w:val="22B60790"/>
    <w:rsid w:val="22BF6C74"/>
    <w:rsid w:val="22E01BFD"/>
    <w:rsid w:val="22EF4D35"/>
    <w:rsid w:val="22F47480"/>
    <w:rsid w:val="23046E34"/>
    <w:rsid w:val="23074EC2"/>
    <w:rsid w:val="2324123D"/>
    <w:rsid w:val="23397D99"/>
    <w:rsid w:val="233B1E61"/>
    <w:rsid w:val="234873C5"/>
    <w:rsid w:val="2349249A"/>
    <w:rsid w:val="234B4A63"/>
    <w:rsid w:val="234D12F5"/>
    <w:rsid w:val="234E0EAD"/>
    <w:rsid w:val="235D2328"/>
    <w:rsid w:val="236314EC"/>
    <w:rsid w:val="236E72FF"/>
    <w:rsid w:val="237B7BBB"/>
    <w:rsid w:val="23825596"/>
    <w:rsid w:val="238E1879"/>
    <w:rsid w:val="23936964"/>
    <w:rsid w:val="2397216E"/>
    <w:rsid w:val="23AA3C1B"/>
    <w:rsid w:val="23B65CCF"/>
    <w:rsid w:val="23D76F7B"/>
    <w:rsid w:val="23D77792"/>
    <w:rsid w:val="23D8234A"/>
    <w:rsid w:val="23DA5DE6"/>
    <w:rsid w:val="23DE1C48"/>
    <w:rsid w:val="240210CD"/>
    <w:rsid w:val="240A66CC"/>
    <w:rsid w:val="24146AFA"/>
    <w:rsid w:val="241B47C6"/>
    <w:rsid w:val="2420255B"/>
    <w:rsid w:val="242151AC"/>
    <w:rsid w:val="24256C70"/>
    <w:rsid w:val="242A0632"/>
    <w:rsid w:val="243274D6"/>
    <w:rsid w:val="24350851"/>
    <w:rsid w:val="24420510"/>
    <w:rsid w:val="24501758"/>
    <w:rsid w:val="245103E7"/>
    <w:rsid w:val="245711E5"/>
    <w:rsid w:val="24636216"/>
    <w:rsid w:val="246378F9"/>
    <w:rsid w:val="246D60B4"/>
    <w:rsid w:val="24797F25"/>
    <w:rsid w:val="24871696"/>
    <w:rsid w:val="24A96FDF"/>
    <w:rsid w:val="24AD6F94"/>
    <w:rsid w:val="24BC4D30"/>
    <w:rsid w:val="24BF09F7"/>
    <w:rsid w:val="24BF1244"/>
    <w:rsid w:val="24C828A4"/>
    <w:rsid w:val="24C95869"/>
    <w:rsid w:val="24DB5692"/>
    <w:rsid w:val="24DC57C6"/>
    <w:rsid w:val="24DE4D77"/>
    <w:rsid w:val="24EB5316"/>
    <w:rsid w:val="24F175FB"/>
    <w:rsid w:val="24F64A11"/>
    <w:rsid w:val="25006ED6"/>
    <w:rsid w:val="25011CE9"/>
    <w:rsid w:val="251B7760"/>
    <w:rsid w:val="252D53FE"/>
    <w:rsid w:val="25357B79"/>
    <w:rsid w:val="253B09F0"/>
    <w:rsid w:val="25582B51"/>
    <w:rsid w:val="255B34C4"/>
    <w:rsid w:val="255D0202"/>
    <w:rsid w:val="255D0309"/>
    <w:rsid w:val="256D5B50"/>
    <w:rsid w:val="25766C82"/>
    <w:rsid w:val="2579167C"/>
    <w:rsid w:val="259D23C5"/>
    <w:rsid w:val="25BF7D71"/>
    <w:rsid w:val="25CB5057"/>
    <w:rsid w:val="25DD1A19"/>
    <w:rsid w:val="25EC2D81"/>
    <w:rsid w:val="261264E6"/>
    <w:rsid w:val="26152A76"/>
    <w:rsid w:val="2619765D"/>
    <w:rsid w:val="261B5796"/>
    <w:rsid w:val="261C1BC7"/>
    <w:rsid w:val="26203DD3"/>
    <w:rsid w:val="263910C2"/>
    <w:rsid w:val="266F7803"/>
    <w:rsid w:val="26882DD6"/>
    <w:rsid w:val="2689328B"/>
    <w:rsid w:val="269335D7"/>
    <w:rsid w:val="269F549E"/>
    <w:rsid w:val="26A11ED8"/>
    <w:rsid w:val="26B45E73"/>
    <w:rsid w:val="26B57469"/>
    <w:rsid w:val="26C708A4"/>
    <w:rsid w:val="26E54FFA"/>
    <w:rsid w:val="26FF1A00"/>
    <w:rsid w:val="27005865"/>
    <w:rsid w:val="27060F34"/>
    <w:rsid w:val="27111A35"/>
    <w:rsid w:val="272229F5"/>
    <w:rsid w:val="27295B43"/>
    <w:rsid w:val="272967A7"/>
    <w:rsid w:val="27347AC7"/>
    <w:rsid w:val="27390203"/>
    <w:rsid w:val="27564A33"/>
    <w:rsid w:val="275875F0"/>
    <w:rsid w:val="276E51C4"/>
    <w:rsid w:val="277057A2"/>
    <w:rsid w:val="277318EE"/>
    <w:rsid w:val="27784120"/>
    <w:rsid w:val="27791822"/>
    <w:rsid w:val="277C0833"/>
    <w:rsid w:val="278732A8"/>
    <w:rsid w:val="27882593"/>
    <w:rsid w:val="27895ED4"/>
    <w:rsid w:val="278A0006"/>
    <w:rsid w:val="278B3082"/>
    <w:rsid w:val="27943B5E"/>
    <w:rsid w:val="2799795B"/>
    <w:rsid w:val="279F13B7"/>
    <w:rsid w:val="27AD2B6E"/>
    <w:rsid w:val="27AD4264"/>
    <w:rsid w:val="27AE0604"/>
    <w:rsid w:val="27B77A08"/>
    <w:rsid w:val="27CB22DB"/>
    <w:rsid w:val="27F50EC9"/>
    <w:rsid w:val="27FB2429"/>
    <w:rsid w:val="280C69BF"/>
    <w:rsid w:val="281C13D7"/>
    <w:rsid w:val="282533D4"/>
    <w:rsid w:val="282D1619"/>
    <w:rsid w:val="285700F7"/>
    <w:rsid w:val="285F431F"/>
    <w:rsid w:val="286F5D8A"/>
    <w:rsid w:val="287507EF"/>
    <w:rsid w:val="28822BB2"/>
    <w:rsid w:val="28957095"/>
    <w:rsid w:val="289C74AE"/>
    <w:rsid w:val="289D43CF"/>
    <w:rsid w:val="28A1590B"/>
    <w:rsid w:val="28BB2A2E"/>
    <w:rsid w:val="28BC091A"/>
    <w:rsid w:val="28BE53D7"/>
    <w:rsid w:val="28C23795"/>
    <w:rsid w:val="28CC21F1"/>
    <w:rsid w:val="28D97281"/>
    <w:rsid w:val="28F45345"/>
    <w:rsid w:val="28FB1FB1"/>
    <w:rsid w:val="290707AE"/>
    <w:rsid w:val="290E0D2A"/>
    <w:rsid w:val="291057EC"/>
    <w:rsid w:val="29206EB8"/>
    <w:rsid w:val="2924451B"/>
    <w:rsid w:val="29260C46"/>
    <w:rsid w:val="292D3CBF"/>
    <w:rsid w:val="292E6592"/>
    <w:rsid w:val="2930208C"/>
    <w:rsid w:val="29306985"/>
    <w:rsid w:val="294767CC"/>
    <w:rsid w:val="29595666"/>
    <w:rsid w:val="296B2C69"/>
    <w:rsid w:val="29874881"/>
    <w:rsid w:val="298860A7"/>
    <w:rsid w:val="29AF4D38"/>
    <w:rsid w:val="29C56A53"/>
    <w:rsid w:val="29D04F12"/>
    <w:rsid w:val="29E046F3"/>
    <w:rsid w:val="29E325E0"/>
    <w:rsid w:val="29E36F62"/>
    <w:rsid w:val="29E96BDB"/>
    <w:rsid w:val="29EE03B1"/>
    <w:rsid w:val="29EF60B3"/>
    <w:rsid w:val="2A107423"/>
    <w:rsid w:val="2A112C64"/>
    <w:rsid w:val="2A1658DD"/>
    <w:rsid w:val="2A2859A7"/>
    <w:rsid w:val="2A452503"/>
    <w:rsid w:val="2A46703A"/>
    <w:rsid w:val="2A4F1B80"/>
    <w:rsid w:val="2A566EFE"/>
    <w:rsid w:val="2A67039C"/>
    <w:rsid w:val="2A690CDE"/>
    <w:rsid w:val="2A83473D"/>
    <w:rsid w:val="2A8433EF"/>
    <w:rsid w:val="2A8738CE"/>
    <w:rsid w:val="2A89551A"/>
    <w:rsid w:val="2A9C4086"/>
    <w:rsid w:val="2AAF31A4"/>
    <w:rsid w:val="2AB368A2"/>
    <w:rsid w:val="2AB40113"/>
    <w:rsid w:val="2ABD1DC1"/>
    <w:rsid w:val="2ABD408D"/>
    <w:rsid w:val="2AE43066"/>
    <w:rsid w:val="2AF57A7F"/>
    <w:rsid w:val="2B151CEE"/>
    <w:rsid w:val="2B322CFF"/>
    <w:rsid w:val="2B3E78AB"/>
    <w:rsid w:val="2B482055"/>
    <w:rsid w:val="2B601015"/>
    <w:rsid w:val="2B68673A"/>
    <w:rsid w:val="2B6B29C1"/>
    <w:rsid w:val="2B726945"/>
    <w:rsid w:val="2B740D86"/>
    <w:rsid w:val="2B8C5B2D"/>
    <w:rsid w:val="2B984315"/>
    <w:rsid w:val="2BA105AB"/>
    <w:rsid w:val="2BA936A8"/>
    <w:rsid w:val="2BB568D9"/>
    <w:rsid w:val="2BC76F94"/>
    <w:rsid w:val="2BF101C6"/>
    <w:rsid w:val="2BF14F49"/>
    <w:rsid w:val="2BF6087F"/>
    <w:rsid w:val="2BFD13F2"/>
    <w:rsid w:val="2C027C88"/>
    <w:rsid w:val="2C06197A"/>
    <w:rsid w:val="2C101A68"/>
    <w:rsid w:val="2C310A32"/>
    <w:rsid w:val="2C315A5A"/>
    <w:rsid w:val="2C341FAF"/>
    <w:rsid w:val="2C472611"/>
    <w:rsid w:val="2C490458"/>
    <w:rsid w:val="2C4B1C25"/>
    <w:rsid w:val="2C4D31BC"/>
    <w:rsid w:val="2C5C74CB"/>
    <w:rsid w:val="2C6E727E"/>
    <w:rsid w:val="2C79350B"/>
    <w:rsid w:val="2C8E0E1B"/>
    <w:rsid w:val="2C9F5BEE"/>
    <w:rsid w:val="2CA91D07"/>
    <w:rsid w:val="2CB04F2A"/>
    <w:rsid w:val="2CB32593"/>
    <w:rsid w:val="2CB32C65"/>
    <w:rsid w:val="2CD13D68"/>
    <w:rsid w:val="2CD40AEC"/>
    <w:rsid w:val="2CF03B86"/>
    <w:rsid w:val="2D0226C1"/>
    <w:rsid w:val="2D155661"/>
    <w:rsid w:val="2D4349FC"/>
    <w:rsid w:val="2D46121F"/>
    <w:rsid w:val="2D5A0D69"/>
    <w:rsid w:val="2D686734"/>
    <w:rsid w:val="2D6D28D1"/>
    <w:rsid w:val="2D733205"/>
    <w:rsid w:val="2D7B4100"/>
    <w:rsid w:val="2D7E3F1B"/>
    <w:rsid w:val="2D83548E"/>
    <w:rsid w:val="2D865CBB"/>
    <w:rsid w:val="2D914B91"/>
    <w:rsid w:val="2D937A41"/>
    <w:rsid w:val="2D9E56F5"/>
    <w:rsid w:val="2DA21C45"/>
    <w:rsid w:val="2DAD7575"/>
    <w:rsid w:val="2DBF6AFD"/>
    <w:rsid w:val="2DC643DC"/>
    <w:rsid w:val="2DC8752B"/>
    <w:rsid w:val="2DCB28C4"/>
    <w:rsid w:val="2DCC0037"/>
    <w:rsid w:val="2DCC6256"/>
    <w:rsid w:val="2DD106AB"/>
    <w:rsid w:val="2DD42F67"/>
    <w:rsid w:val="2DD5398C"/>
    <w:rsid w:val="2DDD0F50"/>
    <w:rsid w:val="2DDE0446"/>
    <w:rsid w:val="2DE773D7"/>
    <w:rsid w:val="2DEC3392"/>
    <w:rsid w:val="2DF04233"/>
    <w:rsid w:val="2DF85FA5"/>
    <w:rsid w:val="2DFA2E6C"/>
    <w:rsid w:val="2DFD1189"/>
    <w:rsid w:val="2E00531A"/>
    <w:rsid w:val="2E04418C"/>
    <w:rsid w:val="2E0A1396"/>
    <w:rsid w:val="2E142571"/>
    <w:rsid w:val="2E17317C"/>
    <w:rsid w:val="2E3C21E8"/>
    <w:rsid w:val="2E3F425A"/>
    <w:rsid w:val="2E4B2A1F"/>
    <w:rsid w:val="2E655317"/>
    <w:rsid w:val="2E667F96"/>
    <w:rsid w:val="2E6F131C"/>
    <w:rsid w:val="2E8226AB"/>
    <w:rsid w:val="2E88418E"/>
    <w:rsid w:val="2E91335D"/>
    <w:rsid w:val="2EA036FD"/>
    <w:rsid w:val="2EA43B5A"/>
    <w:rsid w:val="2EB65313"/>
    <w:rsid w:val="2ED85923"/>
    <w:rsid w:val="2EDF4E64"/>
    <w:rsid w:val="2EE955B6"/>
    <w:rsid w:val="2EFC0F5B"/>
    <w:rsid w:val="2EFF75AE"/>
    <w:rsid w:val="2F123BF6"/>
    <w:rsid w:val="2F171375"/>
    <w:rsid w:val="2F281F5B"/>
    <w:rsid w:val="2F304B53"/>
    <w:rsid w:val="2F314AF6"/>
    <w:rsid w:val="2F3B30BA"/>
    <w:rsid w:val="2F3E24DC"/>
    <w:rsid w:val="2F3E5559"/>
    <w:rsid w:val="2F486F5A"/>
    <w:rsid w:val="2F646479"/>
    <w:rsid w:val="2F772EFF"/>
    <w:rsid w:val="2F995D16"/>
    <w:rsid w:val="2FA364BB"/>
    <w:rsid w:val="2FA816F2"/>
    <w:rsid w:val="2FAC1F57"/>
    <w:rsid w:val="2FB95AF7"/>
    <w:rsid w:val="2FC46B0F"/>
    <w:rsid w:val="2FCB4EC2"/>
    <w:rsid w:val="2FD065E6"/>
    <w:rsid w:val="2FD96870"/>
    <w:rsid w:val="2FDB5451"/>
    <w:rsid w:val="2FEE005A"/>
    <w:rsid w:val="2FFA72DA"/>
    <w:rsid w:val="2FFC3441"/>
    <w:rsid w:val="2FFC3E69"/>
    <w:rsid w:val="3014220E"/>
    <w:rsid w:val="301C16C9"/>
    <w:rsid w:val="304A7E5C"/>
    <w:rsid w:val="304B648B"/>
    <w:rsid w:val="30580BC9"/>
    <w:rsid w:val="30582E8C"/>
    <w:rsid w:val="306F7791"/>
    <w:rsid w:val="30811B1C"/>
    <w:rsid w:val="30894CF8"/>
    <w:rsid w:val="309C0CB9"/>
    <w:rsid w:val="309C5769"/>
    <w:rsid w:val="309D230B"/>
    <w:rsid w:val="30B31A6F"/>
    <w:rsid w:val="30B648BF"/>
    <w:rsid w:val="30C1750B"/>
    <w:rsid w:val="30CC5C33"/>
    <w:rsid w:val="30CC7694"/>
    <w:rsid w:val="30CE10D8"/>
    <w:rsid w:val="30EA5EA3"/>
    <w:rsid w:val="3101632D"/>
    <w:rsid w:val="310749C7"/>
    <w:rsid w:val="311658B2"/>
    <w:rsid w:val="311E2ED7"/>
    <w:rsid w:val="312F3536"/>
    <w:rsid w:val="31301A13"/>
    <w:rsid w:val="31336A29"/>
    <w:rsid w:val="314D6888"/>
    <w:rsid w:val="31502E13"/>
    <w:rsid w:val="315619EE"/>
    <w:rsid w:val="315C449C"/>
    <w:rsid w:val="317009C8"/>
    <w:rsid w:val="31847C50"/>
    <w:rsid w:val="319C4DDC"/>
    <w:rsid w:val="31A35D55"/>
    <w:rsid w:val="31A52D7C"/>
    <w:rsid w:val="31A6733F"/>
    <w:rsid w:val="31AD3492"/>
    <w:rsid w:val="31B64C35"/>
    <w:rsid w:val="31B82709"/>
    <w:rsid w:val="31BB1F72"/>
    <w:rsid w:val="31C32FB3"/>
    <w:rsid w:val="31CA56CD"/>
    <w:rsid w:val="31D05482"/>
    <w:rsid w:val="31D21DDB"/>
    <w:rsid w:val="31D60A09"/>
    <w:rsid w:val="31DD0C01"/>
    <w:rsid w:val="31FA0030"/>
    <w:rsid w:val="32107E23"/>
    <w:rsid w:val="321E42A1"/>
    <w:rsid w:val="322622F1"/>
    <w:rsid w:val="322C5A5F"/>
    <w:rsid w:val="322F4696"/>
    <w:rsid w:val="323825C0"/>
    <w:rsid w:val="32400B34"/>
    <w:rsid w:val="324955B1"/>
    <w:rsid w:val="324C0530"/>
    <w:rsid w:val="326A3511"/>
    <w:rsid w:val="326B2FBA"/>
    <w:rsid w:val="32782174"/>
    <w:rsid w:val="3282669E"/>
    <w:rsid w:val="32846BD4"/>
    <w:rsid w:val="328738D6"/>
    <w:rsid w:val="32894C60"/>
    <w:rsid w:val="329904E2"/>
    <w:rsid w:val="329E6876"/>
    <w:rsid w:val="32B13EF0"/>
    <w:rsid w:val="32CB07B0"/>
    <w:rsid w:val="32D271BB"/>
    <w:rsid w:val="32EA2DD1"/>
    <w:rsid w:val="32EA634F"/>
    <w:rsid w:val="32EC0E2F"/>
    <w:rsid w:val="32FD445A"/>
    <w:rsid w:val="331103DB"/>
    <w:rsid w:val="3313181F"/>
    <w:rsid w:val="331C29E3"/>
    <w:rsid w:val="332B4CF8"/>
    <w:rsid w:val="333015F2"/>
    <w:rsid w:val="33340442"/>
    <w:rsid w:val="334B6320"/>
    <w:rsid w:val="33A34812"/>
    <w:rsid w:val="33A97DE9"/>
    <w:rsid w:val="33D508EE"/>
    <w:rsid w:val="33D934D4"/>
    <w:rsid w:val="33F64577"/>
    <w:rsid w:val="33FA76B9"/>
    <w:rsid w:val="33FD496F"/>
    <w:rsid w:val="33FE2F6A"/>
    <w:rsid w:val="33FF150A"/>
    <w:rsid w:val="33FF4957"/>
    <w:rsid w:val="340E07E5"/>
    <w:rsid w:val="340E0AC5"/>
    <w:rsid w:val="341302A5"/>
    <w:rsid w:val="341F76BA"/>
    <w:rsid w:val="34235BF7"/>
    <w:rsid w:val="343377C2"/>
    <w:rsid w:val="343F4989"/>
    <w:rsid w:val="34426A09"/>
    <w:rsid w:val="344D6B34"/>
    <w:rsid w:val="34544B8C"/>
    <w:rsid w:val="34553E62"/>
    <w:rsid w:val="34616131"/>
    <w:rsid w:val="3470380D"/>
    <w:rsid w:val="3483766F"/>
    <w:rsid w:val="348464A5"/>
    <w:rsid w:val="34873D1D"/>
    <w:rsid w:val="349A4B2E"/>
    <w:rsid w:val="349E798A"/>
    <w:rsid w:val="34C00358"/>
    <w:rsid w:val="34C552E4"/>
    <w:rsid w:val="34CF18F2"/>
    <w:rsid w:val="34EC66FC"/>
    <w:rsid w:val="34F71BE0"/>
    <w:rsid w:val="34F76F9A"/>
    <w:rsid w:val="34FD5382"/>
    <w:rsid w:val="35154BED"/>
    <w:rsid w:val="35197557"/>
    <w:rsid w:val="352A6072"/>
    <w:rsid w:val="3538602B"/>
    <w:rsid w:val="355C278C"/>
    <w:rsid w:val="35754D11"/>
    <w:rsid w:val="357F3B96"/>
    <w:rsid w:val="35833987"/>
    <w:rsid w:val="358C5FA8"/>
    <w:rsid w:val="359240AF"/>
    <w:rsid w:val="35951D47"/>
    <w:rsid w:val="359B7BE8"/>
    <w:rsid w:val="359F0002"/>
    <w:rsid w:val="35A65C58"/>
    <w:rsid w:val="35AE2ED8"/>
    <w:rsid w:val="35B7039F"/>
    <w:rsid w:val="35C11801"/>
    <w:rsid w:val="35C15DF1"/>
    <w:rsid w:val="35CF524D"/>
    <w:rsid w:val="35D0600D"/>
    <w:rsid w:val="35E86141"/>
    <w:rsid w:val="35EB4005"/>
    <w:rsid w:val="35ED1184"/>
    <w:rsid w:val="35F85F5D"/>
    <w:rsid w:val="36032F7B"/>
    <w:rsid w:val="36074A7F"/>
    <w:rsid w:val="36256737"/>
    <w:rsid w:val="3638210F"/>
    <w:rsid w:val="36395F40"/>
    <w:rsid w:val="363A4065"/>
    <w:rsid w:val="365C327A"/>
    <w:rsid w:val="365E75B8"/>
    <w:rsid w:val="366559D1"/>
    <w:rsid w:val="366A6BFC"/>
    <w:rsid w:val="366F069E"/>
    <w:rsid w:val="3675422A"/>
    <w:rsid w:val="36853EC8"/>
    <w:rsid w:val="36923549"/>
    <w:rsid w:val="36971082"/>
    <w:rsid w:val="36984CEE"/>
    <w:rsid w:val="36A83FB6"/>
    <w:rsid w:val="36B75FBF"/>
    <w:rsid w:val="36BD0C45"/>
    <w:rsid w:val="36C24116"/>
    <w:rsid w:val="36FA32E8"/>
    <w:rsid w:val="37010E91"/>
    <w:rsid w:val="370C5E5F"/>
    <w:rsid w:val="37124754"/>
    <w:rsid w:val="37136ACF"/>
    <w:rsid w:val="37174925"/>
    <w:rsid w:val="37304651"/>
    <w:rsid w:val="37377DF7"/>
    <w:rsid w:val="37470830"/>
    <w:rsid w:val="375047A9"/>
    <w:rsid w:val="37623B40"/>
    <w:rsid w:val="37821E5A"/>
    <w:rsid w:val="3787198A"/>
    <w:rsid w:val="37883FB6"/>
    <w:rsid w:val="379030B0"/>
    <w:rsid w:val="3797664B"/>
    <w:rsid w:val="379D0FA7"/>
    <w:rsid w:val="379F7664"/>
    <w:rsid w:val="37A56F33"/>
    <w:rsid w:val="37C66454"/>
    <w:rsid w:val="37C672B0"/>
    <w:rsid w:val="37D078C5"/>
    <w:rsid w:val="37E00298"/>
    <w:rsid w:val="37E377DD"/>
    <w:rsid w:val="37FF645A"/>
    <w:rsid w:val="38255C30"/>
    <w:rsid w:val="382C3BB2"/>
    <w:rsid w:val="383A0D18"/>
    <w:rsid w:val="38484F32"/>
    <w:rsid w:val="38595A02"/>
    <w:rsid w:val="385B4DC1"/>
    <w:rsid w:val="38616A33"/>
    <w:rsid w:val="386521AE"/>
    <w:rsid w:val="386B3908"/>
    <w:rsid w:val="38747710"/>
    <w:rsid w:val="38856172"/>
    <w:rsid w:val="38954DBD"/>
    <w:rsid w:val="389740C7"/>
    <w:rsid w:val="389E4733"/>
    <w:rsid w:val="38A02D03"/>
    <w:rsid w:val="38B302F9"/>
    <w:rsid w:val="38C938B3"/>
    <w:rsid w:val="38CC7E22"/>
    <w:rsid w:val="38D03A70"/>
    <w:rsid w:val="38E32316"/>
    <w:rsid w:val="38E94099"/>
    <w:rsid w:val="38EB4866"/>
    <w:rsid w:val="38F12CD3"/>
    <w:rsid w:val="38F35BCD"/>
    <w:rsid w:val="38F94775"/>
    <w:rsid w:val="38FB1D96"/>
    <w:rsid w:val="38FD195C"/>
    <w:rsid w:val="3907278C"/>
    <w:rsid w:val="390E0092"/>
    <w:rsid w:val="39123113"/>
    <w:rsid w:val="391E60D4"/>
    <w:rsid w:val="392971ED"/>
    <w:rsid w:val="393178CC"/>
    <w:rsid w:val="39325651"/>
    <w:rsid w:val="393C64E3"/>
    <w:rsid w:val="3953673B"/>
    <w:rsid w:val="39611A9D"/>
    <w:rsid w:val="3961729C"/>
    <w:rsid w:val="39675BD5"/>
    <w:rsid w:val="396C7089"/>
    <w:rsid w:val="39722FEA"/>
    <w:rsid w:val="39756525"/>
    <w:rsid w:val="39842563"/>
    <w:rsid w:val="398C3287"/>
    <w:rsid w:val="39926F59"/>
    <w:rsid w:val="399A59A4"/>
    <w:rsid w:val="39A50CEB"/>
    <w:rsid w:val="39AA5067"/>
    <w:rsid w:val="39AE1F9C"/>
    <w:rsid w:val="39B16E43"/>
    <w:rsid w:val="39BB7BFD"/>
    <w:rsid w:val="39C53077"/>
    <w:rsid w:val="39D21A5C"/>
    <w:rsid w:val="39D64384"/>
    <w:rsid w:val="39F000E9"/>
    <w:rsid w:val="3A01329C"/>
    <w:rsid w:val="3A115FDE"/>
    <w:rsid w:val="3A135428"/>
    <w:rsid w:val="3A160766"/>
    <w:rsid w:val="3A1B3A62"/>
    <w:rsid w:val="3A1B59EC"/>
    <w:rsid w:val="3A1D3816"/>
    <w:rsid w:val="3A2170B4"/>
    <w:rsid w:val="3A383150"/>
    <w:rsid w:val="3A4328A3"/>
    <w:rsid w:val="3A4456E2"/>
    <w:rsid w:val="3A473032"/>
    <w:rsid w:val="3A4D5F1B"/>
    <w:rsid w:val="3A4E0707"/>
    <w:rsid w:val="3A6E60A0"/>
    <w:rsid w:val="3A716702"/>
    <w:rsid w:val="3A7403C7"/>
    <w:rsid w:val="3A775EF4"/>
    <w:rsid w:val="3A79572F"/>
    <w:rsid w:val="3A7A30FC"/>
    <w:rsid w:val="3A872856"/>
    <w:rsid w:val="3A93178B"/>
    <w:rsid w:val="3A935D3D"/>
    <w:rsid w:val="3A9C2354"/>
    <w:rsid w:val="3A9E42BB"/>
    <w:rsid w:val="3AA07227"/>
    <w:rsid w:val="3AAA7EC8"/>
    <w:rsid w:val="3AAB07B2"/>
    <w:rsid w:val="3AAD4D50"/>
    <w:rsid w:val="3ABF650C"/>
    <w:rsid w:val="3AC70DA6"/>
    <w:rsid w:val="3ACD2409"/>
    <w:rsid w:val="3AD93B51"/>
    <w:rsid w:val="3AE767A1"/>
    <w:rsid w:val="3AE82DC3"/>
    <w:rsid w:val="3AF24F9D"/>
    <w:rsid w:val="3AFC43CA"/>
    <w:rsid w:val="3B0C275B"/>
    <w:rsid w:val="3B1C208D"/>
    <w:rsid w:val="3B240172"/>
    <w:rsid w:val="3B2908C7"/>
    <w:rsid w:val="3B2D3FFC"/>
    <w:rsid w:val="3B2D5091"/>
    <w:rsid w:val="3B372161"/>
    <w:rsid w:val="3B3763D1"/>
    <w:rsid w:val="3B3C7B91"/>
    <w:rsid w:val="3B44206B"/>
    <w:rsid w:val="3B4A6285"/>
    <w:rsid w:val="3B5E26D6"/>
    <w:rsid w:val="3B695B6D"/>
    <w:rsid w:val="3B847696"/>
    <w:rsid w:val="3B8C1FB8"/>
    <w:rsid w:val="3BAB7ECC"/>
    <w:rsid w:val="3BAC5E63"/>
    <w:rsid w:val="3BB02368"/>
    <w:rsid w:val="3BB1191E"/>
    <w:rsid w:val="3BEC2ED6"/>
    <w:rsid w:val="3BED08DD"/>
    <w:rsid w:val="3C02589D"/>
    <w:rsid w:val="3C0861A2"/>
    <w:rsid w:val="3C2F6E1E"/>
    <w:rsid w:val="3C3E15AA"/>
    <w:rsid w:val="3C434578"/>
    <w:rsid w:val="3C441C7A"/>
    <w:rsid w:val="3C462BDF"/>
    <w:rsid w:val="3C497A0D"/>
    <w:rsid w:val="3C4F4B7F"/>
    <w:rsid w:val="3C4F64BA"/>
    <w:rsid w:val="3C56479D"/>
    <w:rsid w:val="3C6C362B"/>
    <w:rsid w:val="3C8918F4"/>
    <w:rsid w:val="3C8D7BBB"/>
    <w:rsid w:val="3C9230CF"/>
    <w:rsid w:val="3CAE5B81"/>
    <w:rsid w:val="3CBA35CE"/>
    <w:rsid w:val="3CC83947"/>
    <w:rsid w:val="3CCC7D6B"/>
    <w:rsid w:val="3CDA245A"/>
    <w:rsid w:val="3CDE0247"/>
    <w:rsid w:val="3CE95D70"/>
    <w:rsid w:val="3CF13812"/>
    <w:rsid w:val="3CF16F82"/>
    <w:rsid w:val="3D1E06B7"/>
    <w:rsid w:val="3D3457F8"/>
    <w:rsid w:val="3D3517A3"/>
    <w:rsid w:val="3D3F58EF"/>
    <w:rsid w:val="3D4B7937"/>
    <w:rsid w:val="3D590FD7"/>
    <w:rsid w:val="3D5E0B43"/>
    <w:rsid w:val="3D60483E"/>
    <w:rsid w:val="3D6D55D2"/>
    <w:rsid w:val="3D73441D"/>
    <w:rsid w:val="3D843486"/>
    <w:rsid w:val="3D8643C7"/>
    <w:rsid w:val="3D88230C"/>
    <w:rsid w:val="3D987EEE"/>
    <w:rsid w:val="3D9B618E"/>
    <w:rsid w:val="3DA015D2"/>
    <w:rsid w:val="3DB74392"/>
    <w:rsid w:val="3DBD7EB3"/>
    <w:rsid w:val="3DBE0027"/>
    <w:rsid w:val="3DD0770C"/>
    <w:rsid w:val="3DD27A57"/>
    <w:rsid w:val="3DD64ADE"/>
    <w:rsid w:val="3DDC17F3"/>
    <w:rsid w:val="3DE23A15"/>
    <w:rsid w:val="3E186095"/>
    <w:rsid w:val="3E1C26FC"/>
    <w:rsid w:val="3E255998"/>
    <w:rsid w:val="3E2A55E9"/>
    <w:rsid w:val="3E372DE7"/>
    <w:rsid w:val="3E395868"/>
    <w:rsid w:val="3E3970E4"/>
    <w:rsid w:val="3E4849B5"/>
    <w:rsid w:val="3E55060C"/>
    <w:rsid w:val="3E654ED8"/>
    <w:rsid w:val="3E6C0157"/>
    <w:rsid w:val="3E6D4854"/>
    <w:rsid w:val="3E722C65"/>
    <w:rsid w:val="3E7A4309"/>
    <w:rsid w:val="3E987AAD"/>
    <w:rsid w:val="3E9968CF"/>
    <w:rsid w:val="3EA70E44"/>
    <w:rsid w:val="3EBA1E20"/>
    <w:rsid w:val="3EC7157C"/>
    <w:rsid w:val="3ECC3043"/>
    <w:rsid w:val="3ED94D50"/>
    <w:rsid w:val="3EDA0523"/>
    <w:rsid w:val="3EDB5E96"/>
    <w:rsid w:val="3F2672E7"/>
    <w:rsid w:val="3F280DC2"/>
    <w:rsid w:val="3F28516B"/>
    <w:rsid w:val="3F3058FB"/>
    <w:rsid w:val="3F3B42CC"/>
    <w:rsid w:val="3F402F9B"/>
    <w:rsid w:val="3F403DD5"/>
    <w:rsid w:val="3F5028CD"/>
    <w:rsid w:val="3F6D42D1"/>
    <w:rsid w:val="3F727C6F"/>
    <w:rsid w:val="3F886A31"/>
    <w:rsid w:val="3FA2549A"/>
    <w:rsid w:val="3FB61AC3"/>
    <w:rsid w:val="3FBC0CA2"/>
    <w:rsid w:val="3FBC64E2"/>
    <w:rsid w:val="3FC93CC2"/>
    <w:rsid w:val="3FCB5214"/>
    <w:rsid w:val="3FE1200C"/>
    <w:rsid w:val="3FF411CB"/>
    <w:rsid w:val="3FF52283"/>
    <w:rsid w:val="400D385F"/>
    <w:rsid w:val="401E27C9"/>
    <w:rsid w:val="402D3647"/>
    <w:rsid w:val="403C453B"/>
    <w:rsid w:val="40495EB5"/>
    <w:rsid w:val="404A5FA7"/>
    <w:rsid w:val="40654172"/>
    <w:rsid w:val="406665DF"/>
    <w:rsid w:val="407A6407"/>
    <w:rsid w:val="407B21A4"/>
    <w:rsid w:val="407E2FBC"/>
    <w:rsid w:val="40885130"/>
    <w:rsid w:val="40A435AC"/>
    <w:rsid w:val="40A51430"/>
    <w:rsid w:val="40B43F15"/>
    <w:rsid w:val="40BB7084"/>
    <w:rsid w:val="40C928A6"/>
    <w:rsid w:val="40C9668A"/>
    <w:rsid w:val="41253C19"/>
    <w:rsid w:val="412955D5"/>
    <w:rsid w:val="412B06CF"/>
    <w:rsid w:val="412D7D97"/>
    <w:rsid w:val="41315311"/>
    <w:rsid w:val="41360B3E"/>
    <w:rsid w:val="41421A51"/>
    <w:rsid w:val="41453220"/>
    <w:rsid w:val="41467A83"/>
    <w:rsid w:val="414A656A"/>
    <w:rsid w:val="41592F99"/>
    <w:rsid w:val="415D7C26"/>
    <w:rsid w:val="41706B6E"/>
    <w:rsid w:val="41707671"/>
    <w:rsid w:val="41767CBE"/>
    <w:rsid w:val="417E30BF"/>
    <w:rsid w:val="41815431"/>
    <w:rsid w:val="41973021"/>
    <w:rsid w:val="41A26264"/>
    <w:rsid w:val="41BC123C"/>
    <w:rsid w:val="41D6338A"/>
    <w:rsid w:val="41DD762A"/>
    <w:rsid w:val="41E9571B"/>
    <w:rsid w:val="41EC0D67"/>
    <w:rsid w:val="41F44AE2"/>
    <w:rsid w:val="4200449D"/>
    <w:rsid w:val="42100D98"/>
    <w:rsid w:val="42104BBD"/>
    <w:rsid w:val="42202A39"/>
    <w:rsid w:val="4225391E"/>
    <w:rsid w:val="422B3C15"/>
    <w:rsid w:val="4231361B"/>
    <w:rsid w:val="423A3BCC"/>
    <w:rsid w:val="423F637A"/>
    <w:rsid w:val="424113B1"/>
    <w:rsid w:val="424E3AFC"/>
    <w:rsid w:val="424E57D2"/>
    <w:rsid w:val="4262157C"/>
    <w:rsid w:val="4265182A"/>
    <w:rsid w:val="42781E01"/>
    <w:rsid w:val="42816043"/>
    <w:rsid w:val="428702EF"/>
    <w:rsid w:val="428C54DC"/>
    <w:rsid w:val="428E31AF"/>
    <w:rsid w:val="42B26C49"/>
    <w:rsid w:val="42B34DEF"/>
    <w:rsid w:val="42BD7679"/>
    <w:rsid w:val="42CD688E"/>
    <w:rsid w:val="42CE64BE"/>
    <w:rsid w:val="42E64762"/>
    <w:rsid w:val="42F51FA1"/>
    <w:rsid w:val="42FE0BC5"/>
    <w:rsid w:val="42FF439C"/>
    <w:rsid w:val="4300630C"/>
    <w:rsid w:val="43084C57"/>
    <w:rsid w:val="43110DBC"/>
    <w:rsid w:val="43212AB1"/>
    <w:rsid w:val="43237C1D"/>
    <w:rsid w:val="43282F54"/>
    <w:rsid w:val="433A6FE6"/>
    <w:rsid w:val="433C6862"/>
    <w:rsid w:val="43480868"/>
    <w:rsid w:val="434C7233"/>
    <w:rsid w:val="434F0436"/>
    <w:rsid w:val="4350713C"/>
    <w:rsid w:val="436653E0"/>
    <w:rsid w:val="436E554F"/>
    <w:rsid w:val="438B18D6"/>
    <w:rsid w:val="438C37A3"/>
    <w:rsid w:val="43916070"/>
    <w:rsid w:val="43936EE5"/>
    <w:rsid w:val="43953F94"/>
    <w:rsid w:val="439B2D19"/>
    <w:rsid w:val="43A76826"/>
    <w:rsid w:val="43B97DAC"/>
    <w:rsid w:val="43C4431A"/>
    <w:rsid w:val="43D77866"/>
    <w:rsid w:val="43F85926"/>
    <w:rsid w:val="440B3398"/>
    <w:rsid w:val="440B744E"/>
    <w:rsid w:val="44192B18"/>
    <w:rsid w:val="442C5F01"/>
    <w:rsid w:val="443268B0"/>
    <w:rsid w:val="4433196A"/>
    <w:rsid w:val="44557097"/>
    <w:rsid w:val="445C7B91"/>
    <w:rsid w:val="445D305E"/>
    <w:rsid w:val="44681308"/>
    <w:rsid w:val="446A62D2"/>
    <w:rsid w:val="447270EC"/>
    <w:rsid w:val="447529FB"/>
    <w:rsid w:val="448654A3"/>
    <w:rsid w:val="448B5125"/>
    <w:rsid w:val="44A350C1"/>
    <w:rsid w:val="44AD5508"/>
    <w:rsid w:val="44B951CC"/>
    <w:rsid w:val="44BD7848"/>
    <w:rsid w:val="44CD14E0"/>
    <w:rsid w:val="44CF7DCE"/>
    <w:rsid w:val="44D13817"/>
    <w:rsid w:val="44D1429C"/>
    <w:rsid w:val="44D16377"/>
    <w:rsid w:val="44D50224"/>
    <w:rsid w:val="44DE6C5C"/>
    <w:rsid w:val="44E47260"/>
    <w:rsid w:val="44F20B0B"/>
    <w:rsid w:val="44FE3FC5"/>
    <w:rsid w:val="45065B8B"/>
    <w:rsid w:val="452924D0"/>
    <w:rsid w:val="452E5F4C"/>
    <w:rsid w:val="45350459"/>
    <w:rsid w:val="453C2005"/>
    <w:rsid w:val="4551250B"/>
    <w:rsid w:val="4558344D"/>
    <w:rsid w:val="45604864"/>
    <w:rsid w:val="45612018"/>
    <w:rsid w:val="456C1CB1"/>
    <w:rsid w:val="458946E9"/>
    <w:rsid w:val="458B4A60"/>
    <w:rsid w:val="458E363B"/>
    <w:rsid w:val="45940F26"/>
    <w:rsid w:val="45987025"/>
    <w:rsid w:val="459939B8"/>
    <w:rsid w:val="45A47C0E"/>
    <w:rsid w:val="45A75D99"/>
    <w:rsid w:val="45AC3E8E"/>
    <w:rsid w:val="45AD0AE4"/>
    <w:rsid w:val="45D24718"/>
    <w:rsid w:val="45D71D2E"/>
    <w:rsid w:val="45D72B1F"/>
    <w:rsid w:val="45D909B0"/>
    <w:rsid w:val="45DE4E78"/>
    <w:rsid w:val="45E22EA1"/>
    <w:rsid w:val="45E342CD"/>
    <w:rsid w:val="45E72B53"/>
    <w:rsid w:val="45E77D80"/>
    <w:rsid w:val="45EB1DD4"/>
    <w:rsid w:val="45F829EC"/>
    <w:rsid w:val="461B2DDC"/>
    <w:rsid w:val="4639500B"/>
    <w:rsid w:val="464859BC"/>
    <w:rsid w:val="46577FD6"/>
    <w:rsid w:val="46761EA0"/>
    <w:rsid w:val="4677696F"/>
    <w:rsid w:val="468C1093"/>
    <w:rsid w:val="468C49D5"/>
    <w:rsid w:val="468E1705"/>
    <w:rsid w:val="46954311"/>
    <w:rsid w:val="46965802"/>
    <w:rsid w:val="46B4668D"/>
    <w:rsid w:val="46B86E3A"/>
    <w:rsid w:val="46B87C6A"/>
    <w:rsid w:val="46B94898"/>
    <w:rsid w:val="46C24EF2"/>
    <w:rsid w:val="46D955A7"/>
    <w:rsid w:val="46E135BC"/>
    <w:rsid w:val="46FC4AE5"/>
    <w:rsid w:val="47133957"/>
    <w:rsid w:val="47155C03"/>
    <w:rsid w:val="472D0AE0"/>
    <w:rsid w:val="472F305D"/>
    <w:rsid w:val="472F5733"/>
    <w:rsid w:val="4734464B"/>
    <w:rsid w:val="474677A9"/>
    <w:rsid w:val="47545A67"/>
    <w:rsid w:val="47555CE4"/>
    <w:rsid w:val="47564DFF"/>
    <w:rsid w:val="47591683"/>
    <w:rsid w:val="475A170D"/>
    <w:rsid w:val="475C461E"/>
    <w:rsid w:val="47617940"/>
    <w:rsid w:val="476A0CDF"/>
    <w:rsid w:val="477C7A79"/>
    <w:rsid w:val="478B27FD"/>
    <w:rsid w:val="479003E6"/>
    <w:rsid w:val="47937F1F"/>
    <w:rsid w:val="47964976"/>
    <w:rsid w:val="479907EC"/>
    <w:rsid w:val="479E68ED"/>
    <w:rsid w:val="47A07E0C"/>
    <w:rsid w:val="47A11A46"/>
    <w:rsid w:val="47D04FE5"/>
    <w:rsid w:val="47D77DC3"/>
    <w:rsid w:val="47EE7F12"/>
    <w:rsid w:val="48066134"/>
    <w:rsid w:val="480B5B76"/>
    <w:rsid w:val="4811215C"/>
    <w:rsid w:val="48204C26"/>
    <w:rsid w:val="483701B3"/>
    <w:rsid w:val="484025DA"/>
    <w:rsid w:val="484458A6"/>
    <w:rsid w:val="485C303A"/>
    <w:rsid w:val="486C4563"/>
    <w:rsid w:val="4870272E"/>
    <w:rsid w:val="4873721F"/>
    <w:rsid w:val="48934812"/>
    <w:rsid w:val="48A12AF4"/>
    <w:rsid w:val="48A22E5C"/>
    <w:rsid w:val="48A658C3"/>
    <w:rsid w:val="48B3580C"/>
    <w:rsid w:val="48B634B2"/>
    <w:rsid w:val="48D16F09"/>
    <w:rsid w:val="48D32E27"/>
    <w:rsid w:val="48E55482"/>
    <w:rsid w:val="48E769D6"/>
    <w:rsid w:val="48EC366C"/>
    <w:rsid w:val="48ED2F9D"/>
    <w:rsid w:val="48F503E1"/>
    <w:rsid w:val="48F60615"/>
    <w:rsid w:val="48F606C4"/>
    <w:rsid w:val="48F922E0"/>
    <w:rsid w:val="49267254"/>
    <w:rsid w:val="49292FCA"/>
    <w:rsid w:val="49394061"/>
    <w:rsid w:val="493D5513"/>
    <w:rsid w:val="49470B73"/>
    <w:rsid w:val="494A035D"/>
    <w:rsid w:val="494A0D76"/>
    <w:rsid w:val="49547C8E"/>
    <w:rsid w:val="49575660"/>
    <w:rsid w:val="495A3EDF"/>
    <w:rsid w:val="495B39EB"/>
    <w:rsid w:val="496031A8"/>
    <w:rsid w:val="496605FF"/>
    <w:rsid w:val="496741A7"/>
    <w:rsid w:val="497B031F"/>
    <w:rsid w:val="49867CF3"/>
    <w:rsid w:val="498728FC"/>
    <w:rsid w:val="498C52B0"/>
    <w:rsid w:val="49A430EC"/>
    <w:rsid w:val="49A61B77"/>
    <w:rsid w:val="49B24007"/>
    <w:rsid w:val="49C044C4"/>
    <w:rsid w:val="49C8478B"/>
    <w:rsid w:val="49CA7BE0"/>
    <w:rsid w:val="49CC2D12"/>
    <w:rsid w:val="49DC7715"/>
    <w:rsid w:val="49DD764C"/>
    <w:rsid w:val="49DE0D8F"/>
    <w:rsid w:val="49EA208E"/>
    <w:rsid w:val="49F44C5D"/>
    <w:rsid w:val="49F71AC8"/>
    <w:rsid w:val="4A0129C4"/>
    <w:rsid w:val="4A023139"/>
    <w:rsid w:val="4A0C595B"/>
    <w:rsid w:val="4A28715B"/>
    <w:rsid w:val="4A2A25ED"/>
    <w:rsid w:val="4A3132FB"/>
    <w:rsid w:val="4A3712AE"/>
    <w:rsid w:val="4A4812AA"/>
    <w:rsid w:val="4A4C0EA9"/>
    <w:rsid w:val="4A4D3C4F"/>
    <w:rsid w:val="4A7713A7"/>
    <w:rsid w:val="4A7B576F"/>
    <w:rsid w:val="4A7D624D"/>
    <w:rsid w:val="4A7E76CA"/>
    <w:rsid w:val="4A901C34"/>
    <w:rsid w:val="4A951B94"/>
    <w:rsid w:val="4A963BE2"/>
    <w:rsid w:val="4A9D18E2"/>
    <w:rsid w:val="4A9F4671"/>
    <w:rsid w:val="4AAC25EC"/>
    <w:rsid w:val="4AB21D62"/>
    <w:rsid w:val="4ABA50CB"/>
    <w:rsid w:val="4ABA5A9F"/>
    <w:rsid w:val="4ABB74FB"/>
    <w:rsid w:val="4ADA667B"/>
    <w:rsid w:val="4AF367F5"/>
    <w:rsid w:val="4AF561A9"/>
    <w:rsid w:val="4AF66FB2"/>
    <w:rsid w:val="4B1501FE"/>
    <w:rsid w:val="4B176EB4"/>
    <w:rsid w:val="4B327D54"/>
    <w:rsid w:val="4B373073"/>
    <w:rsid w:val="4B507976"/>
    <w:rsid w:val="4B517E72"/>
    <w:rsid w:val="4B55234F"/>
    <w:rsid w:val="4B6C483E"/>
    <w:rsid w:val="4B8137E0"/>
    <w:rsid w:val="4BB1531A"/>
    <w:rsid w:val="4BB30CF4"/>
    <w:rsid w:val="4BD8013F"/>
    <w:rsid w:val="4C033A5D"/>
    <w:rsid w:val="4C120403"/>
    <w:rsid w:val="4C202591"/>
    <w:rsid w:val="4C2C568C"/>
    <w:rsid w:val="4C2F7D06"/>
    <w:rsid w:val="4C373D10"/>
    <w:rsid w:val="4C3C19A7"/>
    <w:rsid w:val="4C3F55EA"/>
    <w:rsid w:val="4C491266"/>
    <w:rsid w:val="4C4A0649"/>
    <w:rsid w:val="4C506163"/>
    <w:rsid w:val="4C5F1C6F"/>
    <w:rsid w:val="4C6678AC"/>
    <w:rsid w:val="4C6F10E4"/>
    <w:rsid w:val="4C701157"/>
    <w:rsid w:val="4C7C74DE"/>
    <w:rsid w:val="4C7E5ECA"/>
    <w:rsid w:val="4C876AA5"/>
    <w:rsid w:val="4CA5340D"/>
    <w:rsid w:val="4CA632E4"/>
    <w:rsid w:val="4CB06512"/>
    <w:rsid w:val="4CB8361A"/>
    <w:rsid w:val="4CC1422F"/>
    <w:rsid w:val="4CC417FC"/>
    <w:rsid w:val="4CC96002"/>
    <w:rsid w:val="4CCE0E25"/>
    <w:rsid w:val="4CD5772B"/>
    <w:rsid w:val="4CD67CFD"/>
    <w:rsid w:val="4CDB691E"/>
    <w:rsid w:val="4CDC2945"/>
    <w:rsid w:val="4CE05F7F"/>
    <w:rsid w:val="4CEB5242"/>
    <w:rsid w:val="4CF8103F"/>
    <w:rsid w:val="4D004428"/>
    <w:rsid w:val="4D0115E0"/>
    <w:rsid w:val="4D0E00FB"/>
    <w:rsid w:val="4D176606"/>
    <w:rsid w:val="4D3E1C11"/>
    <w:rsid w:val="4D412F59"/>
    <w:rsid w:val="4D573910"/>
    <w:rsid w:val="4D5A31AF"/>
    <w:rsid w:val="4D5F668D"/>
    <w:rsid w:val="4D871B3D"/>
    <w:rsid w:val="4D874BB0"/>
    <w:rsid w:val="4D941068"/>
    <w:rsid w:val="4D9D4A9F"/>
    <w:rsid w:val="4DA355E8"/>
    <w:rsid w:val="4DA36EA4"/>
    <w:rsid w:val="4DB01FED"/>
    <w:rsid w:val="4DB972E9"/>
    <w:rsid w:val="4DCF692D"/>
    <w:rsid w:val="4DDC7B96"/>
    <w:rsid w:val="4DEC4FB0"/>
    <w:rsid w:val="4DFA4416"/>
    <w:rsid w:val="4E04150B"/>
    <w:rsid w:val="4E075D8A"/>
    <w:rsid w:val="4E172510"/>
    <w:rsid w:val="4E273E8A"/>
    <w:rsid w:val="4E275E72"/>
    <w:rsid w:val="4E2D698F"/>
    <w:rsid w:val="4E332DAB"/>
    <w:rsid w:val="4E50563B"/>
    <w:rsid w:val="4E7014BB"/>
    <w:rsid w:val="4E7236AE"/>
    <w:rsid w:val="4E864C43"/>
    <w:rsid w:val="4E9B44BB"/>
    <w:rsid w:val="4EA54189"/>
    <w:rsid w:val="4EB41E04"/>
    <w:rsid w:val="4EB54A05"/>
    <w:rsid w:val="4EC00FAD"/>
    <w:rsid w:val="4EDC0C29"/>
    <w:rsid w:val="4EE53412"/>
    <w:rsid w:val="4EE6733E"/>
    <w:rsid w:val="4EEB33C1"/>
    <w:rsid w:val="4EF8203D"/>
    <w:rsid w:val="4F106BA3"/>
    <w:rsid w:val="4F1627F8"/>
    <w:rsid w:val="4F18197E"/>
    <w:rsid w:val="4F207294"/>
    <w:rsid w:val="4F29184C"/>
    <w:rsid w:val="4F3E2A6B"/>
    <w:rsid w:val="4F4440FC"/>
    <w:rsid w:val="4F715F4F"/>
    <w:rsid w:val="4F7A26D1"/>
    <w:rsid w:val="4F806DC1"/>
    <w:rsid w:val="4F8970AB"/>
    <w:rsid w:val="4F945E6B"/>
    <w:rsid w:val="4F9843DC"/>
    <w:rsid w:val="4FA03191"/>
    <w:rsid w:val="4FA501A8"/>
    <w:rsid w:val="4FA5434D"/>
    <w:rsid w:val="4FA82E9E"/>
    <w:rsid w:val="4FAC52D3"/>
    <w:rsid w:val="4FB93DA3"/>
    <w:rsid w:val="4FBB6EA2"/>
    <w:rsid w:val="4FC01ABD"/>
    <w:rsid w:val="4FC62A8C"/>
    <w:rsid w:val="4FC832BF"/>
    <w:rsid w:val="4FD632F8"/>
    <w:rsid w:val="4FDB0D62"/>
    <w:rsid w:val="4FDB59F1"/>
    <w:rsid w:val="4FE20F0D"/>
    <w:rsid w:val="4FE51552"/>
    <w:rsid w:val="4FFB73A9"/>
    <w:rsid w:val="5015592D"/>
    <w:rsid w:val="501A7A79"/>
    <w:rsid w:val="50452252"/>
    <w:rsid w:val="50494EF6"/>
    <w:rsid w:val="50504C4B"/>
    <w:rsid w:val="50507F54"/>
    <w:rsid w:val="505B49CF"/>
    <w:rsid w:val="5064457F"/>
    <w:rsid w:val="5076342B"/>
    <w:rsid w:val="50771750"/>
    <w:rsid w:val="507C4F80"/>
    <w:rsid w:val="508F7C31"/>
    <w:rsid w:val="5093714C"/>
    <w:rsid w:val="509A0C4D"/>
    <w:rsid w:val="509C6E7C"/>
    <w:rsid w:val="509D346C"/>
    <w:rsid w:val="509F59DC"/>
    <w:rsid w:val="50A4322F"/>
    <w:rsid w:val="50B81E40"/>
    <w:rsid w:val="50D45DF0"/>
    <w:rsid w:val="51002D52"/>
    <w:rsid w:val="510B0668"/>
    <w:rsid w:val="511835C9"/>
    <w:rsid w:val="51230344"/>
    <w:rsid w:val="513B25AF"/>
    <w:rsid w:val="513D6A7C"/>
    <w:rsid w:val="515B1A65"/>
    <w:rsid w:val="515D0590"/>
    <w:rsid w:val="515E7BAB"/>
    <w:rsid w:val="5162104E"/>
    <w:rsid w:val="51695F30"/>
    <w:rsid w:val="516E5498"/>
    <w:rsid w:val="518B2DBA"/>
    <w:rsid w:val="5196023F"/>
    <w:rsid w:val="51A3305C"/>
    <w:rsid w:val="51B51B0F"/>
    <w:rsid w:val="51B6089D"/>
    <w:rsid w:val="51BB394B"/>
    <w:rsid w:val="51BB6CDC"/>
    <w:rsid w:val="51BC4666"/>
    <w:rsid w:val="51E12721"/>
    <w:rsid w:val="52077FDF"/>
    <w:rsid w:val="520914C1"/>
    <w:rsid w:val="520E29E1"/>
    <w:rsid w:val="520E7011"/>
    <w:rsid w:val="522E26B1"/>
    <w:rsid w:val="523A5B1F"/>
    <w:rsid w:val="524C628F"/>
    <w:rsid w:val="52746E66"/>
    <w:rsid w:val="52754DA9"/>
    <w:rsid w:val="52826168"/>
    <w:rsid w:val="528E6D72"/>
    <w:rsid w:val="52A57A4F"/>
    <w:rsid w:val="52F2390F"/>
    <w:rsid w:val="5305328B"/>
    <w:rsid w:val="530557FB"/>
    <w:rsid w:val="53071CE4"/>
    <w:rsid w:val="53322F4E"/>
    <w:rsid w:val="53392251"/>
    <w:rsid w:val="53752FF0"/>
    <w:rsid w:val="53A039CC"/>
    <w:rsid w:val="53A1505A"/>
    <w:rsid w:val="53BE223A"/>
    <w:rsid w:val="53C37193"/>
    <w:rsid w:val="53C70CE0"/>
    <w:rsid w:val="53D2166B"/>
    <w:rsid w:val="53D519BD"/>
    <w:rsid w:val="53EE5DA1"/>
    <w:rsid w:val="53FB1284"/>
    <w:rsid w:val="53FD1767"/>
    <w:rsid w:val="540463E4"/>
    <w:rsid w:val="54063E08"/>
    <w:rsid w:val="5415239F"/>
    <w:rsid w:val="54192D49"/>
    <w:rsid w:val="541A11F6"/>
    <w:rsid w:val="541E2956"/>
    <w:rsid w:val="541F4E9E"/>
    <w:rsid w:val="542639D1"/>
    <w:rsid w:val="542A65BA"/>
    <w:rsid w:val="543437E8"/>
    <w:rsid w:val="543600AC"/>
    <w:rsid w:val="545B0BB2"/>
    <w:rsid w:val="54694A42"/>
    <w:rsid w:val="547A4864"/>
    <w:rsid w:val="547A6043"/>
    <w:rsid w:val="547E58E4"/>
    <w:rsid w:val="5489196B"/>
    <w:rsid w:val="548B3A93"/>
    <w:rsid w:val="54991E5B"/>
    <w:rsid w:val="549D22DB"/>
    <w:rsid w:val="54A0469D"/>
    <w:rsid w:val="54AE4FD0"/>
    <w:rsid w:val="54B22C01"/>
    <w:rsid w:val="54D8192A"/>
    <w:rsid w:val="54D913B1"/>
    <w:rsid w:val="54D91CA4"/>
    <w:rsid w:val="54E53BE3"/>
    <w:rsid w:val="54E93B8A"/>
    <w:rsid w:val="54F73313"/>
    <w:rsid w:val="54F80955"/>
    <w:rsid w:val="54FB558D"/>
    <w:rsid w:val="55020BFF"/>
    <w:rsid w:val="550648AC"/>
    <w:rsid w:val="550F0176"/>
    <w:rsid w:val="551408A9"/>
    <w:rsid w:val="55166577"/>
    <w:rsid w:val="55224347"/>
    <w:rsid w:val="552C6669"/>
    <w:rsid w:val="552D2486"/>
    <w:rsid w:val="553845CD"/>
    <w:rsid w:val="554938FB"/>
    <w:rsid w:val="554C021D"/>
    <w:rsid w:val="555170A7"/>
    <w:rsid w:val="55631B76"/>
    <w:rsid w:val="55690F45"/>
    <w:rsid w:val="55776054"/>
    <w:rsid w:val="5587536D"/>
    <w:rsid w:val="558756D4"/>
    <w:rsid w:val="55944188"/>
    <w:rsid w:val="559B174B"/>
    <w:rsid w:val="559C26BB"/>
    <w:rsid w:val="55C900D6"/>
    <w:rsid w:val="55CE0CF4"/>
    <w:rsid w:val="55D6790C"/>
    <w:rsid w:val="55FA3F8D"/>
    <w:rsid w:val="56001797"/>
    <w:rsid w:val="56017EDC"/>
    <w:rsid w:val="5611025A"/>
    <w:rsid w:val="56160709"/>
    <w:rsid w:val="562974E6"/>
    <w:rsid w:val="562C3B5D"/>
    <w:rsid w:val="564158D4"/>
    <w:rsid w:val="565834E6"/>
    <w:rsid w:val="566E3B7C"/>
    <w:rsid w:val="567D7F9A"/>
    <w:rsid w:val="56964F84"/>
    <w:rsid w:val="56A416C4"/>
    <w:rsid w:val="56AD5304"/>
    <w:rsid w:val="56AF5610"/>
    <w:rsid w:val="56B22A9C"/>
    <w:rsid w:val="56B65500"/>
    <w:rsid w:val="56CE4644"/>
    <w:rsid w:val="56DB5816"/>
    <w:rsid w:val="56E62EBB"/>
    <w:rsid w:val="56EB2A59"/>
    <w:rsid w:val="56F0164C"/>
    <w:rsid w:val="56F121FE"/>
    <w:rsid w:val="56F3703C"/>
    <w:rsid w:val="5712706A"/>
    <w:rsid w:val="571B616E"/>
    <w:rsid w:val="57220829"/>
    <w:rsid w:val="57222823"/>
    <w:rsid w:val="572A4DAB"/>
    <w:rsid w:val="572F4170"/>
    <w:rsid w:val="57303644"/>
    <w:rsid w:val="5739405E"/>
    <w:rsid w:val="573945F7"/>
    <w:rsid w:val="573E5891"/>
    <w:rsid w:val="574F24A0"/>
    <w:rsid w:val="5755528B"/>
    <w:rsid w:val="576B70A8"/>
    <w:rsid w:val="576C1632"/>
    <w:rsid w:val="57AE0B41"/>
    <w:rsid w:val="57B72A76"/>
    <w:rsid w:val="57C32EFF"/>
    <w:rsid w:val="57C3426C"/>
    <w:rsid w:val="57C44354"/>
    <w:rsid w:val="57CE1F93"/>
    <w:rsid w:val="57D13A95"/>
    <w:rsid w:val="57E70315"/>
    <w:rsid w:val="57EC089F"/>
    <w:rsid w:val="57FD1BD7"/>
    <w:rsid w:val="58046DDD"/>
    <w:rsid w:val="580F471A"/>
    <w:rsid w:val="581146D7"/>
    <w:rsid w:val="58165684"/>
    <w:rsid w:val="582B0D5A"/>
    <w:rsid w:val="583626A9"/>
    <w:rsid w:val="58425E81"/>
    <w:rsid w:val="58526BFB"/>
    <w:rsid w:val="5853340B"/>
    <w:rsid w:val="585A77F1"/>
    <w:rsid w:val="585D72FE"/>
    <w:rsid w:val="586711ED"/>
    <w:rsid w:val="588743D1"/>
    <w:rsid w:val="5887701A"/>
    <w:rsid w:val="58B44EDA"/>
    <w:rsid w:val="58D818BE"/>
    <w:rsid w:val="58DD0FB6"/>
    <w:rsid w:val="58FB6B44"/>
    <w:rsid w:val="59060CBD"/>
    <w:rsid w:val="59092DBA"/>
    <w:rsid w:val="59314BBB"/>
    <w:rsid w:val="59322095"/>
    <w:rsid w:val="593C469E"/>
    <w:rsid w:val="593E2100"/>
    <w:rsid w:val="594610C5"/>
    <w:rsid w:val="594C32EA"/>
    <w:rsid w:val="5951566D"/>
    <w:rsid w:val="59587A67"/>
    <w:rsid w:val="595F5746"/>
    <w:rsid w:val="59673F36"/>
    <w:rsid w:val="596C1C35"/>
    <w:rsid w:val="59743465"/>
    <w:rsid w:val="597B64D2"/>
    <w:rsid w:val="597D4C6F"/>
    <w:rsid w:val="59821157"/>
    <w:rsid w:val="598A23DF"/>
    <w:rsid w:val="5992000E"/>
    <w:rsid w:val="59986054"/>
    <w:rsid w:val="599C0D1B"/>
    <w:rsid w:val="59AE104F"/>
    <w:rsid w:val="59AE4DE3"/>
    <w:rsid w:val="59BA0EB4"/>
    <w:rsid w:val="59BA229B"/>
    <w:rsid w:val="59BE0216"/>
    <w:rsid w:val="59C0439F"/>
    <w:rsid w:val="59D2488F"/>
    <w:rsid w:val="59E02BAA"/>
    <w:rsid w:val="59EE2DC8"/>
    <w:rsid w:val="59EE6C20"/>
    <w:rsid w:val="5A1207D6"/>
    <w:rsid w:val="5A1F4495"/>
    <w:rsid w:val="5A217850"/>
    <w:rsid w:val="5A2C6503"/>
    <w:rsid w:val="5A3F58D5"/>
    <w:rsid w:val="5A407082"/>
    <w:rsid w:val="5A901FA7"/>
    <w:rsid w:val="5A9E0528"/>
    <w:rsid w:val="5AA069E9"/>
    <w:rsid w:val="5AA41B86"/>
    <w:rsid w:val="5AAD79C3"/>
    <w:rsid w:val="5AAF2183"/>
    <w:rsid w:val="5AB02966"/>
    <w:rsid w:val="5AB275F8"/>
    <w:rsid w:val="5ABE2233"/>
    <w:rsid w:val="5AC4018C"/>
    <w:rsid w:val="5AC448FB"/>
    <w:rsid w:val="5ACC0BF1"/>
    <w:rsid w:val="5AD362A5"/>
    <w:rsid w:val="5AD7447A"/>
    <w:rsid w:val="5AE575D9"/>
    <w:rsid w:val="5AEB07AC"/>
    <w:rsid w:val="5AEE25F4"/>
    <w:rsid w:val="5AF55DED"/>
    <w:rsid w:val="5AF80C77"/>
    <w:rsid w:val="5B161C64"/>
    <w:rsid w:val="5B2468DE"/>
    <w:rsid w:val="5B321A1D"/>
    <w:rsid w:val="5B3D0B35"/>
    <w:rsid w:val="5B4A60C6"/>
    <w:rsid w:val="5B542B11"/>
    <w:rsid w:val="5B5D22E8"/>
    <w:rsid w:val="5B6854AA"/>
    <w:rsid w:val="5B84597F"/>
    <w:rsid w:val="5B8628BA"/>
    <w:rsid w:val="5B8860A7"/>
    <w:rsid w:val="5B8D7DD4"/>
    <w:rsid w:val="5B95714F"/>
    <w:rsid w:val="5BA20133"/>
    <w:rsid w:val="5BCB0D54"/>
    <w:rsid w:val="5BD51AC0"/>
    <w:rsid w:val="5BDD1EFE"/>
    <w:rsid w:val="5BDF5D95"/>
    <w:rsid w:val="5BE72562"/>
    <w:rsid w:val="5BE85BAD"/>
    <w:rsid w:val="5BED4605"/>
    <w:rsid w:val="5BF74F7D"/>
    <w:rsid w:val="5BF8682E"/>
    <w:rsid w:val="5BFE7528"/>
    <w:rsid w:val="5C0160DE"/>
    <w:rsid w:val="5C154544"/>
    <w:rsid w:val="5C192691"/>
    <w:rsid w:val="5C2151C7"/>
    <w:rsid w:val="5C243BDA"/>
    <w:rsid w:val="5C2B266E"/>
    <w:rsid w:val="5C2D707A"/>
    <w:rsid w:val="5C453DA2"/>
    <w:rsid w:val="5C5F2624"/>
    <w:rsid w:val="5C607E16"/>
    <w:rsid w:val="5C6478BA"/>
    <w:rsid w:val="5C657342"/>
    <w:rsid w:val="5C7730E5"/>
    <w:rsid w:val="5C8B6717"/>
    <w:rsid w:val="5C8B6D21"/>
    <w:rsid w:val="5CB45D9B"/>
    <w:rsid w:val="5CE80168"/>
    <w:rsid w:val="5D317D46"/>
    <w:rsid w:val="5D3E4BE1"/>
    <w:rsid w:val="5D411385"/>
    <w:rsid w:val="5D452C0A"/>
    <w:rsid w:val="5D4642E1"/>
    <w:rsid w:val="5D5204C3"/>
    <w:rsid w:val="5D522274"/>
    <w:rsid w:val="5D57460C"/>
    <w:rsid w:val="5D5A6369"/>
    <w:rsid w:val="5D8A7119"/>
    <w:rsid w:val="5D8B2BF2"/>
    <w:rsid w:val="5D995E31"/>
    <w:rsid w:val="5DA426E1"/>
    <w:rsid w:val="5DA6410C"/>
    <w:rsid w:val="5DA80601"/>
    <w:rsid w:val="5DB84622"/>
    <w:rsid w:val="5DE4547F"/>
    <w:rsid w:val="5DE51034"/>
    <w:rsid w:val="5DEF0077"/>
    <w:rsid w:val="5DF4093E"/>
    <w:rsid w:val="5DF931CC"/>
    <w:rsid w:val="5DFF7059"/>
    <w:rsid w:val="5E02779D"/>
    <w:rsid w:val="5E0A546C"/>
    <w:rsid w:val="5E0B252C"/>
    <w:rsid w:val="5E0D5926"/>
    <w:rsid w:val="5E11177E"/>
    <w:rsid w:val="5E2315F3"/>
    <w:rsid w:val="5E2467F1"/>
    <w:rsid w:val="5E294B0F"/>
    <w:rsid w:val="5E2B3917"/>
    <w:rsid w:val="5E2C1D80"/>
    <w:rsid w:val="5E356D3B"/>
    <w:rsid w:val="5E463800"/>
    <w:rsid w:val="5E49120D"/>
    <w:rsid w:val="5E550FC3"/>
    <w:rsid w:val="5E654B5C"/>
    <w:rsid w:val="5E696F04"/>
    <w:rsid w:val="5E7637D5"/>
    <w:rsid w:val="5E8878B6"/>
    <w:rsid w:val="5E93370F"/>
    <w:rsid w:val="5E9D5D3F"/>
    <w:rsid w:val="5EA12874"/>
    <w:rsid w:val="5EAC0292"/>
    <w:rsid w:val="5EAF7C6B"/>
    <w:rsid w:val="5EBA2ABA"/>
    <w:rsid w:val="5ED41FBB"/>
    <w:rsid w:val="5EDB7576"/>
    <w:rsid w:val="5EE17C1F"/>
    <w:rsid w:val="5EE73612"/>
    <w:rsid w:val="5EEE1566"/>
    <w:rsid w:val="5EEE2570"/>
    <w:rsid w:val="5EF41607"/>
    <w:rsid w:val="5EF655A2"/>
    <w:rsid w:val="5EFB0946"/>
    <w:rsid w:val="5EFC5C54"/>
    <w:rsid w:val="5F133994"/>
    <w:rsid w:val="5F17329D"/>
    <w:rsid w:val="5F1A2B43"/>
    <w:rsid w:val="5F2E41BB"/>
    <w:rsid w:val="5F365B25"/>
    <w:rsid w:val="5F3E1D3C"/>
    <w:rsid w:val="5F434416"/>
    <w:rsid w:val="5F493995"/>
    <w:rsid w:val="5F5D7478"/>
    <w:rsid w:val="5F712AE3"/>
    <w:rsid w:val="5F795867"/>
    <w:rsid w:val="5F7B6654"/>
    <w:rsid w:val="5F82148C"/>
    <w:rsid w:val="5F995A8C"/>
    <w:rsid w:val="5F9B66A4"/>
    <w:rsid w:val="5FA030CE"/>
    <w:rsid w:val="5FA15687"/>
    <w:rsid w:val="5FA37BC2"/>
    <w:rsid w:val="5FAA4838"/>
    <w:rsid w:val="5FB74466"/>
    <w:rsid w:val="5FB837BB"/>
    <w:rsid w:val="5FC21D9B"/>
    <w:rsid w:val="5FC3778A"/>
    <w:rsid w:val="5FC90AA0"/>
    <w:rsid w:val="5FD0361E"/>
    <w:rsid w:val="5FD455E6"/>
    <w:rsid w:val="5FDE0505"/>
    <w:rsid w:val="5FE22FDD"/>
    <w:rsid w:val="5FF22547"/>
    <w:rsid w:val="5FF31A76"/>
    <w:rsid w:val="5FF602F9"/>
    <w:rsid w:val="5FF87A93"/>
    <w:rsid w:val="5FF95855"/>
    <w:rsid w:val="60056E47"/>
    <w:rsid w:val="600751AC"/>
    <w:rsid w:val="60102B60"/>
    <w:rsid w:val="60324B03"/>
    <w:rsid w:val="60337DF2"/>
    <w:rsid w:val="60361D45"/>
    <w:rsid w:val="603A5F08"/>
    <w:rsid w:val="60453D0F"/>
    <w:rsid w:val="604A33D1"/>
    <w:rsid w:val="604E3F2D"/>
    <w:rsid w:val="605664B8"/>
    <w:rsid w:val="605E5793"/>
    <w:rsid w:val="606A2307"/>
    <w:rsid w:val="607A3CE7"/>
    <w:rsid w:val="608F6398"/>
    <w:rsid w:val="609650EF"/>
    <w:rsid w:val="60A800F7"/>
    <w:rsid w:val="60AE2BDD"/>
    <w:rsid w:val="60BC667B"/>
    <w:rsid w:val="60C23B49"/>
    <w:rsid w:val="60CC405A"/>
    <w:rsid w:val="60E65834"/>
    <w:rsid w:val="611B1C51"/>
    <w:rsid w:val="611B539B"/>
    <w:rsid w:val="612B1A19"/>
    <w:rsid w:val="61304DAF"/>
    <w:rsid w:val="613D18BC"/>
    <w:rsid w:val="615367BD"/>
    <w:rsid w:val="615564D1"/>
    <w:rsid w:val="616056F1"/>
    <w:rsid w:val="61682AC9"/>
    <w:rsid w:val="61695482"/>
    <w:rsid w:val="616C63C6"/>
    <w:rsid w:val="616E139E"/>
    <w:rsid w:val="61794960"/>
    <w:rsid w:val="6183647C"/>
    <w:rsid w:val="61840B64"/>
    <w:rsid w:val="61880C08"/>
    <w:rsid w:val="61984B8E"/>
    <w:rsid w:val="619B53F9"/>
    <w:rsid w:val="61C31248"/>
    <w:rsid w:val="61CB1C70"/>
    <w:rsid w:val="61CD41A5"/>
    <w:rsid w:val="61D30B1D"/>
    <w:rsid w:val="61DC027F"/>
    <w:rsid w:val="61E13790"/>
    <w:rsid w:val="61E215D8"/>
    <w:rsid w:val="61EB40B1"/>
    <w:rsid w:val="61EB713E"/>
    <w:rsid w:val="61F01D56"/>
    <w:rsid w:val="61F213CE"/>
    <w:rsid w:val="61F45CEA"/>
    <w:rsid w:val="61FB2878"/>
    <w:rsid w:val="61FC2B75"/>
    <w:rsid w:val="61FE7112"/>
    <w:rsid w:val="621B3775"/>
    <w:rsid w:val="621D0D8A"/>
    <w:rsid w:val="622362D2"/>
    <w:rsid w:val="622469FC"/>
    <w:rsid w:val="622B4475"/>
    <w:rsid w:val="622C0670"/>
    <w:rsid w:val="622F41A7"/>
    <w:rsid w:val="62364782"/>
    <w:rsid w:val="62405659"/>
    <w:rsid w:val="624A7419"/>
    <w:rsid w:val="624F3E13"/>
    <w:rsid w:val="626B48EE"/>
    <w:rsid w:val="62720FA5"/>
    <w:rsid w:val="627A5566"/>
    <w:rsid w:val="627B106A"/>
    <w:rsid w:val="62824513"/>
    <w:rsid w:val="62841D7F"/>
    <w:rsid w:val="628E5152"/>
    <w:rsid w:val="628E58CD"/>
    <w:rsid w:val="6297037A"/>
    <w:rsid w:val="62A55497"/>
    <w:rsid w:val="62A84AB4"/>
    <w:rsid w:val="62B21DB8"/>
    <w:rsid w:val="62BB0FCD"/>
    <w:rsid w:val="62C355DB"/>
    <w:rsid w:val="62C71588"/>
    <w:rsid w:val="62D1757B"/>
    <w:rsid w:val="62D36DBD"/>
    <w:rsid w:val="62DD439E"/>
    <w:rsid w:val="62E67B48"/>
    <w:rsid w:val="62EC3A50"/>
    <w:rsid w:val="63045C90"/>
    <w:rsid w:val="631C21AA"/>
    <w:rsid w:val="6325078B"/>
    <w:rsid w:val="632E0D88"/>
    <w:rsid w:val="632F393A"/>
    <w:rsid w:val="6355741D"/>
    <w:rsid w:val="6361714A"/>
    <w:rsid w:val="63792218"/>
    <w:rsid w:val="637C5F97"/>
    <w:rsid w:val="637F7E41"/>
    <w:rsid w:val="63860F6D"/>
    <w:rsid w:val="6394356A"/>
    <w:rsid w:val="63AD79E9"/>
    <w:rsid w:val="63BA72B4"/>
    <w:rsid w:val="63C61B2C"/>
    <w:rsid w:val="63D40BE9"/>
    <w:rsid w:val="63E17570"/>
    <w:rsid w:val="63EC7C4A"/>
    <w:rsid w:val="63F21220"/>
    <w:rsid w:val="63F35069"/>
    <w:rsid w:val="63FB1DF6"/>
    <w:rsid w:val="640B13D8"/>
    <w:rsid w:val="64102392"/>
    <w:rsid w:val="64102431"/>
    <w:rsid w:val="64177106"/>
    <w:rsid w:val="64183F13"/>
    <w:rsid w:val="64240300"/>
    <w:rsid w:val="64315F4E"/>
    <w:rsid w:val="64321894"/>
    <w:rsid w:val="64494292"/>
    <w:rsid w:val="644D1F7D"/>
    <w:rsid w:val="644F2E3C"/>
    <w:rsid w:val="64511081"/>
    <w:rsid w:val="64554D98"/>
    <w:rsid w:val="645D0CE8"/>
    <w:rsid w:val="646D1B22"/>
    <w:rsid w:val="647C6082"/>
    <w:rsid w:val="649B15AC"/>
    <w:rsid w:val="64A10414"/>
    <w:rsid w:val="64A25921"/>
    <w:rsid w:val="64A33709"/>
    <w:rsid w:val="64A5243A"/>
    <w:rsid w:val="64BC215C"/>
    <w:rsid w:val="64CD1A9E"/>
    <w:rsid w:val="64DF11C7"/>
    <w:rsid w:val="64DF2DAB"/>
    <w:rsid w:val="64EF30B3"/>
    <w:rsid w:val="64F531DE"/>
    <w:rsid w:val="64FA352D"/>
    <w:rsid w:val="64FC146D"/>
    <w:rsid w:val="64FF7945"/>
    <w:rsid w:val="651007F3"/>
    <w:rsid w:val="651259FD"/>
    <w:rsid w:val="651915CF"/>
    <w:rsid w:val="6523104F"/>
    <w:rsid w:val="65257F68"/>
    <w:rsid w:val="65265CC9"/>
    <w:rsid w:val="652B0DD1"/>
    <w:rsid w:val="65373578"/>
    <w:rsid w:val="65387B45"/>
    <w:rsid w:val="653B554A"/>
    <w:rsid w:val="653C19D4"/>
    <w:rsid w:val="65486B9A"/>
    <w:rsid w:val="65492975"/>
    <w:rsid w:val="654A318A"/>
    <w:rsid w:val="655F0CA4"/>
    <w:rsid w:val="655F2481"/>
    <w:rsid w:val="65625E1A"/>
    <w:rsid w:val="6578286F"/>
    <w:rsid w:val="657A4D27"/>
    <w:rsid w:val="657C5CCE"/>
    <w:rsid w:val="65815649"/>
    <w:rsid w:val="65876E5A"/>
    <w:rsid w:val="658B18F4"/>
    <w:rsid w:val="659A527B"/>
    <w:rsid w:val="65A71CB8"/>
    <w:rsid w:val="65B25CA0"/>
    <w:rsid w:val="65BC3B18"/>
    <w:rsid w:val="65D04577"/>
    <w:rsid w:val="65DE60B0"/>
    <w:rsid w:val="65EA38BA"/>
    <w:rsid w:val="65FB0745"/>
    <w:rsid w:val="6606583D"/>
    <w:rsid w:val="66110F2F"/>
    <w:rsid w:val="662374E8"/>
    <w:rsid w:val="66320049"/>
    <w:rsid w:val="663662E9"/>
    <w:rsid w:val="664649E4"/>
    <w:rsid w:val="664C7443"/>
    <w:rsid w:val="664D46E2"/>
    <w:rsid w:val="665136C4"/>
    <w:rsid w:val="66597653"/>
    <w:rsid w:val="665A57E4"/>
    <w:rsid w:val="666A711B"/>
    <w:rsid w:val="6697332F"/>
    <w:rsid w:val="669C44A4"/>
    <w:rsid w:val="669E25EE"/>
    <w:rsid w:val="66A672BE"/>
    <w:rsid w:val="66B25FC1"/>
    <w:rsid w:val="66C76501"/>
    <w:rsid w:val="66D01BCB"/>
    <w:rsid w:val="66E474AD"/>
    <w:rsid w:val="66F27387"/>
    <w:rsid w:val="66FE141A"/>
    <w:rsid w:val="670124F6"/>
    <w:rsid w:val="67026C46"/>
    <w:rsid w:val="671109E2"/>
    <w:rsid w:val="67157D36"/>
    <w:rsid w:val="671D76DA"/>
    <w:rsid w:val="671F124A"/>
    <w:rsid w:val="672E46AD"/>
    <w:rsid w:val="67336578"/>
    <w:rsid w:val="6735672D"/>
    <w:rsid w:val="67421C1A"/>
    <w:rsid w:val="675960DA"/>
    <w:rsid w:val="676E0346"/>
    <w:rsid w:val="676E1926"/>
    <w:rsid w:val="67734FB3"/>
    <w:rsid w:val="6776433B"/>
    <w:rsid w:val="67786A75"/>
    <w:rsid w:val="6778718A"/>
    <w:rsid w:val="677A0429"/>
    <w:rsid w:val="677A0665"/>
    <w:rsid w:val="677A33C6"/>
    <w:rsid w:val="677A6C20"/>
    <w:rsid w:val="677C0A19"/>
    <w:rsid w:val="677F7FB2"/>
    <w:rsid w:val="678A07C4"/>
    <w:rsid w:val="67946077"/>
    <w:rsid w:val="679C3C32"/>
    <w:rsid w:val="679F23C0"/>
    <w:rsid w:val="67A428D3"/>
    <w:rsid w:val="67AA0F8D"/>
    <w:rsid w:val="67B52500"/>
    <w:rsid w:val="67C32028"/>
    <w:rsid w:val="67C75F74"/>
    <w:rsid w:val="67D2026E"/>
    <w:rsid w:val="67E56D38"/>
    <w:rsid w:val="67EB3261"/>
    <w:rsid w:val="68136ACA"/>
    <w:rsid w:val="68164404"/>
    <w:rsid w:val="681B4F11"/>
    <w:rsid w:val="681F6961"/>
    <w:rsid w:val="68233CD5"/>
    <w:rsid w:val="682571B7"/>
    <w:rsid w:val="68376930"/>
    <w:rsid w:val="684F2F2C"/>
    <w:rsid w:val="68610A2F"/>
    <w:rsid w:val="68634616"/>
    <w:rsid w:val="68667971"/>
    <w:rsid w:val="688053D3"/>
    <w:rsid w:val="68805514"/>
    <w:rsid w:val="688364A3"/>
    <w:rsid w:val="688A46A7"/>
    <w:rsid w:val="68917687"/>
    <w:rsid w:val="68983653"/>
    <w:rsid w:val="68A4640D"/>
    <w:rsid w:val="68AF11D4"/>
    <w:rsid w:val="68CB1F07"/>
    <w:rsid w:val="68CB51AC"/>
    <w:rsid w:val="68D02EA9"/>
    <w:rsid w:val="68D44301"/>
    <w:rsid w:val="68DE77DF"/>
    <w:rsid w:val="68F4478C"/>
    <w:rsid w:val="68F77E6E"/>
    <w:rsid w:val="69055F3C"/>
    <w:rsid w:val="690C211C"/>
    <w:rsid w:val="690F0FD7"/>
    <w:rsid w:val="69192CE2"/>
    <w:rsid w:val="69265A83"/>
    <w:rsid w:val="692C55B4"/>
    <w:rsid w:val="692E17ED"/>
    <w:rsid w:val="69316E2F"/>
    <w:rsid w:val="69355FC7"/>
    <w:rsid w:val="694442CD"/>
    <w:rsid w:val="694E2071"/>
    <w:rsid w:val="69524000"/>
    <w:rsid w:val="69575C95"/>
    <w:rsid w:val="695B237B"/>
    <w:rsid w:val="695D07F4"/>
    <w:rsid w:val="696109F0"/>
    <w:rsid w:val="69664FB4"/>
    <w:rsid w:val="69726D8F"/>
    <w:rsid w:val="69756195"/>
    <w:rsid w:val="69766163"/>
    <w:rsid w:val="697A3B33"/>
    <w:rsid w:val="6985632B"/>
    <w:rsid w:val="69875FEE"/>
    <w:rsid w:val="699031DE"/>
    <w:rsid w:val="69935836"/>
    <w:rsid w:val="699504D9"/>
    <w:rsid w:val="69974601"/>
    <w:rsid w:val="699D3AD9"/>
    <w:rsid w:val="699D4166"/>
    <w:rsid w:val="69B00B36"/>
    <w:rsid w:val="69B6759E"/>
    <w:rsid w:val="69C37C0C"/>
    <w:rsid w:val="69C87E1D"/>
    <w:rsid w:val="69CC01A4"/>
    <w:rsid w:val="69CC12FA"/>
    <w:rsid w:val="69CD24A7"/>
    <w:rsid w:val="69D40FE7"/>
    <w:rsid w:val="69D44760"/>
    <w:rsid w:val="69D63CA9"/>
    <w:rsid w:val="69DC0F24"/>
    <w:rsid w:val="69E322D4"/>
    <w:rsid w:val="69EA2BDC"/>
    <w:rsid w:val="6A136062"/>
    <w:rsid w:val="6A156BEE"/>
    <w:rsid w:val="6A167CB7"/>
    <w:rsid w:val="6A173476"/>
    <w:rsid w:val="6A1B4E54"/>
    <w:rsid w:val="6A3C16A6"/>
    <w:rsid w:val="6A470FB0"/>
    <w:rsid w:val="6A520EC7"/>
    <w:rsid w:val="6A551D1C"/>
    <w:rsid w:val="6A66367A"/>
    <w:rsid w:val="6A6A0C36"/>
    <w:rsid w:val="6A706E5F"/>
    <w:rsid w:val="6A7A3701"/>
    <w:rsid w:val="6A826134"/>
    <w:rsid w:val="6A9250CC"/>
    <w:rsid w:val="6A9C4383"/>
    <w:rsid w:val="6AA47B81"/>
    <w:rsid w:val="6AA679F6"/>
    <w:rsid w:val="6AA954F1"/>
    <w:rsid w:val="6AB2092A"/>
    <w:rsid w:val="6AC4389A"/>
    <w:rsid w:val="6ADE6DFF"/>
    <w:rsid w:val="6AE935D1"/>
    <w:rsid w:val="6AEA1BD2"/>
    <w:rsid w:val="6AED5AED"/>
    <w:rsid w:val="6AF056F7"/>
    <w:rsid w:val="6AF87E20"/>
    <w:rsid w:val="6B0146EE"/>
    <w:rsid w:val="6B257A13"/>
    <w:rsid w:val="6B322639"/>
    <w:rsid w:val="6B3501C5"/>
    <w:rsid w:val="6B457CBA"/>
    <w:rsid w:val="6B47779F"/>
    <w:rsid w:val="6B4A3F4E"/>
    <w:rsid w:val="6B520E98"/>
    <w:rsid w:val="6B69787B"/>
    <w:rsid w:val="6B6A27AC"/>
    <w:rsid w:val="6B740425"/>
    <w:rsid w:val="6B7B56C6"/>
    <w:rsid w:val="6B814674"/>
    <w:rsid w:val="6B897783"/>
    <w:rsid w:val="6BA32318"/>
    <w:rsid w:val="6BA86083"/>
    <w:rsid w:val="6BCD741A"/>
    <w:rsid w:val="6BDC43FA"/>
    <w:rsid w:val="6BE55BDB"/>
    <w:rsid w:val="6BE8464A"/>
    <w:rsid w:val="6BFB7FA3"/>
    <w:rsid w:val="6BFC46FE"/>
    <w:rsid w:val="6C06579E"/>
    <w:rsid w:val="6C1467AC"/>
    <w:rsid w:val="6C1673CB"/>
    <w:rsid w:val="6C1C3785"/>
    <w:rsid w:val="6C3448D7"/>
    <w:rsid w:val="6C36710B"/>
    <w:rsid w:val="6C3C47FB"/>
    <w:rsid w:val="6C467713"/>
    <w:rsid w:val="6C4C1A48"/>
    <w:rsid w:val="6C4D0E5C"/>
    <w:rsid w:val="6C5A4C04"/>
    <w:rsid w:val="6C636C38"/>
    <w:rsid w:val="6C6F128D"/>
    <w:rsid w:val="6C946088"/>
    <w:rsid w:val="6CA91402"/>
    <w:rsid w:val="6CB23783"/>
    <w:rsid w:val="6CC738AC"/>
    <w:rsid w:val="6CC96212"/>
    <w:rsid w:val="6CD64D39"/>
    <w:rsid w:val="6CE16F93"/>
    <w:rsid w:val="6CFD0BC9"/>
    <w:rsid w:val="6D0C3566"/>
    <w:rsid w:val="6D106B35"/>
    <w:rsid w:val="6D1D0784"/>
    <w:rsid w:val="6D1D2CB4"/>
    <w:rsid w:val="6D1F2F10"/>
    <w:rsid w:val="6D2D17D7"/>
    <w:rsid w:val="6D335C82"/>
    <w:rsid w:val="6D3A21F0"/>
    <w:rsid w:val="6D3C22F3"/>
    <w:rsid w:val="6D3D544E"/>
    <w:rsid w:val="6D400BB5"/>
    <w:rsid w:val="6D515F72"/>
    <w:rsid w:val="6D620362"/>
    <w:rsid w:val="6D812E96"/>
    <w:rsid w:val="6D85099A"/>
    <w:rsid w:val="6D966EC8"/>
    <w:rsid w:val="6D9D2749"/>
    <w:rsid w:val="6DB34098"/>
    <w:rsid w:val="6DB545B6"/>
    <w:rsid w:val="6DB55363"/>
    <w:rsid w:val="6DBD283F"/>
    <w:rsid w:val="6DCF5414"/>
    <w:rsid w:val="6DD43FE3"/>
    <w:rsid w:val="6DD541BE"/>
    <w:rsid w:val="6DD662A4"/>
    <w:rsid w:val="6DDB0802"/>
    <w:rsid w:val="6DE02FB4"/>
    <w:rsid w:val="6DE40374"/>
    <w:rsid w:val="6DEC1F6B"/>
    <w:rsid w:val="6DF14D7E"/>
    <w:rsid w:val="6E045A62"/>
    <w:rsid w:val="6E0B6418"/>
    <w:rsid w:val="6E101390"/>
    <w:rsid w:val="6E11552E"/>
    <w:rsid w:val="6E16664F"/>
    <w:rsid w:val="6E336A2E"/>
    <w:rsid w:val="6E3C004B"/>
    <w:rsid w:val="6E3E6138"/>
    <w:rsid w:val="6E494CC8"/>
    <w:rsid w:val="6E514CED"/>
    <w:rsid w:val="6E5E4E9D"/>
    <w:rsid w:val="6E76342B"/>
    <w:rsid w:val="6E9E28F5"/>
    <w:rsid w:val="6EB563D5"/>
    <w:rsid w:val="6EC47BB6"/>
    <w:rsid w:val="6EC72A80"/>
    <w:rsid w:val="6ECC47A4"/>
    <w:rsid w:val="6ECD72D3"/>
    <w:rsid w:val="6ED92677"/>
    <w:rsid w:val="6EE91620"/>
    <w:rsid w:val="6EEF7766"/>
    <w:rsid w:val="6EF03395"/>
    <w:rsid w:val="6EF16572"/>
    <w:rsid w:val="6EF7159C"/>
    <w:rsid w:val="6EF83E19"/>
    <w:rsid w:val="6F024442"/>
    <w:rsid w:val="6F1120B7"/>
    <w:rsid w:val="6F160DE9"/>
    <w:rsid w:val="6F1A3762"/>
    <w:rsid w:val="6F1E2156"/>
    <w:rsid w:val="6F20233C"/>
    <w:rsid w:val="6F213497"/>
    <w:rsid w:val="6F225983"/>
    <w:rsid w:val="6F2C2B87"/>
    <w:rsid w:val="6F2E757B"/>
    <w:rsid w:val="6F370FC4"/>
    <w:rsid w:val="6F4E2810"/>
    <w:rsid w:val="6F603822"/>
    <w:rsid w:val="6F8473D3"/>
    <w:rsid w:val="6F8D698F"/>
    <w:rsid w:val="6F8E1BD2"/>
    <w:rsid w:val="6F8F012D"/>
    <w:rsid w:val="6FA038B1"/>
    <w:rsid w:val="6FAA2176"/>
    <w:rsid w:val="6FAF0E8B"/>
    <w:rsid w:val="6FBF71B0"/>
    <w:rsid w:val="6FCD1928"/>
    <w:rsid w:val="6FCD5D09"/>
    <w:rsid w:val="6FDB1163"/>
    <w:rsid w:val="6FEC3922"/>
    <w:rsid w:val="6FFB432F"/>
    <w:rsid w:val="6FFB5E31"/>
    <w:rsid w:val="6FFB76D0"/>
    <w:rsid w:val="6FFC5590"/>
    <w:rsid w:val="700536BA"/>
    <w:rsid w:val="702D6433"/>
    <w:rsid w:val="703F6C00"/>
    <w:rsid w:val="704C5E79"/>
    <w:rsid w:val="7053040C"/>
    <w:rsid w:val="706D1DD0"/>
    <w:rsid w:val="7073427E"/>
    <w:rsid w:val="70755D62"/>
    <w:rsid w:val="7079270E"/>
    <w:rsid w:val="70856B87"/>
    <w:rsid w:val="708929F4"/>
    <w:rsid w:val="708B69B7"/>
    <w:rsid w:val="709500AD"/>
    <w:rsid w:val="7098367E"/>
    <w:rsid w:val="709B1F71"/>
    <w:rsid w:val="709B7CF2"/>
    <w:rsid w:val="70A00DEB"/>
    <w:rsid w:val="70C40FA3"/>
    <w:rsid w:val="70CB13D0"/>
    <w:rsid w:val="70D527EE"/>
    <w:rsid w:val="70D610A4"/>
    <w:rsid w:val="70E65B7C"/>
    <w:rsid w:val="70F00EBB"/>
    <w:rsid w:val="70F73003"/>
    <w:rsid w:val="710D4CA3"/>
    <w:rsid w:val="711258E5"/>
    <w:rsid w:val="71242427"/>
    <w:rsid w:val="714262AF"/>
    <w:rsid w:val="714A304C"/>
    <w:rsid w:val="71553E88"/>
    <w:rsid w:val="715966F9"/>
    <w:rsid w:val="715B5300"/>
    <w:rsid w:val="71781678"/>
    <w:rsid w:val="717C4356"/>
    <w:rsid w:val="71806B31"/>
    <w:rsid w:val="71937F62"/>
    <w:rsid w:val="71A4119B"/>
    <w:rsid w:val="71A47801"/>
    <w:rsid w:val="71AB50EA"/>
    <w:rsid w:val="71AD3177"/>
    <w:rsid w:val="71AE23B8"/>
    <w:rsid w:val="71B15540"/>
    <w:rsid w:val="71BA697E"/>
    <w:rsid w:val="71CE0BEC"/>
    <w:rsid w:val="71D23226"/>
    <w:rsid w:val="71D27F8A"/>
    <w:rsid w:val="71D419FC"/>
    <w:rsid w:val="71D72C0E"/>
    <w:rsid w:val="71DD1B82"/>
    <w:rsid w:val="71E23E81"/>
    <w:rsid w:val="71FB452B"/>
    <w:rsid w:val="720158C4"/>
    <w:rsid w:val="72023ED1"/>
    <w:rsid w:val="720316D1"/>
    <w:rsid w:val="7210451A"/>
    <w:rsid w:val="72217526"/>
    <w:rsid w:val="72235394"/>
    <w:rsid w:val="72324158"/>
    <w:rsid w:val="723426C3"/>
    <w:rsid w:val="72361BD5"/>
    <w:rsid w:val="72553024"/>
    <w:rsid w:val="72625B5F"/>
    <w:rsid w:val="72682D0E"/>
    <w:rsid w:val="7274711D"/>
    <w:rsid w:val="729A3850"/>
    <w:rsid w:val="729B2130"/>
    <w:rsid w:val="72A03C9D"/>
    <w:rsid w:val="72A3143C"/>
    <w:rsid w:val="72A379C3"/>
    <w:rsid w:val="72D218D8"/>
    <w:rsid w:val="72D7359F"/>
    <w:rsid w:val="72DC0618"/>
    <w:rsid w:val="72E84CEF"/>
    <w:rsid w:val="72FB18D5"/>
    <w:rsid w:val="72FE7439"/>
    <w:rsid w:val="7305647F"/>
    <w:rsid w:val="730D205E"/>
    <w:rsid w:val="73122968"/>
    <w:rsid w:val="73135E9A"/>
    <w:rsid w:val="731801B1"/>
    <w:rsid w:val="731F5D5E"/>
    <w:rsid w:val="73286350"/>
    <w:rsid w:val="732878BB"/>
    <w:rsid w:val="73463ECB"/>
    <w:rsid w:val="7354147A"/>
    <w:rsid w:val="735C1FAD"/>
    <w:rsid w:val="73615680"/>
    <w:rsid w:val="737B65F3"/>
    <w:rsid w:val="737E5ABF"/>
    <w:rsid w:val="737F03B6"/>
    <w:rsid w:val="738C4580"/>
    <w:rsid w:val="73927111"/>
    <w:rsid w:val="73950FAE"/>
    <w:rsid w:val="739C1156"/>
    <w:rsid w:val="73BB0C87"/>
    <w:rsid w:val="73C14486"/>
    <w:rsid w:val="73C51AD5"/>
    <w:rsid w:val="73C84A4E"/>
    <w:rsid w:val="73CB0B61"/>
    <w:rsid w:val="73D802CE"/>
    <w:rsid w:val="73EF5E60"/>
    <w:rsid w:val="73F76F74"/>
    <w:rsid w:val="7403605F"/>
    <w:rsid w:val="740E1EB6"/>
    <w:rsid w:val="74123846"/>
    <w:rsid w:val="74147A7B"/>
    <w:rsid w:val="7417620E"/>
    <w:rsid w:val="741A5E66"/>
    <w:rsid w:val="741D49CA"/>
    <w:rsid w:val="741D6B62"/>
    <w:rsid w:val="741E793C"/>
    <w:rsid w:val="741F49C9"/>
    <w:rsid w:val="743B1556"/>
    <w:rsid w:val="743B3D59"/>
    <w:rsid w:val="744011EB"/>
    <w:rsid w:val="74464C29"/>
    <w:rsid w:val="74482D82"/>
    <w:rsid w:val="744A020D"/>
    <w:rsid w:val="744C7914"/>
    <w:rsid w:val="74503971"/>
    <w:rsid w:val="745E3944"/>
    <w:rsid w:val="745F630E"/>
    <w:rsid w:val="746243E8"/>
    <w:rsid w:val="7464262C"/>
    <w:rsid w:val="746A6196"/>
    <w:rsid w:val="746F40D1"/>
    <w:rsid w:val="7472351F"/>
    <w:rsid w:val="747269CA"/>
    <w:rsid w:val="747B04F9"/>
    <w:rsid w:val="748754F9"/>
    <w:rsid w:val="748955C0"/>
    <w:rsid w:val="748A76D2"/>
    <w:rsid w:val="7491196F"/>
    <w:rsid w:val="749B0247"/>
    <w:rsid w:val="74A631FB"/>
    <w:rsid w:val="74AD3429"/>
    <w:rsid w:val="74B0584E"/>
    <w:rsid w:val="74B77B69"/>
    <w:rsid w:val="74BC7628"/>
    <w:rsid w:val="74DD75F0"/>
    <w:rsid w:val="74F032A0"/>
    <w:rsid w:val="74FE6368"/>
    <w:rsid w:val="750C6A4F"/>
    <w:rsid w:val="75222FF1"/>
    <w:rsid w:val="75260638"/>
    <w:rsid w:val="753C12D6"/>
    <w:rsid w:val="754C6432"/>
    <w:rsid w:val="755121C2"/>
    <w:rsid w:val="755F0990"/>
    <w:rsid w:val="755F77CE"/>
    <w:rsid w:val="756672A7"/>
    <w:rsid w:val="756E6B86"/>
    <w:rsid w:val="757009BF"/>
    <w:rsid w:val="757474ED"/>
    <w:rsid w:val="75765064"/>
    <w:rsid w:val="757936B7"/>
    <w:rsid w:val="75824187"/>
    <w:rsid w:val="75836FF0"/>
    <w:rsid w:val="758B04AE"/>
    <w:rsid w:val="758D0A39"/>
    <w:rsid w:val="75981ABF"/>
    <w:rsid w:val="759C3BA3"/>
    <w:rsid w:val="75CE1FAD"/>
    <w:rsid w:val="75D600B9"/>
    <w:rsid w:val="75D704AF"/>
    <w:rsid w:val="75DC693C"/>
    <w:rsid w:val="75F927F2"/>
    <w:rsid w:val="76020568"/>
    <w:rsid w:val="76057626"/>
    <w:rsid w:val="761D6EC0"/>
    <w:rsid w:val="762D1373"/>
    <w:rsid w:val="763357EA"/>
    <w:rsid w:val="7635099D"/>
    <w:rsid w:val="7639575C"/>
    <w:rsid w:val="76452218"/>
    <w:rsid w:val="7651279B"/>
    <w:rsid w:val="765273F2"/>
    <w:rsid w:val="76630776"/>
    <w:rsid w:val="76630B09"/>
    <w:rsid w:val="767A0797"/>
    <w:rsid w:val="76827CE2"/>
    <w:rsid w:val="76840610"/>
    <w:rsid w:val="768E65C2"/>
    <w:rsid w:val="769349C4"/>
    <w:rsid w:val="76A44A0A"/>
    <w:rsid w:val="76AD7650"/>
    <w:rsid w:val="76B0301B"/>
    <w:rsid w:val="76BC4D68"/>
    <w:rsid w:val="76D055EE"/>
    <w:rsid w:val="76DE7091"/>
    <w:rsid w:val="76F3122A"/>
    <w:rsid w:val="76F603F7"/>
    <w:rsid w:val="76FC79C0"/>
    <w:rsid w:val="771816DB"/>
    <w:rsid w:val="77285F53"/>
    <w:rsid w:val="772A2D24"/>
    <w:rsid w:val="77342B51"/>
    <w:rsid w:val="77674410"/>
    <w:rsid w:val="77755671"/>
    <w:rsid w:val="77762421"/>
    <w:rsid w:val="778458B6"/>
    <w:rsid w:val="7793219E"/>
    <w:rsid w:val="779F7920"/>
    <w:rsid w:val="77B113F5"/>
    <w:rsid w:val="77B56B1F"/>
    <w:rsid w:val="77B92F89"/>
    <w:rsid w:val="77C15B51"/>
    <w:rsid w:val="77E617D9"/>
    <w:rsid w:val="77EE72B3"/>
    <w:rsid w:val="77F03A1E"/>
    <w:rsid w:val="78024B63"/>
    <w:rsid w:val="780F09F4"/>
    <w:rsid w:val="782271E7"/>
    <w:rsid w:val="78260E50"/>
    <w:rsid w:val="78284C3A"/>
    <w:rsid w:val="78413E15"/>
    <w:rsid w:val="784E4590"/>
    <w:rsid w:val="785C4F2B"/>
    <w:rsid w:val="78704E70"/>
    <w:rsid w:val="78850A4A"/>
    <w:rsid w:val="78A90480"/>
    <w:rsid w:val="78AE246B"/>
    <w:rsid w:val="78CE5318"/>
    <w:rsid w:val="78E7428E"/>
    <w:rsid w:val="78F22662"/>
    <w:rsid w:val="78F35734"/>
    <w:rsid w:val="78F512FE"/>
    <w:rsid w:val="790E52F6"/>
    <w:rsid w:val="7933497D"/>
    <w:rsid w:val="793C7DFD"/>
    <w:rsid w:val="794232C9"/>
    <w:rsid w:val="795F2FC8"/>
    <w:rsid w:val="79616027"/>
    <w:rsid w:val="7966214C"/>
    <w:rsid w:val="797D617F"/>
    <w:rsid w:val="7999747D"/>
    <w:rsid w:val="799B3E4A"/>
    <w:rsid w:val="79A032F2"/>
    <w:rsid w:val="79C02D02"/>
    <w:rsid w:val="79C44F96"/>
    <w:rsid w:val="79D4369F"/>
    <w:rsid w:val="79DA77E0"/>
    <w:rsid w:val="79DD04AA"/>
    <w:rsid w:val="79DF5FA1"/>
    <w:rsid w:val="7A163075"/>
    <w:rsid w:val="7A172028"/>
    <w:rsid w:val="7A176FAF"/>
    <w:rsid w:val="7A1C0F62"/>
    <w:rsid w:val="7A2B019E"/>
    <w:rsid w:val="7A322F75"/>
    <w:rsid w:val="7A364017"/>
    <w:rsid w:val="7A392B08"/>
    <w:rsid w:val="7A3A68CF"/>
    <w:rsid w:val="7A3F3AF5"/>
    <w:rsid w:val="7A40754D"/>
    <w:rsid w:val="7A564AF9"/>
    <w:rsid w:val="7A5B2728"/>
    <w:rsid w:val="7A613399"/>
    <w:rsid w:val="7A6A6793"/>
    <w:rsid w:val="7A78076D"/>
    <w:rsid w:val="7A785523"/>
    <w:rsid w:val="7A82192C"/>
    <w:rsid w:val="7A824E0F"/>
    <w:rsid w:val="7A8265E1"/>
    <w:rsid w:val="7A855AA1"/>
    <w:rsid w:val="7A8C5A06"/>
    <w:rsid w:val="7A9D6EC6"/>
    <w:rsid w:val="7AA228DD"/>
    <w:rsid w:val="7AAA43D3"/>
    <w:rsid w:val="7AB657CF"/>
    <w:rsid w:val="7ABE6A3D"/>
    <w:rsid w:val="7AD97C60"/>
    <w:rsid w:val="7ADC784E"/>
    <w:rsid w:val="7ADE68DB"/>
    <w:rsid w:val="7AF03C6C"/>
    <w:rsid w:val="7AFA4617"/>
    <w:rsid w:val="7AFD63AC"/>
    <w:rsid w:val="7AFF24F3"/>
    <w:rsid w:val="7B016954"/>
    <w:rsid w:val="7B076AA0"/>
    <w:rsid w:val="7B0D0704"/>
    <w:rsid w:val="7B0D52C5"/>
    <w:rsid w:val="7B4C22AF"/>
    <w:rsid w:val="7B576CBD"/>
    <w:rsid w:val="7B686D42"/>
    <w:rsid w:val="7B832F8F"/>
    <w:rsid w:val="7B841746"/>
    <w:rsid w:val="7B851CEF"/>
    <w:rsid w:val="7B926952"/>
    <w:rsid w:val="7B9F7631"/>
    <w:rsid w:val="7BA21329"/>
    <w:rsid w:val="7BAA4311"/>
    <w:rsid w:val="7BAE5340"/>
    <w:rsid w:val="7BB93E9E"/>
    <w:rsid w:val="7BC20200"/>
    <w:rsid w:val="7BE01478"/>
    <w:rsid w:val="7BE44282"/>
    <w:rsid w:val="7BE87A15"/>
    <w:rsid w:val="7BF729E6"/>
    <w:rsid w:val="7BF92281"/>
    <w:rsid w:val="7BFD5D5C"/>
    <w:rsid w:val="7C0D17E9"/>
    <w:rsid w:val="7C0D308B"/>
    <w:rsid w:val="7C1229C4"/>
    <w:rsid w:val="7C18270A"/>
    <w:rsid w:val="7C1879AF"/>
    <w:rsid w:val="7C35666D"/>
    <w:rsid w:val="7C383D41"/>
    <w:rsid w:val="7C3F3BAE"/>
    <w:rsid w:val="7C46398C"/>
    <w:rsid w:val="7C541407"/>
    <w:rsid w:val="7C672466"/>
    <w:rsid w:val="7C683FCF"/>
    <w:rsid w:val="7C6C5AC7"/>
    <w:rsid w:val="7C7F50BC"/>
    <w:rsid w:val="7C8A1AAC"/>
    <w:rsid w:val="7C8D60F0"/>
    <w:rsid w:val="7CA275A8"/>
    <w:rsid w:val="7CB03FB6"/>
    <w:rsid w:val="7CB361FC"/>
    <w:rsid w:val="7CC6544B"/>
    <w:rsid w:val="7CCD11BA"/>
    <w:rsid w:val="7CD225D7"/>
    <w:rsid w:val="7CEE3C27"/>
    <w:rsid w:val="7CF42F0C"/>
    <w:rsid w:val="7CF44594"/>
    <w:rsid w:val="7CFB02CC"/>
    <w:rsid w:val="7D0018AE"/>
    <w:rsid w:val="7D015C0E"/>
    <w:rsid w:val="7D0239FF"/>
    <w:rsid w:val="7D135EC8"/>
    <w:rsid w:val="7D1C053B"/>
    <w:rsid w:val="7D2F0EC6"/>
    <w:rsid w:val="7D3A6273"/>
    <w:rsid w:val="7D3D7B79"/>
    <w:rsid w:val="7D3F103A"/>
    <w:rsid w:val="7D3F78CF"/>
    <w:rsid w:val="7D4412A3"/>
    <w:rsid w:val="7D49631C"/>
    <w:rsid w:val="7D4D4666"/>
    <w:rsid w:val="7D4E7ED8"/>
    <w:rsid w:val="7D544B0B"/>
    <w:rsid w:val="7D5E40CD"/>
    <w:rsid w:val="7D60202E"/>
    <w:rsid w:val="7D6806CE"/>
    <w:rsid w:val="7D731D61"/>
    <w:rsid w:val="7D7633A2"/>
    <w:rsid w:val="7D767281"/>
    <w:rsid w:val="7D8C697F"/>
    <w:rsid w:val="7D906AE0"/>
    <w:rsid w:val="7D963F52"/>
    <w:rsid w:val="7D9B4026"/>
    <w:rsid w:val="7DA61C25"/>
    <w:rsid w:val="7DB9229C"/>
    <w:rsid w:val="7DC06C54"/>
    <w:rsid w:val="7DC80C8F"/>
    <w:rsid w:val="7DCD56F2"/>
    <w:rsid w:val="7DDB284C"/>
    <w:rsid w:val="7DE24576"/>
    <w:rsid w:val="7DF03D1F"/>
    <w:rsid w:val="7E0235B7"/>
    <w:rsid w:val="7E153458"/>
    <w:rsid w:val="7E156655"/>
    <w:rsid w:val="7E1A042F"/>
    <w:rsid w:val="7E214A4C"/>
    <w:rsid w:val="7E266A17"/>
    <w:rsid w:val="7E316132"/>
    <w:rsid w:val="7E322735"/>
    <w:rsid w:val="7E38096E"/>
    <w:rsid w:val="7E415E6E"/>
    <w:rsid w:val="7E4542F0"/>
    <w:rsid w:val="7E467CE8"/>
    <w:rsid w:val="7E552544"/>
    <w:rsid w:val="7E560C13"/>
    <w:rsid w:val="7E5F0C57"/>
    <w:rsid w:val="7E60358A"/>
    <w:rsid w:val="7E6317B5"/>
    <w:rsid w:val="7E6C61A3"/>
    <w:rsid w:val="7E7C2A3B"/>
    <w:rsid w:val="7E7F72F0"/>
    <w:rsid w:val="7E900D64"/>
    <w:rsid w:val="7E914226"/>
    <w:rsid w:val="7E9472CA"/>
    <w:rsid w:val="7E963858"/>
    <w:rsid w:val="7EAB552B"/>
    <w:rsid w:val="7EB160A3"/>
    <w:rsid w:val="7EBD1E50"/>
    <w:rsid w:val="7EC16169"/>
    <w:rsid w:val="7EC23286"/>
    <w:rsid w:val="7EC32874"/>
    <w:rsid w:val="7EC431B6"/>
    <w:rsid w:val="7EDA347C"/>
    <w:rsid w:val="7EDD771A"/>
    <w:rsid w:val="7EEE7363"/>
    <w:rsid w:val="7EEF71FF"/>
    <w:rsid w:val="7F001CE7"/>
    <w:rsid w:val="7F0A529C"/>
    <w:rsid w:val="7F101870"/>
    <w:rsid w:val="7F143602"/>
    <w:rsid w:val="7F295606"/>
    <w:rsid w:val="7F3B4E64"/>
    <w:rsid w:val="7F421F1A"/>
    <w:rsid w:val="7F500240"/>
    <w:rsid w:val="7F594702"/>
    <w:rsid w:val="7F5F2CA3"/>
    <w:rsid w:val="7F6A0F51"/>
    <w:rsid w:val="7F6C6A85"/>
    <w:rsid w:val="7F7A771A"/>
    <w:rsid w:val="7F7B3B40"/>
    <w:rsid w:val="7F81138E"/>
    <w:rsid w:val="7F813244"/>
    <w:rsid w:val="7F9718F3"/>
    <w:rsid w:val="7FB917D7"/>
    <w:rsid w:val="7FC958EF"/>
    <w:rsid w:val="7FCE4CB2"/>
    <w:rsid w:val="7FD33565"/>
    <w:rsid w:val="7FDA080C"/>
    <w:rsid w:val="7FDC71C6"/>
    <w:rsid w:val="7FE47E50"/>
    <w:rsid w:val="7FE51A2B"/>
    <w:rsid w:val="7FE62EFE"/>
    <w:rsid w:val="7FE74A2C"/>
    <w:rsid w:val="7FED4879"/>
    <w:rsid w:val="7FF2440B"/>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iPriority="99" w:semiHidden="0" w:name="Hyperlink" w:locked="1"/>
    <w:lsdException w:qFormat="1" w:unhideWhenUsed="0" w:uiPriority="0" w:semiHidden="0" w:name="FollowedHyperlink" w:locked="1"/>
    <w:lsdException w:qFormat="1" w:unhideWhenUsed="0" w:uiPriority="22" w:semiHidden="0" w:name="Strong" w:locked="1"/>
    <w:lsdException w:qFormat="1" w:unhideWhenUsed="0" w:uiPriority="0" w:semiHidden="0" w:name="Emphasis" w:locked="1"/>
    <w:lsdException w:qFormat="1" w:unhideWhenUsed="0" w:uiPriority="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00" w:after="200"/>
      <w:ind w:firstLine="0" w:firstLineChars="0"/>
      <w:jc w:val="left"/>
      <w:outlineLvl w:val="1"/>
    </w:pPr>
    <w:rPr>
      <w:b/>
      <w:bCs/>
      <w:sz w:val="32"/>
      <w:szCs w:val="32"/>
    </w:rPr>
  </w:style>
  <w:style w:type="paragraph" w:styleId="4">
    <w:name w:val="heading 3"/>
    <w:basedOn w:val="1"/>
    <w:next w:val="1"/>
    <w:link w:val="54"/>
    <w:qFormat/>
    <w:locked/>
    <w:uiPriority w:val="0"/>
    <w:pPr>
      <w:keepNext/>
      <w:keepLines/>
      <w:spacing w:before="260" w:after="260" w:line="416" w:lineRule="auto"/>
      <w:outlineLvl w:val="2"/>
    </w:pPr>
    <w:rPr>
      <w:b/>
      <w:bCs/>
      <w:sz w:val="32"/>
      <w:szCs w:val="32"/>
    </w:rPr>
  </w:style>
  <w:style w:type="paragraph" w:styleId="5">
    <w:name w:val="heading 4"/>
    <w:basedOn w:val="1"/>
    <w:next w:val="1"/>
    <w:qFormat/>
    <w:locked/>
    <w:uiPriority w:val="9"/>
    <w:pPr>
      <w:keepNext/>
      <w:keepLines/>
      <w:spacing w:after="120"/>
      <w:jc w:val="left"/>
      <w:outlineLvl w:val="3"/>
    </w:pPr>
    <w:rPr>
      <w:rFonts w:eastAsia="黑体"/>
      <w:b/>
      <w:sz w:val="28"/>
    </w:rPr>
  </w:style>
  <w:style w:type="character" w:default="1" w:styleId="37">
    <w:name w:val="Default Paragraph Font"/>
    <w:semiHidden/>
    <w:qFormat/>
    <w:uiPriority w:val="0"/>
  </w:style>
  <w:style w:type="table" w:default="1" w:styleId="3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1"/>
    <w:qFormat/>
    <w:locked/>
    <w:uiPriority w:val="0"/>
    <w:pPr>
      <w:ind w:firstLine="420"/>
    </w:pPr>
    <w:rPr>
      <w:rFonts w:ascii="Times New Roman" w:eastAsia="仿宋_GB2312"/>
      <w:kern w:val="2"/>
      <w:sz w:val="21"/>
    </w:rPr>
  </w:style>
  <w:style w:type="paragraph" w:styleId="7">
    <w:name w:val="caption"/>
    <w:basedOn w:val="1"/>
    <w:next w:val="1"/>
    <w:qFormat/>
    <w:locked/>
    <w:uiPriority w:val="0"/>
    <w:pPr>
      <w:keepNext/>
      <w:snapToGrid w:val="0"/>
      <w:jc w:val="center"/>
    </w:pPr>
    <w:rPr>
      <w:rFonts w:hAnsi="宋体" w:cs="Arial"/>
    </w:rPr>
  </w:style>
  <w:style w:type="paragraph" w:styleId="8">
    <w:name w:val="Document Map"/>
    <w:basedOn w:val="1"/>
    <w:next w:val="9"/>
    <w:semiHidden/>
    <w:qFormat/>
    <w:locked/>
    <w:uiPriority w:val="0"/>
    <w:pPr>
      <w:spacing w:line="520" w:lineRule="exact"/>
      <w:ind w:firstLine="880" w:firstLineChars="200"/>
    </w:pPr>
    <w:rPr>
      <w:rFonts w:cs="仿宋_GB2312"/>
      <w:kern w:val="2"/>
      <w:sz w:val="18"/>
      <w:szCs w:val="18"/>
    </w:rPr>
  </w:style>
  <w:style w:type="paragraph" w:styleId="9">
    <w:name w:val="Body Text 3"/>
    <w:basedOn w:val="1"/>
    <w:next w:val="10"/>
    <w:qFormat/>
    <w:locked/>
    <w:uiPriority w:val="0"/>
    <w:pPr>
      <w:widowControl w:val="0"/>
      <w:autoSpaceDE/>
      <w:autoSpaceDN/>
      <w:spacing w:before="0" w:after="0" w:line="240" w:lineRule="auto"/>
      <w:ind w:left="0" w:firstLine="3584"/>
      <w:jc w:val="both"/>
    </w:pPr>
  </w:style>
  <w:style w:type="paragraph" w:styleId="10">
    <w:name w:val="Body Text Indent"/>
    <w:basedOn w:val="1"/>
    <w:next w:val="11"/>
    <w:link w:val="57"/>
    <w:qFormat/>
    <w:uiPriority w:val="0"/>
    <w:pPr>
      <w:spacing w:after="120"/>
      <w:ind w:left="420" w:leftChars="200"/>
    </w:pPr>
    <w:rPr>
      <w:kern w:val="0"/>
      <w:sz w:val="24"/>
      <w:szCs w:val="20"/>
    </w:rPr>
  </w:style>
  <w:style w:type="paragraph" w:styleId="11">
    <w:name w:val="header"/>
    <w:basedOn w:val="1"/>
    <w:next w:val="12"/>
    <w:link w:val="63"/>
    <w:qFormat/>
    <w:uiPriority w:val="99"/>
    <w:pPr>
      <w:pBdr>
        <w:bottom w:val="single" w:color="auto" w:sz="6" w:space="1"/>
      </w:pBdr>
      <w:tabs>
        <w:tab w:val="center" w:pos="4153"/>
        <w:tab w:val="right" w:pos="8306"/>
      </w:tabs>
      <w:snapToGrid w:val="0"/>
      <w:jc w:val="center"/>
    </w:pPr>
    <w:rPr>
      <w:kern w:val="0"/>
      <w:sz w:val="18"/>
      <w:szCs w:val="20"/>
    </w:rPr>
  </w:style>
  <w:style w:type="paragraph" w:customStyle="1" w:styleId="12">
    <w:name w:val="样式5"/>
    <w:basedOn w:val="6"/>
    <w:qFormat/>
    <w:uiPriority w:val="0"/>
    <w:pPr>
      <w:spacing w:before="0" w:after="0" w:line="380" w:lineRule="exact"/>
      <w:ind w:firstLine="566" w:firstLineChars="202"/>
    </w:pPr>
    <w:rPr>
      <w:rFonts w:eastAsia="华文行楷"/>
    </w:rPr>
  </w:style>
  <w:style w:type="paragraph" w:styleId="13">
    <w:name w:val="annotation text"/>
    <w:basedOn w:val="1"/>
    <w:link w:val="55"/>
    <w:semiHidden/>
    <w:qFormat/>
    <w:uiPriority w:val="0"/>
    <w:pPr>
      <w:jc w:val="left"/>
    </w:pPr>
    <w:rPr>
      <w:kern w:val="0"/>
      <w:sz w:val="24"/>
      <w:szCs w:val="20"/>
    </w:rPr>
  </w:style>
  <w:style w:type="paragraph" w:styleId="14">
    <w:name w:val="Salutation"/>
    <w:basedOn w:val="1"/>
    <w:next w:val="1"/>
    <w:qFormat/>
    <w:locked/>
    <w:uiPriority w:val="0"/>
    <w:rPr>
      <w:sz w:val="21"/>
    </w:rPr>
  </w:style>
  <w:style w:type="paragraph" w:styleId="15">
    <w:name w:val="Body Text"/>
    <w:basedOn w:val="1"/>
    <w:next w:val="16"/>
    <w:link w:val="56"/>
    <w:qFormat/>
    <w:uiPriority w:val="0"/>
    <w:pPr>
      <w:widowControl/>
      <w:snapToGrid w:val="0"/>
      <w:spacing w:before="60" w:after="160" w:line="259" w:lineRule="auto"/>
      <w:ind w:right="113"/>
    </w:pPr>
    <w:rPr>
      <w:kern w:val="0"/>
      <w:sz w:val="18"/>
      <w:szCs w:val="20"/>
    </w:rPr>
  </w:style>
  <w:style w:type="paragraph" w:customStyle="1" w:styleId="16">
    <w:name w:val="Normal (Web)1"/>
    <w:basedOn w:val="1"/>
    <w:next w:val="17"/>
    <w:qFormat/>
    <w:uiPriority w:val="0"/>
    <w:pPr>
      <w:widowControl/>
      <w:jc w:val="left"/>
    </w:pPr>
    <w:rPr>
      <w:rFonts w:ascii="宋体" w:cs="Times New Roman"/>
      <w:kern w:val="0"/>
      <w:sz w:val="24"/>
      <w:szCs w:val="21"/>
    </w:rPr>
  </w:style>
  <w:style w:type="paragraph" w:customStyle="1" w:styleId="17">
    <w:name w:val="Date1"/>
    <w:basedOn w:val="1"/>
    <w:next w:val="1"/>
    <w:qFormat/>
    <w:uiPriority w:val="0"/>
    <w:pPr>
      <w:ind w:left="2500" w:leftChars="2500"/>
    </w:pPr>
  </w:style>
  <w:style w:type="paragraph" w:styleId="18">
    <w:name w:val="Plain Text"/>
    <w:basedOn w:val="1"/>
    <w:next w:val="14"/>
    <w:link w:val="58"/>
    <w:qFormat/>
    <w:locked/>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0"/>
      <w:sz w:val="20"/>
      <w:szCs w:val="21"/>
      <w:lang w:val="en-US" w:eastAsia="zh-CN" w:bidi="ar"/>
    </w:rPr>
  </w:style>
  <w:style w:type="paragraph" w:styleId="19">
    <w:name w:val="Date"/>
    <w:basedOn w:val="1"/>
    <w:next w:val="1"/>
    <w:link w:val="59"/>
    <w:qFormat/>
    <w:uiPriority w:val="0"/>
    <w:pPr>
      <w:ind w:left="100" w:leftChars="2500"/>
    </w:pPr>
    <w:rPr>
      <w:kern w:val="0"/>
      <w:sz w:val="24"/>
      <w:szCs w:val="20"/>
    </w:rPr>
  </w:style>
  <w:style w:type="paragraph" w:styleId="20">
    <w:name w:val="Body Text Indent 2"/>
    <w:basedOn w:val="1"/>
    <w:next w:val="1"/>
    <w:link w:val="60"/>
    <w:qFormat/>
    <w:locked/>
    <w:uiPriority w:val="0"/>
    <w:pPr>
      <w:spacing w:after="120" w:line="480" w:lineRule="auto"/>
      <w:ind w:left="420" w:leftChars="200"/>
    </w:pPr>
  </w:style>
  <w:style w:type="paragraph" w:styleId="21">
    <w:name w:val="Balloon Text"/>
    <w:basedOn w:val="1"/>
    <w:link w:val="61"/>
    <w:semiHidden/>
    <w:qFormat/>
    <w:uiPriority w:val="0"/>
    <w:rPr>
      <w:kern w:val="0"/>
      <w:sz w:val="18"/>
      <w:szCs w:val="20"/>
    </w:rPr>
  </w:style>
  <w:style w:type="paragraph" w:styleId="22">
    <w:name w:val="footer"/>
    <w:basedOn w:val="1"/>
    <w:link w:val="62"/>
    <w:qFormat/>
    <w:uiPriority w:val="99"/>
    <w:pPr>
      <w:tabs>
        <w:tab w:val="center" w:pos="4153"/>
        <w:tab w:val="right" w:pos="8306"/>
      </w:tabs>
      <w:snapToGrid w:val="0"/>
      <w:jc w:val="left"/>
    </w:pPr>
    <w:rPr>
      <w:kern w:val="0"/>
      <w:sz w:val="18"/>
      <w:szCs w:val="20"/>
    </w:rPr>
  </w:style>
  <w:style w:type="paragraph" w:styleId="23">
    <w:name w:val="toc 1"/>
    <w:basedOn w:val="1"/>
    <w:next w:val="1"/>
    <w:qFormat/>
    <w:locked/>
    <w:uiPriority w:val="39"/>
  </w:style>
  <w:style w:type="paragraph" w:styleId="24">
    <w:name w:val="List"/>
    <w:basedOn w:val="1"/>
    <w:next w:val="1"/>
    <w:qFormat/>
    <w:locked/>
    <w:uiPriority w:val="0"/>
    <w:pPr>
      <w:jc w:val="center"/>
    </w:pPr>
  </w:style>
  <w:style w:type="paragraph" w:styleId="25">
    <w:name w:val="Body Text Indent 3"/>
    <w:basedOn w:val="1"/>
    <w:qFormat/>
    <w:locked/>
    <w:uiPriority w:val="0"/>
    <w:pPr>
      <w:spacing w:line="360" w:lineRule="auto"/>
      <w:ind w:firstLine="567"/>
    </w:pPr>
    <w:rPr>
      <w:rFonts w:ascii="仿宋_GB2312" w:eastAsia="仿宋_GB2312"/>
      <w:sz w:val="30"/>
    </w:rPr>
  </w:style>
  <w:style w:type="paragraph" w:styleId="26">
    <w:name w:val="table of figures"/>
    <w:basedOn w:val="1"/>
    <w:next w:val="1"/>
    <w:qFormat/>
    <w:locked/>
    <w:uiPriority w:val="0"/>
    <w:pPr>
      <w:autoSpaceDE w:val="0"/>
      <w:autoSpaceDN w:val="0"/>
      <w:spacing w:line="360" w:lineRule="auto"/>
      <w:ind w:left="200" w:leftChars="200" w:hanging="200" w:hangingChars="200"/>
    </w:pPr>
    <w:rPr>
      <w:sz w:val="28"/>
      <w:szCs w:val="20"/>
    </w:rPr>
  </w:style>
  <w:style w:type="paragraph" w:styleId="27">
    <w:name w:val="toc 2"/>
    <w:basedOn w:val="1"/>
    <w:next w:val="1"/>
    <w:semiHidden/>
    <w:qFormat/>
    <w:locked/>
    <w:uiPriority w:val="0"/>
    <w:pPr>
      <w:ind w:left="210"/>
      <w:jc w:val="left"/>
    </w:pPr>
    <w:rPr>
      <w:smallCaps/>
      <w:sz w:val="20"/>
      <w:szCs w:val="20"/>
    </w:rPr>
  </w:style>
  <w:style w:type="paragraph" w:styleId="28">
    <w:name w:val="Body Text 2"/>
    <w:basedOn w:val="1"/>
    <w:link w:val="64"/>
    <w:qFormat/>
    <w:locked/>
    <w:uiPriority w:val="0"/>
    <w:rPr>
      <w:sz w:val="28"/>
    </w:rPr>
  </w:style>
  <w:style w:type="paragraph" w:styleId="29">
    <w:name w:val="Message Header"/>
    <w:basedOn w:val="1"/>
    <w:qFormat/>
    <w:locked/>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szCs w:val="24"/>
    </w:rPr>
  </w:style>
  <w:style w:type="paragraph" w:styleId="30">
    <w:name w:val="Normal (Web)"/>
    <w:basedOn w:val="1"/>
    <w:link w:val="65"/>
    <w:qFormat/>
    <w:uiPriority w:val="0"/>
    <w:pPr>
      <w:widowControl/>
      <w:spacing w:before="100" w:beforeAutospacing="1" w:after="100" w:afterAutospacing="1"/>
      <w:jc w:val="left"/>
    </w:pPr>
    <w:rPr>
      <w:rFonts w:ascii="宋体" w:hAnsi="宋体"/>
      <w:kern w:val="0"/>
      <w:sz w:val="24"/>
      <w:szCs w:val="20"/>
    </w:rPr>
  </w:style>
  <w:style w:type="paragraph" w:styleId="31">
    <w:name w:val="Title"/>
    <w:basedOn w:val="1"/>
    <w:next w:val="1"/>
    <w:qFormat/>
    <w:locked/>
    <w:uiPriority w:val="0"/>
    <w:pPr>
      <w:keepLines/>
      <w:pageBreakBefore/>
      <w:spacing w:before="240" w:after="120"/>
      <w:jc w:val="center"/>
      <w:outlineLvl w:val="0"/>
    </w:pPr>
    <w:rPr>
      <w:rFonts w:eastAsia="黑体"/>
      <w:b/>
      <w:sz w:val="36"/>
    </w:rPr>
  </w:style>
  <w:style w:type="paragraph" w:styleId="32">
    <w:name w:val="annotation subject"/>
    <w:basedOn w:val="13"/>
    <w:next w:val="13"/>
    <w:link w:val="66"/>
    <w:semiHidden/>
    <w:qFormat/>
    <w:uiPriority w:val="0"/>
    <w:rPr>
      <w:b/>
      <w:kern w:val="2"/>
    </w:rPr>
  </w:style>
  <w:style w:type="paragraph" w:styleId="33">
    <w:name w:val="Body Text First Indent"/>
    <w:basedOn w:val="1"/>
    <w:next w:val="1"/>
    <w:link w:val="67"/>
    <w:qFormat/>
    <w:locked/>
    <w:uiPriority w:val="0"/>
    <w:pPr>
      <w:widowControl w:val="0"/>
      <w:snapToGrid/>
      <w:spacing w:before="0" w:after="120" w:line="240" w:lineRule="auto"/>
      <w:ind w:right="0" w:firstLine="420" w:firstLineChars="100"/>
    </w:pPr>
    <w:rPr>
      <w:kern w:val="2"/>
      <w:sz w:val="21"/>
      <w:szCs w:val="24"/>
    </w:rPr>
  </w:style>
  <w:style w:type="paragraph" w:styleId="34">
    <w:name w:val="Body Text First Indent 2"/>
    <w:basedOn w:val="10"/>
    <w:link w:val="68"/>
    <w:qFormat/>
    <w:locked/>
    <w:uiPriority w:val="0"/>
    <w:pPr>
      <w:ind w:firstLine="420" w:firstLineChars="200"/>
    </w:pPr>
    <w:rPr>
      <w:kern w:val="2"/>
      <w:sz w:val="21"/>
      <w:szCs w:val="24"/>
    </w:rPr>
  </w:style>
  <w:style w:type="table" w:styleId="36">
    <w:name w:val="Table Grid"/>
    <w:basedOn w:val="3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locked/>
    <w:uiPriority w:val="22"/>
    <w:rPr>
      <w:b/>
      <w:bCs/>
    </w:rPr>
  </w:style>
  <w:style w:type="character" w:styleId="39">
    <w:name w:val="page number"/>
    <w:qFormat/>
    <w:locked/>
    <w:uiPriority w:val="0"/>
  </w:style>
  <w:style w:type="character" w:styleId="40">
    <w:name w:val="FollowedHyperlink"/>
    <w:basedOn w:val="37"/>
    <w:qFormat/>
    <w:locked/>
    <w:uiPriority w:val="0"/>
    <w:rPr>
      <w:color w:val="000000"/>
      <w:u w:val="none"/>
    </w:rPr>
  </w:style>
  <w:style w:type="character" w:styleId="41">
    <w:name w:val="Emphasis"/>
    <w:basedOn w:val="37"/>
    <w:qFormat/>
    <w:locked/>
    <w:uiPriority w:val="0"/>
  </w:style>
  <w:style w:type="character" w:styleId="42">
    <w:name w:val="Hyperlink"/>
    <w:basedOn w:val="37"/>
    <w:unhideWhenUsed/>
    <w:qFormat/>
    <w:locked/>
    <w:uiPriority w:val="99"/>
    <w:rPr>
      <w:color w:val="000000"/>
      <w:u w:val="none"/>
    </w:rPr>
  </w:style>
  <w:style w:type="character" w:styleId="43">
    <w:name w:val="annotation reference"/>
    <w:semiHidden/>
    <w:qFormat/>
    <w:uiPriority w:val="0"/>
    <w:rPr>
      <w:sz w:val="21"/>
    </w:rPr>
  </w:style>
  <w:style w:type="paragraph" w:customStyle="1" w:styleId="44">
    <w:name w:val="Default"/>
    <w:basedOn w:val="45"/>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5">
    <w:name w:val="表头"/>
    <w:basedOn w:val="24"/>
    <w:next w:val="46"/>
    <w:qFormat/>
    <w:uiPriority w:val="0"/>
    <w:pPr>
      <w:spacing w:line="360" w:lineRule="auto"/>
      <w:jc w:val="center"/>
    </w:pPr>
    <w:rPr>
      <w:rFonts w:ascii="黑体" w:hAnsi="黑体" w:eastAsia="黑体" w:cs="Arial"/>
      <w:bCs/>
      <w:szCs w:val="21"/>
    </w:rPr>
  </w:style>
  <w:style w:type="paragraph" w:customStyle="1" w:styleId="46">
    <w:name w:val="表1"/>
    <w:next w:val="1"/>
    <w:qFormat/>
    <w:uiPriority w:val="0"/>
    <w:pPr>
      <w:adjustRightInd w:val="0"/>
      <w:snapToGrid w:val="0"/>
      <w:jc w:val="center"/>
    </w:pPr>
    <w:rPr>
      <w:rFonts w:ascii="宋体" w:hAnsi="Times New Roman" w:eastAsia="宋体" w:cs="Times New Roman"/>
      <w:sz w:val="21"/>
      <w:szCs w:val="22"/>
      <w:lang w:val="en-US" w:eastAsia="zh-CN" w:bidi="ar-SA"/>
    </w:rPr>
  </w:style>
  <w:style w:type="paragraph" w:customStyle="1" w:styleId="47">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48">
    <w:name w:val="纯文本1"/>
    <w:basedOn w:val="1"/>
    <w:qFormat/>
    <w:uiPriority w:val="0"/>
    <w:pPr>
      <w:adjustRightInd w:val="0"/>
    </w:pPr>
    <w:rPr>
      <w:rFonts w:ascii="宋体" w:hAnsi="Courier New"/>
      <w:szCs w:val="20"/>
    </w:rPr>
  </w:style>
  <w:style w:type="paragraph" w:customStyle="1" w:styleId="49">
    <w:name w:val="xl27"/>
    <w:basedOn w:val="1"/>
    <w:qFormat/>
    <w:uiPriority w:val="0"/>
    <w:pPr>
      <w:widowControl/>
      <w:pBdr>
        <w:bottom w:val="single" w:color="auto" w:sz="4" w:space="0"/>
        <w:right w:val="single" w:color="auto" w:sz="4" w:space="0"/>
      </w:pBdr>
      <w:spacing w:before="100" w:beforeAutospacing="1" w:after="100" w:afterAutospacing="1"/>
      <w:jc w:val="center"/>
    </w:pPr>
    <w:rPr>
      <w:szCs w:val="21"/>
    </w:rPr>
  </w:style>
  <w:style w:type="paragraph" w:customStyle="1" w:styleId="50">
    <w:name w:val="正文 首行缩进:  2 字符"/>
    <w:basedOn w:val="1"/>
    <w:qFormat/>
    <w:uiPriority w:val="0"/>
    <w:pPr>
      <w:adjustRightInd w:val="0"/>
      <w:snapToGrid w:val="0"/>
      <w:spacing w:line="500" w:lineRule="exact"/>
      <w:ind w:firstLine="200" w:firstLineChars="200"/>
      <w:jc w:val="left"/>
    </w:pPr>
    <w:rPr>
      <w:rFonts w:ascii="Times New Roman" w:cs="宋体"/>
      <w:kern w:val="2"/>
    </w:rPr>
  </w:style>
  <w:style w:type="paragraph" w:customStyle="1" w:styleId="51">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2">
    <w:name w:val="Intense Quote"/>
    <w:basedOn w:val="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53">
    <w:name w:val="样式 正文首行缩进 + 首行缩进:  2 字符1"/>
    <w:basedOn w:val="1"/>
    <w:next w:val="23"/>
    <w:qFormat/>
    <w:uiPriority w:val="0"/>
    <w:pPr>
      <w:spacing w:line="360" w:lineRule="auto"/>
      <w:ind w:firstLine="480" w:firstLineChars="200"/>
    </w:pPr>
    <w:rPr>
      <w:sz w:val="24"/>
      <w:szCs w:val="20"/>
    </w:rPr>
  </w:style>
  <w:style w:type="character" w:customStyle="1" w:styleId="54">
    <w:name w:val="标题 3 字符"/>
    <w:link w:val="4"/>
    <w:semiHidden/>
    <w:qFormat/>
    <w:uiPriority w:val="0"/>
    <w:rPr>
      <w:b/>
      <w:bCs/>
      <w:kern w:val="2"/>
      <w:sz w:val="32"/>
      <w:szCs w:val="32"/>
    </w:rPr>
  </w:style>
  <w:style w:type="character" w:customStyle="1" w:styleId="55">
    <w:name w:val="批注文字 字符"/>
    <w:link w:val="13"/>
    <w:qFormat/>
    <w:locked/>
    <w:uiPriority w:val="0"/>
    <w:rPr>
      <w:rFonts w:ascii="Times New Roman" w:hAnsi="Times New Roman" w:eastAsia="宋体"/>
      <w:sz w:val="24"/>
    </w:rPr>
  </w:style>
  <w:style w:type="character" w:customStyle="1" w:styleId="56">
    <w:name w:val="正文文本 字符"/>
    <w:link w:val="15"/>
    <w:qFormat/>
    <w:locked/>
    <w:uiPriority w:val="0"/>
    <w:rPr>
      <w:sz w:val="18"/>
    </w:rPr>
  </w:style>
  <w:style w:type="character" w:customStyle="1" w:styleId="57">
    <w:name w:val="正文文本缩进 字符"/>
    <w:link w:val="10"/>
    <w:qFormat/>
    <w:locked/>
    <w:uiPriority w:val="0"/>
    <w:rPr>
      <w:rFonts w:ascii="Times New Roman" w:hAnsi="Times New Roman" w:eastAsia="宋体"/>
      <w:sz w:val="24"/>
    </w:rPr>
  </w:style>
  <w:style w:type="character" w:customStyle="1" w:styleId="58">
    <w:name w:val="纯文本 字符"/>
    <w:link w:val="18"/>
    <w:qFormat/>
    <w:uiPriority w:val="0"/>
    <w:rPr>
      <w:rFonts w:hint="eastAsia" w:ascii="宋体" w:hAnsi="Courier New" w:eastAsia="宋体" w:cs="宋体"/>
      <w:szCs w:val="21"/>
      <w:lang w:val="zh-CN"/>
    </w:rPr>
  </w:style>
  <w:style w:type="character" w:customStyle="1" w:styleId="59">
    <w:name w:val="日期 字符1"/>
    <w:link w:val="19"/>
    <w:qFormat/>
    <w:locked/>
    <w:uiPriority w:val="0"/>
    <w:rPr>
      <w:rFonts w:ascii="Times New Roman" w:hAnsi="Times New Roman" w:eastAsia="宋体"/>
      <w:sz w:val="24"/>
    </w:rPr>
  </w:style>
  <w:style w:type="character" w:customStyle="1" w:styleId="60">
    <w:name w:val="正文文本缩进 2 字符"/>
    <w:link w:val="20"/>
    <w:qFormat/>
    <w:uiPriority w:val="0"/>
    <w:rPr>
      <w:kern w:val="2"/>
      <w:sz w:val="21"/>
      <w:szCs w:val="24"/>
    </w:rPr>
  </w:style>
  <w:style w:type="character" w:customStyle="1" w:styleId="61">
    <w:name w:val="批注框文本 字符"/>
    <w:link w:val="21"/>
    <w:semiHidden/>
    <w:qFormat/>
    <w:locked/>
    <w:uiPriority w:val="0"/>
    <w:rPr>
      <w:rFonts w:ascii="Times New Roman" w:hAnsi="Times New Roman" w:eastAsia="宋体"/>
      <w:sz w:val="18"/>
    </w:rPr>
  </w:style>
  <w:style w:type="character" w:customStyle="1" w:styleId="62">
    <w:name w:val="页脚 字符1"/>
    <w:link w:val="22"/>
    <w:qFormat/>
    <w:locked/>
    <w:uiPriority w:val="99"/>
    <w:rPr>
      <w:sz w:val="18"/>
    </w:rPr>
  </w:style>
  <w:style w:type="character" w:customStyle="1" w:styleId="63">
    <w:name w:val="页眉 字符"/>
    <w:link w:val="11"/>
    <w:qFormat/>
    <w:locked/>
    <w:uiPriority w:val="99"/>
    <w:rPr>
      <w:sz w:val="18"/>
    </w:rPr>
  </w:style>
  <w:style w:type="character" w:customStyle="1" w:styleId="64">
    <w:name w:val="正文文本 2 字符"/>
    <w:link w:val="28"/>
    <w:qFormat/>
    <w:uiPriority w:val="0"/>
    <w:rPr>
      <w:kern w:val="2"/>
      <w:sz w:val="28"/>
      <w:szCs w:val="24"/>
    </w:rPr>
  </w:style>
  <w:style w:type="character" w:customStyle="1" w:styleId="65">
    <w:name w:val="普通(网站) 字符"/>
    <w:link w:val="30"/>
    <w:qFormat/>
    <w:locked/>
    <w:uiPriority w:val="0"/>
    <w:rPr>
      <w:rFonts w:ascii="宋体" w:hAnsi="宋体" w:eastAsia="宋体"/>
      <w:sz w:val="24"/>
    </w:rPr>
  </w:style>
  <w:style w:type="character" w:customStyle="1" w:styleId="66">
    <w:name w:val="批注主题 字符"/>
    <w:link w:val="32"/>
    <w:semiHidden/>
    <w:qFormat/>
    <w:locked/>
    <w:uiPriority w:val="0"/>
    <w:rPr>
      <w:rFonts w:ascii="Times New Roman" w:hAnsi="Times New Roman" w:eastAsia="宋体"/>
      <w:b/>
      <w:kern w:val="2"/>
      <w:sz w:val="24"/>
    </w:rPr>
  </w:style>
  <w:style w:type="character" w:customStyle="1" w:styleId="67">
    <w:name w:val="正文文本首行缩进 字符"/>
    <w:link w:val="33"/>
    <w:qFormat/>
    <w:uiPriority w:val="0"/>
    <w:rPr>
      <w:kern w:val="2"/>
      <w:sz w:val="21"/>
      <w:szCs w:val="24"/>
    </w:rPr>
  </w:style>
  <w:style w:type="character" w:customStyle="1" w:styleId="68">
    <w:name w:val="正文文本首行缩进 2 字符"/>
    <w:link w:val="34"/>
    <w:qFormat/>
    <w:uiPriority w:val="0"/>
    <w:rPr>
      <w:rFonts w:ascii="Times New Roman" w:hAnsi="Times New Roman" w:eastAsia="宋体"/>
      <w:kern w:val="2"/>
      <w:sz w:val="21"/>
      <w:szCs w:val="24"/>
    </w:rPr>
  </w:style>
  <w:style w:type="character" w:customStyle="1" w:styleId="69">
    <w:name w:val="正文文本 2 Char1"/>
    <w:qFormat/>
    <w:uiPriority w:val="0"/>
    <w:rPr>
      <w:kern w:val="2"/>
      <w:sz w:val="21"/>
      <w:szCs w:val="24"/>
    </w:rPr>
  </w:style>
  <w:style w:type="character" w:customStyle="1" w:styleId="70">
    <w:name w:val="【表中文字】 Char"/>
    <w:link w:val="71"/>
    <w:qFormat/>
    <w:uiPriority w:val="0"/>
    <w:rPr>
      <w:kern w:val="2"/>
      <w:sz w:val="21"/>
    </w:rPr>
  </w:style>
  <w:style w:type="paragraph" w:customStyle="1" w:styleId="71">
    <w:name w:val="【表中文字】"/>
    <w:basedOn w:val="72"/>
    <w:link w:val="70"/>
    <w:qFormat/>
    <w:uiPriority w:val="0"/>
    <w:pPr>
      <w:jc w:val="center"/>
    </w:pPr>
    <w:rPr>
      <w:szCs w:val="20"/>
    </w:rPr>
  </w:style>
  <w:style w:type="paragraph" w:customStyle="1" w:styleId="72">
    <w:name w:val="表格内容"/>
    <w:basedOn w:val="73"/>
    <w:next w:val="1"/>
    <w:link w:val="81"/>
    <w:qFormat/>
    <w:uiPriority w:val="0"/>
    <w:pPr>
      <w:spacing w:line="340" w:lineRule="exact"/>
      <w:jc w:val="center"/>
    </w:pPr>
    <w:rPr>
      <w:rFonts w:ascii="宋体" w:hAnsi="宋体"/>
      <w:szCs w:val="21"/>
    </w:rPr>
  </w:style>
  <w:style w:type="paragraph" w:customStyle="1" w:styleId="73">
    <w:name w:val="封皮-证书编号"/>
    <w:basedOn w:val="1"/>
    <w:qFormat/>
    <w:uiPriority w:val="0"/>
    <w:pPr>
      <w:jc w:val="center"/>
    </w:pPr>
    <w:rPr>
      <w:rFonts w:eastAsia="黑体"/>
      <w:sz w:val="28"/>
    </w:rPr>
  </w:style>
  <w:style w:type="character" w:customStyle="1" w:styleId="74">
    <w:name w:val="【正文】 Char"/>
    <w:link w:val="75"/>
    <w:qFormat/>
    <w:uiPriority w:val="0"/>
    <w:rPr>
      <w:kern w:val="2"/>
      <w:sz w:val="24"/>
      <w:szCs w:val="24"/>
    </w:rPr>
  </w:style>
  <w:style w:type="paragraph" w:customStyle="1" w:styleId="75">
    <w:name w:val="【正文】"/>
    <w:basedOn w:val="1"/>
    <w:next w:val="29"/>
    <w:link w:val="74"/>
    <w:qFormat/>
    <w:uiPriority w:val="0"/>
    <w:pPr>
      <w:spacing w:line="360" w:lineRule="auto"/>
      <w:ind w:firstLine="480" w:firstLineChars="200"/>
    </w:pPr>
    <w:rPr>
      <w:sz w:val="24"/>
    </w:rPr>
  </w:style>
  <w:style w:type="character" w:customStyle="1" w:styleId="76">
    <w:name w:val="表文00 Char"/>
    <w:link w:val="77"/>
    <w:qFormat/>
    <w:uiPriority w:val="0"/>
    <w:rPr>
      <w:rFonts w:hAnsi="宋体"/>
      <w:szCs w:val="18"/>
    </w:rPr>
  </w:style>
  <w:style w:type="paragraph" w:customStyle="1" w:styleId="77">
    <w:name w:val="表文00"/>
    <w:basedOn w:val="1"/>
    <w:next w:val="1"/>
    <w:link w:val="76"/>
    <w:qFormat/>
    <w:uiPriority w:val="0"/>
    <w:pPr>
      <w:autoSpaceDE w:val="0"/>
      <w:autoSpaceDN w:val="0"/>
      <w:ind w:firstLine="3584"/>
      <w:contextualSpacing/>
      <w:jc w:val="center"/>
    </w:pPr>
    <w:rPr>
      <w:rFonts w:hAnsi="宋体"/>
      <w:kern w:val="0"/>
      <w:sz w:val="20"/>
      <w:szCs w:val="18"/>
    </w:rPr>
  </w:style>
  <w:style w:type="character" w:customStyle="1" w:styleId="78">
    <w:name w:val="日期 字符"/>
    <w:semiHidden/>
    <w:qFormat/>
    <w:uiPriority w:val="0"/>
    <w:rPr>
      <w:rFonts w:ascii="Times New Roman" w:hAnsi="Times New Roman" w:eastAsia="宋体"/>
      <w:sz w:val="24"/>
    </w:rPr>
  </w:style>
  <w:style w:type="character" w:customStyle="1" w:styleId="79">
    <w:name w:val="样式 Times New Roman 五号 居中 Char"/>
    <w:link w:val="80"/>
    <w:qFormat/>
    <w:uiPriority w:val="0"/>
  </w:style>
  <w:style w:type="paragraph" w:customStyle="1" w:styleId="80">
    <w:name w:val="样式 Times New Roman 五号 居中"/>
    <w:basedOn w:val="1"/>
    <w:link w:val="79"/>
    <w:qFormat/>
    <w:uiPriority w:val="0"/>
    <w:pPr>
      <w:ind w:firstLine="3584"/>
      <w:jc w:val="center"/>
    </w:pPr>
    <w:rPr>
      <w:kern w:val="0"/>
      <w:sz w:val="20"/>
      <w:szCs w:val="20"/>
    </w:rPr>
  </w:style>
  <w:style w:type="character" w:customStyle="1" w:styleId="81">
    <w:name w:val="表格内容 Char"/>
    <w:link w:val="72"/>
    <w:qFormat/>
    <w:locked/>
    <w:uiPriority w:val="0"/>
    <w:rPr>
      <w:rFonts w:ascii="宋体" w:hAnsi="宋体"/>
      <w:kern w:val="2"/>
      <w:sz w:val="21"/>
      <w:szCs w:val="21"/>
    </w:rPr>
  </w:style>
  <w:style w:type="character" w:customStyle="1" w:styleId="82">
    <w:name w:val="正文文本 字符1"/>
    <w:semiHidden/>
    <w:qFormat/>
    <w:uiPriority w:val="0"/>
    <w:rPr>
      <w:rFonts w:ascii="Times New Roman" w:hAnsi="Times New Roman" w:eastAsia="宋体"/>
      <w:sz w:val="24"/>
    </w:rPr>
  </w:style>
  <w:style w:type="character" w:customStyle="1" w:styleId="83">
    <w:name w:val="表格 Char"/>
    <w:link w:val="84"/>
    <w:qFormat/>
    <w:locked/>
    <w:uiPriority w:val="0"/>
    <w:rPr>
      <w:rFonts w:ascii="宋体"/>
      <w:sz w:val="21"/>
    </w:rPr>
  </w:style>
  <w:style w:type="paragraph" w:customStyle="1" w:styleId="84">
    <w:name w:val="表格"/>
    <w:basedOn w:val="1"/>
    <w:next w:val="1"/>
    <w:link w:val="83"/>
    <w:qFormat/>
    <w:uiPriority w:val="0"/>
    <w:pPr>
      <w:adjustRightInd w:val="0"/>
      <w:snapToGrid w:val="0"/>
      <w:spacing w:beforeLines="10" w:afterLines="10" w:line="259" w:lineRule="auto"/>
      <w:jc w:val="center"/>
    </w:pPr>
    <w:rPr>
      <w:rFonts w:ascii="宋体"/>
      <w:kern w:val="0"/>
      <w:szCs w:val="20"/>
    </w:rPr>
  </w:style>
  <w:style w:type="character" w:customStyle="1" w:styleId="85">
    <w:name w:val="批注文字 字符1"/>
    <w:semiHidden/>
    <w:qFormat/>
    <w:uiPriority w:val="0"/>
    <w:rPr>
      <w:rFonts w:ascii="Times New Roman" w:hAnsi="Times New Roman" w:eastAsia="宋体"/>
      <w:sz w:val="24"/>
    </w:rPr>
  </w:style>
  <w:style w:type="character" w:customStyle="1" w:styleId="86">
    <w:name w:val="页脚 字符"/>
    <w:qFormat/>
    <w:uiPriority w:val="99"/>
  </w:style>
  <w:style w:type="character" w:customStyle="1" w:styleId="87">
    <w:name w:val="内容 Char"/>
    <w:link w:val="88"/>
    <w:qFormat/>
    <w:uiPriority w:val="0"/>
    <w:rPr>
      <w:color w:val="000000"/>
      <w:kern w:val="2"/>
      <w:sz w:val="24"/>
      <w:szCs w:val="24"/>
    </w:rPr>
  </w:style>
  <w:style w:type="paragraph" w:customStyle="1" w:styleId="88">
    <w:name w:val="内容"/>
    <w:basedOn w:val="1"/>
    <w:link w:val="87"/>
    <w:qFormat/>
    <w:uiPriority w:val="0"/>
    <w:pPr>
      <w:spacing w:before="50" w:beforeLines="50" w:after="50" w:afterLines="50"/>
      <w:ind w:firstLine="200" w:firstLineChars="200"/>
    </w:pPr>
    <w:rPr>
      <w:color w:val="000000"/>
      <w:sz w:val="24"/>
    </w:rPr>
  </w:style>
  <w:style w:type="character" w:customStyle="1" w:styleId="89">
    <w:name w:val="NormalCharacter"/>
    <w:qFormat/>
    <w:uiPriority w:val="0"/>
    <w:rPr>
      <w:rFonts w:ascii="宋体"/>
      <w:sz w:val="24"/>
      <w:lang w:val="en-US" w:eastAsia="zh-CN" w:bidi="ar-SA"/>
    </w:rPr>
  </w:style>
  <w:style w:type="paragraph" w:customStyle="1" w:styleId="90">
    <w:name w:val="环评表中文字"/>
    <w:basedOn w:val="1"/>
    <w:qFormat/>
    <w:uiPriority w:val="0"/>
    <w:pPr>
      <w:jc w:val="center"/>
    </w:pPr>
    <w:rPr>
      <w:sz w:val="24"/>
      <w:szCs w:val="22"/>
    </w:rPr>
  </w:style>
  <w:style w:type="paragraph" w:customStyle="1" w:styleId="91">
    <w:name w:val="[表中文字]"/>
    <w:basedOn w:val="1"/>
    <w:qFormat/>
    <w:uiPriority w:val="0"/>
    <w:pPr>
      <w:spacing w:before="60" w:after="60"/>
      <w:jc w:val="center"/>
    </w:pPr>
    <w:rPr>
      <w:rFonts w:eastAsia="仿宋_GB2312"/>
      <w:szCs w:val="20"/>
    </w:rPr>
  </w:style>
  <w:style w:type="paragraph" w:customStyle="1" w:styleId="92">
    <w:name w:val="表内字"/>
    <w:qFormat/>
    <w:uiPriority w:val="0"/>
    <w:pPr>
      <w:spacing w:line="312" w:lineRule="auto"/>
      <w:jc w:val="center"/>
    </w:pPr>
    <w:rPr>
      <w:rFonts w:ascii="Times New Roman" w:hAnsi="Times New Roman" w:eastAsia="宋体" w:cs="Times New Roman"/>
      <w:color w:val="000000"/>
      <w:sz w:val="21"/>
      <w:lang w:val="en-US" w:eastAsia="zh-CN" w:bidi="ar-SA"/>
    </w:rPr>
  </w:style>
  <w:style w:type="paragraph" w:customStyle="1" w:styleId="93">
    <w:name w:val="正文（首行缩进）"/>
    <w:basedOn w:val="1"/>
    <w:next w:val="94"/>
    <w:qFormat/>
    <w:uiPriority w:val="0"/>
    <w:pPr>
      <w:spacing w:line="360" w:lineRule="auto"/>
      <w:ind w:left="560" w:firstLine="3632"/>
    </w:pPr>
    <w:rPr>
      <w:kern w:val="0"/>
      <w:sz w:val="20"/>
      <w:szCs w:val="20"/>
    </w:rPr>
  </w:style>
  <w:style w:type="paragraph" w:customStyle="1" w:styleId="94">
    <w:name w:val="正文00"/>
    <w:basedOn w:val="1"/>
    <w:next w:val="95"/>
    <w:qFormat/>
    <w:uiPriority w:val="0"/>
    <w:pPr>
      <w:spacing w:line="360" w:lineRule="auto"/>
      <w:ind w:left="480" w:firstLine="3808"/>
    </w:pPr>
    <w:rPr>
      <w:kern w:val="0"/>
      <w:sz w:val="20"/>
      <w:szCs w:val="20"/>
    </w:rPr>
  </w:style>
  <w:style w:type="paragraph" w:customStyle="1" w:styleId="95">
    <w:name w:val="样式 Times New Roman 五号 居中1"/>
    <w:basedOn w:val="1"/>
    <w:next w:val="45"/>
    <w:qFormat/>
    <w:uiPriority w:val="0"/>
    <w:pPr>
      <w:ind w:firstLine="3584"/>
      <w:jc w:val="center"/>
    </w:pPr>
    <w:rPr>
      <w:kern w:val="0"/>
      <w:sz w:val="20"/>
      <w:szCs w:val="20"/>
    </w:rPr>
  </w:style>
  <w:style w:type="paragraph" w:customStyle="1" w:styleId="96">
    <w:name w:val="表头00"/>
    <w:basedOn w:val="1"/>
    <w:qFormat/>
    <w:uiPriority w:val="0"/>
    <w:pPr>
      <w:ind w:firstLine="3584"/>
      <w:jc w:val="center"/>
    </w:pPr>
    <w:rPr>
      <w:rFonts w:eastAsia="黑体"/>
      <w:sz w:val="24"/>
      <w:szCs w:val="18"/>
    </w:rPr>
  </w:style>
  <w:style w:type="paragraph" w:customStyle="1" w:styleId="97">
    <w:name w:val="段落正文"/>
    <w:basedOn w:val="1"/>
    <w:qFormat/>
    <w:uiPriority w:val="0"/>
    <w:pPr>
      <w:spacing w:line="500" w:lineRule="atLeast"/>
      <w:ind w:firstLine="200" w:firstLineChars="200"/>
    </w:pPr>
    <w:rPr>
      <w:rFonts w:eastAsia="仿宋_GB2312"/>
      <w:sz w:val="28"/>
      <w:szCs w:val="28"/>
    </w:rPr>
  </w:style>
  <w:style w:type="paragraph" w:customStyle="1" w:styleId="98">
    <w:name w:val="帆表头"/>
    <w:basedOn w:val="1"/>
    <w:qFormat/>
    <w:uiPriority w:val="0"/>
    <w:pPr>
      <w:widowControl/>
      <w:spacing w:line="360" w:lineRule="auto"/>
      <w:jc w:val="center"/>
    </w:pPr>
    <w:rPr>
      <w:rFonts w:ascii="黑体" w:hAnsi="黑体" w:eastAsia="黑体"/>
      <w:bCs/>
      <w:szCs w:val="21"/>
    </w:rPr>
  </w:style>
  <w:style w:type="paragraph" w:customStyle="1" w:styleId="99">
    <w:name w:val="表格填充项"/>
    <w:basedOn w:val="1"/>
    <w:qFormat/>
    <w:uiPriority w:val="0"/>
    <w:pPr>
      <w:spacing w:line="240" w:lineRule="atLeast"/>
      <w:jc w:val="center"/>
    </w:pPr>
    <w:rPr>
      <w:rFonts w:ascii="宋体" w:hAnsi="宋体"/>
      <w:b/>
    </w:rPr>
  </w:style>
  <w:style w:type="paragraph" w:customStyle="1" w:styleId="100">
    <w:name w:val="表格题目"/>
    <w:basedOn w:val="1"/>
    <w:qFormat/>
    <w:uiPriority w:val="99"/>
    <w:pPr>
      <w:spacing w:line="240" w:lineRule="atLeast"/>
      <w:jc w:val="center"/>
    </w:pPr>
    <w:rPr>
      <w:rFonts w:ascii="黑体" w:hAnsi="宋体" w:eastAsia="黑体"/>
      <w:sz w:val="24"/>
    </w:rPr>
  </w:style>
  <w:style w:type="paragraph" w:customStyle="1" w:styleId="101">
    <w:name w:val="表文"/>
    <w:next w:val="1"/>
    <w:qFormat/>
    <w:uiPriority w:val="0"/>
    <w:pPr>
      <w:jc w:val="both"/>
    </w:pPr>
    <w:rPr>
      <w:rFonts w:ascii="Times New Roman" w:hAnsi="Times New Roman" w:eastAsia="宋体" w:cs="Times New Roman"/>
      <w:color w:val="FF0000"/>
      <w:kern w:val="2"/>
      <w:sz w:val="21"/>
      <w:szCs w:val="24"/>
      <w:lang w:val="en-US" w:eastAsia="zh-CN" w:bidi="ar-SA"/>
    </w:rPr>
  </w:style>
  <w:style w:type="paragraph" w:customStyle="1" w:styleId="102">
    <w:name w:val="正文4"/>
    <w:qFormat/>
    <w:uiPriority w:val="0"/>
    <w:pPr>
      <w:widowControl w:val="0"/>
      <w:spacing w:line="360" w:lineRule="atLeast"/>
    </w:pPr>
    <w:rPr>
      <w:rFonts w:ascii="宋体" w:hAnsi="宋体" w:eastAsia="宋体" w:cs="Times New Roman"/>
      <w:color w:val="000000"/>
      <w:sz w:val="24"/>
      <w:szCs w:val="22"/>
      <w:lang w:val="en-US" w:eastAsia="zh-CN" w:bidi="ar-SA"/>
    </w:rPr>
  </w:style>
  <w:style w:type="paragraph" w:customStyle="1" w:styleId="10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4">
    <w:name w:val="设计表格"/>
    <w:basedOn w:val="1"/>
    <w:qFormat/>
    <w:uiPriority w:val="0"/>
    <w:pPr>
      <w:adjustRightInd w:val="0"/>
      <w:jc w:val="center"/>
    </w:pPr>
    <w:rPr>
      <w:kern w:val="0"/>
      <w:sz w:val="24"/>
    </w:rPr>
  </w:style>
  <w:style w:type="paragraph" w:customStyle="1" w:styleId="105">
    <w:name w:val="图头00"/>
    <w:basedOn w:val="1"/>
    <w:qFormat/>
    <w:uiPriority w:val="0"/>
    <w:pPr>
      <w:adjustRightInd w:val="0"/>
      <w:spacing w:line="360" w:lineRule="auto"/>
      <w:jc w:val="center"/>
      <w:textAlignment w:val="baseline"/>
    </w:pPr>
    <w:rPr>
      <w:rFonts w:ascii="宋体" w:eastAsia="黑体"/>
      <w:kern w:val="0"/>
      <w:sz w:val="24"/>
      <w:szCs w:val="20"/>
    </w:rPr>
  </w:style>
  <w:style w:type="paragraph" w:customStyle="1" w:styleId="106">
    <w:name w:val="报告表正文"/>
    <w:basedOn w:val="1"/>
    <w:qFormat/>
    <w:uiPriority w:val="0"/>
    <w:pPr>
      <w:adjustRightInd w:val="0"/>
      <w:spacing w:line="312" w:lineRule="auto"/>
      <w:ind w:left="113" w:right="113" w:firstLine="482"/>
      <w:jc w:val="left"/>
      <w:textAlignment w:val="baseline"/>
    </w:pPr>
    <w:rPr>
      <w:kern w:val="0"/>
      <w:sz w:val="24"/>
      <w:szCs w:val="22"/>
    </w:rPr>
  </w:style>
  <w:style w:type="paragraph" w:customStyle="1" w:styleId="107">
    <w:name w:val="WW-纯文本"/>
    <w:basedOn w:val="1"/>
    <w:qFormat/>
    <w:uiPriority w:val="0"/>
    <w:pPr>
      <w:suppressAutoHyphens/>
      <w:spacing w:line="312" w:lineRule="atLeast"/>
      <w:textAlignment w:val="baseline"/>
    </w:pPr>
    <w:rPr>
      <w:rFonts w:hAnsi="宋体" w:eastAsia="楷体_GB2312"/>
      <w:szCs w:val="21"/>
    </w:rPr>
  </w:style>
  <w:style w:type="paragraph" w:customStyle="1" w:styleId="10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09">
    <w:name w:val="Table Paragraph"/>
    <w:basedOn w:val="1"/>
    <w:qFormat/>
    <w:uiPriority w:val="0"/>
    <w:pPr>
      <w:jc w:val="left"/>
    </w:pPr>
    <w:rPr>
      <w:rFonts w:ascii="Calibri" w:hAnsi="Calibri"/>
      <w:kern w:val="0"/>
      <w:sz w:val="22"/>
      <w:szCs w:val="22"/>
      <w:lang w:eastAsia="en-US"/>
    </w:rPr>
  </w:style>
  <w:style w:type="paragraph" w:customStyle="1" w:styleId="110">
    <w:name w:val="表体"/>
    <w:basedOn w:val="15"/>
    <w:qFormat/>
    <w:uiPriority w:val="0"/>
    <w:pPr>
      <w:widowControl w:val="0"/>
      <w:overflowPunct w:val="0"/>
      <w:adjustRightInd w:val="0"/>
      <w:snapToGrid/>
      <w:spacing w:before="0" w:after="120" w:line="300" w:lineRule="atLeast"/>
      <w:ind w:right="0"/>
      <w:jc w:val="center"/>
      <w:textAlignment w:val="baseline"/>
    </w:pPr>
    <w:rPr>
      <w:rFonts w:cs="Times New Roman"/>
      <w:color w:val="000000"/>
      <w:kern w:val="24"/>
    </w:rPr>
  </w:style>
  <w:style w:type="paragraph" w:customStyle="1" w:styleId="111">
    <w:name w:val="正文样式1"/>
    <w:basedOn w:val="1"/>
    <w:qFormat/>
    <w:uiPriority w:val="0"/>
    <w:pPr>
      <w:adjustRightInd w:val="0"/>
      <w:spacing w:line="288" w:lineRule="auto"/>
      <w:ind w:firstLine="360" w:firstLineChars="150"/>
      <w:textAlignment w:val="baseline"/>
    </w:pPr>
    <w:rPr>
      <w:rFonts w:cs="Times New Roman"/>
      <w:kern w:val="0"/>
      <w:sz w:val="24"/>
      <w:szCs w:val="20"/>
    </w:rPr>
  </w:style>
  <w:style w:type="paragraph" w:customStyle="1" w:styleId="112">
    <w:name w:val="报告表内正文"/>
    <w:qFormat/>
    <w:uiPriority w:val="0"/>
    <w:pPr>
      <w:spacing w:line="360" w:lineRule="auto"/>
      <w:ind w:firstLine="1040" w:firstLineChars="200"/>
    </w:pPr>
    <w:rPr>
      <w:rFonts w:ascii="Calibri" w:hAnsi="Calibri" w:eastAsia="宋体" w:cs="Times New Roman"/>
      <w:sz w:val="24"/>
      <w:szCs w:val="22"/>
      <w:lang w:val="en-US" w:eastAsia="zh-CN" w:bidi="ar-SA"/>
    </w:rPr>
  </w:style>
  <w:style w:type="paragraph" w:customStyle="1" w:styleId="113">
    <w:name w:val="正文1"/>
    <w:basedOn w:val="114"/>
    <w:qFormat/>
    <w:uiPriority w:val="0"/>
    <w:pPr>
      <w:widowControl w:val="0"/>
      <w:tabs>
        <w:tab w:val="left" w:pos="567"/>
      </w:tabs>
      <w:adjustRightInd w:val="0"/>
      <w:spacing w:line="315" w:lineRule="atLeast"/>
      <w:textAlignment w:val="baseline"/>
    </w:pPr>
    <w:rPr>
      <w:rFonts w:ascii="宋体" w:hAnsi="Times New Roman" w:eastAsia="宋体" w:cs="Times New Roman"/>
      <w:sz w:val="24"/>
      <w:lang w:val="en-US" w:eastAsia="zh-CN" w:bidi="ar-SA"/>
    </w:rPr>
  </w:style>
  <w:style w:type="paragraph" w:customStyle="1" w:styleId="114">
    <w:name w:val="正文11"/>
    <w:autoRedefine/>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115">
    <w:name w:val="..正文格式"/>
    <w:basedOn w:val="1"/>
    <w:qFormat/>
    <w:uiPriority w:val="0"/>
    <w:pPr>
      <w:spacing w:line="500" w:lineRule="exact"/>
      <w:ind w:firstLine="480" w:firstLineChars="200"/>
      <w:jc w:val="both"/>
    </w:pPr>
    <w:rPr>
      <w:rFonts w:ascii="Times New Roman" w:hAnsi="Times New Roman"/>
      <w:snapToGrid w:val="0"/>
      <w:kern w:val="0"/>
    </w:rPr>
  </w:style>
  <w:style w:type="character" w:customStyle="1" w:styleId="116">
    <w:name w:val="lable"/>
    <w:basedOn w:val="37"/>
    <w:qFormat/>
    <w:uiPriority w:val="0"/>
    <w:rPr>
      <w:sz w:val="19"/>
      <w:szCs w:val="19"/>
    </w:rPr>
  </w:style>
  <w:style w:type="character" w:customStyle="1" w:styleId="117">
    <w:name w:val="radio-btn"/>
    <w:basedOn w:val="37"/>
    <w:qFormat/>
    <w:uiPriority w:val="0"/>
    <w:rPr>
      <w:sz w:val="16"/>
      <w:szCs w:val="16"/>
    </w:rPr>
  </w:style>
  <w:style w:type="character" w:customStyle="1" w:styleId="118">
    <w:name w:val="radio-btn1"/>
    <w:basedOn w:val="37"/>
    <w:qFormat/>
    <w:uiPriority w:val="0"/>
    <w:rPr>
      <w:sz w:val="19"/>
      <w:szCs w:val="19"/>
    </w:rPr>
  </w:style>
  <w:style w:type="character" w:customStyle="1" w:styleId="119">
    <w:name w:val="radio-btn2"/>
    <w:basedOn w:val="37"/>
    <w:qFormat/>
    <w:uiPriority w:val="0"/>
    <w:rPr>
      <w:sz w:val="19"/>
      <w:szCs w:val="19"/>
    </w:rPr>
  </w:style>
  <w:style w:type="character" w:customStyle="1" w:styleId="120">
    <w:name w:val="lishishuju"/>
    <w:basedOn w:val="37"/>
    <w:qFormat/>
    <w:uiPriority w:val="0"/>
    <w:rPr>
      <w:b/>
      <w:bCs/>
      <w:color w:val="000052"/>
      <w:sz w:val="19"/>
      <w:szCs w:val="19"/>
      <w:bdr w:val="single" w:color="E3E3E3" w:sz="4" w:space="0"/>
    </w:rPr>
  </w:style>
  <w:style w:type="character" w:customStyle="1" w:styleId="121">
    <w:name w:val="cur1"/>
    <w:basedOn w:val="37"/>
    <w:qFormat/>
    <w:uiPriority w:val="0"/>
    <w:rPr>
      <w:color w:val="FFFFFF"/>
      <w:shd w:val="clear" w:color="auto" w:fill="2F6B98"/>
    </w:rPr>
  </w:style>
  <w:style w:type="character" w:customStyle="1" w:styleId="122">
    <w:name w:val="znspantitle"/>
    <w:basedOn w:val="37"/>
    <w:qFormat/>
    <w:uiPriority w:val="0"/>
    <w:rPr>
      <w:b/>
      <w:bCs/>
      <w:color w:val="333333"/>
    </w:rPr>
  </w:style>
  <w:style w:type="paragraph" w:customStyle="1" w:styleId="123">
    <w:name w:val="表格正文"/>
    <w:next w:val="6"/>
    <w:qFormat/>
    <w:uiPriority w:val="0"/>
    <w:pPr>
      <w:adjustRightInd w:val="0"/>
      <w:snapToGrid w:val="0"/>
      <w:spacing w:line="440" w:lineRule="exact"/>
      <w:jc w:val="center"/>
    </w:pPr>
    <w:rPr>
      <w:rFonts w:ascii="Times New Roman" w:hAnsi="Times New Roman" w:eastAsia="宋体" w:cs="Times New Roman"/>
      <w:color w:val="FF0000"/>
      <w:szCs w:val="21"/>
      <w:lang w:val="en-US" w:eastAsia="zh-CN" w:bidi="ar-SA"/>
    </w:rPr>
  </w:style>
  <w:style w:type="paragraph" w:customStyle="1" w:styleId="124">
    <w:name w:val="表格标题"/>
    <w:basedOn w:val="113"/>
    <w:next w:val="113"/>
    <w:qFormat/>
    <w:uiPriority w:val="0"/>
    <w:pPr>
      <w:tabs>
        <w:tab w:val="left" w:pos="5400"/>
      </w:tabs>
      <w:spacing w:before="156" w:beforeLines="50" w:after="156" w:afterLines="50" w:line="400" w:lineRule="exact"/>
      <w:jc w:val="center"/>
    </w:pPr>
    <w:rPr>
      <w:rFonts w:ascii="黑体" w:hAnsi="宋体" w:eastAsia="黑体"/>
      <w:color w:val="000000"/>
      <w:spacing w:val="4"/>
      <w:sz w:val="24"/>
    </w:rPr>
  </w:style>
  <w:style w:type="paragraph" w:customStyle="1" w:styleId="125">
    <w:name w:val="11111"/>
    <w:basedOn w:val="1"/>
    <w:next w:val="1"/>
    <w:qFormat/>
    <w:uiPriority w:val="0"/>
    <w:pPr>
      <w:spacing w:line="360" w:lineRule="auto"/>
      <w:ind w:firstLine="200" w:firstLineChars="200"/>
    </w:pPr>
    <w:rPr>
      <w:rFonts w:hAnsi="宋体" w:cs="宋体"/>
      <w:kern w:val="2"/>
      <w:szCs w:val="24"/>
    </w:rPr>
  </w:style>
  <w:style w:type="paragraph" w:customStyle="1" w:styleId="126">
    <w:name w:val="【表头】"/>
    <w:basedOn w:val="127"/>
    <w:qFormat/>
    <w:uiPriority w:val="0"/>
    <w:pPr>
      <w:spacing w:line="460" w:lineRule="exact"/>
      <w:ind w:firstLine="0" w:firstLineChars="0"/>
      <w:jc w:val="center"/>
    </w:pPr>
    <w:rPr>
      <w:rFonts w:eastAsia="黑体"/>
      <w:sz w:val="24"/>
    </w:rPr>
  </w:style>
  <w:style w:type="paragraph" w:customStyle="1" w:styleId="127">
    <w:name w:val="0"/>
    <w:basedOn w:val="1"/>
    <w:autoRedefine/>
    <w:qFormat/>
    <w:uiPriority w:val="99"/>
    <w:pPr>
      <w:widowControl/>
      <w:snapToGrid w:val="0"/>
      <w:jc w:val="left"/>
    </w:pPr>
    <w:rPr>
      <w:rFonts w:ascii="宋体"/>
      <w:kern w:val="0"/>
      <w:sz w:val="20"/>
      <w:szCs w:val="20"/>
    </w:rPr>
  </w:style>
  <w:style w:type="paragraph" w:customStyle="1" w:styleId="128">
    <w:name w:val="表格题头"/>
    <w:basedOn w:val="1"/>
    <w:next w:val="1"/>
    <w:qFormat/>
    <w:uiPriority w:val="0"/>
    <w:pPr>
      <w:widowControl/>
      <w:autoSpaceDE w:val="0"/>
      <w:autoSpaceDN w:val="0"/>
      <w:spacing w:line="260" w:lineRule="exact"/>
      <w:ind w:firstLine="0" w:firstLineChars="0"/>
      <w:jc w:val="center"/>
    </w:pPr>
    <w:rPr>
      <w:rFonts w:ascii="Times New Roman" w:hAnsi="Times New Roman" w:eastAsia="黑体"/>
      <w:color w:val="000000"/>
      <w:sz w:val="21"/>
      <w:szCs w:val="20"/>
    </w:rPr>
  </w:style>
  <w:style w:type="paragraph" w:customStyle="1" w:styleId="129">
    <w:name w:val="【标题2】"/>
    <w:basedOn w:val="3"/>
    <w:qFormat/>
    <w:uiPriority w:val="0"/>
    <w:pPr>
      <w:keepNext w:val="0"/>
      <w:spacing w:before="120" w:after="120" w:line="240" w:lineRule="auto"/>
      <w:jc w:val="both"/>
    </w:pPr>
    <w:rPr>
      <w:kern w:val="2"/>
      <w:szCs w:val="20"/>
    </w:rPr>
  </w:style>
  <w:style w:type="paragraph" w:customStyle="1" w:styleId="130">
    <w:name w:val="【标题3】"/>
    <w:basedOn w:val="4"/>
    <w:qFormat/>
    <w:uiPriority w:val="0"/>
    <w:pPr>
      <w:keepNext w:val="0"/>
      <w:spacing w:before="240" w:after="240" w:line="380" w:lineRule="exact"/>
      <w:ind w:firstLine="0" w:firstLineChars="0"/>
    </w:pPr>
    <w:rPr>
      <w:kern w:val="2"/>
      <w:sz w:val="30"/>
      <w:szCs w:val="20"/>
    </w:rPr>
  </w:style>
  <w:style w:type="paragraph" w:customStyle="1" w:styleId="131">
    <w:name w:val="Char Char Char Char1"/>
    <w:basedOn w:val="1"/>
    <w:qFormat/>
    <w:uiPriority w:val="0"/>
    <w:pPr>
      <w:tabs>
        <w:tab w:val="left" w:pos="1080"/>
      </w:tabs>
      <w:jc w:val="left"/>
    </w:pPr>
    <w:rPr>
      <w:rFonts w:ascii="Calibri" w:hAnsi="Calibri" w:eastAsia="宋体" w:cs="Times New Roman"/>
      <w:szCs w:val="21"/>
    </w:rPr>
  </w:style>
  <w:style w:type="paragraph" w:customStyle="1" w:styleId="132">
    <w:name w:val="正文缩进1"/>
    <w:basedOn w:val="1"/>
    <w:qFormat/>
    <w:uiPriority w:val="0"/>
    <w:pPr>
      <w:spacing w:line="520" w:lineRule="exact"/>
      <w:ind w:firstLine="624"/>
    </w:pPr>
    <w:rPr>
      <w:sz w:val="28"/>
    </w:rPr>
  </w:style>
  <w:style w:type="paragraph" w:customStyle="1" w:styleId="133">
    <w:name w:val="内容11"/>
    <w:basedOn w:val="18"/>
    <w:qFormat/>
    <w:uiPriority w:val="0"/>
    <w:pPr>
      <w:ind w:right="-92" w:rightChars="-44" w:firstLine="415" w:firstLineChars="179"/>
    </w:pPr>
    <w:rPr>
      <w:rFonts w:hAnsi="宋体"/>
      <w:spacing w:val="-4"/>
      <w:position w:val="6"/>
      <w:sz w:val="24"/>
      <w:szCs w:val="24"/>
    </w:rPr>
  </w:style>
  <w:style w:type="paragraph" w:customStyle="1" w:styleId="134">
    <w:name w:val="Char Char Char Char Char Char Char1"/>
    <w:basedOn w:val="1"/>
    <w:qFormat/>
    <w:uiPriority w:val="0"/>
    <w:pPr>
      <w:spacing w:line="360" w:lineRule="auto"/>
      <w:ind w:firstLine="200" w:firstLineChars="200"/>
    </w:pPr>
    <w:rPr>
      <w:rFonts w:ascii="宋体" w:hAnsi="宋体" w:cs="宋体"/>
      <w:sz w:val="24"/>
      <w:szCs w:val="24"/>
    </w:rPr>
  </w:style>
  <w:style w:type="paragraph" w:customStyle="1" w:styleId="135">
    <w:name w:val="四级标题"/>
    <w:basedOn w:val="5"/>
    <w:next w:val="1"/>
    <w:qFormat/>
    <w:uiPriority w:val="0"/>
    <w:pPr>
      <w:spacing w:after="0" w:line="480" w:lineRule="exact"/>
      <w:jc w:val="both"/>
    </w:pPr>
    <w:rPr>
      <w:rFonts w:asciiTheme="minorHAnsi" w:hAnsiTheme="minorHAnsi" w:cstheme="minorBidi"/>
      <w:bCs/>
      <w:color w:val="0070C0"/>
      <w:sz w:val="24"/>
      <w:szCs w:val="28"/>
    </w:rPr>
  </w:style>
  <w:style w:type="paragraph" w:customStyle="1" w:styleId="136">
    <w:name w:val="正文 + 首行缩进:  2 字符"/>
    <w:basedOn w:val="1"/>
    <w:qFormat/>
    <w:uiPriority w:val="99"/>
    <w:pPr>
      <w:spacing w:line="480" w:lineRule="exact"/>
      <w:ind w:firstLine="200" w:firstLineChars="200"/>
      <w:jc w:val="left"/>
    </w:pPr>
    <w:rPr>
      <w:snapToGrid w:val="0"/>
      <w:kern w:val="0"/>
      <w:sz w:val="24"/>
    </w:rPr>
  </w:style>
  <w:style w:type="paragraph" w:customStyle="1" w:styleId="137">
    <w:name w:val="正文111"/>
    <w:basedOn w:val="1"/>
    <w:qFormat/>
    <w:uiPriority w:val="0"/>
    <w:pPr>
      <w:spacing w:line="520" w:lineRule="exact"/>
      <w:ind w:firstLine="480" w:firstLineChars="200"/>
    </w:pPr>
  </w:style>
  <w:style w:type="paragraph" w:customStyle="1" w:styleId="138">
    <w:name w:val="正文（首行缩进两字） Char"/>
    <w:basedOn w:val="1"/>
    <w:qFormat/>
    <w:uiPriority w:val="0"/>
    <w:pPr>
      <w:widowControl/>
      <w:spacing w:line="360" w:lineRule="auto"/>
      <w:ind w:firstLine="420"/>
    </w:pPr>
    <w:rPr>
      <w:kern w:val="0"/>
      <w:sz w:val="24"/>
      <w:szCs w:val="20"/>
    </w:rPr>
  </w:style>
  <w:style w:type="paragraph" w:customStyle="1" w:styleId="139">
    <w:name w:val="我的正文"/>
    <w:basedOn w:val="1"/>
    <w:qFormat/>
    <w:uiPriority w:val="0"/>
    <w:pPr>
      <w:adjustRightInd w:val="0"/>
      <w:snapToGrid w:val="0"/>
      <w:spacing w:line="480" w:lineRule="exact"/>
      <w:ind w:firstLine="720" w:firstLineChars="200"/>
      <w:jc w:val="left"/>
    </w:pPr>
    <w:rPr>
      <w:bCs/>
      <w:kern w:val="0"/>
      <w:sz w:val="20"/>
      <w:szCs w:val="21"/>
    </w:rPr>
  </w:style>
  <w:style w:type="paragraph" w:customStyle="1" w:styleId="140">
    <w:name w:val="表头和图片"/>
    <w:basedOn w:val="18"/>
    <w:next w:val="1"/>
    <w:qFormat/>
    <w:uiPriority w:val="0"/>
    <w:pPr>
      <w:spacing w:line="480" w:lineRule="exact"/>
      <w:jc w:val="center"/>
    </w:pPr>
    <w:rPr>
      <w:rFonts w:ascii="Times New Roman" w:hAnsi="Times New Roman" w:eastAsia="黑体"/>
      <w:b/>
      <w:kern w:val="0"/>
      <w:sz w:val="20"/>
    </w:rPr>
  </w:style>
  <w:style w:type="paragraph" w:styleId="141">
    <w:name w:val="List Paragraph"/>
    <w:basedOn w:val="1"/>
    <w:qFormat/>
    <w:uiPriority w:val="0"/>
    <w:pPr>
      <w:ind w:firstLine="420" w:firstLineChars="200"/>
    </w:pPr>
  </w:style>
  <w:style w:type="paragraph" w:customStyle="1" w:styleId="142">
    <w:name w:val="我的表格"/>
    <w:basedOn w:val="1"/>
    <w:next w:val="1"/>
    <w:qFormat/>
    <w:uiPriority w:val="0"/>
    <w:pPr>
      <w:adjustRightInd w:val="0"/>
      <w:snapToGrid w:val="0"/>
      <w:spacing w:beforeLines="10" w:afterLines="10" w:line="240" w:lineRule="atLeast"/>
      <w:jc w:val="center"/>
    </w:pPr>
    <w:rPr>
      <w:kern w:val="0"/>
      <w:szCs w:val="20"/>
    </w:rPr>
  </w:style>
  <w:style w:type="paragraph" w:customStyle="1" w:styleId="143">
    <w:name w:val="正文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Calibri" w:cs="Times New Roman"/>
      <w:kern w:val="2"/>
      <w:sz w:val="21"/>
      <w:szCs w:val="24"/>
      <w:lang w:val="en-US" w:eastAsia="zh-CN" w:bidi="ar-SA"/>
    </w:rPr>
  </w:style>
  <w:style w:type="table" w:customStyle="1" w:styleId="144">
    <w:name w:val="Table Normal"/>
    <w:semiHidden/>
    <w:unhideWhenUsed/>
    <w:qFormat/>
    <w:uiPriority w:val="0"/>
    <w:tblPr>
      <w:tblCellMar>
        <w:top w:w="0" w:type="dxa"/>
        <w:left w:w="0" w:type="dxa"/>
        <w:bottom w:w="0" w:type="dxa"/>
        <w:right w:w="0" w:type="dxa"/>
      </w:tblCellMar>
    </w:tblPr>
  </w:style>
  <w:style w:type="paragraph" w:customStyle="1" w:styleId="145">
    <w:name w:val="样式 正文11 + 首行缩进:  2 字符"/>
    <w:basedOn w:val="1"/>
    <w:qFormat/>
    <w:uiPriority w:val="0"/>
    <w:pPr>
      <w:spacing w:line="500" w:lineRule="exact"/>
      <w:ind w:firstLine="560" w:firstLineChars="200"/>
    </w:pPr>
    <w:rPr>
      <w:rFonts w:ascii="宋体" w:hAnsi="宋体" w:cs="宋体"/>
      <w:color w:val="FF0000"/>
      <w:sz w:val="28"/>
      <w:szCs w:val="20"/>
    </w:rPr>
  </w:style>
  <w:style w:type="paragraph" w:customStyle="1" w:styleId="146">
    <w:name w:val="表格中文字"/>
    <w:basedOn w:val="1"/>
    <w:qFormat/>
    <w:uiPriority w:val="0"/>
    <w:pPr>
      <w:adjustRightInd w:val="0"/>
      <w:snapToGrid w:val="0"/>
      <w:jc w:val="center"/>
    </w:pPr>
    <w:rPr>
      <w:kern w:val="18"/>
      <w:sz w:val="20"/>
      <w:szCs w:val="21"/>
    </w:rPr>
  </w:style>
  <w:style w:type="paragraph" w:customStyle="1" w:styleId="147">
    <w:name w:val="环评正文"/>
    <w:basedOn w:val="148"/>
    <w:qFormat/>
    <w:uiPriority w:val="0"/>
    <w:pPr>
      <w:ind w:firstLine="425" w:firstLineChars="177"/>
    </w:pPr>
    <w:rPr>
      <w:kern w:val="0"/>
    </w:rPr>
  </w:style>
  <w:style w:type="paragraph" w:customStyle="1" w:styleId="148">
    <w:name w:val="Char Char Char"/>
    <w:basedOn w:val="1"/>
    <w:next w:val="1"/>
    <w:qFormat/>
    <w:uiPriority w:val="0"/>
    <w:pPr>
      <w:spacing w:line="360" w:lineRule="auto"/>
      <w:ind w:firstLine="200" w:firstLineChars="200"/>
    </w:pPr>
    <w:rPr>
      <w:rFonts w:ascii="宋体" w:hAnsi="宋体" w:cs="宋体"/>
      <w:sz w:val="24"/>
    </w:rPr>
  </w:style>
  <w:style w:type="paragraph" w:customStyle="1" w:styleId="149">
    <w:name w:val="巴彦3"/>
    <w:basedOn w:val="4"/>
    <w:next w:val="150"/>
    <w:qFormat/>
    <w:uiPriority w:val="0"/>
    <w:rPr>
      <w:color w:val="0070C0"/>
    </w:rPr>
  </w:style>
  <w:style w:type="paragraph" w:customStyle="1" w:styleId="150">
    <w:name w:val="巴彦正文"/>
    <w:basedOn w:val="1"/>
    <w:qFormat/>
    <w:uiPriority w:val="0"/>
    <w:pPr>
      <w:spacing w:line="360" w:lineRule="auto"/>
      <w:ind w:firstLine="200" w:firstLineChars="200"/>
    </w:pPr>
    <w:rPr>
      <w:sz w:val="28"/>
    </w:rPr>
  </w:style>
  <w:style w:type="paragraph" w:customStyle="1" w:styleId="151">
    <w:name w:val="正文01"/>
    <w:basedOn w:val="1"/>
    <w:qFormat/>
    <w:uiPriority w:val="0"/>
    <w:pPr>
      <w:spacing w:before="60" w:line="460" w:lineRule="exact"/>
      <w:ind w:firstLine="200" w:firstLineChars="200"/>
    </w:pPr>
    <w:rPr>
      <w:rFonts w:ascii="Times New Roman" w:hAnsi="Times New Roman"/>
      <w:snapToGrid w:val="0"/>
      <w:kern w:val="0"/>
      <w:szCs w:val="24"/>
    </w:rPr>
  </w:style>
  <w:style w:type="paragraph" w:customStyle="1" w:styleId="152">
    <w:name w:val="图表内容"/>
    <w:next w:val="15"/>
    <w:qFormat/>
    <w:uiPriority w:val="0"/>
    <w:pPr>
      <w:jc w:val="center"/>
    </w:pPr>
    <w:rPr>
      <w:rFonts w:ascii="Calibri" w:hAnsi="Calibri" w:eastAsia="宋体" w:cs="Times New Roman"/>
      <w:kern w:val="2"/>
      <w:sz w:val="21"/>
      <w:szCs w:val="21"/>
      <w:lang w:val="en-US" w:eastAsia="zh-CN" w:bidi="ar-SA"/>
    </w:rPr>
  </w:style>
  <w:style w:type="paragraph" w:customStyle="1" w:styleId="153">
    <w:name w:val="表、图名"/>
    <w:basedOn w:val="1"/>
    <w:qFormat/>
    <w:uiPriority w:val="0"/>
    <w:pPr>
      <w:adjustRightInd w:val="0"/>
      <w:snapToGrid w:val="0"/>
      <w:jc w:val="center"/>
    </w:pPr>
    <w:rPr>
      <w:rFonts w:ascii="黑体" w:hAnsi="黑体" w:eastAsia="黑体" w:cstheme="minorBidi"/>
      <w:szCs w:val="21"/>
    </w:rPr>
  </w:style>
  <w:style w:type="paragraph" w:customStyle="1" w:styleId="154">
    <w:name w:val="报告书正文"/>
    <w:basedOn w:val="1"/>
    <w:qFormat/>
    <w:uiPriority w:val="0"/>
    <w:pPr>
      <w:adjustRightInd w:val="0"/>
      <w:snapToGrid w:val="0"/>
      <w:spacing w:line="360" w:lineRule="auto"/>
      <w:ind w:firstLine="425"/>
      <w:textAlignment w:val="baseline"/>
    </w:pPr>
    <w:rPr>
      <w:rFonts w:ascii="Arial" w:hAnsi="Arial"/>
      <w:kern w:val="0"/>
      <w:sz w:val="24"/>
    </w:rPr>
  </w:style>
  <w:style w:type="paragraph" w:customStyle="1" w:styleId="155">
    <w:name w:val="九晟表格"/>
    <w:basedOn w:val="1"/>
    <w:qFormat/>
    <w:uiPriority w:val="0"/>
    <w:pPr>
      <w:jc w:val="center"/>
    </w:pPr>
    <w:rPr>
      <w:rFonts w:hAnsi="宋体"/>
      <w:szCs w:val="21"/>
    </w:rPr>
  </w:style>
  <w:style w:type="paragraph" w:customStyle="1" w:styleId="156">
    <w:name w:val="p0"/>
    <w:basedOn w:val="1"/>
    <w:qFormat/>
    <w:uiPriority w:val="0"/>
    <w:pPr>
      <w:widowControl/>
    </w:pPr>
    <w:rPr>
      <w:kern w:val="0"/>
      <w:szCs w:val="21"/>
    </w:rPr>
  </w:style>
  <w:style w:type="paragraph" w:customStyle="1" w:styleId="157">
    <w:name w:val="00"/>
    <w:basedOn w:val="1"/>
    <w:qFormat/>
    <w:uiPriority w:val="0"/>
    <w:pPr>
      <w:spacing w:line="520" w:lineRule="exact"/>
      <w:ind w:firstLine="200" w:firstLineChars="200"/>
    </w:pPr>
    <w:rPr>
      <w:rFonts w:ascii="宋体" w:hAnsi="宋体" w:cs="宋体"/>
      <w:sz w:val="24"/>
      <w:szCs w:val="20"/>
    </w:rPr>
  </w:style>
  <w:style w:type="paragraph" w:customStyle="1" w:styleId="158">
    <w:name w:val="C首行缩进正文"/>
    <w:basedOn w:val="75"/>
    <w:qFormat/>
    <w:uiPriority w:val="0"/>
    <w:pPr>
      <w:spacing w:line="360" w:lineRule="auto"/>
      <w:ind w:firstLine="200"/>
    </w:pPr>
    <w:rPr>
      <w:rFonts w:cs="宋体"/>
      <w:color w:val="000000"/>
      <w:spacing w:val="0"/>
      <w:sz w:val="21"/>
    </w:rPr>
  </w:style>
  <w:style w:type="paragraph" w:customStyle="1" w:styleId="159">
    <w:name w:val="表中文字"/>
    <w:basedOn w:val="1"/>
    <w:qFormat/>
    <w:uiPriority w:val="0"/>
    <w:pPr>
      <w:jc w:val="center"/>
    </w:pPr>
  </w:style>
  <w:style w:type="paragraph" w:customStyle="1" w:styleId="160">
    <w:name w:val="Char Char Char Char Char Char Char2"/>
    <w:basedOn w:val="1"/>
    <w:qFormat/>
    <w:uiPriority w:val="0"/>
    <w:pPr>
      <w:snapToGrid w:val="0"/>
      <w:spacing w:line="360" w:lineRule="auto"/>
      <w:ind w:firstLine="529" w:firstLineChars="200"/>
    </w:pPr>
  </w:style>
  <w:style w:type="paragraph" w:customStyle="1" w:styleId="161">
    <w:name w:val="【正文四号】"/>
    <w:basedOn w:val="1"/>
    <w:qFormat/>
    <w:uiPriority w:val="0"/>
    <w:pPr>
      <w:spacing w:line="360" w:lineRule="auto"/>
      <w:ind w:firstLine="200" w:firstLineChars="200"/>
    </w:pPr>
    <w:rPr>
      <w:rFonts w:ascii="Times New Roman" w:hAnsi="Times New Roman"/>
      <w:kern w:val="0"/>
      <w:sz w:val="28"/>
      <w:szCs w:val="24"/>
    </w:rPr>
  </w:style>
  <w:style w:type="paragraph" w:customStyle="1" w:styleId="162">
    <w:name w:val="样式3"/>
    <w:basedOn w:val="1"/>
    <w:qFormat/>
    <w:uiPriority w:val="0"/>
    <w:pPr>
      <w:spacing w:line="288" w:lineRule="auto"/>
      <w:jc w:val="center"/>
    </w:pPr>
    <w:rPr>
      <w:rFonts w:ascii="宋体" w:hAnsi="宋体"/>
      <w:bCs/>
      <w:sz w:val="24"/>
    </w:rPr>
  </w:style>
  <w:style w:type="paragraph" w:customStyle="1" w:styleId="163">
    <w:name w:val=".表1-1-1"/>
    <w:basedOn w:val="1"/>
    <w:qFormat/>
    <w:uiPriority w:val="0"/>
    <w:pPr>
      <w:spacing w:line="500" w:lineRule="exact"/>
      <w:jc w:val="center"/>
    </w:pPr>
    <w:rPr>
      <w:rFonts w:eastAsia="黑体"/>
      <w:kern w:val="0"/>
    </w:rPr>
  </w:style>
  <w:style w:type="paragraph" w:customStyle="1" w:styleId="164">
    <w:name w:val=".表1-1-1内容"/>
    <w:basedOn w:val="1"/>
    <w:qFormat/>
    <w:uiPriority w:val="0"/>
    <w:pPr>
      <w:spacing w:line="300" w:lineRule="exact"/>
      <w:jc w:val="center"/>
    </w:pPr>
    <w:rPr>
      <w:kern w:val="0"/>
      <w:sz w:val="21"/>
      <w:szCs w:val="21"/>
    </w:rPr>
  </w:style>
  <w:style w:type="paragraph" w:customStyle="1" w:styleId="165">
    <w:name w:val="表内"/>
    <w:basedOn w:val="1"/>
    <w:qFormat/>
    <w:uiPriority w:val="0"/>
    <w:pPr>
      <w:jc w:val="center"/>
    </w:pPr>
    <w:rPr>
      <w:rFonts w:ascii="Times New Roman" w:hAnsi="Times New Roman" w:eastAsia="宋体" w:cs="Times New Roman"/>
      <w:kern w:val="0"/>
      <w:szCs w:val="20"/>
    </w:rPr>
  </w:style>
  <w:style w:type="paragraph" w:customStyle="1" w:styleId="166">
    <w:name w:val="_Style 4"/>
    <w:qFormat/>
    <w:uiPriority w:val="1"/>
    <w:pPr>
      <w:widowControl w:val="0"/>
      <w:spacing w:line="440" w:lineRule="exact"/>
      <w:jc w:val="both"/>
    </w:pPr>
    <w:rPr>
      <w:rFonts w:ascii="Times New Roman" w:hAnsi="Times New Roman" w:eastAsia="仿宋_GB2312" w:cs="Times New Roman"/>
      <w:kern w:val="2"/>
      <w:sz w:val="24"/>
      <w:szCs w:val="24"/>
      <w:lang w:val="en-US" w:eastAsia="zh-CN" w:bidi="ar-SA"/>
    </w:rPr>
  </w:style>
  <w:style w:type="paragraph" w:customStyle="1" w:styleId="167">
    <w:name w:val="正文内容"/>
    <w:basedOn w:val="1"/>
    <w:qFormat/>
    <w:uiPriority w:val="0"/>
    <w:pPr>
      <w:ind w:firstLine="200" w:firstLineChars="200"/>
    </w:pPr>
    <w:rPr>
      <w:sz w:val="28"/>
    </w:rPr>
  </w:style>
  <w:style w:type="paragraph" w:customStyle="1" w:styleId="168">
    <w:name w:val="首行缩进正文"/>
    <w:basedOn w:val="75"/>
    <w:qFormat/>
    <w:uiPriority w:val="0"/>
    <w:rPr>
      <w:sz w:val="21"/>
    </w:rPr>
  </w:style>
  <w:style w:type="paragraph" w:customStyle="1" w:styleId="169">
    <w:name w:val="表中文字（工大）"/>
    <w:basedOn w:val="1"/>
    <w:qFormat/>
    <w:uiPriority w:val="0"/>
    <w:pPr>
      <w:spacing w:line="400" w:lineRule="exact"/>
      <w:jc w:val="center"/>
    </w:pPr>
    <w:rPr>
      <w:rFonts w:ascii="Times New Roman" w:hAnsi="Times New Roman" w:eastAsia="宋体" w:cs="Times New Roman"/>
      <w:szCs w:val="21"/>
    </w:rPr>
  </w:style>
  <w:style w:type="paragraph" w:customStyle="1" w:styleId="170">
    <w:name w:val="样式 黑体 居中 行距: 1.5 倍行距"/>
    <w:basedOn w:val="1"/>
    <w:qFormat/>
    <w:uiPriority w:val="0"/>
    <w:pPr>
      <w:spacing w:line="360" w:lineRule="auto"/>
      <w:jc w:val="center"/>
    </w:pPr>
    <w:rPr>
      <w:rFonts w:ascii="黑体" w:hAnsi="黑体" w:eastAsia="黑体" w:cs="宋体"/>
    </w:rPr>
  </w:style>
  <w:style w:type="paragraph" w:customStyle="1" w:styleId="171">
    <w:name w:val="正文文字进缩"/>
    <w:basedOn w:val="1"/>
    <w:qFormat/>
    <w:uiPriority w:val="0"/>
    <w:pPr>
      <w:spacing w:line="360" w:lineRule="auto"/>
      <w:ind w:firstLine="200" w:firstLineChars="200"/>
    </w:pPr>
    <w:rPr>
      <w:rFonts w:ascii="仿宋_GB2312" w:eastAsia="仿宋_GB2312"/>
      <w:sz w:val="30"/>
      <w:szCs w:val="20"/>
    </w:rPr>
  </w:style>
  <w:style w:type="paragraph" w:customStyle="1" w:styleId="172">
    <w:name w:val="Body Text 21"/>
    <w:qFormat/>
    <w:uiPriority w:val="0"/>
    <w:pPr>
      <w:widowControl w:val="0"/>
      <w:adjustRightInd w:val="0"/>
      <w:spacing w:line="320" w:lineRule="exact"/>
      <w:jc w:val="both"/>
      <w:textAlignment w:val="baseline"/>
    </w:pPr>
    <w:rPr>
      <w:rFonts w:ascii="仿宋_GB2312" w:hAnsi="Times New Roman" w:eastAsia="仿宋体" w:cs="Times New Roman"/>
      <w:color w:val="auto"/>
      <w:kern w:val="2"/>
      <w:sz w:val="24"/>
      <w:szCs w:val="20"/>
      <w:lang w:val="en-US" w:eastAsia="zh-CN" w:bidi="ar-SA"/>
    </w:rPr>
  </w:style>
  <w:style w:type="paragraph" w:customStyle="1" w:styleId="173">
    <w:name w:val="表格字体1"/>
    <w:basedOn w:val="1"/>
    <w:qFormat/>
    <w:uiPriority w:val="0"/>
    <w:pPr>
      <w:adjustRightInd w:val="0"/>
      <w:snapToGrid w:val="0"/>
      <w:spacing w:beforeLines="20" w:afterLines="20"/>
      <w:jc w:val="center"/>
    </w:pPr>
    <w:rPr>
      <w:rFonts w:ascii="Times New Roman" w:hAnsi="Times New Roman" w:cs="Times New Roman"/>
      <w:kern w:val="0"/>
      <w:sz w:val="21"/>
      <w:szCs w:val="21"/>
    </w:rPr>
  </w:style>
  <w:style w:type="paragraph" w:customStyle="1" w:styleId="174">
    <w:name w:val="表蕊"/>
    <w:basedOn w:val="1"/>
    <w:qFormat/>
    <w:uiPriority w:val="0"/>
    <w:pPr>
      <w:widowControl w:val="0"/>
      <w:adjustRightInd w:val="0"/>
      <w:spacing w:line="320" w:lineRule="atLeast"/>
      <w:textAlignment w:val="baseline"/>
    </w:pPr>
    <w:rPr>
      <w:rFonts w:ascii="Times New Roman" w:hAnsi="Times New Roman" w:eastAsia="楷体_GB2312" w:cs="Times New Roman"/>
      <w:color w:val="auto"/>
      <w:spacing w:val="-10"/>
      <w:kern w:val="0"/>
      <w:sz w:val="21"/>
      <w:szCs w:val="20"/>
    </w:rPr>
  </w:style>
  <w:style w:type="paragraph" w:customStyle="1" w:styleId="175">
    <w:name w:val="盂县"/>
    <w:basedOn w:val="1"/>
    <w:qFormat/>
    <w:uiPriority w:val="0"/>
    <w:pPr>
      <w:adjustRightInd w:val="0"/>
      <w:snapToGrid w:val="0"/>
      <w:spacing w:line="312" w:lineRule="auto"/>
      <w:ind w:firstLine="560" w:firstLineChars="200"/>
    </w:pPr>
    <w:rPr>
      <w:sz w:val="28"/>
    </w:rPr>
  </w:style>
  <w:style w:type="paragraph" w:customStyle="1" w:styleId="176">
    <w:name w:val="表内文"/>
    <w:basedOn w:val="1"/>
    <w:qFormat/>
    <w:uiPriority w:val="0"/>
    <w:pPr>
      <w:adjustRightInd w:val="0"/>
      <w:snapToGrid w:val="0"/>
      <w:spacing w:line="240" w:lineRule="auto"/>
      <w:jc w:val="center"/>
    </w:pPr>
    <w:rPr>
      <w:rFonts w:ascii="Times New Roman" w:hAnsi="Times New Roman" w:eastAsia="宋体" w:cs="Times New Roman"/>
    </w:rPr>
  </w:style>
  <w:style w:type="paragraph" w:customStyle="1" w:styleId="177">
    <w:name w:val="!报告表表格"/>
    <w:next w:val="178"/>
    <w:qFormat/>
    <w:uiPriority w:val="0"/>
    <w:pPr>
      <w:jc w:val="center"/>
    </w:pPr>
    <w:rPr>
      <w:rFonts w:ascii="Times New Roman" w:hAnsi="Times New Roman" w:eastAsia="宋体" w:cs="Times New Roman"/>
      <w:sz w:val="21"/>
      <w:lang w:val="en-US" w:eastAsia="zh-CN" w:bidi="ar-SA"/>
    </w:rPr>
  </w:style>
  <w:style w:type="paragraph" w:customStyle="1" w:styleId="178">
    <w:name w:val="！报告表正文"/>
    <w:basedOn w:val="75"/>
    <w:qFormat/>
    <w:uiPriority w:val="0"/>
    <w:pPr>
      <w:ind w:firstLine="200"/>
    </w:pPr>
    <w:rPr>
      <w:rFonts w:ascii="Times New Roman" w:hAnsi="Times New Roman"/>
      <w:kern w:val="0"/>
      <w:szCs w:val="20"/>
    </w:rPr>
  </w:style>
  <w:style w:type="paragraph" w:customStyle="1" w:styleId="179">
    <w:name w:val="居中表格内容"/>
    <w:basedOn w:val="1"/>
    <w:qFormat/>
    <w:uiPriority w:val="0"/>
    <w:pPr>
      <w:jc w:val="center"/>
    </w:pPr>
    <w:rPr>
      <w:rFonts w:hint="eastAsia"/>
      <w:szCs w:val="20"/>
    </w:rPr>
  </w:style>
  <w:style w:type="paragraph" w:customStyle="1" w:styleId="180">
    <w:name w:val="【表中的文字】"/>
    <w:basedOn w:val="31"/>
    <w:qFormat/>
    <w:uiPriority w:val="0"/>
    <w:pPr>
      <w:spacing w:before="0" w:after="0"/>
      <w:outlineLvl w:val="9"/>
    </w:pPr>
    <w:rPr>
      <w:rFonts w:ascii="Times New Roman" w:hAnsi="Times New Roman"/>
      <w:b w:val="0"/>
      <w:sz w:val="21"/>
      <w:szCs w:val="21"/>
    </w:rPr>
  </w:style>
  <w:style w:type="paragraph" w:customStyle="1" w:styleId="181">
    <w:name w:val="a正文"/>
    <w:basedOn w:val="182"/>
    <w:qFormat/>
    <w:uiPriority w:val="0"/>
    <w:pPr>
      <w:spacing w:line="520" w:lineRule="exact"/>
      <w:ind w:firstLine="561"/>
    </w:pPr>
    <w:rPr>
      <w:sz w:val="28"/>
      <w:szCs w:val="22"/>
    </w:rPr>
  </w:style>
  <w:style w:type="paragraph" w:customStyle="1" w:styleId="182">
    <w:name w:val="正文格式"/>
    <w:basedOn w:val="1"/>
    <w:qFormat/>
    <w:uiPriority w:val="0"/>
    <w:pPr>
      <w:spacing w:line="360" w:lineRule="auto"/>
      <w:ind w:firstLine="420" w:firstLineChars="200"/>
    </w:pPr>
    <w:rPr>
      <w:kern w:val="0"/>
      <w:szCs w:val="21"/>
    </w:rPr>
  </w:style>
  <w:style w:type="paragraph" w:customStyle="1" w:styleId="183">
    <w:name w:val="表格里"/>
    <w:basedOn w:val="113"/>
    <w:next w:val="113"/>
    <w:autoRedefine/>
    <w:qFormat/>
    <w:uiPriority w:val="0"/>
    <w:pPr>
      <w:spacing w:line="240" w:lineRule="auto"/>
      <w:ind w:left="0" w:firstLine="0" w:firstLineChars="0"/>
      <w:jc w:val="center"/>
    </w:pPr>
    <w:rPr>
      <w:rFonts w:ascii="Times New Roman" w:hAnsi="Times New Roman" w:eastAsia="宋体" w:cs="Times New Roman"/>
      <w:snapToGrid w:val="0"/>
      <w:sz w:val="18"/>
      <w:szCs w:val="18"/>
    </w:rPr>
  </w:style>
  <w:style w:type="paragraph" w:customStyle="1" w:styleId="184">
    <w:name w:val="！正文ctrl-4"/>
    <w:qFormat/>
    <w:uiPriority w:val="0"/>
    <w:pPr>
      <w:widowControl w:val="0"/>
      <w:snapToGrid w:val="0"/>
      <w:spacing w:beforeLines="50"/>
    </w:pPr>
    <w:rPr>
      <w:rFonts w:ascii="宋体" w:hAnsi="Calibri" w:eastAsia="宋体" w:cs="Times New Roman"/>
      <w:kern w:val="2"/>
      <w:sz w:val="24"/>
      <w:szCs w:val="24"/>
      <w:lang w:val="en-US" w:eastAsia="zh-CN" w:bidi="ar-SA"/>
    </w:rPr>
  </w:style>
  <w:style w:type="character" w:customStyle="1" w:styleId="185">
    <w:name w:val="font81"/>
    <w:qFormat/>
    <w:uiPriority w:val="0"/>
    <w:rPr>
      <w:rFonts w:ascii="微软雅黑" w:hAnsi="微软雅黑" w:eastAsia="微软雅黑" w:cs="微软雅黑"/>
      <w:color w:val="000000"/>
      <w:kern w:val="0"/>
      <w:sz w:val="22"/>
      <w:szCs w:val="22"/>
      <w:u w:val="none"/>
      <w:lang w:eastAsia="en-US"/>
    </w:rPr>
  </w:style>
  <w:style w:type="paragraph" w:customStyle="1" w:styleId="186">
    <w:name w:val="M表中字体"/>
    <w:qFormat/>
    <w:uiPriority w:val="0"/>
    <w:pPr>
      <w:adjustRightInd w:val="0"/>
      <w:snapToGrid w:val="0"/>
      <w:jc w:val="center"/>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numbering" Target="numbering.xml"/><Relationship Id="rId90" Type="http://schemas.openxmlformats.org/officeDocument/2006/relationships/customXml" Target="../customXml/item1.xml"/><Relationship Id="rId9" Type="http://schemas.openxmlformats.org/officeDocument/2006/relationships/footer" Target="footer5.xml"/><Relationship Id="rId89" Type="http://schemas.openxmlformats.org/officeDocument/2006/relationships/image" Target="media/image69.png"/><Relationship Id="rId88" Type="http://schemas.openxmlformats.org/officeDocument/2006/relationships/image" Target="media/image68.png"/><Relationship Id="rId87" Type="http://schemas.openxmlformats.org/officeDocument/2006/relationships/image" Target="media/image67.png"/><Relationship Id="rId86" Type="http://schemas.openxmlformats.org/officeDocument/2006/relationships/image" Target="media/image66.png"/><Relationship Id="rId85" Type="http://schemas.openxmlformats.org/officeDocument/2006/relationships/image" Target="media/image65.png"/><Relationship Id="rId84" Type="http://schemas.openxmlformats.org/officeDocument/2006/relationships/image" Target="media/image64.png"/><Relationship Id="rId83" Type="http://schemas.openxmlformats.org/officeDocument/2006/relationships/image" Target="media/image63.png"/><Relationship Id="rId82" Type="http://schemas.openxmlformats.org/officeDocument/2006/relationships/image" Target="media/image62.png"/><Relationship Id="rId81" Type="http://schemas.openxmlformats.org/officeDocument/2006/relationships/image" Target="media/image61.png"/><Relationship Id="rId80" Type="http://schemas.openxmlformats.org/officeDocument/2006/relationships/image" Target="media/image60.png"/><Relationship Id="rId8" Type="http://schemas.openxmlformats.org/officeDocument/2006/relationships/header" Target="header2.xml"/><Relationship Id="rId79" Type="http://schemas.openxmlformats.org/officeDocument/2006/relationships/image" Target="media/image59.png"/><Relationship Id="rId78" Type="http://schemas.openxmlformats.org/officeDocument/2006/relationships/image" Target="media/image58.jpeg"/><Relationship Id="rId77" Type="http://schemas.openxmlformats.org/officeDocument/2006/relationships/image" Target="media/image57.jpeg"/><Relationship Id="rId76" Type="http://schemas.openxmlformats.org/officeDocument/2006/relationships/image" Target="media/image56.png"/><Relationship Id="rId75" Type="http://schemas.openxmlformats.org/officeDocument/2006/relationships/image" Target="media/image55.png"/><Relationship Id="rId74" Type="http://schemas.openxmlformats.org/officeDocument/2006/relationships/image" Target="media/image54.png"/><Relationship Id="rId73" Type="http://schemas.openxmlformats.org/officeDocument/2006/relationships/image" Target="media/image53.png"/><Relationship Id="rId72" Type="http://schemas.openxmlformats.org/officeDocument/2006/relationships/image" Target="media/image52.png"/><Relationship Id="rId71" Type="http://schemas.openxmlformats.org/officeDocument/2006/relationships/image" Target="media/image51.png"/><Relationship Id="rId70" Type="http://schemas.openxmlformats.org/officeDocument/2006/relationships/image" Target="media/image50.png"/><Relationship Id="rId7" Type="http://schemas.openxmlformats.org/officeDocument/2006/relationships/footer" Target="footer4.xml"/><Relationship Id="rId69" Type="http://schemas.openxmlformats.org/officeDocument/2006/relationships/image" Target="media/image49.png"/><Relationship Id="rId68" Type="http://schemas.openxmlformats.org/officeDocument/2006/relationships/image" Target="media/image48.png"/><Relationship Id="rId67" Type="http://schemas.openxmlformats.org/officeDocument/2006/relationships/image" Target="media/image47.png"/><Relationship Id="rId66" Type="http://schemas.openxmlformats.org/officeDocument/2006/relationships/image" Target="media/image46.png"/><Relationship Id="rId65" Type="http://schemas.openxmlformats.org/officeDocument/2006/relationships/image" Target="media/image45.png"/><Relationship Id="rId64" Type="http://schemas.openxmlformats.org/officeDocument/2006/relationships/image" Target="media/image44.png"/><Relationship Id="rId63" Type="http://schemas.openxmlformats.org/officeDocument/2006/relationships/image" Target="media/image43.png"/><Relationship Id="rId62" Type="http://schemas.openxmlformats.org/officeDocument/2006/relationships/image" Target="media/image42.png"/><Relationship Id="rId61" Type="http://schemas.openxmlformats.org/officeDocument/2006/relationships/image" Target="media/image41.png"/><Relationship Id="rId60" Type="http://schemas.openxmlformats.org/officeDocument/2006/relationships/image" Target="media/image40.png"/><Relationship Id="rId6" Type="http://schemas.openxmlformats.org/officeDocument/2006/relationships/footer" Target="footer3.xml"/><Relationship Id="rId59" Type="http://schemas.openxmlformats.org/officeDocument/2006/relationships/image" Target="media/image39.png"/><Relationship Id="rId58" Type="http://schemas.openxmlformats.org/officeDocument/2006/relationships/image" Target="media/image38.png"/><Relationship Id="rId57" Type="http://schemas.openxmlformats.org/officeDocument/2006/relationships/image" Target="media/image37.png"/><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png"/><Relationship Id="rId52" Type="http://schemas.openxmlformats.org/officeDocument/2006/relationships/image" Target="media/image32.png"/><Relationship Id="rId51" Type="http://schemas.openxmlformats.org/officeDocument/2006/relationships/image" Target="media/image31.png"/><Relationship Id="rId50" Type="http://schemas.openxmlformats.org/officeDocument/2006/relationships/image" Target="media/image30.png"/><Relationship Id="rId5" Type="http://schemas.openxmlformats.org/officeDocument/2006/relationships/footer" Target="footer2.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png"/><Relationship Id="rId43" Type="http://schemas.openxmlformats.org/officeDocument/2006/relationships/image" Target="media/image23.png"/><Relationship Id="rId42" Type="http://schemas.openxmlformats.org/officeDocument/2006/relationships/image" Target="media/image22.jpeg"/><Relationship Id="rId41" Type="http://schemas.openxmlformats.org/officeDocument/2006/relationships/image" Target="media/image21.jpeg"/><Relationship Id="rId40" Type="http://schemas.openxmlformats.org/officeDocument/2006/relationships/image" Target="media/image20.jpeg"/><Relationship Id="rId4" Type="http://schemas.openxmlformats.org/officeDocument/2006/relationships/footer" Target="footer1.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jpeg"/><Relationship Id="rId28" Type="http://schemas.openxmlformats.org/officeDocument/2006/relationships/image" Target="media/image8.png"/><Relationship Id="rId27" Type="http://schemas.openxmlformats.org/officeDocument/2006/relationships/image" Target="media/image7.wmf"/><Relationship Id="rId26" Type="http://schemas.openxmlformats.org/officeDocument/2006/relationships/image" Target="media/image6.wmf"/><Relationship Id="rId25" Type="http://schemas.openxmlformats.org/officeDocument/2006/relationships/image" Target="media/image5.wmf"/><Relationship Id="rId24" Type="http://schemas.openxmlformats.org/officeDocument/2006/relationships/oleObject" Target="embeddings/oleObject2.bin"/><Relationship Id="rId23" Type="http://schemas.openxmlformats.org/officeDocument/2006/relationships/image" Target="media/image4.png"/><Relationship Id="rId22" Type="http://schemas.openxmlformats.org/officeDocument/2006/relationships/image" Target="media/image3.wmf"/><Relationship Id="rId21" Type="http://schemas.openxmlformats.org/officeDocument/2006/relationships/oleObject" Target="embeddings/oleObject1.bin"/><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sectNamePr val="lengthwise1"/>
      <sectRole val="1"/>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126</Pages>
  <Words>12260</Words>
  <Characters>13173</Characters>
  <Lines>169</Lines>
  <Paragraphs>47</Paragraphs>
  <TotalTime>0</TotalTime>
  <ScaleCrop>false</ScaleCrop>
  <LinksUpToDate>false</LinksUpToDate>
  <CharactersWithSpaces>13199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2021-03-11T03:14:00Z</dcterms:created>
  <dc:creator>lhj</dc:creator>
  <cp:lastModifiedBy>阳光下，泡沫</cp:lastModifiedBy>
  <cp:lastPrinted>2021-06-15T02:37:00Z</cp:lastPrinted>
  <dcterms:modified xsi:type="dcterms:W3CDTF">2026-07-29T01:21:57Z</dcterms:modified>
  <dc:title>附件2</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045CAD99E20B417B90D746037C4886E7_13</vt:lpwstr>
  </property>
  <property fmtid="{D5CDD505-2E9C-101B-9397-08002B2CF9AE}" pid="4" name="KSOTemplateDocerSaveRecord">
    <vt:lpwstr>eyJoZGlkIjoiNWI3MjVkMmUzZWFkMGE4NjQzM2IwY2QxYjM0N2Q2NGYiLCJ1c2VySWQiOiI0MzIxNDY5OTMifQ==</vt:lpwstr>
  </property>
</Properties>
</file>