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jc w:val="center"/>
        <w:rPr>
          <w:rFonts w:hint="eastAsia"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w:t xml:space="preserve"> </w:t>
      </w:r>
    </w:p>
    <w:p>
      <w:pPr>
        <w:jc w:val="center"/>
        <w:rPr>
          <w:rFonts w:hint="eastAsia"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w:t xml:space="preserve"> </w:t>
      </w: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黑体" w:hAnsi="宋体" w:eastAsia="黑体"/>
          <w:b/>
          <w:sz w:val="52"/>
          <w:szCs w:val="52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年伊美区第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季度城市市政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饮用水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监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测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公示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报告</w:t>
      </w:r>
    </w:p>
    <w:p>
      <w:pPr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 xml:space="preserve"> </w:t>
      </w:r>
    </w:p>
    <w:p>
      <w:pPr>
        <w:ind w:firstLine="1040" w:firstLineChars="200"/>
        <w:jc w:val="right"/>
        <w:rPr>
          <w:rFonts w:ascii="仿宋_GB2312" w:hAnsi="宋体"/>
          <w:sz w:val="52"/>
          <w:szCs w:val="52"/>
        </w:rPr>
      </w:pPr>
      <w:r>
        <w:rPr>
          <w:rFonts w:ascii="仿宋_GB2312" w:hAnsi="宋体"/>
          <w:sz w:val="52"/>
          <w:szCs w:val="52"/>
        </w:rPr>
        <w:t xml:space="preserve"> </w:t>
      </w:r>
    </w:p>
    <w:p>
      <w:pPr>
        <w:ind w:firstLine="1040" w:firstLineChars="200"/>
        <w:jc w:val="right"/>
        <w:rPr>
          <w:rFonts w:ascii="仿宋_GB2312" w:hAnsi="宋体"/>
          <w:sz w:val="52"/>
          <w:szCs w:val="52"/>
        </w:rPr>
      </w:pPr>
      <w:r>
        <w:rPr>
          <w:rFonts w:ascii="仿宋_GB2312" w:hAnsi="宋体"/>
          <w:sz w:val="52"/>
          <w:szCs w:val="52"/>
        </w:rPr>
        <w:t xml:space="preserve"> </w:t>
      </w:r>
    </w:p>
    <w:p>
      <w:pPr>
        <w:ind w:right="2080"/>
        <w:rPr>
          <w:rFonts w:ascii="仿宋_GB2312" w:hAnsi="宋体"/>
          <w:sz w:val="52"/>
          <w:szCs w:val="52"/>
        </w:rPr>
      </w:pPr>
      <w:r>
        <w:rPr>
          <w:rFonts w:ascii="仿宋_GB2312" w:hAnsi="宋体"/>
          <w:sz w:val="52"/>
          <w:szCs w:val="52"/>
        </w:rPr>
        <w:t xml:space="preserve"> </w:t>
      </w:r>
    </w:p>
    <w:p>
      <w:pPr>
        <w:ind w:firstLine="1980" w:firstLineChars="450"/>
        <w:rPr>
          <w:rFonts w:hint="eastAsia" w:ascii="仿宋_GB2312" w:hAnsi="仿宋_GB2312"/>
          <w:sz w:val="32"/>
          <w:szCs w:val="32"/>
          <w:lang w:val="en-US" w:eastAsia="zh-CN"/>
        </w:rPr>
      </w:pPr>
      <w:r>
        <w:rPr>
          <w:rFonts w:hint="eastAsia" w:ascii="仿宋_GB2312" w:hAnsi="仿宋_GB2312"/>
          <w:sz w:val="32"/>
          <w:szCs w:val="32"/>
          <w:lang w:val="en-US" w:eastAsia="zh-CN"/>
        </w:rPr>
        <w:t xml:space="preserve">  </w:t>
      </w:r>
    </w:p>
    <w:p>
      <w:pPr>
        <w:ind w:firstLine="1980" w:firstLineChars="450"/>
        <w:rPr>
          <w:rFonts w:hint="eastAsia" w:ascii="仿宋_GB2312" w:hAnsi="仿宋_GB2312"/>
          <w:sz w:val="32"/>
          <w:szCs w:val="32"/>
          <w:lang w:val="en-US" w:eastAsia="zh-CN"/>
        </w:rPr>
      </w:pPr>
    </w:p>
    <w:p>
      <w:pPr>
        <w:ind w:firstLine="1980" w:firstLineChars="450"/>
        <w:rPr>
          <w:rFonts w:hint="eastAsia" w:ascii="仿宋_GB2312" w:hAnsi="仿宋_GB2312"/>
          <w:sz w:val="32"/>
          <w:szCs w:val="32"/>
          <w:lang w:val="en-US" w:eastAsia="zh-CN"/>
        </w:rPr>
      </w:pPr>
    </w:p>
    <w:p>
      <w:pPr>
        <w:ind w:firstLine="1980" w:firstLineChars="450"/>
        <w:rPr>
          <w:rFonts w:ascii="仿宋_GB2312" w:hAnsi="宋体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  <w:lang w:val="en-US" w:eastAsia="zh-CN"/>
        </w:rPr>
        <w:t xml:space="preserve">           </w:t>
      </w:r>
      <w:r>
        <w:rPr>
          <w:rFonts w:ascii="仿宋_GB2312" w:hAnsi="仿宋_GB2312"/>
          <w:sz w:val="32"/>
          <w:szCs w:val="32"/>
        </w:rPr>
        <w:t>伊美区</w:t>
      </w:r>
      <w:r>
        <w:rPr>
          <w:rFonts w:hint="eastAsia" w:ascii="仿宋_GB2312" w:hAnsi="仿宋_GB2312"/>
          <w:sz w:val="32"/>
          <w:szCs w:val="32"/>
          <w:lang w:eastAsia="zh-CN"/>
        </w:rPr>
        <w:t>卫生健康局</w:t>
      </w:r>
    </w:p>
    <w:p>
      <w:pPr>
        <w:ind w:firstLine="2420" w:firstLineChars="550"/>
        <w:rPr>
          <w:sz w:val="32"/>
          <w:szCs w:val="32"/>
        </w:rPr>
      </w:pPr>
      <w:r>
        <w:rPr>
          <w:rFonts w:hint="eastAsia" w:ascii="仿宋_GB2312" w:hAnsi="仿宋_GB2312"/>
          <w:sz w:val="32"/>
          <w:szCs w:val="32"/>
          <w:lang w:val="en-US" w:eastAsia="zh-CN"/>
        </w:rPr>
        <w:t xml:space="preserve">         </w:t>
      </w:r>
      <w:r>
        <w:rPr>
          <w:rFonts w:ascii="仿宋_GB2312" w:hAnsi="仿宋_GB2312"/>
          <w:sz w:val="32"/>
          <w:szCs w:val="32"/>
        </w:rPr>
        <w:t>202</w:t>
      </w:r>
      <w:r>
        <w:rPr>
          <w:rFonts w:hint="eastAsia" w:ascii="仿宋_GB2312" w:hAnsi="仿宋_GB2312"/>
          <w:sz w:val="32"/>
          <w:szCs w:val="32"/>
          <w:lang w:val="en-US" w:eastAsia="zh-CN"/>
        </w:rPr>
        <w:t>6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ascii="仿宋_GB2312" w:hAnsi="宋体"/>
          <w:sz w:val="32"/>
          <w:szCs w:val="32"/>
        </w:rPr>
        <w:t xml:space="preserve"> </w:t>
      </w:r>
      <w:r>
        <w:rPr>
          <w:rFonts w:hint="eastAsia" w:ascii="仿宋_GB2312" w:hAnsi="宋体"/>
          <w:sz w:val="32"/>
          <w:szCs w:val="32"/>
          <w:lang w:val="en-US" w:eastAsia="zh-CN"/>
        </w:rPr>
        <w:t>6月30</w:t>
      </w:r>
      <w:r>
        <w:rPr>
          <w:rFonts w:ascii="仿宋_GB2312" w:hAnsi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hAnsi="宋体" w:cs="宋体"/>
          <w:sz w:val="32"/>
          <w:szCs w:val="32"/>
        </w:rPr>
        <w:sectPr>
          <w:pgSz w:w="11906" w:h="16838"/>
          <w:pgMar w:top="1531" w:right="1531" w:bottom="1531" w:left="1531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ascii="仿宋_GB2312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年伊美区第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二</w:t>
      </w:r>
      <w:r>
        <w:rPr>
          <w:rFonts w:hint="eastAsia" w:ascii="宋体" w:hAnsi="宋体"/>
          <w:b/>
          <w:sz w:val="44"/>
          <w:szCs w:val="44"/>
        </w:rPr>
        <w:t>季度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城市市政</w:t>
      </w:r>
    </w:p>
    <w:p>
      <w:pPr>
        <w:spacing w:line="360" w:lineRule="auto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饮用水</w:t>
      </w:r>
      <w:r>
        <w:rPr>
          <w:rFonts w:hint="eastAsia" w:ascii="宋体" w:hAnsi="宋体"/>
          <w:b/>
          <w:sz w:val="44"/>
          <w:szCs w:val="44"/>
          <w:lang w:eastAsia="zh-CN"/>
        </w:rPr>
        <w:t>监测公示</w:t>
      </w:r>
      <w:r>
        <w:rPr>
          <w:rFonts w:hint="eastAsia" w:ascii="宋体" w:hAnsi="宋体"/>
          <w:b/>
          <w:sz w:val="44"/>
          <w:szCs w:val="44"/>
        </w:rPr>
        <w:t>报告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</w:rPr>
        <w:t>概述</w:t>
      </w:r>
    </w:p>
    <w:p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为深入贯彻落实国务院《水污染防治行动计划》（国发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[</w:t>
      </w:r>
      <w:r>
        <w:rPr>
          <w:rFonts w:hint="eastAsia" w:ascii="仿宋" w:hAnsi="仿宋" w:eastAsia="仿宋"/>
          <w:sz w:val="30"/>
          <w:szCs w:val="30"/>
        </w:rPr>
        <w:t>2015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]</w:t>
      </w:r>
      <w:r>
        <w:rPr>
          <w:rFonts w:hint="eastAsia" w:ascii="仿宋" w:hAnsi="仿宋" w:eastAsia="仿宋"/>
          <w:sz w:val="30"/>
          <w:szCs w:val="30"/>
        </w:rPr>
        <w:t>17号）及2023年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月1日我国施行的《生活饮用水卫生标准》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(GB5749-2022)</w:t>
      </w:r>
      <w:r>
        <w:rPr>
          <w:rFonts w:hint="eastAsia" w:ascii="仿宋" w:hAnsi="仿宋" w:eastAsia="仿宋"/>
          <w:sz w:val="30"/>
          <w:szCs w:val="30"/>
        </w:rPr>
        <w:t>要求，保障伊美区</w:t>
      </w:r>
      <w:r>
        <w:rPr>
          <w:rFonts w:hint="eastAsia" w:ascii="仿宋" w:hAnsi="仿宋" w:eastAsia="仿宋"/>
          <w:sz w:val="30"/>
          <w:szCs w:val="30"/>
          <w:lang w:eastAsia="zh-CN"/>
        </w:rPr>
        <w:t>城市内</w:t>
      </w:r>
      <w:r>
        <w:rPr>
          <w:rFonts w:hint="eastAsia" w:ascii="仿宋" w:hAnsi="仿宋" w:eastAsia="仿宋"/>
          <w:sz w:val="30"/>
          <w:szCs w:val="30"/>
        </w:rPr>
        <w:t>辖区及伊美区美溪镇生活饮用水安全，消除不安全供水隐患，保证人民群众身体健康。</w:t>
      </w:r>
      <w:bookmarkStart w:id="0" w:name="OLE_LINK2"/>
      <w:bookmarkStart w:id="1" w:name="OLE_LINK1"/>
      <w:r>
        <w:rPr>
          <w:rFonts w:hint="eastAsia" w:ascii="仿宋" w:hAnsi="仿宋" w:eastAsia="仿宋"/>
          <w:sz w:val="30"/>
          <w:szCs w:val="30"/>
        </w:rPr>
        <w:t>伊美区疾病预防控制</w:t>
      </w:r>
      <w:r>
        <w:rPr>
          <w:rFonts w:hint="eastAsia" w:ascii="仿宋" w:hAnsi="仿宋" w:eastAsia="仿宋"/>
          <w:color w:val="000000"/>
          <w:sz w:val="30"/>
          <w:szCs w:val="30"/>
        </w:rPr>
        <w:t>中心于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2026年4月21日</w:t>
      </w:r>
      <w:r>
        <w:rPr>
          <w:rFonts w:hint="eastAsia" w:ascii="仿宋" w:hAnsi="仿宋" w:eastAsia="仿宋"/>
          <w:sz w:val="30"/>
          <w:szCs w:val="30"/>
        </w:rPr>
        <w:t>对伊美区</w:t>
      </w:r>
      <w:r>
        <w:rPr>
          <w:rFonts w:hint="eastAsia" w:ascii="仿宋" w:hAnsi="仿宋" w:eastAsia="仿宋"/>
          <w:sz w:val="30"/>
          <w:szCs w:val="30"/>
          <w:lang w:eastAsia="zh-CN"/>
        </w:rPr>
        <w:t>城市内</w:t>
      </w:r>
      <w:r>
        <w:rPr>
          <w:rFonts w:hint="eastAsia" w:ascii="仿宋" w:hAnsi="仿宋" w:eastAsia="仿宋"/>
          <w:sz w:val="30"/>
          <w:szCs w:val="30"/>
        </w:rPr>
        <w:t>辖区及伊美区美溪镇生活饮用水第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季度进行采样，并将样品委托送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检</w:t>
      </w:r>
      <w:r>
        <w:rPr>
          <w:rFonts w:hint="eastAsia" w:ascii="仿宋" w:hAnsi="仿宋" w:eastAsia="仿宋"/>
          <w:sz w:val="30"/>
          <w:szCs w:val="30"/>
        </w:rPr>
        <w:t>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伊春市疾病预防控制中心公共卫生科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任务完成率100%</w:t>
      </w:r>
      <w:bookmarkEnd w:id="0"/>
      <w:bookmarkEnd w:id="1"/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sz w:val="32"/>
          <w:szCs w:val="32"/>
        </w:rPr>
        <w:t>工作开展情况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完成了城市市政饮用水水质监测工作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color w:val="000000"/>
          <w:sz w:val="30"/>
          <w:szCs w:val="30"/>
        </w:rPr>
        <w:t>城区监测覆盖率达到100%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分别为：伊美区第二中学、伊美区第六中学、伊美区丰林小学、伊春市第一中学、伊美区半山国际物业管理站、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伊美区水上公园建设服务中心、伊美区前进社区卫生服务中心、伊美区朝阳社区卫生服务中心、伊美区伊春市东升水厂（原伊春市自来水公司二厂）、伊美区美溪镇供水服务中心、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伊美区美溪镇农业银行、美溪镇森林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扑灭火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大队、伊美区美溪镇新兴社区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伊美区美溪镇东林社区、伊美区美溪镇第一小学，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共计检测城市市政饮用水水样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包括对水样进行常规指标检测，监测样品名称及份数如下：</w:t>
      </w:r>
    </w:p>
    <w:tbl>
      <w:tblPr>
        <w:tblStyle w:val="3"/>
        <w:tblW w:w="88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9"/>
        <w:gridCol w:w="2028"/>
        <w:gridCol w:w="1932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伊美区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合格水样数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720" w:firstLineChars="3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firstLine="900" w:firstLineChars="375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720" w:firstLineChars="3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</w:tbl>
    <w:p>
      <w:pPr>
        <w:spacing w:line="360" w:lineRule="auto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黑体"/>
          <w:b/>
          <w:sz w:val="32"/>
          <w:szCs w:val="32"/>
        </w:rPr>
        <w:t>采样方法</w:t>
      </w:r>
    </w:p>
    <w:p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每份水质样品均以无菌采集袋采样</w:t>
      </w:r>
      <w:r>
        <w:rPr>
          <w:rFonts w:ascii="仿宋" w:hAnsi="仿宋" w:eastAsia="仿宋"/>
          <w:sz w:val="30"/>
          <w:szCs w:val="30"/>
        </w:rPr>
        <w:t>500mL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供水质微生物指标检测使用；以聚乙烯塑料桶取样</w:t>
      </w:r>
      <w:r>
        <w:rPr>
          <w:rFonts w:ascii="仿宋" w:hAnsi="仿宋" w:eastAsia="仿宋"/>
          <w:sz w:val="30"/>
          <w:szCs w:val="30"/>
        </w:rPr>
        <w:t>2.5Kg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供理化指标检测使用。</w:t>
      </w: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四、检测方法</w:t>
      </w:r>
    </w:p>
    <w:p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检验依据为《生活饮用水标准检验方法》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ascii="仿宋" w:hAnsi="仿宋" w:eastAsia="仿宋"/>
          <w:sz w:val="30"/>
          <w:szCs w:val="30"/>
        </w:rPr>
        <w:t>GB/5750-20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22）</w:t>
      </w:r>
      <w:r>
        <w:rPr>
          <w:rFonts w:hint="eastAsia" w:ascii="仿宋" w:hAnsi="仿宋" w:eastAsia="仿宋"/>
          <w:sz w:val="30"/>
          <w:szCs w:val="30"/>
        </w:rPr>
        <w:t>和《生活饮用水卫生标准》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ascii="仿宋" w:hAnsi="仿宋" w:eastAsia="仿宋"/>
          <w:sz w:val="30"/>
          <w:szCs w:val="30"/>
        </w:rPr>
        <w:t>GB/5749-20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22）</w:t>
      </w:r>
      <w:r>
        <w:rPr>
          <w:rFonts w:hint="eastAsia" w:ascii="仿宋" w:hAnsi="仿宋" w:eastAsia="仿宋"/>
          <w:sz w:val="30"/>
          <w:szCs w:val="30"/>
        </w:rPr>
        <w:t>。检测项目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中，出厂水</w:t>
      </w:r>
      <w:r>
        <w:rPr>
          <w:rFonts w:hint="eastAsia" w:ascii="仿宋" w:hAnsi="仿宋" w:eastAsia="仿宋"/>
          <w:sz w:val="30"/>
          <w:szCs w:val="30"/>
        </w:rPr>
        <w:t>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36</w:t>
      </w:r>
      <w:r>
        <w:rPr>
          <w:rFonts w:hint="eastAsia" w:ascii="仿宋" w:hAnsi="仿宋" w:eastAsia="仿宋"/>
          <w:sz w:val="30"/>
          <w:szCs w:val="30"/>
        </w:rPr>
        <w:t>项，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末梢水为30项。包括</w:t>
      </w:r>
      <w:r>
        <w:rPr>
          <w:rFonts w:hint="eastAsia" w:ascii="仿宋" w:hAnsi="仿宋" w:eastAsia="仿宋"/>
          <w:sz w:val="30"/>
          <w:szCs w:val="30"/>
        </w:rPr>
        <w:t>微生物检测指标菌落总数、总大肠菌群。感官性状、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一般化学</w:t>
      </w:r>
      <w:r>
        <w:rPr>
          <w:rFonts w:hint="eastAsia" w:ascii="仿宋" w:hAnsi="仿宋" w:eastAsia="仿宋"/>
          <w:sz w:val="30"/>
          <w:szCs w:val="30"/>
        </w:rPr>
        <w:t>指标色度、浑浊度、臭和味、肉眼可见物、</w:t>
      </w:r>
      <w:r>
        <w:rPr>
          <w:rFonts w:ascii="仿宋" w:hAnsi="仿宋" w:eastAsia="仿宋"/>
          <w:sz w:val="30"/>
          <w:szCs w:val="30"/>
        </w:rPr>
        <w:t>PH</w:t>
      </w:r>
      <w:r>
        <w:rPr>
          <w:rFonts w:hint="eastAsia" w:ascii="仿宋" w:hAnsi="仿宋" w:eastAsia="仿宋"/>
          <w:sz w:val="30"/>
          <w:szCs w:val="30"/>
          <w:lang w:eastAsia="zh-CN"/>
        </w:rPr>
        <w:t>值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铝、铁、锰、铜、锌、</w:t>
      </w:r>
      <w:r>
        <w:rPr>
          <w:rFonts w:hint="eastAsia" w:ascii="仿宋" w:hAnsi="仿宋" w:eastAsia="仿宋"/>
          <w:sz w:val="30"/>
          <w:szCs w:val="30"/>
        </w:rPr>
        <w:t>氯化物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硫酸盐、溶解性总固体、总硬度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a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CO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计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高锰酸盐指数（以O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2计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）（原名耗氧量）、</w:t>
      </w:r>
      <w:r>
        <w:rPr>
          <w:rFonts w:hint="eastAsia" w:ascii="仿宋" w:hAnsi="仿宋" w:eastAsia="仿宋"/>
          <w:sz w:val="30"/>
          <w:szCs w:val="30"/>
        </w:rPr>
        <w:t>氨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以N计</w:t>
      </w:r>
      <w:r>
        <w:rPr>
          <w:rFonts w:hint="eastAsia" w:ascii="仿宋" w:hAnsi="仿宋" w:eastAsia="仿宋"/>
          <w:sz w:val="30"/>
          <w:szCs w:val="30"/>
          <w:lang w:eastAsia="zh-CN"/>
        </w:rPr>
        <w:t>）。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毒理指标</w:t>
      </w:r>
      <w:r>
        <w:rPr>
          <w:rFonts w:hint="eastAsia" w:ascii="仿宋" w:hAnsi="仿宋" w:eastAsia="仿宋"/>
          <w:sz w:val="30"/>
          <w:szCs w:val="30"/>
        </w:rPr>
        <w:t>砷、镉、铬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六价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、铅、汞、氰化物、氟化物、硝酸盐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以N计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、三氯甲烷、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一氯二溴甲烷、二氯一溴甲烷、三溴甲烷、三卤甲烷（三氯甲烷、一氯二溴甲烷、二氯一溴甲烷、三溴甲烷的总和）、二氯乙酸、三氯乙酸、亚氯酸盐、</w:t>
      </w:r>
      <w:r>
        <w:rPr>
          <w:rFonts w:hint="eastAsia" w:ascii="仿宋" w:hAnsi="仿宋" w:eastAsia="仿宋"/>
          <w:sz w:val="30"/>
          <w:szCs w:val="30"/>
        </w:rPr>
        <w:t>氯酸盐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消毒剂常规指标游离氯、二氧化氯。</w:t>
      </w:r>
    </w:p>
    <w:p>
      <w:pPr>
        <w:spacing w:line="360" w:lineRule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五、监测结果</w:t>
      </w:r>
    </w:p>
    <w:p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本次</w:t>
      </w:r>
      <w:r>
        <w:rPr>
          <w:rFonts w:hint="eastAsia" w:ascii="仿宋" w:hAnsi="仿宋" w:eastAsia="仿宋"/>
          <w:sz w:val="30"/>
          <w:szCs w:val="30"/>
        </w:rPr>
        <w:t>检验结果来看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</w:t>
      </w:r>
      <w:bookmarkStart w:id="2" w:name="_GoBack"/>
      <w:bookmarkEnd w:id="2"/>
      <w:r>
        <w:rPr>
          <w:rFonts w:hint="eastAsia" w:ascii="仿宋" w:hAnsi="仿宋" w:eastAsia="仿宋"/>
          <w:sz w:val="30"/>
          <w:szCs w:val="30"/>
          <w:lang w:val="en-US" w:eastAsia="zh-CN"/>
        </w:rPr>
        <w:t>份</w:t>
      </w:r>
      <w:r>
        <w:rPr>
          <w:rFonts w:hint="eastAsia" w:ascii="仿宋" w:hAnsi="仿宋" w:eastAsia="仿宋"/>
          <w:sz w:val="30"/>
          <w:szCs w:val="30"/>
        </w:rPr>
        <w:t>末梢水各项检测指标全部符合《生活饮用水标准检验方法》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ascii="仿宋" w:hAnsi="仿宋" w:eastAsia="仿宋"/>
          <w:sz w:val="30"/>
          <w:szCs w:val="30"/>
        </w:rPr>
        <w:t>GB/5750-20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22）</w:t>
      </w:r>
      <w:r>
        <w:rPr>
          <w:rFonts w:hint="eastAsia" w:ascii="仿宋" w:hAnsi="仿宋" w:eastAsia="仿宋"/>
          <w:sz w:val="30"/>
          <w:szCs w:val="30"/>
        </w:rPr>
        <w:t>和《生活饮用水卫生标准》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ascii="仿宋" w:hAnsi="仿宋" w:eastAsia="仿宋"/>
          <w:sz w:val="30"/>
          <w:szCs w:val="30"/>
        </w:rPr>
        <w:t>GB/5749-20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22）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360" w:lineRule="auto"/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4563E"/>
    <w:rsid w:val="0B3A61F5"/>
    <w:rsid w:val="18BA5305"/>
    <w:rsid w:val="3D2B271E"/>
    <w:rsid w:val="4F54563E"/>
    <w:rsid w:val="74674A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2026-03-26T05:48:00Z</dcterms:created>
  <dc:creator>admin</dc:creator>
  <cp:lastModifiedBy>admin</cp:lastModifiedBy>
  <cp:lastPrinted>2026-07-13T01:07:00Z</cp:lastPrinted>
  <dcterms:modified xsi:type="dcterms:W3CDTF">2026-07-13T05:58:00Z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